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C177A" w14:textId="77777777" w:rsidR="00040C3A" w:rsidRPr="00545FAE" w:rsidRDefault="00D306D1" w:rsidP="00627C9F">
      <w:pPr>
        <w:jc w:val="both"/>
        <w:rPr>
          <w:rFonts w:asciiTheme="majorHAnsi" w:hAnsiTheme="majorHAnsi" w:cs="Univers"/>
          <w:b/>
          <w:bCs/>
          <w:sz w:val="22"/>
          <w:szCs w:val="22"/>
          <w:lang w:val="fr-FR"/>
        </w:rPr>
      </w:pPr>
      <w:r w:rsidRPr="00545FAE">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5114CCE" wp14:editId="73BC38B9">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C695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545FAE">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6D912C3" wp14:editId="20B17891">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5844F3" w14:textId="77777777" w:rsidR="00A0514B" w:rsidRDefault="00A0514B" w:rsidP="00AE5488">
                            <w:r>
                              <w:rPr>
                                <w:noProof/>
                              </w:rPr>
                              <w:drawing>
                                <wp:inline distT="0" distB="0" distL="0" distR="0" wp14:anchorId="2F05DA9A" wp14:editId="0EA00A0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D912C3"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135844F3" w14:textId="77777777" w:rsidR="00A0514B" w:rsidRDefault="00A0514B" w:rsidP="00AE5488">
                      <w:r>
                        <w:rPr>
                          <w:noProof/>
                        </w:rPr>
                        <w:drawing>
                          <wp:inline distT="0" distB="0" distL="0" distR="0" wp14:anchorId="2F05DA9A" wp14:editId="0EA00A0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6F42CD" w:rsidRPr="00545FAE">
        <w:rPr>
          <w:rFonts w:asciiTheme="majorHAnsi" w:hAnsiTheme="majorHAnsi" w:cs="Univers"/>
          <w:b/>
          <w:bCs/>
          <w:sz w:val="22"/>
          <w:szCs w:val="22"/>
          <w:lang w:val="fr-FR"/>
        </w:rPr>
        <w:t xml:space="preserve"> </w:t>
      </w:r>
    </w:p>
    <w:p w14:paraId="1BED9224" w14:textId="77777777" w:rsidR="00040C3A" w:rsidRPr="00545FAE" w:rsidRDefault="00040C3A" w:rsidP="00040C3A">
      <w:pPr>
        <w:tabs>
          <w:tab w:val="center" w:pos="5400"/>
        </w:tabs>
        <w:suppressAutoHyphens/>
        <w:jc w:val="both"/>
        <w:rPr>
          <w:rFonts w:asciiTheme="majorHAnsi" w:hAnsiTheme="majorHAnsi"/>
          <w:sz w:val="22"/>
          <w:szCs w:val="22"/>
          <w:lang w:val="fr-FR"/>
        </w:rPr>
      </w:pPr>
    </w:p>
    <w:p w14:paraId="040C3B5C" w14:textId="77777777" w:rsidR="00040C3A" w:rsidRPr="00545FAE" w:rsidRDefault="00040C3A" w:rsidP="00040C3A">
      <w:pPr>
        <w:tabs>
          <w:tab w:val="center" w:pos="5400"/>
        </w:tabs>
        <w:suppressAutoHyphens/>
        <w:jc w:val="both"/>
        <w:rPr>
          <w:rFonts w:asciiTheme="majorHAnsi" w:hAnsiTheme="majorHAnsi"/>
          <w:sz w:val="22"/>
          <w:szCs w:val="22"/>
          <w:lang w:val="fr-FR"/>
        </w:rPr>
      </w:pPr>
    </w:p>
    <w:p w14:paraId="644DE873" w14:textId="77777777" w:rsidR="005128E4" w:rsidRPr="00545FAE" w:rsidRDefault="005128E4" w:rsidP="00040C3A">
      <w:pPr>
        <w:tabs>
          <w:tab w:val="center" w:pos="5400"/>
        </w:tabs>
        <w:suppressAutoHyphens/>
        <w:rPr>
          <w:rFonts w:asciiTheme="majorHAnsi" w:hAnsiTheme="majorHAnsi"/>
          <w:sz w:val="22"/>
          <w:szCs w:val="22"/>
          <w:lang w:val="fr-FR"/>
        </w:rPr>
      </w:pPr>
    </w:p>
    <w:p w14:paraId="1BDB6E2E" w14:textId="77777777" w:rsidR="005128E4" w:rsidRPr="00545FAE" w:rsidRDefault="005128E4" w:rsidP="00040C3A">
      <w:pPr>
        <w:tabs>
          <w:tab w:val="center" w:pos="5400"/>
        </w:tabs>
        <w:suppressAutoHyphens/>
        <w:rPr>
          <w:rFonts w:asciiTheme="majorHAnsi" w:hAnsiTheme="majorHAnsi"/>
          <w:sz w:val="22"/>
          <w:szCs w:val="22"/>
          <w:lang w:val="fr-FR"/>
        </w:rPr>
      </w:pPr>
    </w:p>
    <w:p w14:paraId="4C1E8B7D" w14:textId="77777777" w:rsidR="005128E4" w:rsidRPr="00545FAE" w:rsidRDefault="005128E4" w:rsidP="00040C3A">
      <w:pPr>
        <w:tabs>
          <w:tab w:val="center" w:pos="5400"/>
        </w:tabs>
        <w:suppressAutoHyphens/>
        <w:rPr>
          <w:rFonts w:asciiTheme="majorHAnsi" w:hAnsiTheme="majorHAnsi"/>
          <w:sz w:val="22"/>
          <w:szCs w:val="22"/>
          <w:lang w:val="fr-FR"/>
        </w:rPr>
      </w:pPr>
    </w:p>
    <w:p w14:paraId="4ADA1DC4" w14:textId="77777777" w:rsidR="00040C3A" w:rsidRPr="00545FAE" w:rsidRDefault="00040C3A" w:rsidP="005128E4">
      <w:pPr>
        <w:tabs>
          <w:tab w:val="center" w:pos="5400"/>
        </w:tabs>
        <w:suppressAutoHyphens/>
        <w:jc w:val="center"/>
        <w:rPr>
          <w:rFonts w:asciiTheme="majorHAnsi" w:hAnsiTheme="majorHAnsi"/>
          <w:sz w:val="22"/>
          <w:szCs w:val="22"/>
          <w:lang w:val="fr-FR"/>
        </w:rPr>
      </w:pPr>
    </w:p>
    <w:p w14:paraId="2CB4BC80" w14:textId="77777777" w:rsidR="00040C3A" w:rsidRPr="00545FAE" w:rsidRDefault="00040C3A" w:rsidP="005128E4">
      <w:pPr>
        <w:tabs>
          <w:tab w:val="center" w:pos="5400"/>
        </w:tabs>
        <w:suppressAutoHyphens/>
        <w:jc w:val="center"/>
        <w:rPr>
          <w:rFonts w:asciiTheme="majorHAnsi" w:hAnsiTheme="majorHAnsi"/>
          <w:sz w:val="22"/>
          <w:szCs w:val="22"/>
          <w:lang w:val="fr-FR"/>
        </w:rPr>
      </w:pPr>
    </w:p>
    <w:p w14:paraId="2CB03B3D" w14:textId="77777777" w:rsidR="005B52B0" w:rsidRPr="00545FAE" w:rsidRDefault="005B52B0" w:rsidP="005128E4">
      <w:pPr>
        <w:tabs>
          <w:tab w:val="center" w:pos="5400"/>
        </w:tabs>
        <w:suppressAutoHyphens/>
        <w:jc w:val="center"/>
        <w:rPr>
          <w:rFonts w:asciiTheme="majorHAnsi" w:hAnsiTheme="majorHAnsi"/>
          <w:sz w:val="22"/>
          <w:szCs w:val="22"/>
          <w:lang w:val="fr-FR"/>
        </w:rPr>
      </w:pPr>
    </w:p>
    <w:p w14:paraId="7FDD6A99" w14:textId="77777777" w:rsidR="005B52B0" w:rsidRPr="00545FAE" w:rsidRDefault="005B52B0" w:rsidP="005128E4">
      <w:pPr>
        <w:tabs>
          <w:tab w:val="center" w:pos="5400"/>
        </w:tabs>
        <w:suppressAutoHyphens/>
        <w:jc w:val="center"/>
        <w:rPr>
          <w:rFonts w:asciiTheme="majorHAnsi" w:hAnsiTheme="majorHAnsi"/>
          <w:sz w:val="22"/>
          <w:szCs w:val="22"/>
          <w:lang w:val="fr-FR"/>
        </w:rPr>
      </w:pPr>
    </w:p>
    <w:p w14:paraId="6C4F6ECF" w14:textId="77777777" w:rsidR="005B52B0" w:rsidRPr="00545FAE" w:rsidRDefault="005B52B0" w:rsidP="005128E4">
      <w:pPr>
        <w:tabs>
          <w:tab w:val="center" w:pos="5400"/>
        </w:tabs>
        <w:suppressAutoHyphens/>
        <w:jc w:val="center"/>
        <w:rPr>
          <w:rFonts w:asciiTheme="majorHAnsi" w:hAnsiTheme="majorHAnsi"/>
          <w:sz w:val="22"/>
          <w:szCs w:val="22"/>
          <w:lang w:val="fr-FR"/>
        </w:rPr>
      </w:pPr>
    </w:p>
    <w:p w14:paraId="3E5AE586" w14:textId="77777777" w:rsidR="00040C3A" w:rsidRPr="00545FAE" w:rsidRDefault="00040C3A" w:rsidP="00040C3A">
      <w:pPr>
        <w:tabs>
          <w:tab w:val="center" w:pos="5400"/>
        </w:tabs>
        <w:suppressAutoHyphens/>
        <w:jc w:val="center"/>
        <w:rPr>
          <w:rFonts w:asciiTheme="majorHAnsi" w:hAnsiTheme="majorHAnsi"/>
          <w:sz w:val="22"/>
          <w:szCs w:val="22"/>
          <w:lang w:val="fr-FR"/>
        </w:rPr>
      </w:pPr>
    </w:p>
    <w:p w14:paraId="402415EE" w14:textId="77777777" w:rsidR="00040C3A" w:rsidRPr="00545FAE" w:rsidRDefault="00040C3A" w:rsidP="00040C3A">
      <w:pPr>
        <w:tabs>
          <w:tab w:val="center" w:pos="5400"/>
        </w:tabs>
        <w:suppressAutoHyphens/>
        <w:jc w:val="center"/>
        <w:rPr>
          <w:rFonts w:asciiTheme="majorHAnsi" w:hAnsiTheme="majorHAnsi"/>
          <w:sz w:val="22"/>
          <w:szCs w:val="22"/>
          <w:lang w:val="fr-FR"/>
        </w:rPr>
      </w:pPr>
    </w:p>
    <w:p w14:paraId="436A138B" w14:textId="77777777" w:rsidR="00040C3A" w:rsidRPr="00545FAE" w:rsidRDefault="0011380E" w:rsidP="00040C3A">
      <w:pPr>
        <w:tabs>
          <w:tab w:val="center" w:pos="5400"/>
        </w:tabs>
        <w:suppressAutoHyphens/>
        <w:jc w:val="center"/>
        <w:rPr>
          <w:rFonts w:asciiTheme="majorHAnsi" w:hAnsiTheme="majorHAnsi"/>
          <w:sz w:val="22"/>
          <w:szCs w:val="22"/>
          <w:lang w:val="fr-FR"/>
        </w:rPr>
      </w:pPr>
      <w:r w:rsidRPr="00545FAE">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36B0F38" wp14:editId="4D33A831">
                <wp:simplePos x="0" y="0"/>
                <wp:positionH relativeFrom="column">
                  <wp:posOffset>-416966</wp:posOffset>
                </wp:positionH>
                <wp:positionV relativeFrom="paragraph">
                  <wp:posOffset>167818</wp:posOffset>
                </wp:positionV>
                <wp:extent cx="1463802"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463802"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C836AF" w14:textId="77777777" w:rsidR="00A0514B" w:rsidRPr="00B06B87" w:rsidRDefault="00A0514B" w:rsidP="007A5817">
                            <w:pPr>
                              <w:spacing w:line="276" w:lineRule="auto"/>
                              <w:jc w:val="right"/>
                              <w:rPr>
                                <w:rFonts w:asciiTheme="minorHAnsi" w:hAnsiTheme="minorHAnsi"/>
                                <w:color w:val="FFFFFF" w:themeColor="background1"/>
                                <w:sz w:val="22"/>
                                <w:lang w:val="fr-FR"/>
                              </w:rPr>
                            </w:pPr>
                            <w:r w:rsidRPr="00B06B87">
                              <w:rPr>
                                <w:rFonts w:asciiTheme="minorHAnsi" w:hAnsiTheme="minorHAnsi"/>
                                <w:color w:val="FFFFFF" w:themeColor="background1"/>
                                <w:sz w:val="22"/>
                                <w:lang w:val="fr-FR"/>
                              </w:rPr>
                              <w:t>OEA/Ser.L/V/II.174</w:t>
                            </w:r>
                          </w:p>
                          <w:p w14:paraId="2AE6AC78" w14:textId="77777777" w:rsidR="00A0514B" w:rsidRPr="00B06B87" w:rsidRDefault="00A0514B" w:rsidP="007A5817">
                            <w:pPr>
                              <w:spacing w:line="276" w:lineRule="auto"/>
                              <w:jc w:val="right"/>
                              <w:rPr>
                                <w:rFonts w:asciiTheme="minorHAnsi" w:hAnsiTheme="minorHAnsi"/>
                                <w:color w:val="FFFFFF" w:themeColor="background1"/>
                                <w:sz w:val="22"/>
                                <w:lang w:val="fr-FR"/>
                              </w:rPr>
                            </w:pPr>
                            <w:r w:rsidRPr="00B06B87">
                              <w:rPr>
                                <w:rFonts w:asciiTheme="minorHAnsi" w:hAnsiTheme="minorHAnsi"/>
                                <w:color w:val="FFFFFF" w:themeColor="background1"/>
                                <w:sz w:val="22"/>
                                <w:lang w:val="fr-FR"/>
                              </w:rPr>
                              <w:t>Doc. 185</w:t>
                            </w:r>
                          </w:p>
                          <w:p w14:paraId="6E7349B6" w14:textId="77777777" w:rsidR="00A0514B" w:rsidRPr="00B06B87" w:rsidRDefault="00DD4A51" w:rsidP="006351ED">
                            <w:pPr>
                              <w:spacing w:line="276" w:lineRule="auto"/>
                              <w:jc w:val="right"/>
                              <w:rPr>
                                <w:rFonts w:asciiTheme="minorHAnsi" w:hAnsiTheme="minorHAnsi"/>
                                <w:color w:val="FFFFFF" w:themeColor="background1"/>
                                <w:sz w:val="22"/>
                                <w:lang w:val="fr-FR"/>
                              </w:rPr>
                            </w:pPr>
                            <w:r>
                              <w:rPr>
                                <w:rFonts w:asciiTheme="minorHAnsi" w:hAnsiTheme="minorHAnsi"/>
                                <w:color w:val="FFFFFF" w:themeColor="background1"/>
                                <w:sz w:val="22"/>
                                <w:lang w:val="fr-FR"/>
                              </w:rPr>
                              <w:t xml:space="preserve">09 </w:t>
                            </w:r>
                            <w:r w:rsidR="00A0514B" w:rsidRPr="00B06B87">
                              <w:rPr>
                                <w:rFonts w:asciiTheme="minorHAnsi" w:hAnsiTheme="minorHAnsi"/>
                                <w:color w:val="FFFFFF" w:themeColor="background1"/>
                                <w:sz w:val="22"/>
                                <w:lang w:val="fr-FR"/>
                              </w:rPr>
                              <w:t>novembre 2019</w:t>
                            </w:r>
                          </w:p>
                          <w:p w14:paraId="57DFCE51" w14:textId="77777777" w:rsidR="00A0514B" w:rsidRPr="00B06B87" w:rsidRDefault="00A0514B" w:rsidP="007A5817">
                            <w:pPr>
                              <w:spacing w:line="276" w:lineRule="auto"/>
                              <w:jc w:val="right"/>
                              <w:rPr>
                                <w:rFonts w:asciiTheme="minorHAnsi" w:hAnsiTheme="minorHAnsi"/>
                                <w:color w:val="FFFFFF" w:themeColor="background1"/>
                                <w:sz w:val="22"/>
                                <w:lang w:val="fr-FR"/>
                              </w:rPr>
                            </w:pPr>
                            <w:r w:rsidRPr="00B06B87">
                              <w:rPr>
                                <w:rFonts w:asciiTheme="minorHAnsi" w:hAnsiTheme="minorHAnsi"/>
                                <w:color w:val="FFFFFF" w:themeColor="background1"/>
                                <w:sz w:val="22"/>
                                <w:lang w:val="fr-FR"/>
                              </w:rPr>
                              <w:t>Original : espagnol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B0F38" id="Text Box 8" o:spid="_x0000_s1027" type="#_x0000_t202" style="position:absolute;left:0;text-align:left;margin-left:-32.85pt;margin-top:13.2pt;width:115.2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" filled="f" stroked="f" strokeweight=".5pt">
                <v:textbox>
                  <w:txbxContent>
                    <w:p w14:paraId="5BC836AF" w14:textId="77777777" w:rsidR="00A0514B" w:rsidRPr="00B06B87" w:rsidRDefault="00A0514B" w:rsidP="007A5817">
                      <w:pPr>
                        <w:spacing w:line="276" w:lineRule="auto"/>
                        <w:jc w:val="right"/>
                        <w:rPr>
                          <w:rFonts w:asciiTheme="minorHAnsi" w:hAnsiTheme="minorHAnsi"/>
                          <w:color w:val="FFFFFF" w:themeColor="background1"/>
                          <w:sz w:val="22"/>
                          <w:lang w:val="fr-FR"/>
                        </w:rPr>
                      </w:pPr>
                      <w:r w:rsidRPr="00B06B87">
                        <w:rPr>
                          <w:rFonts w:asciiTheme="minorHAnsi" w:hAnsiTheme="minorHAnsi"/>
                          <w:color w:val="FFFFFF" w:themeColor="background1"/>
                          <w:sz w:val="22"/>
                          <w:lang w:val="fr-FR"/>
                        </w:rPr>
                        <w:t>OEA/Ser.L/V/II.174</w:t>
                      </w:r>
                    </w:p>
                    <w:p w14:paraId="2AE6AC78" w14:textId="77777777" w:rsidR="00A0514B" w:rsidRPr="00B06B87" w:rsidRDefault="00A0514B" w:rsidP="007A5817">
                      <w:pPr>
                        <w:spacing w:line="276" w:lineRule="auto"/>
                        <w:jc w:val="right"/>
                        <w:rPr>
                          <w:rFonts w:asciiTheme="minorHAnsi" w:hAnsiTheme="minorHAnsi"/>
                          <w:color w:val="FFFFFF" w:themeColor="background1"/>
                          <w:sz w:val="22"/>
                          <w:lang w:val="fr-FR"/>
                        </w:rPr>
                      </w:pPr>
                      <w:r w:rsidRPr="00B06B87">
                        <w:rPr>
                          <w:rFonts w:asciiTheme="minorHAnsi" w:hAnsiTheme="minorHAnsi"/>
                          <w:color w:val="FFFFFF" w:themeColor="background1"/>
                          <w:sz w:val="22"/>
                          <w:lang w:val="fr-FR"/>
                        </w:rPr>
                        <w:t>Doc. 185</w:t>
                      </w:r>
                    </w:p>
                    <w:p w14:paraId="6E7349B6" w14:textId="77777777" w:rsidR="00A0514B" w:rsidRPr="00B06B87" w:rsidRDefault="00DD4A51" w:rsidP="006351ED">
                      <w:pPr>
                        <w:spacing w:line="276" w:lineRule="auto"/>
                        <w:jc w:val="right"/>
                        <w:rPr>
                          <w:rFonts w:asciiTheme="minorHAnsi" w:hAnsiTheme="minorHAnsi"/>
                          <w:color w:val="FFFFFF" w:themeColor="background1"/>
                          <w:sz w:val="22"/>
                          <w:lang w:val="fr-FR"/>
                        </w:rPr>
                      </w:pPr>
                      <w:r>
                        <w:rPr>
                          <w:rFonts w:asciiTheme="minorHAnsi" w:hAnsiTheme="minorHAnsi"/>
                          <w:color w:val="FFFFFF" w:themeColor="background1"/>
                          <w:sz w:val="22"/>
                          <w:lang w:val="fr-FR"/>
                        </w:rPr>
                        <w:t xml:space="preserve">09 </w:t>
                      </w:r>
                      <w:r w:rsidR="00A0514B" w:rsidRPr="00B06B87">
                        <w:rPr>
                          <w:rFonts w:asciiTheme="minorHAnsi" w:hAnsiTheme="minorHAnsi"/>
                          <w:color w:val="FFFFFF" w:themeColor="background1"/>
                          <w:sz w:val="22"/>
                          <w:lang w:val="fr-FR"/>
                        </w:rPr>
                        <w:t>novembre 2019</w:t>
                      </w:r>
                    </w:p>
                    <w:p w14:paraId="57DFCE51" w14:textId="77777777" w:rsidR="00A0514B" w:rsidRPr="00B06B87" w:rsidRDefault="00A0514B" w:rsidP="007A5817">
                      <w:pPr>
                        <w:spacing w:line="276" w:lineRule="auto"/>
                        <w:jc w:val="right"/>
                        <w:rPr>
                          <w:rFonts w:asciiTheme="minorHAnsi" w:hAnsiTheme="minorHAnsi"/>
                          <w:color w:val="FFFFFF" w:themeColor="background1"/>
                          <w:sz w:val="22"/>
                          <w:lang w:val="fr-FR"/>
                        </w:rPr>
                      </w:pPr>
                      <w:r w:rsidRPr="00B06B87">
                        <w:rPr>
                          <w:rFonts w:asciiTheme="minorHAnsi" w:hAnsiTheme="minorHAnsi"/>
                          <w:color w:val="FFFFFF" w:themeColor="background1"/>
                          <w:sz w:val="22"/>
                          <w:lang w:val="fr-FR"/>
                        </w:rPr>
                        <w:t>Original : espagnol</w:t>
                      </w:r>
                    </w:p>
                  </w:txbxContent>
                </v:textbox>
              </v:shape>
            </w:pict>
          </mc:Fallback>
        </mc:AlternateContent>
      </w:r>
      <w:r w:rsidR="003D3BC2" w:rsidRPr="00545FAE">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1C83944" wp14:editId="0949BAE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D825C2" w14:textId="77777777" w:rsidR="00A0514B" w:rsidRPr="001521CC" w:rsidRDefault="00A0514B" w:rsidP="00997BC5">
                            <w:pPr>
                              <w:spacing w:line="276" w:lineRule="auto"/>
                              <w:rPr>
                                <w:rFonts w:asciiTheme="majorHAnsi" w:hAnsiTheme="majorHAnsi" w:cs="Arial"/>
                                <w:b/>
                                <w:bCs/>
                                <w:color w:val="0D0D0D" w:themeColor="text1" w:themeTint="F2"/>
                                <w:sz w:val="36"/>
                                <w:szCs w:val="22"/>
                              </w:rPr>
                            </w:pPr>
                            <w:r w:rsidRPr="001521CC">
                              <w:rPr>
                                <w:rFonts w:asciiTheme="majorHAnsi" w:hAnsiTheme="majorHAnsi" w:cs="Arial"/>
                                <w:b/>
                                <w:bCs/>
                                <w:color w:val="0D0D0D" w:themeColor="text1" w:themeTint="F2"/>
                                <w:sz w:val="36"/>
                                <w:szCs w:val="22"/>
                              </w:rPr>
                              <w:t xml:space="preserve">RAPPORT </w:t>
                            </w:r>
                            <w:r w:rsidRPr="001521CC">
                              <w:rPr>
                                <w:rFonts w:asciiTheme="majorHAnsi" w:hAnsiTheme="majorHAnsi" w:cs="Arial"/>
                                <w:b/>
                                <w:bCs/>
                                <w:color w:val="0D0D0D" w:themeColor="text1" w:themeTint="F2"/>
                                <w:sz w:val="36"/>
                                <w:szCs w:val="40"/>
                              </w:rPr>
                              <w:t>N°</w:t>
                            </w:r>
                            <w:r w:rsidRPr="001521CC">
                              <w:rPr>
                                <w:rFonts w:asciiTheme="majorHAnsi" w:hAnsiTheme="majorHAnsi" w:cs="Arial"/>
                                <w:b/>
                                <w:bCs/>
                                <w:color w:val="0D0D0D" w:themeColor="text1" w:themeTint="F2"/>
                                <w:sz w:val="36"/>
                                <w:szCs w:val="22"/>
                              </w:rPr>
                              <w:t>165/19</w:t>
                            </w:r>
                          </w:p>
                          <w:p w14:paraId="432D3634" w14:textId="77777777" w:rsidR="00A0514B" w:rsidRPr="001521CC" w:rsidRDefault="00A0514B" w:rsidP="00997BC5">
                            <w:pPr>
                              <w:spacing w:line="276" w:lineRule="auto"/>
                              <w:rPr>
                                <w:rFonts w:asciiTheme="majorHAnsi" w:hAnsiTheme="majorHAnsi" w:cs="Arial"/>
                                <w:b/>
                                <w:color w:val="0D0D0D" w:themeColor="text1" w:themeTint="F2"/>
                                <w:sz w:val="36"/>
                                <w:szCs w:val="22"/>
                              </w:rPr>
                            </w:pPr>
                            <w:r w:rsidRPr="001521CC">
                              <w:rPr>
                                <w:rFonts w:asciiTheme="majorHAnsi" w:hAnsiTheme="majorHAnsi" w:cs="Arial"/>
                                <w:b/>
                                <w:color w:val="0D0D0D" w:themeColor="text1" w:themeTint="F2"/>
                                <w:sz w:val="36"/>
                                <w:szCs w:val="22"/>
                              </w:rPr>
                              <w:t>AFFAIRE 12.944</w:t>
                            </w:r>
                          </w:p>
                          <w:p w14:paraId="3885419B" w14:textId="77777777" w:rsidR="00A0514B" w:rsidRPr="001521CC" w:rsidRDefault="00A0514B" w:rsidP="000158FD">
                            <w:pPr>
                              <w:spacing w:line="276" w:lineRule="auto"/>
                              <w:rPr>
                                <w:rFonts w:asciiTheme="majorHAnsi" w:hAnsiTheme="majorHAnsi" w:cs="Arial"/>
                                <w:color w:val="0D0D0D" w:themeColor="text1" w:themeTint="F2"/>
                                <w:szCs w:val="22"/>
                              </w:rPr>
                            </w:pPr>
                            <w:r w:rsidRPr="001521CC">
                              <w:rPr>
                                <w:rFonts w:asciiTheme="majorHAnsi" w:hAnsiTheme="majorHAnsi" w:cs="Arial"/>
                                <w:color w:val="0D0D0D" w:themeColor="text1" w:themeTint="F2"/>
                                <w:szCs w:val="22"/>
                              </w:rPr>
                              <w:t xml:space="preserve">RAPPORT DE FOND </w:t>
                            </w:r>
                          </w:p>
                          <w:p w14:paraId="6B32B38B" w14:textId="77777777" w:rsidR="00A0514B" w:rsidRPr="001521CC" w:rsidRDefault="00A0514B" w:rsidP="00997BC5">
                            <w:pPr>
                              <w:spacing w:line="276" w:lineRule="auto"/>
                              <w:rPr>
                                <w:rFonts w:asciiTheme="majorHAnsi" w:hAnsiTheme="majorHAnsi" w:cs="Arial"/>
                                <w:color w:val="0D0D0D" w:themeColor="text1" w:themeTint="F2"/>
                                <w:szCs w:val="22"/>
                              </w:rPr>
                            </w:pPr>
                            <w:bookmarkStart w:id="0" w:name="_ftnref1"/>
                          </w:p>
                          <w:p w14:paraId="131ECC57" w14:textId="77777777" w:rsidR="00A0514B" w:rsidRPr="0010736F" w:rsidRDefault="00935B2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BAPTISTE WILLER ET MEMBRES DE S</w:t>
                            </w:r>
                            <w:r w:rsidR="00A0514B">
                              <w:rPr>
                                <w:rFonts w:asciiTheme="majorHAnsi" w:hAnsiTheme="majorHAnsi" w:cs="Arial"/>
                                <w:color w:val="0D0D0D" w:themeColor="text1" w:themeTint="F2"/>
                                <w:szCs w:val="22"/>
                                <w:lang w:val="es-ES_tradnl"/>
                              </w:rPr>
                              <w:t>A FAMILLE</w:t>
                            </w:r>
                          </w:p>
                          <w:bookmarkEnd w:id="0"/>
                          <w:p w14:paraId="1F91EE5D" w14:textId="77777777" w:rsidR="00A0514B" w:rsidRPr="0010736F" w:rsidRDefault="00A0514B"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HAÏTI</w:t>
                            </w:r>
                          </w:p>
                          <w:p w14:paraId="3C722793" w14:textId="77777777" w:rsidR="00A0514B" w:rsidRPr="00AE5488" w:rsidRDefault="00A0514B"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83944" id="Text Box 5" o:spid="_x0000_s1028"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" filled="f" stroked="f" strokeweight=".5pt">
                <v:textbox>
                  <w:txbxContent>
                    <w:p w14:paraId="14D825C2" w14:textId="77777777" w:rsidR="00A0514B" w:rsidRPr="001521CC" w:rsidRDefault="00A0514B" w:rsidP="00997BC5">
                      <w:pPr>
                        <w:spacing w:line="276" w:lineRule="auto"/>
                        <w:rPr>
                          <w:rFonts w:asciiTheme="majorHAnsi" w:hAnsiTheme="majorHAnsi" w:cs="Arial"/>
                          <w:b/>
                          <w:bCs/>
                          <w:color w:val="0D0D0D" w:themeColor="text1" w:themeTint="F2"/>
                          <w:sz w:val="36"/>
                          <w:szCs w:val="22"/>
                        </w:rPr>
                      </w:pPr>
                      <w:r w:rsidRPr="001521CC">
                        <w:rPr>
                          <w:rFonts w:asciiTheme="majorHAnsi" w:hAnsiTheme="majorHAnsi" w:cs="Arial"/>
                          <w:b/>
                          <w:bCs/>
                          <w:color w:val="0D0D0D" w:themeColor="text1" w:themeTint="F2"/>
                          <w:sz w:val="36"/>
                          <w:szCs w:val="22"/>
                        </w:rPr>
                        <w:t xml:space="preserve">RAPPORT </w:t>
                      </w:r>
                      <w:r w:rsidRPr="001521CC">
                        <w:rPr>
                          <w:rFonts w:asciiTheme="majorHAnsi" w:hAnsiTheme="majorHAnsi" w:cs="Arial"/>
                          <w:b/>
                          <w:bCs/>
                          <w:color w:val="0D0D0D" w:themeColor="text1" w:themeTint="F2"/>
                          <w:sz w:val="36"/>
                          <w:szCs w:val="40"/>
                        </w:rPr>
                        <w:t>N°</w:t>
                      </w:r>
                      <w:r w:rsidRPr="001521CC">
                        <w:rPr>
                          <w:rFonts w:asciiTheme="majorHAnsi" w:hAnsiTheme="majorHAnsi" w:cs="Arial"/>
                          <w:b/>
                          <w:bCs/>
                          <w:color w:val="0D0D0D" w:themeColor="text1" w:themeTint="F2"/>
                          <w:sz w:val="36"/>
                          <w:szCs w:val="22"/>
                        </w:rPr>
                        <w:t>165/19</w:t>
                      </w:r>
                    </w:p>
                    <w:p w14:paraId="432D3634" w14:textId="77777777" w:rsidR="00A0514B" w:rsidRPr="001521CC" w:rsidRDefault="00A0514B" w:rsidP="00997BC5">
                      <w:pPr>
                        <w:spacing w:line="276" w:lineRule="auto"/>
                        <w:rPr>
                          <w:rFonts w:asciiTheme="majorHAnsi" w:hAnsiTheme="majorHAnsi" w:cs="Arial"/>
                          <w:b/>
                          <w:color w:val="0D0D0D" w:themeColor="text1" w:themeTint="F2"/>
                          <w:sz w:val="36"/>
                          <w:szCs w:val="22"/>
                        </w:rPr>
                      </w:pPr>
                      <w:r w:rsidRPr="001521CC">
                        <w:rPr>
                          <w:rFonts w:asciiTheme="majorHAnsi" w:hAnsiTheme="majorHAnsi" w:cs="Arial"/>
                          <w:b/>
                          <w:color w:val="0D0D0D" w:themeColor="text1" w:themeTint="F2"/>
                          <w:sz w:val="36"/>
                          <w:szCs w:val="22"/>
                        </w:rPr>
                        <w:t>AFFAIRE 12.944</w:t>
                      </w:r>
                    </w:p>
                    <w:p w14:paraId="3885419B" w14:textId="77777777" w:rsidR="00A0514B" w:rsidRPr="001521CC" w:rsidRDefault="00A0514B" w:rsidP="000158FD">
                      <w:pPr>
                        <w:spacing w:line="276" w:lineRule="auto"/>
                        <w:rPr>
                          <w:rFonts w:asciiTheme="majorHAnsi" w:hAnsiTheme="majorHAnsi" w:cs="Arial"/>
                          <w:color w:val="0D0D0D" w:themeColor="text1" w:themeTint="F2"/>
                          <w:szCs w:val="22"/>
                        </w:rPr>
                      </w:pPr>
                      <w:r w:rsidRPr="001521CC">
                        <w:rPr>
                          <w:rFonts w:asciiTheme="majorHAnsi" w:hAnsiTheme="majorHAnsi" w:cs="Arial"/>
                          <w:color w:val="0D0D0D" w:themeColor="text1" w:themeTint="F2"/>
                          <w:szCs w:val="22"/>
                        </w:rPr>
                        <w:t xml:space="preserve">RAPPORT DE FOND </w:t>
                      </w:r>
                    </w:p>
                    <w:p w14:paraId="6B32B38B" w14:textId="77777777" w:rsidR="00A0514B" w:rsidRPr="001521CC" w:rsidRDefault="00A0514B" w:rsidP="00997BC5">
                      <w:pPr>
                        <w:spacing w:line="276" w:lineRule="auto"/>
                        <w:rPr>
                          <w:rFonts w:asciiTheme="majorHAnsi" w:hAnsiTheme="majorHAnsi" w:cs="Arial"/>
                          <w:color w:val="0D0D0D" w:themeColor="text1" w:themeTint="F2"/>
                          <w:szCs w:val="22"/>
                        </w:rPr>
                      </w:pPr>
                      <w:bookmarkStart w:id="1" w:name="_ftnref1"/>
                    </w:p>
                    <w:p w14:paraId="131ECC57" w14:textId="77777777" w:rsidR="00A0514B" w:rsidRPr="0010736F" w:rsidRDefault="00935B2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BAPTISTE WILLER ET MEMBRES DE S</w:t>
                      </w:r>
                      <w:r w:rsidR="00A0514B">
                        <w:rPr>
                          <w:rFonts w:asciiTheme="majorHAnsi" w:hAnsiTheme="majorHAnsi" w:cs="Arial"/>
                          <w:color w:val="0D0D0D" w:themeColor="text1" w:themeTint="F2"/>
                          <w:szCs w:val="22"/>
                          <w:lang w:val="es-ES_tradnl"/>
                        </w:rPr>
                        <w:t>A FAMILLE</w:t>
                      </w:r>
                    </w:p>
                    <w:bookmarkEnd w:id="1"/>
                    <w:p w14:paraId="1F91EE5D" w14:textId="77777777" w:rsidR="00A0514B" w:rsidRPr="0010736F" w:rsidRDefault="00A0514B"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HAÏTI</w:t>
                      </w:r>
                    </w:p>
                    <w:p w14:paraId="3C722793" w14:textId="77777777" w:rsidR="00A0514B" w:rsidRPr="00AE5488" w:rsidRDefault="00A0514B" w:rsidP="007A5817">
                      <w:pPr>
                        <w:rPr>
                          <w:color w:val="0D0D0D" w:themeColor="text1" w:themeTint="F2"/>
                          <w:lang w:val="es-ES_tradnl"/>
                        </w:rPr>
                      </w:pPr>
                    </w:p>
                  </w:txbxContent>
                </v:textbox>
              </v:shape>
            </w:pict>
          </mc:Fallback>
        </mc:AlternateContent>
      </w:r>
    </w:p>
    <w:p w14:paraId="577C8B4B" w14:textId="77777777" w:rsidR="00040C3A" w:rsidRPr="00545FAE" w:rsidRDefault="00040C3A" w:rsidP="00040C3A">
      <w:pPr>
        <w:tabs>
          <w:tab w:val="center" w:pos="5400"/>
        </w:tabs>
        <w:suppressAutoHyphens/>
        <w:jc w:val="center"/>
        <w:rPr>
          <w:rFonts w:asciiTheme="majorHAnsi" w:hAnsiTheme="majorHAnsi"/>
          <w:sz w:val="22"/>
          <w:szCs w:val="22"/>
          <w:lang w:val="fr-FR"/>
        </w:rPr>
      </w:pPr>
    </w:p>
    <w:p w14:paraId="5FF8A73E" w14:textId="77777777" w:rsidR="00040C3A" w:rsidRPr="00545FAE" w:rsidRDefault="00040C3A" w:rsidP="00040C3A">
      <w:pPr>
        <w:tabs>
          <w:tab w:val="center" w:pos="5400"/>
        </w:tabs>
        <w:suppressAutoHyphens/>
        <w:jc w:val="center"/>
        <w:rPr>
          <w:rFonts w:asciiTheme="majorHAnsi" w:hAnsiTheme="majorHAnsi"/>
          <w:sz w:val="22"/>
          <w:szCs w:val="22"/>
          <w:lang w:val="fr-FR"/>
        </w:rPr>
      </w:pPr>
    </w:p>
    <w:p w14:paraId="6134DE0C" w14:textId="77777777" w:rsidR="00040C3A" w:rsidRPr="00545FAE" w:rsidRDefault="00040C3A" w:rsidP="00040C3A">
      <w:pPr>
        <w:tabs>
          <w:tab w:val="center" w:pos="5400"/>
        </w:tabs>
        <w:suppressAutoHyphens/>
        <w:jc w:val="center"/>
        <w:rPr>
          <w:rFonts w:asciiTheme="majorHAnsi" w:hAnsiTheme="majorHAnsi" w:cs="Arial"/>
          <w:sz w:val="22"/>
          <w:szCs w:val="22"/>
          <w:lang w:val="fr-FR"/>
        </w:rPr>
      </w:pPr>
    </w:p>
    <w:p w14:paraId="44375B1C" w14:textId="77777777" w:rsidR="00040C3A" w:rsidRPr="00545FAE" w:rsidRDefault="00040C3A" w:rsidP="00040C3A">
      <w:pPr>
        <w:tabs>
          <w:tab w:val="center" w:pos="5400"/>
        </w:tabs>
        <w:suppressAutoHyphens/>
        <w:jc w:val="center"/>
        <w:rPr>
          <w:rFonts w:asciiTheme="majorHAnsi" w:hAnsiTheme="majorHAnsi"/>
          <w:sz w:val="22"/>
          <w:szCs w:val="22"/>
          <w:lang w:val="fr-FR"/>
        </w:rPr>
      </w:pPr>
    </w:p>
    <w:p w14:paraId="1AAF1877" w14:textId="77777777" w:rsidR="00040C3A" w:rsidRPr="00545FAE" w:rsidRDefault="00040C3A" w:rsidP="00040C3A">
      <w:pPr>
        <w:tabs>
          <w:tab w:val="center" w:pos="5400"/>
        </w:tabs>
        <w:suppressAutoHyphens/>
        <w:jc w:val="center"/>
        <w:rPr>
          <w:rFonts w:asciiTheme="majorHAnsi" w:hAnsiTheme="majorHAnsi"/>
          <w:sz w:val="22"/>
          <w:szCs w:val="22"/>
          <w:lang w:val="fr-FR"/>
        </w:rPr>
      </w:pPr>
    </w:p>
    <w:p w14:paraId="4A4A5829" w14:textId="77777777" w:rsidR="00040C3A" w:rsidRPr="00545FAE" w:rsidRDefault="00040C3A" w:rsidP="00040C3A">
      <w:pPr>
        <w:tabs>
          <w:tab w:val="center" w:pos="5400"/>
        </w:tabs>
        <w:suppressAutoHyphens/>
        <w:jc w:val="center"/>
        <w:rPr>
          <w:rFonts w:asciiTheme="majorHAnsi" w:hAnsiTheme="majorHAnsi"/>
          <w:sz w:val="22"/>
          <w:szCs w:val="22"/>
          <w:lang w:val="fr-FR"/>
        </w:rPr>
      </w:pPr>
    </w:p>
    <w:p w14:paraId="2124E8F3" w14:textId="77777777" w:rsidR="00040C3A" w:rsidRPr="00545FAE" w:rsidRDefault="00040C3A" w:rsidP="00040C3A">
      <w:pPr>
        <w:tabs>
          <w:tab w:val="center" w:pos="5400"/>
        </w:tabs>
        <w:suppressAutoHyphens/>
        <w:jc w:val="center"/>
        <w:rPr>
          <w:rFonts w:asciiTheme="majorHAnsi" w:hAnsiTheme="majorHAnsi"/>
          <w:sz w:val="22"/>
          <w:szCs w:val="22"/>
          <w:lang w:val="fr-FR"/>
        </w:rPr>
      </w:pPr>
    </w:p>
    <w:p w14:paraId="200973C4" w14:textId="77777777" w:rsidR="005128E4" w:rsidRPr="00545FAE" w:rsidRDefault="005128E4" w:rsidP="00040C3A">
      <w:pPr>
        <w:tabs>
          <w:tab w:val="center" w:pos="5400"/>
        </w:tabs>
        <w:suppressAutoHyphens/>
        <w:jc w:val="center"/>
        <w:rPr>
          <w:rFonts w:asciiTheme="majorHAnsi" w:hAnsiTheme="majorHAnsi"/>
          <w:sz w:val="22"/>
          <w:szCs w:val="22"/>
          <w:lang w:val="fr-FR"/>
        </w:rPr>
      </w:pPr>
    </w:p>
    <w:p w14:paraId="25AAF69A" w14:textId="77777777" w:rsidR="00040C3A" w:rsidRPr="00545FAE" w:rsidRDefault="00040C3A" w:rsidP="00040C3A">
      <w:pPr>
        <w:tabs>
          <w:tab w:val="center" w:pos="5400"/>
        </w:tabs>
        <w:suppressAutoHyphens/>
        <w:jc w:val="center"/>
        <w:rPr>
          <w:rFonts w:asciiTheme="majorHAnsi" w:hAnsiTheme="majorHAnsi"/>
          <w:sz w:val="22"/>
          <w:szCs w:val="22"/>
          <w:lang w:val="fr-FR"/>
        </w:rPr>
      </w:pPr>
    </w:p>
    <w:p w14:paraId="2AC347F7" w14:textId="77777777" w:rsidR="005128E4" w:rsidRPr="00545FAE" w:rsidRDefault="005128E4" w:rsidP="00040C3A">
      <w:pPr>
        <w:tabs>
          <w:tab w:val="center" w:pos="5400"/>
        </w:tabs>
        <w:suppressAutoHyphens/>
        <w:jc w:val="center"/>
        <w:rPr>
          <w:rFonts w:asciiTheme="majorHAnsi" w:hAnsiTheme="majorHAnsi"/>
          <w:sz w:val="22"/>
          <w:szCs w:val="22"/>
          <w:lang w:val="fr-FR"/>
        </w:rPr>
      </w:pPr>
    </w:p>
    <w:p w14:paraId="20AC964A" w14:textId="77777777" w:rsidR="005128E4" w:rsidRPr="00545FAE" w:rsidRDefault="005128E4" w:rsidP="00040C3A">
      <w:pPr>
        <w:tabs>
          <w:tab w:val="center" w:pos="5400"/>
        </w:tabs>
        <w:suppressAutoHyphens/>
        <w:jc w:val="center"/>
        <w:rPr>
          <w:rFonts w:asciiTheme="majorHAnsi" w:hAnsiTheme="majorHAnsi"/>
          <w:sz w:val="22"/>
          <w:szCs w:val="22"/>
          <w:lang w:val="fr-FR"/>
        </w:rPr>
      </w:pPr>
    </w:p>
    <w:p w14:paraId="180E5A45" w14:textId="77777777" w:rsidR="005128E4" w:rsidRPr="00545FAE" w:rsidRDefault="005128E4" w:rsidP="00040C3A">
      <w:pPr>
        <w:tabs>
          <w:tab w:val="center" w:pos="5400"/>
        </w:tabs>
        <w:suppressAutoHyphens/>
        <w:jc w:val="center"/>
        <w:rPr>
          <w:rFonts w:asciiTheme="majorHAnsi" w:hAnsiTheme="majorHAnsi"/>
          <w:sz w:val="22"/>
          <w:szCs w:val="22"/>
          <w:lang w:val="fr-FR"/>
        </w:rPr>
      </w:pPr>
    </w:p>
    <w:p w14:paraId="79A9C42E" w14:textId="77777777" w:rsidR="00040C3A" w:rsidRPr="00545FAE" w:rsidRDefault="00040C3A" w:rsidP="00040C3A">
      <w:pPr>
        <w:tabs>
          <w:tab w:val="center" w:pos="5400"/>
        </w:tabs>
        <w:suppressAutoHyphens/>
        <w:jc w:val="center"/>
        <w:rPr>
          <w:rFonts w:asciiTheme="majorHAnsi" w:hAnsiTheme="majorHAnsi"/>
          <w:sz w:val="22"/>
          <w:szCs w:val="22"/>
          <w:lang w:val="fr-FR"/>
        </w:rPr>
      </w:pPr>
    </w:p>
    <w:p w14:paraId="00D824FB" w14:textId="77777777" w:rsidR="00040C3A" w:rsidRPr="00545FAE" w:rsidRDefault="00040C3A" w:rsidP="00040C3A">
      <w:pPr>
        <w:tabs>
          <w:tab w:val="center" w:pos="5400"/>
        </w:tabs>
        <w:suppressAutoHyphens/>
        <w:jc w:val="center"/>
        <w:rPr>
          <w:rFonts w:asciiTheme="majorHAnsi" w:hAnsiTheme="majorHAnsi"/>
          <w:sz w:val="22"/>
          <w:szCs w:val="22"/>
          <w:lang w:val="fr-FR"/>
        </w:rPr>
      </w:pPr>
    </w:p>
    <w:p w14:paraId="7F0F65DB" w14:textId="77777777" w:rsidR="00A50FCF" w:rsidRPr="00545FAE" w:rsidRDefault="00A50FCF" w:rsidP="00040C3A">
      <w:pPr>
        <w:tabs>
          <w:tab w:val="center" w:pos="5400"/>
        </w:tabs>
        <w:suppressAutoHyphens/>
        <w:jc w:val="center"/>
        <w:rPr>
          <w:rFonts w:asciiTheme="majorHAnsi" w:hAnsiTheme="majorHAnsi"/>
          <w:sz w:val="18"/>
          <w:szCs w:val="22"/>
          <w:lang w:val="fr-FR"/>
        </w:rPr>
      </w:pPr>
    </w:p>
    <w:p w14:paraId="0CC37700" w14:textId="77777777" w:rsidR="00A50FCF" w:rsidRPr="00545FAE" w:rsidRDefault="00A50FCF" w:rsidP="00040C3A">
      <w:pPr>
        <w:tabs>
          <w:tab w:val="center" w:pos="5400"/>
        </w:tabs>
        <w:suppressAutoHyphens/>
        <w:jc w:val="center"/>
        <w:rPr>
          <w:rFonts w:asciiTheme="majorHAnsi" w:hAnsiTheme="majorHAnsi"/>
          <w:sz w:val="18"/>
          <w:szCs w:val="22"/>
          <w:lang w:val="fr-FR"/>
        </w:rPr>
      </w:pPr>
    </w:p>
    <w:p w14:paraId="41B9045B" w14:textId="77777777" w:rsidR="00A50FCF" w:rsidRPr="00545FAE" w:rsidRDefault="00A50FCF" w:rsidP="00040C3A">
      <w:pPr>
        <w:tabs>
          <w:tab w:val="center" w:pos="5400"/>
        </w:tabs>
        <w:suppressAutoHyphens/>
        <w:jc w:val="center"/>
        <w:rPr>
          <w:rFonts w:asciiTheme="majorHAnsi" w:hAnsiTheme="majorHAnsi"/>
          <w:sz w:val="18"/>
          <w:szCs w:val="22"/>
          <w:lang w:val="fr-FR"/>
        </w:rPr>
      </w:pPr>
    </w:p>
    <w:p w14:paraId="71E8EA3A" w14:textId="77777777" w:rsidR="00A50FCF" w:rsidRPr="00545FAE" w:rsidRDefault="00A50FCF" w:rsidP="00040C3A">
      <w:pPr>
        <w:tabs>
          <w:tab w:val="center" w:pos="5400"/>
        </w:tabs>
        <w:suppressAutoHyphens/>
        <w:jc w:val="center"/>
        <w:rPr>
          <w:rFonts w:asciiTheme="majorHAnsi" w:hAnsiTheme="majorHAnsi"/>
          <w:sz w:val="18"/>
          <w:szCs w:val="22"/>
          <w:lang w:val="fr-FR"/>
        </w:rPr>
      </w:pPr>
    </w:p>
    <w:p w14:paraId="0F6EA4BD" w14:textId="77777777" w:rsidR="00A50FCF" w:rsidRPr="00545FAE" w:rsidRDefault="00A50FCF" w:rsidP="00040C3A">
      <w:pPr>
        <w:tabs>
          <w:tab w:val="center" w:pos="5400"/>
        </w:tabs>
        <w:suppressAutoHyphens/>
        <w:jc w:val="center"/>
        <w:rPr>
          <w:rFonts w:asciiTheme="majorHAnsi" w:hAnsiTheme="majorHAnsi"/>
          <w:sz w:val="18"/>
          <w:szCs w:val="22"/>
          <w:lang w:val="fr-FR"/>
        </w:rPr>
      </w:pPr>
    </w:p>
    <w:p w14:paraId="22B2AF45" w14:textId="77777777" w:rsidR="00A50FCF" w:rsidRPr="00545FAE" w:rsidRDefault="00A50FCF" w:rsidP="00040C3A">
      <w:pPr>
        <w:tabs>
          <w:tab w:val="center" w:pos="5400"/>
        </w:tabs>
        <w:suppressAutoHyphens/>
        <w:jc w:val="center"/>
        <w:rPr>
          <w:rFonts w:asciiTheme="majorHAnsi" w:hAnsiTheme="majorHAnsi"/>
          <w:sz w:val="18"/>
          <w:szCs w:val="22"/>
          <w:lang w:val="fr-FR"/>
        </w:rPr>
      </w:pPr>
    </w:p>
    <w:p w14:paraId="3BFA9DEB" w14:textId="77777777" w:rsidR="00A50FCF" w:rsidRPr="00545FAE" w:rsidRDefault="00A50FCF" w:rsidP="00040C3A">
      <w:pPr>
        <w:tabs>
          <w:tab w:val="center" w:pos="5400"/>
        </w:tabs>
        <w:suppressAutoHyphens/>
        <w:jc w:val="center"/>
        <w:rPr>
          <w:rFonts w:asciiTheme="majorHAnsi" w:hAnsiTheme="majorHAnsi"/>
          <w:sz w:val="18"/>
          <w:szCs w:val="22"/>
          <w:lang w:val="fr-FR"/>
        </w:rPr>
      </w:pPr>
    </w:p>
    <w:p w14:paraId="18890E86" w14:textId="77777777" w:rsidR="00A50FCF" w:rsidRPr="00545FAE" w:rsidRDefault="00A50FCF" w:rsidP="00040C3A">
      <w:pPr>
        <w:tabs>
          <w:tab w:val="center" w:pos="5400"/>
        </w:tabs>
        <w:suppressAutoHyphens/>
        <w:jc w:val="center"/>
        <w:rPr>
          <w:rFonts w:asciiTheme="majorHAnsi" w:hAnsiTheme="majorHAnsi"/>
          <w:sz w:val="18"/>
          <w:szCs w:val="22"/>
          <w:lang w:val="fr-FR"/>
        </w:rPr>
      </w:pPr>
    </w:p>
    <w:p w14:paraId="5CFEEF76" w14:textId="77777777" w:rsidR="00A50FCF" w:rsidRPr="00545FAE" w:rsidRDefault="00A50FCF" w:rsidP="00040C3A">
      <w:pPr>
        <w:tabs>
          <w:tab w:val="center" w:pos="5400"/>
        </w:tabs>
        <w:suppressAutoHyphens/>
        <w:jc w:val="center"/>
        <w:rPr>
          <w:rFonts w:asciiTheme="majorHAnsi" w:hAnsiTheme="majorHAnsi"/>
          <w:sz w:val="18"/>
          <w:szCs w:val="22"/>
          <w:lang w:val="fr-FR"/>
        </w:rPr>
      </w:pPr>
    </w:p>
    <w:p w14:paraId="3B357854" w14:textId="77777777" w:rsidR="00A50FCF" w:rsidRPr="00545FAE" w:rsidRDefault="00A50FCF" w:rsidP="00040C3A">
      <w:pPr>
        <w:tabs>
          <w:tab w:val="center" w:pos="5400"/>
        </w:tabs>
        <w:suppressAutoHyphens/>
        <w:jc w:val="center"/>
        <w:rPr>
          <w:rFonts w:asciiTheme="majorHAnsi" w:hAnsiTheme="majorHAnsi"/>
          <w:sz w:val="18"/>
          <w:szCs w:val="22"/>
          <w:lang w:val="fr-FR"/>
        </w:rPr>
      </w:pPr>
    </w:p>
    <w:p w14:paraId="0D560F07" w14:textId="77777777" w:rsidR="00A50FCF" w:rsidRPr="00545FAE" w:rsidRDefault="00A50FCF" w:rsidP="00040C3A">
      <w:pPr>
        <w:tabs>
          <w:tab w:val="center" w:pos="5400"/>
        </w:tabs>
        <w:suppressAutoHyphens/>
        <w:jc w:val="center"/>
        <w:rPr>
          <w:rFonts w:asciiTheme="majorHAnsi" w:hAnsiTheme="majorHAnsi"/>
          <w:sz w:val="18"/>
          <w:szCs w:val="22"/>
          <w:lang w:val="fr-FR"/>
        </w:rPr>
      </w:pPr>
    </w:p>
    <w:p w14:paraId="398B3139" w14:textId="77777777" w:rsidR="00A50FCF" w:rsidRPr="00545FAE" w:rsidRDefault="00A50FCF" w:rsidP="00040C3A">
      <w:pPr>
        <w:tabs>
          <w:tab w:val="center" w:pos="5400"/>
        </w:tabs>
        <w:suppressAutoHyphens/>
        <w:jc w:val="center"/>
        <w:rPr>
          <w:rFonts w:asciiTheme="majorHAnsi" w:hAnsiTheme="majorHAnsi"/>
          <w:sz w:val="18"/>
          <w:szCs w:val="22"/>
          <w:lang w:val="fr-FR"/>
        </w:rPr>
      </w:pPr>
    </w:p>
    <w:p w14:paraId="2BEC1B98" w14:textId="77777777" w:rsidR="00A50FCF" w:rsidRPr="00545FAE" w:rsidRDefault="00A50FCF" w:rsidP="00040C3A">
      <w:pPr>
        <w:tabs>
          <w:tab w:val="center" w:pos="5400"/>
        </w:tabs>
        <w:suppressAutoHyphens/>
        <w:jc w:val="center"/>
        <w:rPr>
          <w:rFonts w:asciiTheme="majorHAnsi" w:hAnsiTheme="majorHAnsi"/>
          <w:sz w:val="18"/>
          <w:szCs w:val="22"/>
          <w:lang w:val="fr-FR"/>
        </w:rPr>
      </w:pPr>
    </w:p>
    <w:p w14:paraId="1BEB5F6D" w14:textId="77777777" w:rsidR="00A50FCF" w:rsidRPr="00545FAE" w:rsidRDefault="00A50FCF" w:rsidP="00040C3A">
      <w:pPr>
        <w:tabs>
          <w:tab w:val="center" w:pos="5400"/>
        </w:tabs>
        <w:suppressAutoHyphens/>
        <w:jc w:val="center"/>
        <w:rPr>
          <w:rFonts w:asciiTheme="majorHAnsi" w:hAnsiTheme="majorHAnsi"/>
          <w:sz w:val="18"/>
          <w:szCs w:val="22"/>
          <w:lang w:val="fr-FR"/>
        </w:rPr>
      </w:pPr>
    </w:p>
    <w:p w14:paraId="2FB89DD5" w14:textId="77777777" w:rsidR="00A50FCF" w:rsidRPr="00545FAE" w:rsidRDefault="0090270B" w:rsidP="00040C3A">
      <w:pPr>
        <w:tabs>
          <w:tab w:val="center" w:pos="5400"/>
        </w:tabs>
        <w:suppressAutoHyphens/>
        <w:jc w:val="center"/>
        <w:rPr>
          <w:rFonts w:asciiTheme="majorHAnsi" w:hAnsiTheme="majorHAnsi"/>
          <w:sz w:val="18"/>
          <w:szCs w:val="22"/>
          <w:lang w:val="fr-FR"/>
        </w:rPr>
      </w:pPr>
      <w:r w:rsidRPr="00545FAE">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C93D12F" wp14:editId="7DCCEAC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6DA98" w14:textId="77777777" w:rsidR="00A0514B" w:rsidRPr="008C7E1A" w:rsidRDefault="00A0514B" w:rsidP="00DD3D86">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w:t>
                            </w:r>
                            <w:r>
                              <w:rPr>
                                <w:rFonts w:asciiTheme="majorHAnsi" w:hAnsiTheme="majorHAnsi"/>
                                <w:color w:val="0D0D0D" w:themeColor="text1" w:themeTint="F2"/>
                                <w:sz w:val="18"/>
                                <w:szCs w:val="20"/>
                                <w:lang w:val="es-ES"/>
                              </w:rPr>
                              <w:t xml:space="preserve">prouvé par la </w:t>
                            </w:r>
                            <w:r w:rsidRPr="00DB51EA">
                              <w:rPr>
                                <w:rFonts w:asciiTheme="majorHAnsi" w:hAnsiTheme="majorHAnsi"/>
                                <w:color w:val="0D0D0D" w:themeColor="text1" w:themeTint="F2"/>
                                <w:sz w:val="18"/>
                                <w:szCs w:val="20"/>
                                <w:lang w:val="es-ES"/>
                              </w:rPr>
                              <w:t xml:space="preserve">Commission lors de la séance </w:t>
                            </w:r>
                            <w:r w:rsidR="00DB51EA" w:rsidRPr="00DB51EA">
                              <w:rPr>
                                <w:rFonts w:asciiTheme="majorHAnsi" w:hAnsiTheme="majorHAnsi"/>
                                <w:color w:val="0D0D0D" w:themeColor="text1" w:themeTint="F2"/>
                                <w:sz w:val="18"/>
                                <w:szCs w:val="20"/>
                                <w:lang w:val="es-ES"/>
                              </w:rPr>
                              <w:t>n°</w:t>
                            </w:r>
                            <w:r w:rsidRPr="00DB51EA">
                              <w:rPr>
                                <w:rFonts w:asciiTheme="majorHAnsi" w:hAnsiTheme="majorHAnsi"/>
                                <w:color w:val="0D0D0D" w:themeColor="text1" w:themeTint="F2"/>
                                <w:sz w:val="18"/>
                                <w:szCs w:val="20"/>
                                <w:lang w:val="es-ES"/>
                              </w:rPr>
                              <w:t>2160 tenue le 9 novembre 2019</w:t>
                            </w:r>
                            <w:r w:rsidRPr="00DB51EA">
                              <w:rPr>
                                <w:rFonts w:asciiTheme="majorHAnsi" w:hAnsiTheme="majorHAnsi"/>
                                <w:color w:val="0D0D0D" w:themeColor="text1" w:themeTint="F2"/>
                                <w:sz w:val="18"/>
                                <w:szCs w:val="20"/>
                                <w:lang w:val="es-ES"/>
                              </w:rPr>
                              <w:br/>
                            </w:r>
                            <w:r w:rsidRPr="00DB51EA">
                              <w:rPr>
                                <w:rFonts w:asciiTheme="majorHAnsi" w:hAnsiTheme="majorHAnsi" w:cs="Univers"/>
                                <w:color w:val="0D0D0D" w:themeColor="text1" w:themeTint="F2"/>
                                <w:sz w:val="18"/>
                                <w:szCs w:val="20"/>
                                <w:lang w:val="es-ES"/>
                              </w:rPr>
                              <w:t>174</w:t>
                            </w:r>
                            <w:r w:rsidRPr="00DB51EA">
                              <w:rPr>
                                <w:rFonts w:asciiTheme="majorHAnsi" w:hAnsiTheme="majorHAnsi" w:cs="Univers"/>
                                <w:color w:val="0D0D0D" w:themeColor="text1" w:themeTint="F2"/>
                                <w:sz w:val="18"/>
                                <w:szCs w:val="20"/>
                                <w:vertAlign w:val="superscript"/>
                                <w:lang w:val="es-ES"/>
                              </w:rPr>
                              <w:t>è</w:t>
                            </w:r>
                            <w:r w:rsidRPr="00DB51EA">
                              <w:rPr>
                                <w:rFonts w:asciiTheme="majorHAnsi" w:hAnsiTheme="majorHAnsi" w:cs="Univers"/>
                                <w:color w:val="0D0D0D" w:themeColor="text1" w:themeTint="F2"/>
                                <w:sz w:val="18"/>
                                <w:szCs w:val="20"/>
                                <w:lang w:val="es-ES"/>
                              </w:rPr>
                              <w:t xml:space="preserve"> session</w:t>
                            </w:r>
                          </w:p>
                          <w:p w14:paraId="144CE8A4" w14:textId="77777777" w:rsidR="00A0514B" w:rsidRPr="007A5817" w:rsidRDefault="00A0514B" w:rsidP="00247403">
                            <w:pPr>
                              <w:tabs>
                                <w:tab w:val="center" w:pos="5400"/>
                              </w:tabs>
                              <w:suppressAutoHyphens/>
                              <w:spacing w:before="60"/>
                              <w:rPr>
                                <w:rFonts w:asciiTheme="minorHAnsi" w:hAnsiTheme="minorHAnsi" w:cs="Univers"/>
                                <w:color w:val="0D0D0D" w:themeColor="text1" w:themeTint="F2"/>
                                <w:sz w:val="20"/>
                                <w:szCs w:val="20"/>
                                <w:lang w:val="es-ES"/>
                              </w:rPr>
                            </w:pPr>
                          </w:p>
                          <w:p w14:paraId="6585A9E0" w14:textId="77777777" w:rsidR="00A0514B" w:rsidRPr="00167A34" w:rsidRDefault="00A0514B"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3D12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7696DA98" w14:textId="77777777" w:rsidR="00A0514B" w:rsidRPr="008C7E1A" w:rsidRDefault="00A0514B" w:rsidP="00DD3D86">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w:t>
                      </w:r>
                      <w:r>
                        <w:rPr>
                          <w:rFonts w:asciiTheme="majorHAnsi" w:hAnsiTheme="majorHAnsi"/>
                          <w:color w:val="0D0D0D" w:themeColor="text1" w:themeTint="F2"/>
                          <w:sz w:val="18"/>
                          <w:szCs w:val="20"/>
                          <w:lang w:val="es-ES"/>
                        </w:rPr>
                        <w:t xml:space="preserve">prouvé par la </w:t>
                      </w:r>
                      <w:r w:rsidRPr="00DB51EA">
                        <w:rPr>
                          <w:rFonts w:asciiTheme="majorHAnsi" w:hAnsiTheme="majorHAnsi"/>
                          <w:color w:val="0D0D0D" w:themeColor="text1" w:themeTint="F2"/>
                          <w:sz w:val="18"/>
                          <w:szCs w:val="20"/>
                          <w:lang w:val="es-ES"/>
                        </w:rPr>
                        <w:t xml:space="preserve">Commission lors de la séance </w:t>
                      </w:r>
                      <w:r w:rsidR="00DB51EA" w:rsidRPr="00DB51EA">
                        <w:rPr>
                          <w:rFonts w:asciiTheme="majorHAnsi" w:hAnsiTheme="majorHAnsi"/>
                          <w:color w:val="0D0D0D" w:themeColor="text1" w:themeTint="F2"/>
                          <w:sz w:val="18"/>
                          <w:szCs w:val="20"/>
                          <w:lang w:val="es-ES"/>
                        </w:rPr>
                        <w:t>n°</w:t>
                      </w:r>
                      <w:r w:rsidRPr="00DB51EA">
                        <w:rPr>
                          <w:rFonts w:asciiTheme="majorHAnsi" w:hAnsiTheme="majorHAnsi"/>
                          <w:color w:val="0D0D0D" w:themeColor="text1" w:themeTint="F2"/>
                          <w:sz w:val="18"/>
                          <w:szCs w:val="20"/>
                          <w:lang w:val="es-ES"/>
                        </w:rPr>
                        <w:t>2160 tenue le 9 novembre 2019</w:t>
                      </w:r>
                      <w:r w:rsidRPr="00DB51EA">
                        <w:rPr>
                          <w:rFonts w:asciiTheme="majorHAnsi" w:hAnsiTheme="majorHAnsi"/>
                          <w:color w:val="0D0D0D" w:themeColor="text1" w:themeTint="F2"/>
                          <w:sz w:val="18"/>
                          <w:szCs w:val="20"/>
                          <w:lang w:val="es-ES"/>
                        </w:rPr>
                        <w:br/>
                      </w:r>
                      <w:r w:rsidRPr="00DB51EA">
                        <w:rPr>
                          <w:rFonts w:asciiTheme="majorHAnsi" w:hAnsiTheme="majorHAnsi" w:cs="Univers"/>
                          <w:color w:val="0D0D0D" w:themeColor="text1" w:themeTint="F2"/>
                          <w:sz w:val="18"/>
                          <w:szCs w:val="20"/>
                          <w:lang w:val="es-ES"/>
                        </w:rPr>
                        <w:t>174</w:t>
                      </w:r>
                      <w:r w:rsidRPr="00DB51EA">
                        <w:rPr>
                          <w:rFonts w:asciiTheme="majorHAnsi" w:hAnsiTheme="majorHAnsi" w:cs="Univers"/>
                          <w:color w:val="0D0D0D" w:themeColor="text1" w:themeTint="F2"/>
                          <w:sz w:val="18"/>
                          <w:szCs w:val="20"/>
                          <w:vertAlign w:val="superscript"/>
                          <w:lang w:val="es-ES"/>
                        </w:rPr>
                        <w:t>è</w:t>
                      </w:r>
                      <w:r w:rsidRPr="00DB51EA">
                        <w:rPr>
                          <w:rFonts w:asciiTheme="majorHAnsi" w:hAnsiTheme="majorHAnsi" w:cs="Univers"/>
                          <w:color w:val="0D0D0D" w:themeColor="text1" w:themeTint="F2"/>
                          <w:sz w:val="18"/>
                          <w:szCs w:val="20"/>
                          <w:lang w:val="es-ES"/>
                        </w:rPr>
                        <w:t xml:space="preserve"> session</w:t>
                      </w:r>
                    </w:p>
                    <w:p w14:paraId="144CE8A4" w14:textId="77777777" w:rsidR="00A0514B" w:rsidRPr="007A5817" w:rsidRDefault="00A0514B" w:rsidP="00247403">
                      <w:pPr>
                        <w:tabs>
                          <w:tab w:val="center" w:pos="5400"/>
                        </w:tabs>
                        <w:suppressAutoHyphens/>
                        <w:spacing w:before="60"/>
                        <w:rPr>
                          <w:rFonts w:asciiTheme="minorHAnsi" w:hAnsiTheme="minorHAnsi" w:cs="Univers"/>
                          <w:color w:val="0D0D0D" w:themeColor="text1" w:themeTint="F2"/>
                          <w:sz w:val="20"/>
                          <w:szCs w:val="20"/>
                          <w:lang w:val="es-ES"/>
                        </w:rPr>
                      </w:pPr>
                    </w:p>
                    <w:p w14:paraId="6585A9E0" w14:textId="77777777" w:rsidR="00A0514B" w:rsidRPr="00167A34" w:rsidRDefault="00A0514B"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588BC7EC" w14:textId="77777777" w:rsidR="00A50FCF" w:rsidRPr="00545FAE" w:rsidRDefault="00A50FCF" w:rsidP="00040C3A">
      <w:pPr>
        <w:tabs>
          <w:tab w:val="center" w:pos="5400"/>
        </w:tabs>
        <w:suppressAutoHyphens/>
        <w:jc w:val="center"/>
        <w:rPr>
          <w:rFonts w:asciiTheme="majorHAnsi" w:hAnsiTheme="majorHAnsi"/>
          <w:sz w:val="18"/>
          <w:szCs w:val="22"/>
          <w:lang w:val="fr-FR"/>
        </w:rPr>
      </w:pPr>
    </w:p>
    <w:p w14:paraId="058196E2" w14:textId="77777777" w:rsidR="00A50FCF" w:rsidRPr="00545FAE" w:rsidRDefault="00A50FCF" w:rsidP="00040C3A">
      <w:pPr>
        <w:tabs>
          <w:tab w:val="center" w:pos="5400"/>
        </w:tabs>
        <w:suppressAutoHyphens/>
        <w:jc w:val="center"/>
        <w:rPr>
          <w:rFonts w:asciiTheme="majorHAnsi" w:hAnsiTheme="majorHAnsi"/>
          <w:sz w:val="18"/>
          <w:szCs w:val="22"/>
          <w:lang w:val="fr-FR"/>
        </w:rPr>
      </w:pPr>
    </w:p>
    <w:p w14:paraId="57861007" w14:textId="77777777" w:rsidR="00A50FCF" w:rsidRPr="00545FAE" w:rsidRDefault="00A50FCF" w:rsidP="00040C3A">
      <w:pPr>
        <w:tabs>
          <w:tab w:val="center" w:pos="5400"/>
        </w:tabs>
        <w:suppressAutoHyphens/>
        <w:jc w:val="center"/>
        <w:rPr>
          <w:rFonts w:asciiTheme="majorHAnsi" w:hAnsiTheme="majorHAnsi"/>
          <w:sz w:val="18"/>
          <w:szCs w:val="22"/>
          <w:lang w:val="fr-FR"/>
        </w:rPr>
      </w:pPr>
    </w:p>
    <w:p w14:paraId="4D21B1A9" w14:textId="77777777" w:rsidR="00A50FCF" w:rsidRPr="00545FAE" w:rsidRDefault="00A50FCF" w:rsidP="00040C3A">
      <w:pPr>
        <w:tabs>
          <w:tab w:val="center" w:pos="5400"/>
        </w:tabs>
        <w:suppressAutoHyphens/>
        <w:jc w:val="center"/>
        <w:rPr>
          <w:rFonts w:asciiTheme="majorHAnsi" w:hAnsiTheme="majorHAnsi"/>
          <w:sz w:val="18"/>
          <w:szCs w:val="22"/>
          <w:lang w:val="fr-FR"/>
        </w:rPr>
      </w:pPr>
    </w:p>
    <w:p w14:paraId="20A9876C" w14:textId="77777777" w:rsidR="00A50FCF" w:rsidRPr="00545FAE" w:rsidRDefault="0090270B" w:rsidP="00040C3A">
      <w:pPr>
        <w:tabs>
          <w:tab w:val="center" w:pos="5400"/>
        </w:tabs>
        <w:suppressAutoHyphens/>
        <w:jc w:val="center"/>
        <w:rPr>
          <w:rFonts w:asciiTheme="majorHAnsi" w:hAnsiTheme="majorHAnsi"/>
          <w:sz w:val="18"/>
          <w:szCs w:val="22"/>
          <w:lang w:val="fr-FR"/>
        </w:rPr>
      </w:pPr>
      <w:r w:rsidRPr="00545FAE">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395824D2" wp14:editId="0589534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3949B9" w14:textId="77777777" w:rsidR="00A0514B" w:rsidRPr="007C756A" w:rsidRDefault="00A0514B" w:rsidP="00113F73">
                            <w:pPr>
                              <w:spacing w:line="276" w:lineRule="auto"/>
                              <w:rPr>
                                <w:rFonts w:asciiTheme="majorHAnsi" w:hAnsiTheme="majorHAnsi"/>
                                <w:color w:val="595959" w:themeColor="text1" w:themeTint="A6"/>
                                <w:sz w:val="18"/>
                                <w:szCs w:val="18"/>
                                <w:lang w:val="es-US"/>
                              </w:rPr>
                            </w:pPr>
                            <w:r w:rsidRPr="001521CC">
                              <w:rPr>
                                <w:rFonts w:asciiTheme="majorHAnsi" w:hAnsiTheme="majorHAnsi"/>
                                <w:b/>
                                <w:color w:val="595959" w:themeColor="text1" w:themeTint="A6"/>
                                <w:sz w:val="18"/>
                                <w:szCs w:val="18"/>
                              </w:rPr>
                              <w:t>Citer comme suit :</w:t>
                            </w:r>
                            <w:r w:rsidRPr="001521CC">
                              <w:rPr>
                                <w:rFonts w:asciiTheme="majorHAnsi" w:hAnsiTheme="majorHAnsi"/>
                                <w:color w:val="595959" w:themeColor="text1" w:themeTint="A6"/>
                                <w:sz w:val="18"/>
                                <w:szCs w:val="18"/>
                              </w:rPr>
                              <w:t xml:space="preserve"> CIDH. Rapport 165/19. Affaire 12.944. Fond. </w:t>
                            </w:r>
                            <w:r w:rsidR="00935B25" w:rsidRPr="001521CC">
                              <w:rPr>
                                <w:rFonts w:asciiTheme="majorHAnsi" w:hAnsiTheme="majorHAnsi"/>
                                <w:color w:val="595959" w:themeColor="text1" w:themeTint="A6"/>
                                <w:sz w:val="18"/>
                                <w:szCs w:val="18"/>
                              </w:rPr>
                              <w:t>Baptiste Willer et membres de s</w:t>
                            </w:r>
                            <w:r w:rsidRPr="001521CC">
                              <w:rPr>
                                <w:rFonts w:asciiTheme="majorHAnsi" w:hAnsiTheme="majorHAnsi"/>
                                <w:color w:val="595959" w:themeColor="text1" w:themeTint="A6"/>
                                <w:sz w:val="18"/>
                                <w:szCs w:val="18"/>
                              </w:rPr>
                              <w:t xml:space="preserve">a famille. </w:t>
                            </w:r>
                            <w:r>
                              <w:rPr>
                                <w:rFonts w:asciiTheme="majorHAnsi" w:hAnsiTheme="majorHAnsi"/>
                                <w:color w:val="595959" w:themeColor="text1" w:themeTint="A6"/>
                                <w:sz w:val="18"/>
                                <w:szCs w:val="18"/>
                                <w:lang w:val="es-ES_tradnl"/>
                              </w:rPr>
                              <w:t>Haïti</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9</w:t>
                            </w:r>
                            <w:r>
                              <w:rPr>
                                <w:rFonts w:asciiTheme="majorHAnsi" w:hAnsiTheme="majorHAnsi"/>
                                <w:color w:val="595959" w:themeColor="text1" w:themeTint="A6"/>
                                <w:sz w:val="18"/>
                                <w:szCs w:val="18"/>
                                <w:lang w:val="es-US"/>
                              </w:rPr>
                              <w:t xml:space="preserve"> novembre de 2019</w:t>
                            </w:r>
                            <w:r w:rsidRPr="007C756A">
                              <w:rPr>
                                <w:rFonts w:asciiTheme="majorHAnsi" w:hAnsiTheme="majorHAnsi"/>
                                <w:color w:val="595959" w:themeColor="text1" w:themeTint="A6"/>
                                <w:sz w:val="18"/>
                                <w:szCs w:val="18"/>
                                <w:lang w:val="es-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824D2"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5E3949B9" w14:textId="77777777" w:rsidR="00A0514B" w:rsidRPr="007C756A" w:rsidRDefault="00A0514B" w:rsidP="00113F73">
                      <w:pPr>
                        <w:spacing w:line="276" w:lineRule="auto"/>
                        <w:rPr>
                          <w:rFonts w:asciiTheme="majorHAnsi" w:hAnsiTheme="majorHAnsi"/>
                          <w:color w:val="595959" w:themeColor="text1" w:themeTint="A6"/>
                          <w:sz w:val="18"/>
                          <w:szCs w:val="18"/>
                          <w:lang w:val="es-US"/>
                        </w:rPr>
                      </w:pPr>
                      <w:r w:rsidRPr="001521CC">
                        <w:rPr>
                          <w:rFonts w:asciiTheme="majorHAnsi" w:hAnsiTheme="majorHAnsi"/>
                          <w:b/>
                          <w:color w:val="595959" w:themeColor="text1" w:themeTint="A6"/>
                          <w:sz w:val="18"/>
                          <w:szCs w:val="18"/>
                        </w:rPr>
                        <w:t>Citer comme suit :</w:t>
                      </w:r>
                      <w:r w:rsidRPr="001521CC">
                        <w:rPr>
                          <w:rFonts w:asciiTheme="majorHAnsi" w:hAnsiTheme="majorHAnsi"/>
                          <w:color w:val="595959" w:themeColor="text1" w:themeTint="A6"/>
                          <w:sz w:val="18"/>
                          <w:szCs w:val="18"/>
                        </w:rPr>
                        <w:t xml:space="preserve"> CIDH. Rapport 165/19. Affaire 12.944. Fond. </w:t>
                      </w:r>
                      <w:r w:rsidR="00935B25" w:rsidRPr="001521CC">
                        <w:rPr>
                          <w:rFonts w:asciiTheme="majorHAnsi" w:hAnsiTheme="majorHAnsi"/>
                          <w:color w:val="595959" w:themeColor="text1" w:themeTint="A6"/>
                          <w:sz w:val="18"/>
                          <w:szCs w:val="18"/>
                        </w:rPr>
                        <w:t>Baptiste Willer et membres de s</w:t>
                      </w:r>
                      <w:r w:rsidRPr="001521CC">
                        <w:rPr>
                          <w:rFonts w:asciiTheme="majorHAnsi" w:hAnsiTheme="majorHAnsi"/>
                          <w:color w:val="595959" w:themeColor="text1" w:themeTint="A6"/>
                          <w:sz w:val="18"/>
                          <w:szCs w:val="18"/>
                        </w:rPr>
                        <w:t xml:space="preserve">a famille. </w:t>
                      </w:r>
                      <w:r>
                        <w:rPr>
                          <w:rFonts w:asciiTheme="majorHAnsi" w:hAnsiTheme="majorHAnsi"/>
                          <w:color w:val="595959" w:themeColor="text1" w:themeTint="A6"/>
                          <w:sz w:val="18"/>
                          <w:szCs w:val="18"/>
                          <w:lang w:val="es-ES_tradnl"/>
                        </w:rPr>
                        <w:t>Haïti</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9</w:t>
                      </w:r>
                      <w:r>
                        <w:rPr>
                          <w:rFonts w:asciiTheme="majorHAnsi" w:hAnsiTheme="majorHAnsi"/>
                          <w:color w:val="595959" w:themeColor="text1" w:themeTint="A6"/>
                          <w:sz w:val="18"/>
                          <w:szCs w:val="18"/>
                          <w:lang w:val="es-US"/>
                        </w:rPr>
                        <w:t xml:space="preserve"> novembre de 2019</w:t>
                      </w:r>
                      <w:r w:rsidRPr="007C756A">
                        <w:rPr>
                          <w:rFonts w:asciiTheme="majorHAnsi" w:hAnsiTheme="majorHAnsi"/>
                          <w:color w:val="595959" w:themeColor="text1" w:themeTint="A6"/>
                          <w:sz w:val="18"/>
                          <w:szCs w:val="18"/>
                          <w:lang w:val="es-US"/>
                        </w:rPr>
                        <w:t>.</w:t>
                      </w:r>
                    </w:p>
                  </w:txbxContent>
                </v:textbox>
              </v:shape>
            </w:pict>
          </mc:Fallback>
        </mc:AlternateContent>
      </w:r>
    </w:p>
    <w:p w14:paraId="22BD0AB6" w14:textId="77777777" w:rsidR="00A50FCF" w:rsidRPr="00545FAE" w:rsidRDefault="00A50FCF" w:rsidP="00040C3A">
      <w:pPr>
        <w:tabs>
          <w:tab w:val="center" w:pos="5400"/>
        </w:tabs>
        <w:suppressAutoHyphens/>
        <w:jc w:val="center"/>
        <w:rPr>
          <w:rFonts w:asciiTheme="majorHAnsi" w:hAnsiTheme="majorHAnsi"/>
          <w:sz w:val="18"/>
          <w:szCs w:val="22"/>
          <w:lang w:val="fr-FR"/>
        </w:rPr>
      </w:pPr>
    </w:p>
    <w:p w14:paraId="49509EBD" w14:textId="77777777" w:rsidR="0090270B" w:rsidRPr="00545FAE" w:rsidRDefault="00D306D1" w:rsidP="005516A1">
      <w:pPr>
        <w:tabs>
          <w:tab w:val="center" w:pos="5400"/>
        </w:tabs>
        <w:suppressAutoHyphens/>
        <w:jc w:val="center"/>
        <w:rPr>
          <w:rFonts w:asciiTheme="majorHAnsi" w:hAnsiTheme="majorHAnsi"/>
          <w:b/>
          <w:sz w:val="20"/>
          <w:lang w:val="fr-FR"/>
        </w:rPr>
      </w:pPr>
      <w:r w:rsidRPr="00545FAE">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004B7241" wp14:editId="696ADD56">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99E93A" w14:textId="77777777" w:rsidR="00A0514B" w:rsidRPr="00D72DC6" w:rsidRDefault="00A0514B"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CAE9933" wp14:editId="4137F266">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B7241"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3C99E93A" w14:textId="77777777" w:rsidR="00A0514B" w:rsidRPr="00D72DC6" w:rsidRDefault="00A0514B"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CAE9933" wp14:editId="4137F266">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545FAE">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3BA0F26" wp14:editId="53E4040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6417E9" w14:textId="77777777" w:rsidR="00A0514B" w:rsidRPr="004B7EB6" w:rsidRDefault="00A0514B"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A0F26"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336417E9" w14:textId="77777777" w:rsidR="00A0514B" w:rsidRPr="004B7EB6" w:rsidRDefault="00A0514B"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34E6A276" w14:textId="77777777" w:rsidR="0070697F" w:rsidRPr="00545FAE" w:rsidRDefault="0070697F" w:rsidP="005516A1">
      <w:pPr>
        <w:tabs>
          <w:tab w:val="center" w:pos="5400"/>
        </w:tabs>
        <w:suppressAutoHyphens/>
        <w:jc w:val="center"/>
        <w:rPr>
          <w:rFonts w:asciiTheme="majorHAnsi" w:hAnsiTheme="majorHAnsi"/>
          <w:b/>
          <w:sz w:val="20"/>
          <w:lang w:val="fr-FR"/>
        </w:rPr>
        <w:sectPr w:rsidR="0070697F" w:rsidRPr="00545FAE"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0EF34EA1" w14:textId="77777777" w:rsidR="00722C9F" w:rsidRPr="00545FAE" w:rsidRDefault="004036F6" w:rsidP="00722C9F">
      <w:pPr>
        <w:tabs>
          <w:tab w:val="center" w:pos="5400"/>
        </w:tabs>
        <w:suppressAutoHyphens/>
        <w:spacing w:line="276" w:lineRule="auto"/>
        <w:jc w:val="center"/>
        <w:rPr>
          <w:rFonts w:ascii="Cambria" w:hAnsi="Cambria"/>
          <w:b/>
          <w:sz w:val="20"/>
          <w:szCs w:val="20"/>
          <w:lang w:val="fr-FR"/>
        </w:rPr>
      </w:pPr>
      <w:r w:rsidRPr="00545FAE">
        <w:rPr>
          <w:rFonts w:ascii="Cambria" w:hAnsi="Cambria"/>
          <w:b/>
          <w:sz w:val="20"/>
          <w:szCs w:val="20"/>
          <w:lang w:val="fr-FR"/>
        </w:rPr>
        <w:lastRenderedPageBreak/>
        <w:t>TABLE DES MATIÈRES</w:t>
      </w:r>
    </w:p>
    <w:p w14:paraId="271C2E16" w14:textId="77777777" w:rsidR="008D768D" w:rsidRPr="00545FAE" w:rsidRDefault="008D768D" w:rsidP="006125C3">
      <w:pPr>
        <w:tabs>
          <w:tab w:val="center" w:pos="5400"/>
        </w:tabs>
        <w:suppressAutoHyphens/>
        <w:spacing w:line="276" w:lineRule="auto"/>
        <w:rPr>
          <w:rFonts w:ascii="Cambria" w:hAnsi="Cambria"/>
          <w:sz w:val="20"/>
          <w:szCs w:val="20"/>
          <w:lang w:val="fr-FR"/>
        </w:rPr>
      </w:pPr>
    </w:p>
    <w:p w14:paraId="7F20D349" w14:textId="77777777" w:rsidR="00E909AA" w:rsidRPr="00545FAE" w:rsidRDefault="00E909AA" w:rsidP="00E909AA">
      <w:pPr>
        <w:suppressAutoHyphens/>
        <w:rPr>
          <w:rFonts w:ascii="Cambria" w:hAnsi="Cambria"/>
          <w:b/>
          <w:sz w:val="20"/>
          <w:szCs w:val="20"/>
          <w:lang w:val="fr-FR"/>
        </w:rPr>
      </w:pPr>
    </w:p>
    <w:p w14:paraId="29569ACC" w14:textId="6CB5D9B9" w:rsidR="0031109E" w:rsidRDefault="006125C3">
      <w:pPr>
        <w:pStyle w:val="TOC1"/>
        <w:tabs>
          <w:tab w:val="left" w:pos="1440"/>
          <w:tab w:val="right" w:leader="dot" w:pos="9350"/>
        </w:tabs>
        <w:rPr>
          <w:rFonts w:eastAsiaTheme="minorEastAsia" w:cstheme="minorBidi"/>
          <w:noProof/>
          <w:szCs w:val="22"/>
        </w:rPr>
      </w:pPr>
      <w:r w:rsidRPr="00545FAE">
        <w:rPr>
          <w:rFonts w:ascii="Cambria" w:hAnsi="Cambria"/>
          <w:sz w:val="20"/>
          <w:szCs w:val="20"/>
          <w:lang w:val="fr-FR"/>
        </w:rPr>
        <w:fldChar w:fldCharType="begin"/>
      </w:r>
      <w:r w:rsidRPr="00545FAE">
        <w:rPr>
          <w:rFonts w:ascii="Cambria" w:hAnsi="Cambria"/>
          <w:sz w:val="20"/>
          <w:szCs w:val="20"/>
          <w:lang w:val="fr-FR"/>
        </w:rPr>
        <w:instrText xml:space="preserve"> TOC \o "1-7" \h \z \u </w:instrText>
      </w:r>
      <w:r w:rsidRPr="00545FAE">
        <w:rPr>
          <w:rFonts w:ascii="Cambria" w:hAnsi="Cambria"/>
          <w:sz w:val="20"/>
          <w:szCs w:val="20"/>
          <w:lang w:val="fr-FR"/>
        </w:rPr>
        <w:fldChar w:fldCharType="separate"/>
      </w:r>
      <w:hyperlink w:anchor="_Toc33019279" w:history="1">
        <w:r w:rsidR="0031109E" w:rsidRPr="00224F9E">
          <w:rPr>
            <w:rStyle w:val="Hyperlink"/>
            <w:noProof/>
            <w:lang w:val="fr-FR"/>
          </w:rPr>
          <w:t>I.</w:t>
        </w:r>
        <w:r w:rsidR="0031109E">
          <w:rPr>
            <w:rFonts w:eastAsiaTheme="minorEastAsia" w:cstheme="minorBidi"/>
            <w:noProof/>
            <w:szCs w:val="22"/>
          </w:rPr>
          <w:tab/>
        </w:r>
        <w:r w:rsidR="0031109E" w:rsidRPr="00224F9E">
          <w:rPr>
            <w:rStyle w:val="Hyperlink"/>
            <w:noProof/>
            <w:lang w:val="fr-FR"/>
          </w:rPr>
          <w:t>INTRODUCTION</w:t>
        </w:r>
        <w:r w:rsidR="0031109E">
          <w:rPr>
            <w:noProof/>
            <w:webHidden/>
          </w:rPr>
          <w:tab/>
        </w:r>
        <w:r w:rsidR="0031109E">
          <w:rPr>
            <w:noProof/>
            <w:webHidden/>
          </w:rPr>
          <w:fldChar w:fldCharType="begin"/>
        </w:r>
        <w:r w:rsidR="0031109E">
          <w:rPr>
            <w:noProof/>
            <w:webHidden/>
          </w:rPr>
          <w:instrText xml:space="preserve"> PAGEREF _Toc33019279 \h </w:instrText>
        </w:r>
        <w:r w:rsidR="0031109E">
          <w:rPr>
            <w:noProof/>
            <w:webHidden/>
          </w:rPr>
        </w:r>
        <w:r w:rsidR="0031109E">
          <w:rPr>
            <w:noProof/>
            <w:webHidden/>
          </w:rPr>
          <w:fldChar w:fldCharType="separate"/>
        </w:r>
        <w:r w:rsidR="001862ED">
          <w:rPr>
            <w:noProof/>
            <w:webHidden/>
          </w:rPr>
          <w:t>2</w:t>
        </w:r>
        <w:r w:rsidR="0031109E">
          <w:rPr>
            <w:noProof/>
            <w:webHidden/>
          </w:rPr>
          <w:fldChar w:fldCharType="end"/>
        </w:r>
      </w:hyperlink>
    </w:p>
    <w:p w14:paraId="7A7D4093" w14:textId="1DF3AD4E" w:rsidR="0031109E" w:rsidRDefault="001862ED">
      <w:pPr>
        <w:pStyle w:val="TOC1"/>
        <w:tabs>
          <w:tab w:val="left" w:pos="1440"/>
          <w:tab w:val="right" w:leader="dot" w:pos="9350"/>
        </w:tabs>
        <w:rPr>
          <w:rFonts w:eastAsiaTheme="minorEastAsia" w:cstheme="minorBidi"/>
          <w:noProof/>
          <w:szCs w:val="22"/>
        </w:rPr>
      </w:pPr>
      <w:hyperlink w:anchor="_Toc33019280" w:history="1">
        <w:r w:rsidR="0031109E" w:rsidRPr="00224F9E">
          <w:rPr>
            <w:rStyle w:val="Hyperlink"/>
            <w:noProof/>
            <w:lang w:val="fr-FR"/>
          </w:rPr>
          <w:t>II.</w:t>
        </w:r>
        <w:r w:rsidR="0031109E">
          <w:rPr>
            <w:rFonts w:eastAsiaTheme="minorEastAsia" w:cstheme="minorBidi"/>
            <w:noProof/>
            <w:szCs w:val="22"/>
          </w:rPr>
          <w:tab/>
        </w:r>
        <w:r w:rsidR="0031109E" w:rsidRPr="00224F9E">
          <w:rPr>
            <w:rStyle w:val="Hyperlink"/>
            <w:noProof/>
            <w:lang w:val="fr-FR"/>
          </w:rPr>
          <w:t>ALLÉGATIONS DES PARTIES</w:t>
        </w:r>
        <w:r w:rsidR="0031109E">
          <w:rPr>
            <w:noProof/>
            <w:webHidden/>
          </w:rPr>
          <w:tab/>
        </w:r>
        <w:r w:rsidR="0031109E">
          <w:rPr>
            <w:noProof/>
            <w:webHidden/>
          </w:rPr>
          <w:fldChar w:fldCharType="begin"/>
        </w:r>
        <w:r w:rsidR="0031109E">
          <w:rPr>
            <w:noProof/>
            <w:webHidden/>
          </w:rPr>
          <w:instrText xml:space="preserve"> PAGEREF _Toc33019280 \h </w:instrText>
        </w:r>
        <w:r w:rsidR="0031109E">
          <w:rPr>
            <w:noProof/>
            <w:webHidden/>
          </w:rPr>
        </w:r>
        <w:r w:rsidR="0031109E">
          <w:rPr>
            <w:noProof/>
            <w:webHidden/>
          </w:rPr>
          <w:fldChar w:fldCharType="separate"/>
        </w:r>
        <w:r>
          <w:rPr>
            <w:noProof/>
            <w:webHidden/>
          </w:rPr>
          <w:t>2</w:t>
        </w:r>
        <w:r w:rsidR="0031109E">
          <w:rPr>
            <w:noProof/>
            <w:webHidden/>
          </w:rPr>
          <w:fldChar w:fldCharType="end"/>
        </w:r>
      </w:hyperlink>
    </w:p>
    <w:p w14:paraId="322337A5" w14:textId="108F002F" w:rsidR="0031109E" w:rsidRDefault="001862ED">
      <w:pPr>
        <w:pStyle w:val="TOC2"/>
        <w:rPr>
          <w:rFonts w:asciiTheme="minorHAnsi" w:eastAsiaTheme="minorEastAsia" w:hAnsiTheme="minorHAnsi" w:cstheme="minorBidi"/>
          <w:noProof/>
          <w:sz w:val="22"/>
          <w:szCs w:val="22"/>
        </w:rPr>
      </w:pPr>
      <w:hyperlink w:anchor="_Toc33019281" w:history="1">
        <w:r w:rsidR="0031109E" w:rsidRPr="00224F9E">
          <w:rPr>
            <w:rStyle w:val="Hyperlink"/>
            <w:noProof/>
            <w:lang w:val="fr-FR"/>
          </w:rPr>
          <w:t>A.</w:t>
        </w:r>
        <w:r w:rsidR="0031109E">
          <w:rPr>
            <w:rFonts w:asciiTheme="minorHAnsi" w:eastAsiaTheme="minorEastAsia" w:hAnsiTheme="minorHAnsi" w:cstheme="minorBidi"/>
            <w:noProof/>
            <w:sz w:val="22"/>
            <w:szCs w:val="22"/>
          </w:rPr>
          <w:tab/>
        </w:r>
        <w:r w:rsidR="0031109E" w:rsidRPr="00224F9E">
          <w:rPr>
            <w:rStyle w:val="Hyperlink"/>
            <w:noProof/>
            <w:lang w:val="fr-FR"/>
          </w:rPr>
          <w:t>Partie requérante</w:t>
        </w:r>
        <w:r w:rsidR="0031109E">
          <w:rPr>
            <w:noProof/>
            <w:webHidden/>
          </w:rPr>
          <w:tab/>
        </w:r>
        <w:r w:rsidR="0031109E">
          <w:rPr>
            <w:noProof/>
            <w:webHidden/>
          </w:rPr>
          <w:fldChar w:fldCharType="begin"/>
        </w:r>
        <w:r w:rsidR="0031109E">
          <w:rPr>
            <w:noProof/>
            <w:webHidden/>
          </w:rPr>
          <w:instrText xml:space="preserve"> PAGEREF _Toc33019281 \h </w:instrText>
        </w:r>
        <w:r w:rsidR="0031109E">
          <w:rPr>
            <w:noProof/>
            <w:webHidden/>
          </w:rPr>
        </w:r>
        <w:r w:rsidR="0031109E">
          <w:rPr>
            <w:noProof/>
            <w:webHidden/>
          </w:rPr>
          <w:fldChar w:fldCharType="separate"/>
        </w:r>
        <w:r>
          <w:rPr>
            <w:noProof/>
            <w:webHidden/>
          </w:rPr>
          <w:t>2</w:t>
        </w:r>
        <w:r w:rsidR="0031109E">
          <w:rPr>
            <w:noProof/>
            <w:webHidden/>
          </w:rPr>
          <w:fldChar w:fldCharType="end"/>
        </w:r>
      </w:hyperlink>
    </w:p>
    <w:p w14:paraId="0C1A92AE" w14:textId="757AD9DA" w:rsidR="0031109E" w:rsidRDefault="001862ED">
      <w:pPr>
        <w:pStyle w:val="TOC2"/>
        <w:rPr>
          <w:rFonts w:asciiTheme="minorHAnsi" w:eastAsiaTheme="minorEastAsia" w:hAnsiTheme="minorHAnsi" w:cstheme="minorBidi"/>
          <w:noProof/>
          <w:sz w:val="22"/>
          <w:szCs w:val="22"/>
        </w:rPr>
      </w:pPr>
      <w:hyperlink w:anchor="_Toc33019282" w:history="1">
        <w:r w:rsidR="0031109E" w:rsidRPr="00224F9E">
          <w:rPr>
            <w:rStyle w:val="Hyperlink"/>
            <w:noProof/>
            <w:lang w:val="fr-FR"/>
          </w:rPr>
          <w:t>B.</w:t>
        </w:r>
        <w:r w:rsidR="0031109E">
          <w:rPr>
            <w:rFonts w:asciiTheme="minorHAnsi" w:eastAsiaTheme="minorEastAsia" w:hAnsiTheme="minorHAnsi" w:cstheme="minorBidi"/>
            <w:noProof/>
            <w:sz w:val="22"/>
            <w:szCs w:val="22"/>
          </w:rPr>
          <w:tab/>
        </w:r>
        <w:r w:rsidR="0031109E" w:rsidRPr="00224F9E">
          <w:rPr>
            <w:rStyle w:val="Hyperlink"/>
            <w:noProof/>
            <w:lang w:val="fr-FR"/>
          </w:rPr>
          <w:t>État</w:t>
        </w:r>
        <w:r w:rsidR="0031109E">
          <w:rPr>
            <w:noProof/>
            <w:webHidden/>
          </w:rPr>
          <w:tab/>
        </w:r>
        <w:r w:rsidR="0031109E">
          <w:rPr>
            <w:noProof/>
            <w:webHidden/>
          </w:rPr>
          <w:fldChar w:fldCharType="begin"/>
        </w:r>
        <w:r w:rsidR="0031109E">
          <w:rPr>
            <w:noProof/>
            <w:webHidden/>
          </w:rPr>
          <w:instrText xml:space="preserve"> PAGEREF _Toc33019282 \h </w:instrText>
        </w:r>
        <w:r w:rsidR="0031109E">
          <w:rPr>
            <w:noProof/>
            <w:webHidden/>
          </w:rPr>
        </w:r>
        <w:r w:rsidR="0031109E">
          <w:rPr>
            <w:noProof/>
            <w:webHidden/>
          </w:rPr>
          <w:fldChar w:fldCharType="separate"/>
        </w:r>
        <w:r>
          <w:rPr>
            <w:noProof/>
            <w:webHidden/>
          </w:rPr>
          <w:t>3</w:t>
        </w:r>
        <w:r w:rsidR="0031109E">
          <w:rPr>
            <w:noProof/>
            <w:webHidden/>
          </w:rPr>
          <w:fldChar w:fldCharType="end"/>
        </w:r>
      </w:hyperlink>
    </w:p>
    <w:p w14:paraId="7279D99A" w14:textId="19EF4D18" w:rsidR="0031109E" w:rsidRDefault="001862ED">
      <w:pPr>
        <w:pStyle w:val="TOC1"/>
        <w:tabs>
          <w:tab w:val="left" w:pos="1440"/>
          <w:tab w:val="right" w:leader="dot" w:pos="9350"/>
        </w:tabs>
        <w:rPr>
          <w:rFonts w:eastAsiaTheme="minorEastAsia" w:cstheme="minorBidi"/>
          <w:noProof/>
          <w:szCs w:val="22"/>
        </w:rPr>
      </w:pPr>
      <w:hyperlink w:anchor="_Toc33019283" w:history="1">
        <w:r w:rsidR="0031109E" w:rsidRPr="00224F9E">
          <w:rPr>
            <w:rStyle w:val="Hyperlink"/>
            <w:noProof/>
            <w:lang w:val="fr-FR"/>
          </w:rPr>
          <w:t>III.</w:t>
        </w:r>
        <w:r w:rsidR="0031109E">
          <w:rPr>
            <w:rFonts w:eastAsiaTheme="minorEastAsia" w:cstheme="minorBidi"/>
            <w:noProof/>
            <w:szCs w:val="22"/>
          </w:rPr>
          <w:tab/>
        </w:r>
        <w:r w:rsidR="0031109E" w:rsidRPr="00224F9E">
          <w:rPr>
            <w:rStyle w:val="Hyperlink"/>
            <w:noProof/>
            <w:lang w:val="fr-FR"/>
          </w:rPr>
          <w:t>ÉTABLISSEMENT DES FAITS</w:t>
        </w:r>
        <w:r w:rsidR="0031109E">
          <w:rPr>
            <w:noProof/>
            <w:webHidden/>
          </w:rPr>
          <w:tab/>
        </w:r>
        <w:r w:rsidR="0031109E">
          <w:rPr>
            <w:noProof/>
            <w:webHidden/>
          </w:rPr>
          <w:fldChar w:fldCharType="begin"/>
        </w:r>
        <w:r w:rsidR="0031109E">
          <w:rPr>
            <w:noProof/>
            <w:webHidden/>
          </w:rPr>
          <w:instrText xml:space="preserve"> PAGEREF _Toc33019283 \h </w:instrText>
        </w:r>
        <w:r w:rsidR="0031109E">
          <w:rPr>
            <w:noProof/>
            <w:webHidden/>
          </w:rPr>
        </w:r>
        <w:r w:rsidR="0031109E">
          <w:rPr>
            <w:noProof/>
            <w:webHidden/>
          </w:rPr>
          <w:fldChar w:fldCharType="separate"/>
        </w:r>
        <w:r>
          <w:rPr>
            <w:noProof/>
            <w:webHidden/>
          </w:rPr>
          <w:t>4</w:t>
        </w:r>
        <w:r w:rsidR="0031109E">
          <w:rPr>
            <w:noProof/>
            <w:webHidden/>
          </w:rPr>
          <w:fldChar w:fldCharType="end"/>
        </w:r>
      </w:hyperlink>
    </w:p>
    <w:p w14:paraId="479DD238" w14:textId="5B850CFA" w:rsidR="0031109E" w:rsidRDefault="001862ED">
      <w:pPr>
        <w:pStyle w:val="TOC2"/>
        <w:rPr>
          <w:rFonts w:asciiTheme="minorHAnsi" w:eastAsiaTheme="minorEastAsia" w:hAnsiTheme="minorHAnsi" w:cstheme="minorBidi"/>
          <w:noProof/>
          <w:sz w:val="22"/>
          <w:szCs w:val="22"/>
        </w:rPr>
      </w:pPr>
      <w:hyperlink w:anchor="_Toc33019284" w:history="1">
        <w:r w:rsidR="0031109E" w:rsidRPr="00224F9E">
          <w:rPr>
            <w:rStyle w:val="Hyperlink"/>
            <w:noProof/>
            <w:lang w:val="fr-FR"/>
          </w:rPr>
          <w:t>A.</w:t>
        </w:r>
        <w:r w:rsidR="0031109E">
          <w:rPr>
            <w:rFonts w:asciiTheme="minorHAnsi" w:eastAsiaTheme="minorEastAsia" w:hAnsiTheme="minorHAnsi" w:cstheme="minorBidi"/>
            <w:noProof/>
            <w:sz w:val="22"/>
            <w:szCs w:val="22"/>
          </w:rPr>
          <w:tab/>
        </w:r>
        <w:r w:rsidR="0031109E" w:rsidRPr="00224F9E">
          <w:rPr>
            <w:rStyle w:val="Hyperlink"/>
            <w:noProof/>
            <w:lang w:val="fr-FR"/>
          </w:rPr>
          <w:t>Informations disponibles sur les victimes présumées et les membres de leur famille</w:t>
        </w:r>
        <w:r w:rsidR="0031109E">
          <w:rPr>
            <w:noProof/>
            <w:webHidden/>
          </w:rPr>
          <w:tab/>
        </w:r>
        <w:r w:rsidR="0031109E">
          <w:rPr>
            <w:noProof/>
            <w:webHidden/>
          </w:rPr>
          <w:fldChar w:fldCharType="begin"/>
        </w:r>
        <w:r w:rsidR="0031109E">
          <w:rPr>
            <w:noProof/>
            <w:webHidden/>
          </w:rPr>
          <w:instrText xml:space="preserve"> PAGEREF _Toc33019284 \h </w:instrText>
        </w:r>
        <w:r w:rsidR="0031109E">
          <w:rPr>
            <w:noProof/>
            <w:webHidden/>
          </w:rPr>
        </w:r>
        <w:r w:rsidR="0031109E">
          <w:rPr>
            <w:noProof/>
            <w:webHidden/>
          </w:rPr>
          <w:fldChar w:fldCharType="separate"/>
        </w:r>
        <w:r>
          <w:rPr>
            <w:noProof/>
            <w:webHidden/>
          </w:rPr>
          <w:t>4</w:t>
        </w:r>
        <w:r w:rsidR="0031109E">
          <w:rPr>
            <w:noProof/>
            <w:webHidden/>
          </w:rPr>
          <w:fldChar w:fldCharType="end"/>
        </w:r>
      </w:hyperlink>
    </w:p>
    <w:p w14:paraId="0C969021" w14:textId="7D1E46E2" w:rsidR="0031109E" w:rsidRDefault="001862ED">
      <w:pPr>
        <w:pStyle w:val="TOC2"/>
        <w:rPr>
          <w:rFonts w:asciiTheme="minorHAnsi" w:eastAsiaTheme="minorEastAsia" w:hAnsiTheme="minorHAnsi" w:cstheme="minorBidi"/>
          <w:noProof/>
          <w:sz w:val="22"/>
          <w:szCs w:val="22"/>
        </w:rPr>
      </w:pPr>
      <w:hyperlink w:anchor="_Toc33019285" w:history="1">
        <w:r w:rsidR="0031109E" w:rsidRPr="00224F9E">
          <w:rPr>
            <w:rStyle w:val="Hyperlink"/>
            <w:noProof/>
            <w:lang w:val="fr-FR"/>
          </w:rPr>
          <w:t>B.</w:t>
        </w:r>
        <w:r w:rsidR="0031109E">
          <w:rPr>
            <w:rFonts w:asciiTheme="minorHAnsi" w:eastAsiaTheme="minorEastAsia" w:hAnsiTheme="minorHAnsi" w:cstheme="minorBidi"/>
            <w:noProof/>
            <w:sz w:val="22"/>
            <w:szCs w:val="22"/>
          </w:rPr>
          <w:tab/>
        </w:r>
        <w:r w:rsidR="0031109E" w:rsidRPr="00224F9E">
          <w:rPr>
            <w:rStyle w:val="Hyperlink"/>
            <w:noProof/>
            <w:lang w:val="fr-FR"/>
          </w:rPr>
          <w:t>Faits relatifs à l’affaire</w:t>
        </w:r>
        <w:r w:rsidR="0031109E">
          <w:rPr>
            <w:noProof/>
            <w:webHidden/>
          </w:rPr>
          <w:tab/>
        </w:r>
        <w:r w:rsidR="0031109E">
          <w:rPr>
            <w:noProof/>
            <w:webHidden/>
          </w:rPr>
          <w:fldChar w:fldCharType="begin"/>
        </w:r>
        <w:r w:rsidR="0031109E">
          <w:rPr>
            <w:noProof/>
            <w:webHidden/>
          </w:rPr>
          <w:instrText xml:space="preserve"> PAGEREF _Toc33019285 \h </w:instrText>
        </w:r>
        <w:r w:rsidR="0031109E">
          <w:rPr>
            <w:noProof/>
            <w:webHidden/>
          </w:rPr>
        </w:r>
        <w:r w:rsidR="0031109E">
          <w:rPr>
            <w:noProof/>
            <w:webHidden/>
          </w:rPr>
          <w:fldChar w:fldCharType="separate"/>
        </w:r>
        <w:r>
          <w:rPr>
            <w:noProof/>
            <w:webHidden/>
          </w:rPr>
          <w:t>4</w:t>
        </w:r>
        <w:r w:rsidR="0031109E">
          <w:rPr>
            <w:noProof/>
            <w:webHidden/>
          </w:rPr>
          <w:fldChar w:fldCharType="end"/>
        </w:r>
      </w:hyperlink>
    </w:p>
    <w:p w14:paraId="0723F70B" w14:textId="3F8089C7" w:rsidR="0031109E" w:rsidRDefault="001862ED">
      <w:pPr>
        <w:pStyle w:val="TOC1"/>
        <w:tabs>
          <w:tab w:val="left" w:pos="1440"/>
          <w:tab w:val="right" w:leader="dot" w:pos="9350"/>
        </w:tabs>
        <w:rPr>
          <w:rFonts w:eastAsiaTheme="minorEastAsia" w:cstheme="minorBidi"/>
          <w:noProof/>
          <w:szCs w:val="22"/>
        </w:rPr>
      </w:pPr>
      <w:hyperlink w:anchor="_Toc33019286" w:history="1">
        <w:r w:rsidR="0031109E" w:rsidRPr="00224F9E">
          <w:rPr>
            <w:rStyle w:val="Hyperlink"/>
            <w:noProof/>
            <w:lang w:val="fr-FR"/>
          </w:rPr>
          <w:t>IV.</w:t>
        </w:r>
        <w:r w:rsidR="0031109E">
          <w:rPr>
            <w:rFonts w:eastAsiaTheme="minorEastAsia" w:cstheme="minorBidi"/>
            <w:noProof/>
            <w:szCs w:val="22"/>
          </w:rPr>
          <w:tab/>
        </w:r>
        <w:r w:rsidR="0031109E" w:rsidRPr="00224F9E">
          <w:rPr>
            <w:rStyle w:val="Hyperlink"/>
            <w:noProof/>
            <w:lang w:val="fr-FR"/>
          </w:rPr>
          <w:t>ANALYSE DES DROITS</w:t>
        </w:r>
        <w:r w:rsidR="0031109E">
          <w:rPr>
            <w:noProof/>
            <w:webHidden/>
          </w:rPr>
          <w:tab/>
        </w:r>
        <w:r w:rsidR="0031109E">
          <w:rPr>
            <w:noProof/>
            <w:webHidden/>
          </w:rPr>
          <w:fldChar w:fldCharType="begin"/>
        </w:r>
        <w:r w:rsidR="0031109E">
          <w:rPr>
            <w:noProof/>
            <w:webHidden/>
          </w:rPr>
          <w:instrText xml:space="preserve"> PAGEREF _Toc33019286 \h </w:instrText>
        </w:r>
        <w:r w:rsidR="0031109E">
          <w:rPr>
            <w:noProof/>
            <w:webHidden/>
          </w:rPr>
        </w:r>
        <w:r w:rsidR="0031109E">
          <w:rPr>
            <w:noProof/>
            <w:webHidden/>
          </w:rPr>
          <w:fldChar w:fldCharType="separate"/>
        </w:r>
        <w:r>
          <w:rPr>
            <w:noProof/>
            <w:webHidden/>
          </w:rPr>
          <w:t>6</w:t>
        </w:r>
        <w:r w:rsidR="0031109E">
          <w:rPr>
            <w:noProof/>
            <w:webHidden/>
          </w:rPr>
          <w:fldChar w:fldCharType="end"/>
        </w:r>
      </w:hyperlink>
    </w:p>
    <w:p w14:paraId="09C90531" w14:textId="45CF26AC" w:rsidR="0031109E" w:rsidRDefault="001862ED">
      <w:pPr>
        <w:pStyle w:val="TOC2"/>
        <w:rPr>
          <w:rFonts w:asciiTheme="minorHAnsi" w:eastAsiaTheme="minorEastAsia" w:hAnsiTheme="minorHAnsi" w:cstheme="minorBidi"/>
          <w:noProof/>
          <w:sz w:val="22"/>
          <w:szCs w:val="22"/>
        </w:rPr>
      </w:pPr>
      <w:hyperlink w:anchor="_Toc33019287" w:history="1">
        <w:r w:rsidR="0031109E" w:rsidRPr="00224F9E">
          <w:rPr>
            <w:rStyle w:val="Hyperlink"/>
            <w:noProof/>
            <w:lang w:val="fr-FR"/>
          </w:rPr>
          <w:t>A.</w:t>
        </w:r>
        <w:r w:rsidR="0031109E">
          <w:rPr>
            <w:rFonts w:asciiTheme="minorHAnsi" w:eastAsiaTheme="minorEastAsia" w:hAnsiTheme="minorHAnsi" w:cstheme="minorBidi"/>
            <w:noProof/>
            <w:sz w:val="22"/>
            <w:szCs w:val="22"/>
          </w:rPr>
          <w:tab/>
        </w:r>
        <w:r w:rsidR="0031109E" w:rsidRPr="00224F9E">
          <w:rPr>
            <w:rStyle w:val="Hyperlink"/>
            <w:noProof/>
            <w:lang w:val="fr-FR"/>
          </w:rPr>
          <w:t>Droits à la vie, à l’intégrité de la personne et de l’enfant, en rapport avec l’article 1.1 de la Convention américaine</w:t>
        </w:r>
        <w:r w:rsidR="0031109E">
          <w:rPr>
            <w:noProof/>
            <w:webHidden/>
          </w:rPr>
          <w:tab/>
        </w:r>
        <w:r w:rsidR="0031109E">
          <w:rPr>
            <w:noProof/>
            <w:webHidden/>
          </w:rPr>
          <w:fldChar w:fldCharType="begin"/>
        </w:r>
        <w:r w:rsidR="0031109E">
          <w:rPr>
            <w:noProof/>
            <w:webHidden/>
          </w:rPr>
          <w:instrText xml:space="preserve"> PAGEREF _Toc33019287 \h </w:instrText>
        </w:r>
        <w:r w:rsidR="0031109E">
          <w:rPr>
            <w:noProof/>
            <w:webHidden/>
          </w:rPr>
        </w:r>
        <w:r w:rsidR="0031109E">
          <w:rPr>
            <w:noProof/>
            <w:webHidden/>
          </w:rPr>
          <w:fldChar w:fldCharType="separate"/>
        </w:r>
        <w:r>
          <w:rPr>
            <w:noProof/>
            <w:webHidden/>
          </w:rPr>
          <w:t>6</w:t>
        </w:r>
        <w:r w:rsidR="0031109E">
          <w:rPr>
            <w:noProof/>
            <w:webHidden/>
          </w:rPr>
          <w:fldChar w:fldCharType="end"/>
        </w:r>
      </w:hyperlink>
    </w:p>
    <w:p w14:paraId="7FD8D202" w14:textId="4C8018BB" w:rsidR="0031109E" w:rsidRDefault="001862ED">
      <w:pPr>
        <w:pStyle w:val="TOC3"/>
        <w:rPr>
          <w:rFonts w:asciiTheme="minorHAnsi" w:eastAsiaTheme="minorEastAsia" w:hAnsiTheme="minorHAnsi" w:cstheme="minorBidi"/>
          <w:noProof/>
          <w:sz w:val="22"/>
          <w:szCs w:val="22"/>
        </w:rPr>
      </w:pPr>
      <w:hyperlink w:anchor="_Toc33019288" w:history="1">
        <w:r w:rsidR="0031109E" w:rsidRPr="00224F9E">
          <w:rPr>
            <w:rStyle w:val="Hyperlink"/>
            <w:noProof/>
            <w:lang w:val="fr-FR"/>
          </w:rPr>
          <w:t>Analyse sur l’affaire</w:t>
        </w:r>
        <w:r w:rsidR="0031109E">
          <w:rPr>
            <w:noProof/>
            <w:webHidden/>
          </w:rPr>
          <w:tab/>
        </w:r>
        <w:r w:rsidR="0031109E">
          <w:rPr>
            <w:noProof/>
            <w:webHidden/>
          </w:rPr>
          <w:fldChar w:fldCharType="begin"/>
        </w:r>
        <w:r w:rsidR="0031109E">
          <w:rPr>
            <w:noProof/>
            <w:webHidden/>
          </w:rPr>
          <w:instrText xml:space="preserve"> PAGEREF _Toc33019288 \h </w:instrText>
        </w:r>
        <w:r w:rsidR="0031109E">
          <w:rPr>
            <w:noProof/>
            <w:webHidden/>
          </w:rPr>
        </w:r>
        <w:r w:rsidR="0031109E">
          <w:rPr>
            <w:noProof/>
            <w:webHidden/>
          </w:rPr>
          <w:fldChar w:fldCharType="separate"/>
        </w:r>
        <w:r>
          <w:rPr>
            <w:noProof/>
            <w:webHidden/>
          </w:rPr>
          <w:t>8</w:t>
        </w:r>
        <w:r w:rsidR="0031109E">
          <w:rPr>
            <w:noProof/>
            <w:webHidden/>
          </w:rPr>
          <w:fldChar w:fldCharType="end"/>
        </w:r>
      </w:hyperlink>
    </w:p>
    <w:p w14:paraId="3BFD932F" w14:textId="12EA09CE" w:rsidR="0031109E" w:rsidRDefault="001862ED">
      <w:pPr>
        <w:pStyle w:val="TOC2"/>
        <w:rPr>
          <w:rFonts w:asciiTheme="minorHAnsi" w:eastAsiaTheme="minorEastAsia" w:hAnsiTheme="minorHAnsi" w:cstheme="minorBidi"/>
          <w:noProof/>
          <w:sz w:val="22"/>
          <w:szCs w:val="22"/>
        </w:rPr>
      </w:pPr>
      <w:hyperlink w:anchor="_Toc33019289" w:history="1">
        <w:r w:rsidR="0031109E" w:rsidRPr="00224F9E">
          <w:rPr>
            <w:rStyle w:val="Hyperlink"/>
            <w:noProof/>
            <w:lang w:val="fr-FR"/>
          </w:rPr>
          <w:t>B.</w:t>
        </w:r>
        <w:r w:rsidR="0031109E">
          <w:rPr>
            <w:rFonts w:asciiTheme="minorHAnsi" w:eastAsiaTheme="minorEastAsia" w:hAnsiTheme="minorHAnsi" w:cstheme="minorBidi"/>
            <w:noProof/>
            <w:sz w:val="22"/>
            <w:szCs w:val="22"/>
          </w:rPr>
          <w:tab/>
        </w:r>
        <w:r w:rsidR="0031109E" w:rsidRPr="00224F9E">
          <w:rPr>
            <w:rStyle w:val="Hyperlink"/>
            <w:noProof/>
            <w:lang w:val="fr-FR"/>
          </w:rPr>
          <w:t>Droits à la liberté de déplacement et de résidence et droits de l’enfant, en rapport avec l’article 1.1 de la Convention américaine</w:t>
        </w:r>
        <w:r w:rsidR="0031109E">
          <w:rPr>
            <w:noProof/>
            <w:webHidden/>
          </w:rPr>
          <w:tab/>
        </w:r>
        <w:r w:rsidR="0031109E">
          <w:rPr>
            <w:noProof/>
            <w:webHidden/>
          </w:rPr>
          <w:fldChar w:fldCharType="begin"/>
        </w:r>
        <w:r w:rsidR="0031109E">
          <w:rPr>
            <w:noProof/>
            <w:webHidden/>
          </w:rPr>
          <w:instrText xml:space="preserve"> PAGEREF _Toc33019289 \h </w:instrText>
        </w:r>
        <w:r w:rsidR="0031109E">
          <w:rPr>
            <w:noProof/>
            <w:webHidden/>
          </w:rPr>
        </w:r>
        <w:r w:rsidR="0031109E">
          <w:rPr>
            <w:noProof/>
            <w:webHidden/>
          </w:rPr>
          <w:fldChar w:fldCharType="separate"/>
        </w:r>
        <w:r>
          <w:rPr>
            <w:noProof/>
            <w:webHidden/>
          </w:rPr>
          <w:t>9</w:t>
        </w:r>
        <w:r w:rsidR="0031109E">
          <w:rPr>
            <w:noProof/>
            <w:webHidden/>
          </w:rPr>
          <w:fldChar w:fldCharType="end"/>
        </w:r>
      </w:hyperlink>
    </w:p>
    <w:p w14:paraId="0A0440AD" w14:textId="4C943780" w:rsidR="0031109E" w:rsidRDefault="001862ED">
      <w:pPr>
        <w:pStyle w:val="TOC3"/>
        <w:rPr>
          <w:rFonts w:asciiTheme="minorHAnsi" w:eastAsiaTheme="minorEastAsia" w:hAnsiTheme="minorHAnsi" w:cstheme="minorBidi"/>
          <w:noProof/>
          <w:sz w:val="22"/>
          <w:szCs w:val="22"/>
        </w:rPr>
      </w:pPr>
      <w:hyperlink w:anchor="_Toc33019290" w:history="1">
        <w:r w:rsidR="0031109E" w:rsidRPr="00224F9E">
          <w:rPr>
            <w:rStyle w:val="Hyperlink"/>
            <w:noProof/>
            <w:lang w:val="fr-FR"/>
          </w:rPr>
          <w:t>Analyse sur l’affaire</w:t>
        </w:r>
        <w:r w:rsidR="0031109E">
          <w:rPr>
            <w:noProof/>
            <w:webHidden/>
          </w:rPr>
          <w:tab/>
        </w:r>
        <w:r w:rsidR="0031109E">
          <w:rPr>
            <w:noProof/>
            <w:webHidden/>
          </w:rPr>
          <w:fldChar w:fldCharType="begin"/>
        </w:r>
        <w:r w:rsidR="0031109E">
          <w:rPr>
            <w:noProof/>
            <w:webHidden/>
          </w:rPr>
          <w:instrText xml:space="preserve"> PAGEREF _Toc33019290 \h </w:instrText>
        </w:r>
        <w:r w:rsidR="0031109E">
          <w:rPr>
            <w:noProof/>
            <w:webHidden/>
          </w:rPr>
        </w:r>
        <w:r w:rsidR="0031109E">
          <w:rPr>
            <w:noProof/>
            <w:webHidden/>
          </w:rPr>
          <w:fldChar w:fldCharType="separate"/>
        </w:r>
        <w:r>
          <w:rPr>
            <w:noProof/>
            <w:webHidden/>
          </w:rPr>
          <w:t>10</w:t>
        </w:r>
        <w:r w:rsidR="0031109E">
          <w:rPr>
            <w:noProof/>
            <w:webHidden/>
          </w:rPr>
          <w:fldChar w:fldCharType="end"/>
        </w:r>
      </w:hyperlink>
    </w:p>
    <w:p w14:paraId="6031F514" w14:textId="4BFE1CC1" w:rsidR="0031109E" w:rsidRDefault="001862ED">
      <w:pPr>
        <w:pStyle w:val="TOC2"/>
        <w:rPr>
          <w:rFonts w:asciiTheme="minorHAnsi" w:eastAsiaTheme="minorEastAsia" w:hAnsiTheme="minorHAnsi" w:cstheme="minorBidi"/>
          <w:noProof/>
          <w:sz w:val="22"/>
          <w:szCs w:val="22"/>
        </w:rPr>
      </w:pPr>
      <w:hyperlink w:anchor="_Toc33019291" w:history="1">
        <w:r w:rsidR="0031109E" w:rsidRPr="00224F9E">
          <w:rPr>
            <w:rStyle w:val="Hyperlink"/>
            <w:rFonts w:asciiTheme="majorHAnsi" w:hAnsiTheme="majorHAnsi"/>
            <w:noProof/>
            <w:lang w:val="fr-FR"/>
          </w:rPr>
          <w:t>C.</w:t>
        </w:r>
        <w:r w:rsidR="0031109E">
          <w:rPr>
            <w:rFonts w:asciiTheme="minorHAnsi" w:eastAsiaTheme="minorEastAsia" w:hAnsiTheme="minorHAnsi" w:cstheme="minorBidi"/>
            <w:noProof/>
            <w:sz w:val="22"/>
            <w:szCs w:val="22"/>
          </w:rPr>
          <w:tab/>
        </w:r>
        <w:r w:rsidR="0031109E" w:rsidRPr="00224F9E">
          <w:rPr>
            <w:rStyle w:val="Hyperlink"/>
            <w:noProof/>
            <w:lang w:val="fr-FR"/>
          </w:rPr>
          <w:t>Droits aux garanties judiciaires et à la protection judiciaire</w:t>
        </w:r>
        <w:r w:rsidR="0031109E" w:rsidRPr="00224F9E">
          <w:rPr>
            <w:rStyle w:val="Hyperlink"/>
            <w:rFonts w:asciiTheme="majorHAnsi" w:hAnsiTheme="majorHAnsi"/>
            <w:noProof/>
            <w:lang w:val="fr-FR"/>
          </w:rPr>
          <w:t xml:space="preserve"> et droit à l’intégrité de la personne concernant les membres de la famille, </w:t>
        </w:r>
        <w:r w:rsidR="0031109E" w:rsidRPr="00224F9E">
          <w:rPr>
            <w:rStyle w:val="Hyperlink"/>
            <w:noProof/>
            <w:lang w:val="fr-FR"/>
          </w:rPr>
          <w:t>en rapport avec l’article 1.1 de la Convention américaine</w:t>
        </w:r>
        <w:r w:rsidR="0031109E">
          <w:rPr>
            <w:noProof/>
            <w:webHidden/>
          </w:rPr>
          <w:tab/>
        </w:r>
        <w:r w:rsidR="0031109E">
          <w:rPr>
            <w:noProof/>
            <w:webHidden/>
          </w:rPr>
          <w:fldChar w:fldCharType="begin"/>
        </w:r>
        <w:r w:rsidR="0031109E">
          <w:rPr>
            <w:noProof/>
            <w:webHidden/>
          </w:rPr>
          <w:instrText xml:space="preserve"> PAGEREF _Toc33019291 \h </w:instrText>
        </w:r>
        <w:r w:rsidR="0031109E">
          <w:rPr>
            <w:noProof/>
            <w:webHidden/>
          </w:rPr>
        </w:r>
        <w:r w:rsidR="0031109E">
          <w:rPr>
            <w:noProof/>
            <w:webHidden/>
          </w:rPr>
          <w:fldChar w:fldCharType="separate"/>
        </w:r>
        <w:r>
          <w:rPr>
            <w:noProof/>
            <w:webHidden/>
          </w:rPr>
          <w:t>11</w:t>
        </w:r>
        <w:r w:rsidR="0031109E">
          <w:rPr>
            <w:noProof/>
            <w:webHidden/>
          </w:rPr>
          <w:fldChar w:fldCharType="end"/>
        </w:r>
      </w:hyperlink>
    </w:p>
    <w:p w14:paraId="7793DDFF" w14:textId="5405C3BF" w:rsidR="0031109E" w:rsidRDefault="001862ED">
      <w:pPr>
        <w:pStyle w:val="TOC3"/>
        <w:rPr>
          <w:rFonts w:asciiTheme="minorHAnsi" w:eastAsiaTheme="minorEastAsia" w:hAnsiTheme="minorHAnsi" w:cstheme="minorBidi"/>
          <w:noProof/>
          <w:sz w:val="22"/>
          <w:szCs w:val="22"/>
        </w:rPr>
      </w:pPr>
      <w:hyperlink w:anchor="_Toc33019292" w:history="1">
        <w:r w:rsidR="0031109E" w:rsidRPr="00224F9E">
          <w:rPr>
            <w:rStyle w:val="Hyperlink"/>
            <w:noProof/>
            <w:lang w:val="fr-FR"/>
          </w:rPr>
          <w:t>Analyse sur l’affaire</w:t>
        </w:r>
        <w:r w:rsidR="0031109E">
          <w:rPr>
            <w:noProof/>
            <w:webHidden/>
          </w:rPr>
          <w:tab/>
        </w:r>
        <w:r w:rsidR="0031109E">
          <w:rPr>
            <w:noProof/>
            <w:webHidden/>
          </w:rPr>
          <w:fldChar w:fldCharType="begin"/>
        </w:r>
        <w:r w:rsidR="0031109E">
          <w:rPr>
            <w:noProof/>
            <w:webHidden/>
          </w:rPr>
          <w:instrText xml:space="preserve"> PAGEREF _Toc33019292 \h </w:instrText>
        </w:r>
        <w:r w:rsidR="0031109E">
          <w:rPr>
            <w:noProof/>
            <w:webHidden/>
          </w:rPr>
        </w:r>
        <w:r w:rsidR="0031109E">
          <w:rPr>
            <w:noProof/>
            <w:webHidden/>
          </w:rPr>
          <w:fldChar w:fldCharType="separate"/>
        </w:r>
        <w:r>
          <w:rPr>
            <w:noProof/>
            <w:webHidden/>
          </w:rPr>
          <w:t>12</w:t>
        </w:r>
        <w:r w:rsidR="0031109E">
          <w:rPr>
            <w:noProof/>
            <w:webHidden/>
          </w:rPr>
          <w:fldChar w:fldCharType="end"/>
        </w:r>
      </w:hyperlink>
    </w:p>
    <w:p w14:paraId="7EB888C1" w14:textId="57601554" w:rsidR="0031109E" w:rsidRDefault="001862ED">
      <w:pPr>
        <w:pStyle w:val="TOC1"/>
        <w:tabs>
          <w:tab w:val="left" w:pos="1440"/>
          <w:tab w:val="right" w:leader="dot" w:pos="9350"/>
        </w:tabs>
        <w:rPr>
          <w:rFonts w:eastAsiaTheme="minorEastAsia" w:cstheme="minorBidi"/>
          <w:noProof/>
          <w:szCs w:val="22"/>
        </w:rPr>
      </w:pPr>
      <w:hyperlink w:anchor="_Toc33019293" w:history="1">
        <w:r w:rsidR="0031109E" w:rsidRPr="00224F9E">
          <w:rPr>
            <w:rStyle w:val="Hyperlink"/>
            <w:noProof/>
            <w:lang w:val="fr-FR"/>
          </w:rPr>
          <w:t>V.</w:t>
        </w:r>
        <w:r w:rsidR="0031109E">
          <w:rPr>
            <w:rFonts w:eastAsiaTheme="minorEastAsia" w:cstheme="minorBidi"/>
            <w:noProof/>
            <w:szCs w:val="22"/>
          </w:rPr>
          <w:tab/>
        </w:r>
        <w:r w:rsidR="0031109E" w:rsidRPr="00224F9E">
          <w:rPr>
            <w:rStyle w:val="Hyperlink"/>
            <w:noProof/>
            <w:lang w:val="fr-FR"/>
          </w:rPr>
          <w:t>CONCLUSIONS ET RECOMMANDATIONS</w:t>
        </w:r>
        <w:r w:rsidR="0031109E">
          <w:rPr>
            <w:noProof/>
            <w:webHidden/>
          </w:rPr>
          <w:tab/>
        </w:r>
        <w:r w:rsidR="0031109E">
          <w:rPr>
            <w:noProof/>
            <w:webHidden/>
          </w:rPr>
          <w:fldChar w:fldCharType="begin"/>
        </w:r>
        <w:r w:rsidR="0031109E">
          <w:rPr>
            <w:noProof/>
            <w:webHidden/>
          </w:rPr>
          <w:instrText xml:space="preserve"> PAGEREF _Toc33019293 \h </w:instrText>
        </w:r>
        <w:r w:rsidR="0031109E">
          <w:rPr>
            <w:noProof/>
            <w:webHidden/>
          </w:rPr>
        </w:r>
        <w:r w:rsidR="0031109E">
          <w:rPr>
            <w:noProof/>
            <w:webHidden/>
          </w:rPr>
          <w:fldChar w:fldCharType="separate"/>
        </w:r>
        <w:r>
          <w:rPr>
            <w:noProof/>
            <w:webHidden/>
          </w:rPr>
          <w:t>14</w:t>
        </w:r>
        <w:r w:rsidR="0031109E">
          <w:rPr>
            <w:noProof/>
            <w:webHidden/>
          </w:rPr>
          <w:fldChar w:fldCharType="end"/>
        </w:r>
      </w:hyperlink>
    </w:p>
    <w:p w14:paraId="08633D8B" w14:textId="77777777" w:rsidR="008D768D" w:rsidRPr="00545FAE" w:rsidRDefault="006125C3" w:rsidP="0011380E">
      <w:pPr>
        <w:tabs>
          <w:tab w:val="left" w:pos="720"/>
          <w:tab w:val="center" w:pos="5400"/>
        </w:tabs>
        <w:suppressAutoHyphens/>
        <w:spacing w:line="276" w:lineRule="auto"/>
        <w:rPr>
          <w:rFonts w:ascii="Cambria" w:hAnsi="Cambria"/>
          <w:sz w:val="20"/>
          <w:szCs w:val="20"/>
          <w:lang w:val="fr-FR"/>
        </w:rPr>
      </w:pPr>
      <w:r w:rsidRPr="00545FAE">
        <w:rPr>
          <w:rFonts w:ascii="Cambria" w:hAnsi="Cambria"/>
          <w:sz w:val="20"/>
          <w:szCs w:val="20"/>
          <w:lang w:val="fr-FR"/>
        </w:rPr>
        <w:fldChar w:fldCharType="end"/>
      </w:r>
    </w:p>
    <w:p w14:paraId="623CA07C" w14:textId="77777777" w:rsidR="00722C9F" w:rsidRPr="00545FAE" w:rsidRDefault="00722C9F" w:rsidP="0011380E">
      <w:pPr>
        <w:tabs>
          <w:tab w:val="left" w:pos="720"/>
        </w:tabs>
        <w:rPr>
          <w:rFonts w:ascii="Cambria" w:hAnsi="Cambria" w:cs="Calibri"/>
          <w:sz w:val="20"/>
          <w:szCs w:val="20"/>
          <w:lang w:val="fr-FR"/>
        </w:rPr>
      </w:pPr>
      <w:r w:rsidRPr="00545FAE">
        <w:rPr>
          <w:rFonts w:ascii="Cambria" w:hAnsi="Cambria" w:cs="Calibri"/>
          <w:sz w:val="20"/>
          <w:szCs w:val="20"/>
          <w:lang w:val="fr-FR"/>
        </w:rPr>
        <w:br w:type="page"/>
      </w:r>
    </w:p>
    <w:p w14:paraId="4AE5AE95" w14:textId="77777777" w:rsidR="00D12193" w:rsidRPr="00545FAE" w:rsidRDefault="00A03A30" w:rsidP="0011380E">
      <w:pPr>
        <w:pStyle w:val="Heading1"/>
        <w:ind w:left="0" w:firstLine="0"/>
        <w:rPr>
          <w:color w:val="auto"/>
          <w:lang w:val="fr-FR"/>
        </w:rPr>
      </w:pPr>
      <w:bookmarkStart w:id="2" w:name="_Toc534884869"/>
      <w:bookmarkStart w:id="3" w:name="_Toc534884924"/>
      <w:bookmarkStart w:id="4" w:name="_Toc33019279"/>
      <w:r w:rsidRPr="00545FAE">
        <w:rPr>
          <w:color w:val="auto"/>
          <w:lang w:val="fr-FR"/>
        </w:rPr>
        <w:lastRenderedPageBreak/>
        <w:t>INTRODUC</w:t>
      </w:r>
      <w:bookmarkEnd w:id="2"/>
      <w:bookmarkEnd w:id="3"/>
      <w:r w:rsidR="0068449B" w:rsidRPr="00545FAE">
        <w:rPr>
          <w:color w:val="auto"/>
          <w:lang w:val="fr-FR"/>
        </w:rPr>
        <w:t>TION</w:t>
      </w:r>
      <w:bookmarkEnd w:id="4"/>
    </w:p>
    <w:p w14:paraId="6867556E" w14:textId="77777777" w:rsidR="005C4CA5" w:rsidRPr="00545FAE" w:rsidRDefault="005C4CA5" w:rsidP="0011380E">
      <w:pPr>
        <w:suppressAutoHyphens/>
        <w:rPr>
          <w:rFonts w:asciiTheme="majorHAnsi" w:hAnsiTheme="majorHAnsi"/>
          <w:b/>
          <w:sz w:val="20"/>
          <w:szCs w:val="20"/>
          <w:lang w:val="fr-FR"/>
        </w:rPr>
      </w:pPr>
    </w:p>
    <w:p w14:paraId="5F454BDA" w14:textId="77777777" w:rsidR="009014A4" w:rsidRPr="00545FAE" w:rsidRDefault="0068449B" w:rsidP="00977B30">
      <w:pPr>
        <w:pStyle w:val="ListParagraph"/>
        <w:tabs>
          <w:tab w:val="left" w:pos="360"/>
        </w:tabs>
        <w:rPr>
          <w:rFonts w:asciiTheme="majorHAnsi" w:hAnsiTheme="majorHAnsi"/>
          <w:color w:val="auto"/>
          <w:szCs w:val="20"/>
          <w:lang w:val="fr-FR"/>
        </w:rPr>
      </w:pPr>
      <w:r w:rsidRPr="00545FAE">
        <w:rPr>
          <w:rFonts w:asciiTheme="majorHAnsi" w:hAnsiTheme="majorHAnsi"/>
          <w:color w:val="auto"/>
          <w:szCs w:val="20"/>
          <w:lang w:val="fr-FR"/>
        </w:rPr>
        <w:t>Le</w:t>
      </w:r>
      <w:r w:rsidR="005C4CA5" w:rsidRPr="00545FAE">
        <w:rPr>
          <w:rFonts w:asciiTheme="majorHAnsi" w:hAnsiTheme="majorHAnsi"/>
          <w:color w:val="auto"/>
          <w:szCs w:val="20"/>
          <w:lang w:val="fr-FR"/>
        </w:rPr>
        <w:t xml:space="preserve"> </w:t>
      </w:r>
      <w:r w:rsidR="00894D28" w:rsidRPr="00545FAE">
        <w:rPr>
          <w:rFonts w:asciiTheme="majorHAnsi" w:hAnsiTheme="majorHAnsi"/>
          <w:color w:val="auto"/>
          <w:szCs w:val="20"/>
          <w:lang w:val="fr-FR"/>
        </w:rPr>
        <w:t>20</w:t>
      </w:r>
      <w:r w:rsidR="00B863CD" w:rsidRPr="00545FAE">
        <w:rPr>
          <w:rFonts w:asciiTheme="majorHAnsi" w:hAnsiTheme="majorHAnsi"/>
          <w:color w:val="auto"/>
          <w:szCs w:val="20"/>
          <w:lang w:val="fr-FR"/>
        </w:rPr>
        <w:t xml:space="preserve"> </w:t>
      </w:r>
      <w:r w:rsidRPr="00545FAE">
        <w:rPr>
          <w:rFonts w:asciiTheme="majorHAnsi" w:hAnsiTheme="majorHAnsi"/>
          <w:color w:val="auto"/>
          <w:szCs w:val="20"/>
          <w:lang w:val="fr-FR"/>
        </w:rPr>
        <w:t>avril</w:t>
      </w:r>
      <w:r w:rsidR="005C4CA5" w:rsidRPr="00545FAE">
        <w:rPr>
          <w:rFonts w:asciiTheme="majorHAnsi" w:hAnsiTheme="majorHAnsi"/>
          <w:color w:val="auto"/>
          <w:szCs w:val="20"/>
          <w:lang w:val="fr-FR"/>
        </w:rPr>
        <w:t xml:space="preserve"> </w:t>
      </w:r>
      <w:r w:rsidR="00894D28" w:rsidRPr="00545FAE">
        <w:rPr>
          <w:rFonts w:asciiTheme="majorHAnsi" w:hAnsiTheme="majorHAnsi"/>
          <w:color w:val="auto"/>
          <w:szCs w:val="20"/>
          <w:lang w:val="fr-FR"/>
        </w:rPr>
        <w:t>2007</w:t>
      </w:r>
      <w:r w:rsidRPr="00545FAE">
        <w:rPr>
          <w:rFonts w:asciiTheme="majorHAnsi" w:hAnsiTheme="majorHAnsi"/>
          <w:color w:val="auto"/>
          <w:szCs w:val="20"/>
          <w:lang w:val="fr-FR"/>
        </w:rPr>
        <w:t>,</w:t>
      </w:r>
      <w:r w:rsidR="005C4CA5" w:rsidRPr="00545FAE">
        <w:rPr>
          <w:rFonts w:asciiTheme="majorHAnsi" w:hAnsiTheme="majorHAnsi"/>
          <w:color w:val="auto"/>
          <w:szCs w:val="20"/>
          <w:lang w:val="fr-FR"/>
        </w:rPr>
        <w:t xml:space="preserve"> la Com</w:t>
      </w:r>
      <w:r w:rsidRPr="00545FAE">
        <w:rPr>
          <w:rFonts w:asciiTheme="majorHAnsi" w:hAnsiTheme="majorHAnsi"/>
          <w:color w:val="auto"/>
          <w:szCs w:val="20"/>
          <w:lang w:val="fr-FR"/>
        </w:rPr>
        <w:t>m</w:t>
      </w:r>
      <w:r w:rsidR="005C4CA5" w:rsidRPr="00545FAE">
        <w:rPr>
          <w:rFonts w:asciiTheme="majorHAnsi" w:hAnsiTheme="majorHAnsi"/>
          <w:color w:val="auto"/>
          <w:szCs w:val="20"/>
          <w:lang w:val="fr-FR"/>
        </w:rPr>
        <w:t>is</w:t>
      </w:r>
      <w:r w:rsidRPr="00545FAE">
        <w:rPr>
          <w:rFonts w:asciiTheme="majorHAnsi" w:hAnsiTheme="majorHAnsi"/>
          <w:color w:val="auto"/>
          <w:szCs w:val="20"/>
          <w:lang w:val="fr-FR"/>
        </w:rPr>
        <w:t xml:space="preserve">sion interaméricaine </w:t>
      </w:r>
      <w:r w:rsidR="005C4CA5" w:rsidRPr="00545FAE">
        <w:rPr>
          <w:rFonts w:asciiTheme="majorHAnsi" w:hAnsiTheme="majorHAnsi"/>
          <w:color w:val="auto"/>
          <w:szCs w:val="20"/>
          <w:lang w:val="fr-FR"/>
        </w:rPr>
        <w:t>de</w:t>
      </w:r>
      <w:r w:rsidRPr="00545FAE">
        <w:rPr>
          <w:rFonts w:asciiTheme="majorHAnsi" w:hAnsiTheme="majorHAnsi"/>
          <w:color w:val="auto"/>
          <w:szCs w:val="20"/>
          <w:lang w:val="fr-FR"/>
        </w:rPr>
        <w:t>s</w:t>
      </w:r>
      <w:r w:rsidR="005C4CA5" w:rsidRPr="00545FAE">
        <w:rPr>
          <w:rFonts w:asciiTheme="majorHAnsi" w:hAnsiTheme="majorHAnsi"/>
          <w:color w:val="auto"/>
          <w:szCs w:val="20"/>
          <w:lang w:val="fr-FR"/>
        </w:rPr>
        <w:t xml:space="preserve"> </w:t>
      </w:r>
      <w:r w:rsidRPr="00545FAE">
        <w:rPr>
          <w:rFonts w:asciiTheme="majorHAnsi" w:hAnsiTheme="majorHAnsi"/>
          <w:color w:val="auto"/>
          <w:szCs w:val="20"/>
          <w:lang w:val="fr-FR"/>
        </w:rPr>
        <w:t>droits de l’Homme</w:t>
      </w:r>
      <w:r w:rsidR="005C4CA5" w:rsidRPr="00545FAE">
        <w:rPr>
          <w:rFonts w:asciiTheme="majorHAnsi" w:hAnsiTheme="majorHAnsi"/>
          <w:color w:val="auto"/>
          <w:szCs w:val="20"/>
          <w:lang w:val="fr-FR"/>
        </w:rPr>
        <w:t xml:space="preserve"> (</w:t>
      </w:r>
      <w:r w:rsidRPr="00545FAE">
        <w:rPr>
          <w:rFonts w:asciiTheme="majorHAnsi" w:hAnsiTheme="majorHAnsi"/>
          <w:color w:val="auto"/>
          <w:szCs w:val="20"/>
          <w:lang w:val="fr-FR"/>
        </w:rPr>
        <w:t>ci-après, « </w:t>
      </w:r>
      <w:r w:rsidR="005C4CA5" w:rsidRPr="00545FAE">
        <w:rPr>
          <w:rFonts w:asciiTheme="majorHAnsi" w:hAnsiTheme="majorHAnsi"/>
          <w:color w:val="auto"/>
          <w:szCs w:val="20"/>
          <w:lang w:val="fr-FR"/>
        </w:rPr>
        <w:t>la Com</w:t>
      </w:r>
      <w:r w:rsidRPr="00545FAE">
        <w:rPr>
          <w:rFonts w:asciiTheme="majorHAnsi" w:hAnsiTheme="majorHAnsi"/>
          <w:color w:val="auto"/>
          <w:szCs w:val="20"/>
          <w:lang w:val="fr-FR"/>
        </w:rPr>
        <w:t>m</w:t>
      </w:r>
      <w:r w:rsidR="005C4CA5" w:rsidRPr="00545FAE">
        <w:rPr>
          <w:rFonts w:asciiTheme="majorHAnsi" w:hAnsiTheme="majorHAnsi"/>
          <w:color w:val="auto"/>
          <w:szCs w:val="20"/>
          <w:lang w:val="fr-FR"/>
        </w:rPr>
        <w:t>is</w:t>
      </w:r>
      <w:r w:rsidRPr="00545FAE">
        <w:rPr>
          <w:rFonts w:asciiTheme="majorHAnsi" w:hAnsiTheme="majorHAnsi"/>
          <w:color w:val="auto"/>
          <w:szCs w:val="20"/>
          <w:lang w:val="fr-FR"/>
        </w:rPr>
        <w:t>sion interaméricaine », « </w:t>
      </w:r>
      <w:r w:rsidR="005C4CA5" w:rsidRPr="00545FAE">
        <w:rPr>
          <w:rFonts w:asciiTheme="majorHAnsi" w:hAnsiTheme="majorHAnsi"/>
          <w:color w:val="auto"/>
          <w:szCs w:val="20"/>
          <w:lang w:val="fr-FR"/>
        </w:rPr>
        <w:t>la Co</w:t>
      </w:r>
      <w:r w:rsidRPr="00545FAE">
        <w:rPr>
          <w:rFonts w:asciiTheme="majorHAnsi" w:hAnsiTheme="majorHAnsi"/>
          <w:color w:val="auto"/>
          <w:szCs w:val="20"/>
          <w:lang w:val="fr-FR"/>
        </w:rPr>
        <w:t>m</w:t>
      </w:r>
      <w:r w:rsidR="005C4CA5" w:rsidRPr="00545FAE">
        <w:rPr>
          <w:rFonts w:asciiTheme="majorHAnsi" w:hAnsiTheme="majorHAnsi"/>
          <w:color w:val="auto"/>
          <w:szCs w:val="20"/>
          <w:lang w:val="fr-FR"/>
        </w:rPr>
        <w:t>mis</w:t>
      </w:r>
      <w:r w:rsidRPr="00545FAE">
        <w:rPr>
          <w:rFonts w:asciiTheme="majorHAnsi" w:hAnsiTheme="majorHAnsi"/>
          <w:color w:val="auto"/>
          <w:szCs w:val="20"/>
          <w:lang w:val="fr-FR"/>
        </w:rPr>
        <w:t>sion »</w:t>
      </w:r>
      <w:r w:rsidR="005C4CA5" w:rsidRPr="00545FAE">
        <w:rPr>
          <w:rFonts w:asciiTheme="majorHAnsi" w:hAnsiTheme="majorHAnsi"/>
          <w:color w:val="auto"/>
          <w:szCs w:val="20"/>
          <w:lang w:val="fr-FR"/>
        </w:rPr>
        <w:t xml:space="preserve"> o</w:t>
      </w:r>
      <w:r w:rsidRPr="00545FAE">
        <w:rPr>
          <w:rFonts w:asciiTheme="majorHAnsi" w:hAnsiTheme="majorHAnsi"/>
          <w:color w:val="auto"/>
          <w:szCs w:val="20"/>
          <w:lang w:val="fr-FR"/>
        </w:rPr>
        <w:t>u « la CIDH »</w:t>
      </w:r>
      <w:r w:rsidR="00423AE1" w:rsidRPr="00545FAE">
        <w:rPr>
          <w:rFonts w:asciiTheme="majorHAnsi" w:hAnsiTheme="majorHAnsi"/>
          <w:color w:val="auto"/>
          <w:szCs w:val="20"/>
          <w:lang w:val="fr-FR"/>
        </w:rPr>
        <w:t>) a reçu une pétition présentée par M. </w:t>
      </w:r>
      <w:r w:rsidR="00894D28" w:rsidRPr="00545FAE">
        <w:rPr>
          <w:rFonts w:asciiTheme="majorHAnsi" w:hAnsiTheme="majorHAnsi"/>
          <w:color w:val="auto"/>
          <w:szCs w:val="20"/>
          <w:lang w:val="fr-FR"/>
        </w:rPr>
        <w:t xml:space="preserve">Baptiste Willer, </w:t>
      </w:r>
      <w:r w:rsidR="00B224A7" w:rsidRPr="00545FAE">
        <w:rPr>
          <w:rFonts w:asciiTheme="majorHAnsi" w:hAnsiTheme="majorHAnsi"/>
          <w:color w:val="auto"/>
          <w:szCs w:val="20"/>
          <w:lang w:val="fr-FR"/>
        </w:rPr>
        <w:t>qui bénéficie actuellement de l’aide de l’</w:t>
      </w:r>
      <w:r w:rsidR="00894D28" w:rsidRPr="00545FAE">
        <w:rPr>
          <w:rFonts w:asciiTheme="majorHAnsi" w:hAnsiTheme="majorHAnsi"/>
          <w:color w:val="auto"/>
          <w:szCs w:val="20"/>
          <w:lang w:val="fr-FR"/>
        </w:rPr>
        <w:t>African Canadi</w:t>
      </w:r>
      <w:r w:rsidR="00EE5A2C" w:rsidRPr="00545FAE">
        <w:rPr>
          <w:rFonts w:asciiTheme="majorHAnsi" w:hAnsiTheme="majorHAnsi"/>
          <w:color w:val="auto"/>
          <w:szCs w:val="20"/>
          <w:lang w:val="fr-FR"/>
        </w:rPr>
        <w:t>an</w:t>
      </w:r>
      <w:r w:rsidR="00894D28" w:rsidRPr="00545FAE">
        <w:rPr>
          <w:rFonts w:asciiTheme="majorHAnsi" w:hAnsiTheme="majorHAnsi"/>
          <w:color w:val="auto"/>
          <w:szCs w:val="20"/>
          <w:lang w:val="fr-FR"/>
        </w:rPr>
        <w:t xml:space="preserve"> Legal Clinic</w:t>
      </w:r>
      <w:r w:rsidR="005C4CA5" w:rsidRPr="00545FAE">
        <w:rPr>
          <w:rFonts w:asciiTheme="majorHAnsi" w:hAnsiTheme="majorHAnsi"/>
          <w:color w:val="auto"/>
          <w:szCs w:val="20"/>
          <w:lang w:val="fr-FR"/>
        </w:rPr>
        <w:t xml:space="preserve"> </w:t>
      </w:r>
      <w:r w:rsidR="0058449C" w:rsidRPr="00545FAE">
        <w:rPr>
          <w:rFonts w:asciiTheme="majorHAnsi" w:hAnsiTheme="majorHAnsi"/>
          <w:color w:val="auto"/>
          <w:szCs w:val="20"/>
          <w:lang w:val="fr-FR"/>
        </w:rPr>
        <w:t>(</w:t>
      </w:r>
      <w:r w:rsidR="00B224A7" w:rsidRPr="00545FAE">
        <w:rPr>
          <w:rFonts w:asciiTheme="majorHAnsi" w:hAnsiTheme="majorHAnsi"/>
          <w:color w:val="auto"/>
          <w:szCs w:val="20"/>
          <w:lang w:val="fr-FR"/>
        </w:rPr>
        <w:t>ci-après, « </w:t>
      </w:r>
      <w:r w:rsidR="00406258" w:rsidRPr="00545FAE">
        <w:rPr>
          <w:rFonts w:asciiTheme="majorHAnsi" w:hAnsiTheme="majorHAnsi"/>
          <w:color w:val="auto"/>
          <w:szCs w:val="20"/>
          <w:lang w:val="fr-FR"/>
        </w:rPr>
        <w:t>l</w:t>
      </w:r>
      <w:r w:rsidR="007C6B47" w:rsidRPr="00545FAE">
        <w:rPr>
          <w:rFonts w:asciiTheme="majorHAnsi" w:hAnsiTheme="majorHAnsi"/>
          <w:color w:val="auto"/>
          <w:szCs w:val="20"/>
          <w:lang w:val="fr-FR"/>
        </w:rPr>
        <w:t>a part</w:t>
      </w:r>
      <w:r w:rsidR="00B224A7" w:rsidRPr="00545FAE">
        <w:rPr>
          <w:rFonts w:asciiTheme="majorHAnsi" w:hAnsiTheme="majorHAnsi"/>
          <w:color w:val="auto"/>
          <w:szCs w:val="20"/>
          <w:lang w:val="fr-FR"/>
        </w:rPr>
        <w:t>i</w:t>
      </w:r>
      <w:r w:rsidR="007C6B47" w:rsidRPr="00545FAE">
        <w:rPr>
          <w:rFonts w:asciiTheme="majorHAnsi" w:hAnsiTheme="majorHAnsi"/>
          <w:color w:val="auto"/>
          <w:szCs w:val="20"/>
          <w:lang w:val="fr-FR"/>
        </w:rPr>
        <w:t xml:space="preserve">e </w:t>
      </w:r>
      <w:r w:rsidR="00B224A7" w:rsidRPr="00545FAE">
        <w:rPr>
          <w:rFonts w:asciiTheme="majorHAnsi" w:hAnsiTheme="majorHAnsi"/>
          <w:color w:val="auto"/>
          <w:szCs w:val="20"/>
          <w:lang w:val="fr-FR"/>
        </w:rPr>
        <w:t>requérante »</w:t>
      </w:r>
      <w:r w:rsidR="0058449C" w:rsidRPr="00545FAE">
        <w:rPr>
          <w:rFonts w:asciiTheme="majorHAnsi" w:hAnsiTheme="majorHAnsi"/>
          <w:color w:val="auto"/>
          <w:szCs w:val="20"/>
          <w:lang w:val="fr-FR"/>
        </w:rPr>
        <w:t>)</w:t>
      </w:r>
      <w:r w:rsidR="00DC667A" w:rsidRPr="00545FAE">
        <w:rPr>
          <w:rFonts w:asciiTheme="majorHAnsi" w:hAnsiTheme="majorHAnsi"/>
          <w:color w:val="auto"/>
          <w:szCs w:val="20"/>
          <w:lang w:val="fr-FR"/>
        </w:rPr>
        <w:t>,</w:t>
      </w:r>
      <w:r w:rsidR="005C4CA5" w:rsidRPr="00545FAE">
        <w:rPr>
          <w:rFonts w:asciiTheme="majorHAnsi" w:hAnsiTheme="majorHAnsi"/>
          <w:color w:val="auto"/>
          <w:szCs w:val="20"/>
          <w:lang w:val="fr-FR"/>
        </w:rPr>
        <w:t xml:space="preserve"> </w:t>
      </w:r>
      <w:r w:rsidR="00B224A7" w:rsidRPr="00545FAE">
        <w:rPr>
          <w:rFonts w:asciiTheme="majorHAnsi" w:hAnsiTheme="majorHAnsi"/>
          <w:color w:val="auto"/>
          <w:szCs w:val="20"/>
          <w:lang w:val="fr-FR"/>
        </w:rPr>
        <w:t xml:space="preserve">dans laquelle il invoque la responsabilité internationale de la République d’Haïti (ci-après, « l’État », « Haïti » ou « l’État haïtien ») </w:t>
      </w:r>
      <w:r w:rsidR="00AC659C" w:rsidRPr="00545FAE">
        <w:rPr>
          <w:rFonts w:asciiTheme="majorHAnsi" w:hAnsiTheme="majorHAnsi"/>
          <w:color w:val="auto"/>
          <w:szCs w:val="20"/>
          <w:lang w:val="fr-FR"/>
        </w:rPr>
        <w:t>concernant</w:t>
      </w:r>
      <w:r w:rsidR="00B224A7" w:rsidRPr="00545FAE">
        <w:rPr>
          <w:rFonts w:asciiTheme="majorHAnsi" w:hAnsiTheme="majorHAnsi"/>
          <w:color w:val="auto"/>
          <w:szCs w:val="20"/>
          <w:lang w:val="fr-FR"/>
        </w:rPr>
        <w:t xml:space="preserve"> les menaces et la tentative d’homicide dont il a fait l’ob</w:t>
      </w:r>
      <w:r w:rsidR="00AC659C" w:rsidRPr="00545FAE">
        <w:rPr>
          <w:rFonts w:asciiTheme="majorHAnsi" w:hAnsiTheme="majorHAnsi"/>
          <w:color w:val="auto"/>
          <w:szCs w:val="20"/>
          <w:lang w:val="fr-FR"/>
        </w:rPr>
        <w:t>jet, l’assassinat de son frère mineur</w:t>
      </w:r>
      <w:r w:rsidR="00B224A7" w:rsidRPr="00545FAE">
        <w:rPr>
          <w:rFonts w:asciiTheme="majorHAnsi" w:hAnsiTheme="majorHAnsi"/>
          <w:color w:val="auto"/>
          <w:szCs w:val="20"/>
          <w:lang w:val="fr-FR"/>
        </w:rPr>
        <w:t>, M. </w:t>
      </w:r>
      <w:r w:rsidR="00FE596B" w:rsidRPr="00545FAE">
        <w:rPr>
          <w:rFonts w:asciiTheme="majorHAnsi" w:hAnsiTheme="majorHAnsi"/>
          <w:color w:val="auto"/>
          <w:szCs w:val="20"/>
          <w:lang w:val="fr-FR"/>
        </w:rPr>
        <w:t>Frédo Guirant (o</w:t>
      </w:r>
      <w:r w:rsidR="00B224A7" w:rsidRPr="00545FAE">
        <w:rPr>
          <w:rFonts w:asciiTheme="majorHAnsi" w:hAnsiTheme="majorHAnsi"/>
          <w:color w:val="auto"/>
          <w:szCs w:val="20"/>
          <w:lang w:val="fr-FR"/>
        </w:rPr>
        <w:t>u</w:t>
      </w:r>
      <w:r w:rsidR="00FE596B" w:rsidRPr="00545FAE">
        <w:rPr>
          <w:rFonts w:asciiTheme="majorHAnsi" w:hAnsiTheme="majorHAnsi"/>
          <w:color w:val="auto"/>
          <w:szCs w:val="20"/>
          <w:lang w:val="fr-FR"/>
        </w:rPr>
        <w:t xml:space="preserve"> Guirand)</w:t>
      </w:r>
      <w:r w:rsidR="00AC659C" w:rsidRPr="00545FAE">
        <w:rPr>
          <w:rFonts w:asciiTheme="majorHAnsi" w:hAnsiTheme="majorHAnsi"/>
          <w:color w:val="auto"/>
          <w:szCs w:val="20"/>
          <w:lang w:val="fr-FR"/>
        </w:rPr>
        <w:t xml:space="preserve">, </w:t>
      </w:r>
      <w:r w:rsidR="00B224A7" w:rsidRPr="00545FAE">
        <w:rPr>
          <w:rFonts w:asciiTheme="majorHAnsi" w:hAnsiTheme="majorHAnsi"/>
          <w:color w:val="auto"/>
          <w:szCs w:val="20"/>
          <w:lang w:val="fr-FR"/>
        </w:rPr>
        <w:t xml:space="preserve">et l’impunité </w:t>
      </w:r>
      <w:r w:rsidR="00E57804" w:rsidRPr="00545FAE">
        <w:rPr>
          <w:rFonts w:asciiTheme="majorHAnsi" w:hAnsiTheme="majorHAnsi"/>
          <w:color w:val="auto"/>
          <w:szCs w:val="20"/>
          <w:lang w:val="fr-FR"/>
        </w:rPr>
        <w:t>qui prévaut en Haïti pour ces faits</w:t>
      </w:r>
      <w:r w:rsidR="005C4CA5" w:rsidRPr="00545FAE">
        <w:rPr>
          <w:rFonts w:asciiTheme="majorHAnsi" w:hAnsiTheme="majorHAnsi"/>
          <w:color w:val="auto"/>
          <w:szCs w:val="20"/>
          <w:lang w:val="fr-FR"/>
        </w:rPr>
        <w:t xml:space="preserve">. </w:t>
      </w:r>
    </w:p>
    <w:p w14:paraId="007BE3CF" w14:textId="77777777" w:rsidR="009014A4" w:rsidRPr="00545FAE" w:rsidRDefault="009014A4" w:rsidP="0011380E">
      <w:pPr>
        <w:pStyle w:val="ListParagraph"/>
        <w:numPr>
          <w:ilvl w:val="0"/>
          <w:numId w:val="0"/>
        </w:numPr>
        <w:rPr>
          <w:rFonts w:asciiTheme="majorHAnsi" w:hAnsiTheme="majorHAnsi"/>
          <w:color w:val="auto"/>
          <w:szCs w:val="20"/>
          <w:lang w:val="fr-FR"/>
        </w:rPr>
      </w:pPr>
    </w:p>
    <w:p w14:paraId="2BDF281C" w14:textId="77777777" w:rsidR="00311990" w:rsidRPr="00545FAE" w:rsidRDefault="009014A4" w:rsidP="00941E39">
      <w:pPr>
        <w:pStyle w:val="ListParagraph"/>
        <w:tabs>
          <w:tab w:val="left" w:pos="360"/>
        </w:tabs>
        <w:rPr>
          <w:rFonts w:asciiTheme="majorHAnsi" w:hAnsiTheme="majorHAnsi"/>
          <w:color w:val="auto"/>
          <w:szCs w:val="20"/>
          <w:lang w:val="fr-FR"/>
        </w:rPr>
      </w:pPr>
      <w:r w:rsidRPr="00545FAE">
        <w:rPr>
          <w:lang w:val="fr-FR"/>
        </w:rPr>
        <w:t>La Com</w:t>
      </w:r>
      <w:r w:rsidR="00875A2C" w:rsidRPr="00545FAE">
        <w:rPr>
          <w:lang w:val="fr-FR"/>
        </w:rPr>
        <w:t>m</w:t>
      </w:r>
      <w:r w:rsidRPr="00545FAE">
        <w:rPr>
          <w:lang w:val="fr-FR"/>
        </w:rPr>
        <w:t>i</w:t>
      </w:r>
      <w:r w:rsidR="00875A2C" w:rsidRPr="00545FAE">
        <w:rPr>
          <w:lang w:val="fr-FR"/>
        </w:rPr>
        <w:t>s</w:t>
      </w:r>
      <w:r w:rsidRPr="00545FAE">
        <w:rPr>
          <w:lang w:val="fr-FR"/>
        </w:rPr>
        <w:t>si</w:t>
      </w:r>
      <w:r w:rsidR="00875A2C" w:rsidRPr="00545FAE">
        <w:rPr>
          <w:lang w:val="fr-FR"/>
        </w:rPr>
        <w:t>o</w:t>
      </w:r>
      <w:r w:rsidRPr="00545FAE">
        <w:rPr>
          <w:lang w:val="fr-FR"/>
        </w:rPr>
        <w:t xml:space="preserve">n </w:t>
      </w:r>
      <w:r w:rsidR="00875A2C" w:rsidRPr="00545FAE">
        <w:rPr>
          <w:lang w:val="fr-FR"/>
        </w:rPr>
        <w:t>a approuvé le rapport de recevabilité n°</w:t>
      </w:r>
      <w:r w:rsidR="00CD2F3B" w:rsidRPr="00545FAE">
        <w:rPr>
          <w:lang w:val="fr-FR"/>
        </w:rPr>
        <w:t>2</w:t>
      </w:r>
      <w:r w:rsidR="0045647B" w:rsidRPr="00545FAE">
        <w:rPr>
          <w:lang w:val="fr-FR"/>
        </w:rPr>
        <w:t>1</w:t>
      </w:r>
      <w:r w:rsidRPr="00545FAE">
        <w:rPr>
          <w:lang w:val="fr-FR"/>
        </w:rPr>
        <w:t>/</w:t>
      </w:r>
      <w:r w:rsidR="00CD2F3B" w:rsidRPr="00545FAE">
        <w:rPr>
          <w:lang w:val="fr-FR"/>
        </w:rPr>
        <w:t>1</w:t>
      </w:r>
      <w:r w:rsidR="0045647B" w:rsidRPr="00545FAE">
        <w:rPr>
          <w:lang w:val="fr-FR"/>
        </w:rPr>
        <w:t>4</w:t>
      </w:r>
      <w:r w:rsidR="00875A2C" w:rsidRPr="00545FAE">
        <w:rPr>
          <w:lang w:val="fr-FR"/>
        </w:rPr>
        <w:t xml:space="preserve"> </w:t>
      </w:r>
      <w:r w:rsidRPr="00545FAE">
        <w:rPr>
          <w:lang w:val="fr-FR"/>
        </w:rPr>
        <w:t>l</w:t>
      </w:r>
      <w:r w:rsidR="00875A2C" w:rsidRPr="00545FAE">
        <w:rPr>
          <w:lang w:val="fr-FR"/>
        </w:rPr>
        <w:t>e</w:t>
      </w:r>
      <w:r w:rsidRPr="00545FAE">
        <w:rPr>
          <w:lang w:val="fr-FR"/>
        </w:rPr>
        <w:t xml:space="preserve"> </w:t>
      </w:r>
      <w:r w:rsidR="00B3721F" w:rsidRPr="00545FAE">
        <w:rPr>
          <w:lang w:val="fr-FR"/>
        </w:rPr>
        <w:t>4</w:t>
      </w:r>
      <w:r w:rsidR="00875A2C" w:rsidRPr="00545FAE">
        <w:rPr>
          <w:lang w:val="fr-FR"/>
        </w:rPr>
        <w:t xml:space="preserve"> avril </w:t>
      </w:r>
      <w:r w:rsidR="00F07CE3" w:rsidRPr="00545FAE">
        <w:rPr>
          <w:lang w:val="fr-FR"/>
        </w:rPr>
        <w:t>20</w:t>
      </w:r>
      <w:r w:rsidR="00B3721F" w:rsidRPr="00545FAE">
        <w:rPr>
          <w:lang w:val="fr-FR"/>
        </w:rPr>
        <w:t>1</w:t>
      </w:r>
      <w:r w:rsidR="0045647B" w:rsidRPr="00545FAE">
        <w:rPr>
          <w:lang w:val="fr-FR"/>
        </w:rPr>
        <w:t>4</w:t>
      </w:r>
      <w:r w:rsidRPr="00545FAE">
        <w:rPr>
          <w:rStyle w:val="FootnoteReference"/>
          <w:rFonts w:asciiTheme="majorHAnsi" w:hAnsiTheme="majorHAnsi"/>
          <w:color w:val="auto"/>
          <w:szCs w:val="20"/>
          <w:lang w:val="fr-FR"/>
        </w:rPr>
        <w:footnoteReference w:id="2"/>
      </w:r>
      <w:r w:rsidR="00AF7988" w:rsidRPr="00545FAE">
        <w:rPr>
          <w:lang w:val="fr-FR"/>
        </w:rPr>
        <w:t xml:space="preserve">. </w:t>
      </w:r>
      <w:r w:rsidR="00875A2C" w:rsidRPr="00545FAE">
        <w:rPr>
          <w:lang w:val="fr-FR"/>
        </w:rPr>
        <w:t xml:space="preserve">Le </w:t>
      </w:r>
      <w:r w:rsidR="007A29FD" w:rsidRPr="00545FAE">
        <w:rPr>
          <w:lang w:val="fr-FR"/>
        </w:rPr>
        <w:t>2</w:t>
      </w:r>
      <w:r w:rsidR="009011F2" w:rsidRPr="00545FAE">
        <w:rPr>
          <w:lang w:val="fr-FR"/>
        </w:rPr>
        <w:t>8</w:t>
      </w:r>
      <w:r w:rsidR="00875A2C" w:rsidRPr="00545FAE">
        <w:rPr>
          <w:lang w:val="fr-FR"/>
        </w:rPr>
        <w:t xml:space="preserve"> </w:t>
      </w:r>
      <w:r w:rsidR="009011F2" w:rsidRPr="00545FAE">
        <w:rPr>
          <w:lang w:val="fr-FR"/>
        </w:rPr>
        <w:t>a</w:t>
      </w:r>
      <w:r w:rsidR="00875A2C" w:rsidRPr="00545FAE">
        <w:rPr>
          <w:lang w:val="fr-FR"/>
        </w:rPr>
        <w:t xml:space="preserve">vril </w:t>
      </w:r>
      <w:r w:rsidR="00570AD5" w:rsidRPr="00545FAE">
        <w:rPr>
          <w:lang w:val="fr-FR"/>
        </w:rPr>
        <w:t>20</w:t>
      </w:r>
      <w:r w:rsidR="009011F2" w:rsidRPr="00545FAE">
        <w:rPr>
          <w:lang w:val="fr-FR"/>
        </w:rPr>
        <w:t>1</w:t>
      </w:r>
      <w:r w:rsidR="007A29FD" w:rsidRPr="00545FAE">
        <w:rPr>
          <w:lang w:val="fr-FR"/>
        </w:rPr>
        <w:t>4</w:t>
      </w:r>
      <w:r w:rsidR="00875A2C" w:rsidRPr="00545FAE">
        <w:rPr>
          <w:lang w:val="fr-FR"/>
        </w:rPr>
        <w:t>,</w:t>
      </w:r>
      <w:r w:rsidRPr="00545FAE">
        <w:rPr>
          <w:lang w:val="fr-FR"/>
        </w:rPr>
        <w:t xml:space="preserve"> la Com</w:t>
      </w:r>
      <w:r w:rsidR="000225D8" w:rsidRPr="00545FAE">
        <w:rPr>
          <w:lang w:val="fr-FR"/>
        </w:rPr>
        <w:t>m</w:t>
      </w:r>
      <w:r w:rsidRPr="00545FAE">
        <w:rPr>
          <w:lang w:val="fr-FR"/>
        </w:rPr>
        <w:t>is</w:t>
      </w:r>
      <w:r w:rsidR="000225D8" w:rsidRPr="00545FAE">
        <w:rPr>
          <w:lang w:val="fr-FR"/>
        </w:rPr>
        <w:t>sion a notifié l’adoption de ce rapport aux parties et s’est mise à leur disposition afin de parvenir à un règlement à l’amiable</w:t>
      </w:r>
      <w:r w:rsidR="00E06B33" w:rsidRPr="00545FAE">
        <w:rPr>
          <w:lang w:val="fr-FR"/>
        </w:rPr>
        <w:t xml:space="preserve">. Les conditions visant à procéder à un accord n’ont pas été </w:t>
      </w:r>
      <w:r w:rsidR="00AC659C" w:rsidRPr="00545FAE">
        <w:rPr>
          <w:lang w:val="fr-FR"/>
        </w:rPr>
        <w:t>réunies</w:t>
      </w:r>
      <w:r w:rsidRPr="00545FAE">
        <w:rPr>
          <w:lang w:val="fr-FR"/>
        </w:rPr>
        <w:t>. L</w:t>
      </w:r>
      <w:r w:rsidR="000225D8" w:rsidRPr="00545FAE">
        <w:rPr>
          <w:lang w:val="fr-FR"/>
        </w:rPr>
        <w:t>es parties ont disposé des délais réglementaires pour soumettre leurs observations additionnelles sur le fond. Toutes les informations reçues ont été dûment communiquées entre les parties</w:t>
      </w:r>
      <w:r w:rsidR="00311990" w:rsidRPr="00545FAE">
        <w:rPr>
          <w:rFonts w:asciiTheme="majorHAnsi" w:hAnsiTheme="majorHAnsi"/>
          <w:color w:val="auto"/>
          <w:szCs w:val="20"/>
          <w:lang w:val="fr-FR"/>
        </w:rPr>
        <w:t>.</w:t>
      </w:r>
    </w:p>
    <w:p w14:paraId="2B127E96" w14:textId="77777777" w:rsidR="009014A4" w:rsidRPr="00545FAE" w:rsidRDefault="009014A4" w:rsidP="00311990">
      <w:pPr>
        <w:pStyle w:val="ListParagraph"/>
        <w:numPr>
          <w:ilvl w:val="0"/>
          <w:numId w:val="0"/>
        </w:numPr>
        <w:rPr>
          <w:rFonts w:asciiTheme="majorHAnsi" w:hAnsiTheme="majorHAnsi"/>
          <w:color w:val="auto"/>
          <w:szCs w:val="20"/>
          <w:lang w:val="fr-FR"/>
        </w:rPr>
      </w:pPr>
      <w:r w:rsidRPr="00545FAE">
        <w:rPr>
          <w:rFonts w:asciiTheme="majorHAnsi" w:hAnsiTheme="majorHAnsi"/>
          <w:color w:val="auto"/>
          <w:szCs w:val="20"/>
          <w:lang w:val="fr-FR"/>
        </w:rPr>
        <w:t xml:space="preserve"> </w:t>
      </w:r>
    </w:p>
    <w:p w14:paraId="7F8EF93F" w14:textId="77777777" w:rsidR="00A4478F" w:rsidRPr="00545FAE" w:rsidRDefault="00D12193" w:rsidP="00A4478F">
      <w:pPr>
        <w:pStyle w:val="Heading1"/>
        <w:ind w:left="0" w:firstLine="0"/>
        <w:rPr>
          <w:color w:val="auto"/>
          <w:lang w:val="fr-FR"/>
        </w:rPr>
      </w:pPr>
      <w:bookmarkStart w:id="5" w:name="_Toc33019280"/>
      <w:r w:rsidRPr="00545FAE">
        <w:rPr>
          <w:color w:val="auto"/>
          <w:lang w:val="fr-FR"/>
        </w:rPr>
        <w:t>AL</w:t>
      </w:r>
      <w:r w:rsidR="00231E47" w:rsidRPr="00545FAE">
        <w:rPr>
          <w:color w:val="auto"/>
          <w:lang w:val="fr-FR"/>
        </w:rPr>
        <w:t>LÉ</w:t>
      </w:r>
      <w:r w:rsidRPr="00545FAE">
        <w:rPr>
          <w:color w:val="auto"/>
          <w:lang w:val="fr-FR"/>
        </w:rPr>
        <w:t>GAT</w:t>
      </w:r>
      <w:r w:rsidR="00231E47" w:rsidRPr="00545FAE">
        <w:rPr>
          <w:color w:val="auto"/>
          <w:lang w:val="fr-FR"/>
        </w:rPr>
        <w:t>I</w:t>
      </w:r>
      <w:r w:rsidRPr="00545FAE">
        <w:rPr>
          <w:color w:val="auto"/>
          <w:lang w:val="fr-FR"/>
        </w:rPr>
        <w:t>O</w:t>
      </w:r>
      <w:r w:rsidR="00231E47" w:rsidRPr="00545FAE">
        <w:rPr>
          <w:color w:val="auto"/>
          <w:lang w:val="fr-FR"/>
        </w:rPr>
        <w:t>NS DE</w:t>
      </w:r>
      <w:r w:rsidRPr="00545FAE">
        <w:rPr>
          <w:color w:val="auto"/>
          <w:lang w:val="fr-FR"/>
        </w:rPr>
        <w:t>S PART</w:t>
      </w:r>
      <w:r w:rsidR="00231E47" w:rsidRPr="00545FAE">
        <w:rPr>
          <w:color w:val="auto"/>
          <w:lang w:val="fr-FR"/>
        </w:rPr>
        <w:t>I</w:t>
      </w:r>
      <w:r w:rsidRPr="00545FAE">
        <w:rPr>
          <w:color w:val="auto"/>
          <w:lang w:val="fr-FR"/>
        </w:rPr>
        <w:t>ES</w:t>
      </w:r>
      <w:bookmarkEnd w:id="5"/>
    </w:p>
    <w:p w14:paraId="2AFCE9A6" w14:textId="77777777" w:rsidR="005F3D64" w:rsidRPr="00545FAE" w:rsidRDefault="005F3D64" w:rsidP="005F3D64">
      <w:pPr>
        <w:rPr>
          <w:lang w:val="fr-FR" w:eastAsia="es-ES"/>
        </w:rPr>
      </w:pPr>
    </w:p>
    <w:p w14:paraId="439C5BFF" w14:textId="77777777" w:rsidR="00D12193" w:rsidRPr="00545FAE" w:rsidRDefault="0022273F" w:rsidP="005F3D64">
      <w:pPr>
        <w:pStyle w:val="Heading2"/>
        <w:ind w:left="720" w:hanging="720"/>
        <w:rPr>
          <w:lang w:val="fr-FR"/>
        </w:rPr>
      </w:pPr>
      <w:bookmarkStart w:id="6" w:name="_Toc33019281"/>
      <w:r w:rsidRPr="00545FAE">
        <w:rPr>
          <w:lang w:val="fr-FR"/>
        </w:rPr>
        <w:t>Part</w:t>
      </w:r>
      <w:r w:rsidR="00231E47" w:rsidRPr="00545FAE">
        <w:rPr>
          <w:lang w:val="fr-FR"/>
        </w:rPr>
        <w:t>i</w:t>
      </w:r>
      <w:r w:rsidRPr="00545FAE">
        <w:rPr>
          <w:lang w:val="fr-FR"/>
        </w:rPr>
        <w:t xml:space="preserve">e </w:t>
      </w:r>
      <w:r w:rsidR="00231E47" w:rsidRPr="00545FAE">
        <w:rPr>
          <w:lang w:val="fr-FR"/>
        </w:rPr>
        <w:t>requérante</w:t>
      </w:r>
      <w:bookmarkEnd w:id="6"/>
      <w:r w:rsidRPr="00545FAE">
        <w:rPr>
          <w:lang w:val="fr-FR"/>
        </w:rPr>
        <w:t xml:space="preserve"> </w:t>
      </w:r>
    </w:p>
    <w:p w14:paraId="6082258B" w14:textId="77777777" w:rsidR="0064044A" w:rsidRPr="00545FAE" w:rsidRDefault="0064044A" w:rsidP="0011380E">
      <w:pPr>
        <w:pStyle w:val="ListParagraph"/>
        <w:numPr>
          <w:ilvl w:val="0"/>
          <w:numId w:val="0"/>
        </w:numPr>
        <w:rPr>
          <w:rFonts w:asciiTheme="majorHAnsi" w:hAnsiTheme="majorHAnsi"/>
          <w:color w:val="auto"/>
          <w:szCs w:val="20"/>
          <w:lang w:val="fr-FR"/>
        </w:rPr>
      </w:pPr>
    </w:p>
    <w:p w14:paraId="7BE73283" w14:textId="77777777" w:rsidR="00673D26" w:rsidRPr="00545FAE" w:rsidRDefault="00D04CA5" w:rsidP="00673D26">
      <w:pPr>
        <w:pStyle w:val="ListParagraph"/>
        <w:tabs>
          <w:tab w:val="left" w:pos="360"/>
        </w:tabs>
        <w:rPr>
          <w:rFonts w:asciiTheme="majorHAnsi" w:hAnsiTheme="majorHAnsi"/>
          <w:color w:val="auto"/>
          <w:szCs w:val="20"/>
          <w:lang w:val="fr-FR"/>
        </w:rPr>
      </w:pPr>
      <w:r w:rsidRPr="00545FAE">
        <w:rPr>
          <w:rFonts w:asciiTheme="majorHAnsi" w:hAnsiTheme="majorHAnsi"/>
          <w:color w:val="auto"/>
          <w:szCs w:val="20"/>
          <w:lang w:val="fr-FR"/>
        </w:rPr>
        <w:t>L</w:t>
      </w:r>
      <w:r w:rsidR="007173E4" w:rsidRPr="00545FAE">
        <w:rPr>
          <w:rFonts w:asciiTheme="majorHAnsi" w:hAnsiTheme="majorHAnsi"/>
          <w:color w:val="auto"/>
          <w:szCs w:val="20"/>
          <w:lang w:val="fr-FR"/>
        </w:rPr>
        <w:t>a part</w:t>
      </w:r>
      <w:r w:rsidR="0041705C" w:rsidRPr="00545FAE">
        <w:rPr>
          <w:rFonts w:asciiTheme="majorHAnsi" w:hAnsiTheme="majorHAnsi"/>
          <w:color w:val="auto"/>
          <w:szCs w:val="20"/>
          <w:lang w:val="fr-FR"/>
        </w:rPr>
        <w:t>ie requérante allègue que</w:t>
      </w:r>
      <w:r w:rsidR="00231E47" w:rsidRPr="00545FAE">
        <w:rPr>
          <w:rFonts w:asciiTheme="majorHAnsi" w:hAnsiTheme="majorHAnsi"/>
          <w:color w:val="auto"/>
          <w:szCs w:val="20"/>
          <w:lang w:val="fr-FR"/>
        </w:rPr>
        <w:t xml:space="preserve"> la République d’Haïti </w:t>
      </w:r>
      <w:r w:rsidR="0041705C" w:rsidRPr="00545FAE">
        <w:rPr>
          <w:rFonts w:asciiTheme="majorHAnsi" w:hAnsiTheme="majorHAnsi"/>
          <w:color w:val="auto"/>
          <w:szCs w:val="20"/>
          <w:lang w:val="fr-FR"/>
        </w:rPr>
        <w:t>a manqué à</w:t>
      </w:r>
      <w:r w:rsidR="00231E47" w:rsidRPr="00545FAE">
        <w:rPr>
          <w:rFonts w:asciiTheme="majorHAnsi" w:hAnsiTheme="majorHAnsi"/>
          <w:color w:val="auto"/>
          <w:szCs w:val="20"/>
          <w:lang w:val="fr-FR"/>
        </w:rPr>
        <w:t xml:space="preserve"> ses obligations de protection </w:t>
      </w:r>
      <w:r w:rsidR="007173E4" w:rsidRPr="00545FAE">
        <w:rPr>
          <w:rFonts w:asciiTheme="majorHAnsi" w:hAnsiTheme="majorHAnsi"/>
          <w:color w:val="auto"/>
          <w:szCs w:val="20"/>
          <w:lang w:val="fr-FR"/>
        </w:rPr>
        <w:t>e</w:t>
      </w:r>
      <w:r w:rsidR="0041705C" w:rsidRPr="00545FAE">
        <w:rPr>
          <w:rFonts w:asciiTheme="majorHAnsi" w:hAnsiTheme="majorHAnsi"/>
          <w:color w:val="auto"/>
          <w:szCs w:val="20"/>
          <w:lang w:val="fr-FR"/>
        </w:rPr>
        <w:t xml:space="preserve">t de bonne administration de la justice, alors que M. </w:t>
      </w:r>
      <w:r w:rsidR="00432964" w:rsidRPr="00545FAE">
        <w:rPr>
          <w:rFonts w:asciiTheme="majorHAnsi" w:hAnsiTheme="majorHAnsi"/>
          <w:color w:val="auto"/>
          <w:szCs w:val="20"/>
          <w:lang w:val="fr-FR"/>
        </w:rPr>
        <w:t>Baptiste Willer</w:t>
      </w:r>
      <w:r w:rsidR="00472B68" w:rsidRPr="00545FAE">
        <w:rPr>
          <w:rFonts w:asciiTheme="majorHAnsi" w:hAnsiTheme="majorHAnsi"/>
          <w:color w:val="auto"/>
          <w:szCs w:val="20"/>
          <w:lang w:val="fr-FR"/>
        </w:rPr>
        <w:t xml:space="preserve"> </w:t>
      </w:r>
      <w:r w:rsidR="0041705C" w:rsidRPr="00545FAE">
        <w:rPr>
          <w:rFonts w:asciiTheme="majorHAnsi" w:hAnsiTheme="majorHAnsi"/>
          <w:color w:val="auto"/>
          <w:szCs w:val="20"/>
          <w:lang w:val="fr-FR"/>
        </w:rPr>
        <w:t>et les membres de sa famille étaient victimes de menaces et d’actes d’intimidation et de harcèlement</w:t>
      </w:r>
      <w:r w:rsidR="00EE5A2C" w:rsidRPr="00545FAE">
        <w:rPr>
          <w:rFonts w:asciiTheme="majorHAnsi" w:hAnsiTheme="majorHAnsi"/>
          <w:color w:val="auto"/>
          <w:szCs w:val="20"/>
          <w:lang w:val="fr-FR"/>
        </w:rPr>
        <w:t>,</w:t>
      </w:r>
      <w:r w:rsidR="00585515" w:rsidRPr="00545FAE">
        <w:rPr>
          <w:rFonts w:asciiTheme="majorHAnsi" w:hAnsiTheme="majorHAnsi"/>
          <w:color w:val="auto"/>
          <w:szCs w:val="20"/>
          <w:lang w:val="fr-FR"/>
        </w:rPr>
        <w:t xml:space="preserve"> </w:t>
      </w:r>
      <w:r w:rsidR="0041705C" w:rsidRPr="00545FAE">
        <w:rPr>
          <w:rFonts w:asciiTheme="majorHAnsi" w:hAnsiTheme="majorHAnsi"/>
          <w:color w:val="auto"/>
          <w:szCs w:val="20"/>
          <w:lang w:val="fr-FR"/>
        </w:rPr>
        <w:t xml:space="preserve">en violation des articles </w:t>
      </w:r>
      <w:r w:rsidR="00585515" w:rsidRPr="00545FAE">
        <w:rPr>
          <w:rFonts w:asciiTheme="majorHAnsi" w:hAnsiTheme="majorHAnsi"/>
          <w:color w:val="auto"/>
          <w:szCs w:val="20"/>
          <w:lang w:val="fr-FR"/>
        </w:rPr>
        <w:t xml:space="preserve">4, 5, 7 </w:t>
      </w:r>
      <w:r w:rsidR="0041705C" w:rsidRPr="00545FAE">
        <w:rPr>
          <w:rFonts w:asciiTheme="majorHAnsi" w:hAnsiTheme="majorHAnsi"/>
          <w:color w:val="auto"/>
          <w:szCs w:val="20"/>
          <w:lang w:val="fr-FR"/>
        </w:rPr>
        <w:t>et</w:t>
      </w:r>
      <w:r w:rsidR="00585515" w:rsidRPr="00545FAE">
        <w:rPr>
          <w:rFonts w:asciiTheme="majorHAnsi" w:hAnsiTheme="majorHAnsi"/>
          <w:color w:val="auto"/>
          <w:szCs w:val="20"/>
          <w:lang w:val="fr-FR"/>
        </w:rPr>
        <w:t xml:space="preserve"> 25 de la Conven</w:t>
      </w:r>
      <w:r w:rsidR="0041705C" w:rsidRPr="00545FAE">
        <w:rPr>
          <w:rFonts w:asciiTheme="majorHAnsi" w:hAnsiTheme="majorHAnsi"/>
          <w:color w:val="auto"/>
          <w:szCs w:val="20"/>
          <w:lang w:val="fr-FR"/>
        </w:rPr>
        <w:t xml:space="preserve">tion américaine relative aux droits de l’Homme </w:t>
      </w:r>
      <w:r w:rsidR="00585515" w:rsidRPr="00545FAE">
        <w:rPr>
          <w:rFonts w:asciiTheme="majorHAnsi" w:hAnsiTheme="majorHAnsi"/>
          <w:color w:val="auto"/>
          <w:szCs w:val="20"/>
          <w:lang w:val="fr-FR"/>
        </w:rPr>
        <w:t>(</w:t>
      </w:r>
      <w:r w:rsidR="0041705C" w:rsidRPr="00545FAE">
        <w:rPr>
          <w:rFonts w:asciiTheme="majorHAnsi" w:hAnsiTheme="majorHAnsi"/>
          <w:color w:val="auto"/>
          <w:szCs w:val="20"/>
          <w:lang w:val="fr-FR"/>
        </w:rPr>
        <w:t>ci-après, « Convention américaine » ou « Convention »</w:t>
      </w:r>
      <w:r w:rsidR="00585515" w:rsidRPr="00545FAE">
        <w:rPr>
          <w:rFonts w:asciiTheme="majorHAnsi" w:hAnsiTheme="majorHAnsi"/>
          <w:color w:val="auto"/>
          <w:szCs w:val="20"/>
          <w:lang w:val="fr-FR"/>
        </w:rPr>
        <w:t>)</w:t>
      </w:r>
      <w:r w:rsidR="00EE5A2C" w:rsidRPr="00545FAE">
        <w:rPr>
          <w:rFonts w:asciiTheme="majorHAnsi" w:hAnsiTheme="majorHAnsi"/>
          <w:color w:val="auto"/>
          <w:szCs w:val="20"/>
          <w:lang w:val="fr-FR"/>
        </w:rPr>
        <w:t>,</w:t>
      </w:r>
      <w:r w:rsidR="00585515" w:rsidRPr="00545FAE">
        <w:rPr>
          <w:rFonts w:asciiTheme="majorHAnsi" w:hAnsiTheme="majorHAnsi"/>
          <w:color w:val="auto"/>
          <w:szCs w:val="20"/>
          <w:lang w:val="fr-FR"/>
        </w:rPr>
        <w:t xml:space="preserve"> </w:t>
      </w:r>
      <w:r w:rsidR="000506AB" w:rsidRPr="00545FAE">
        <w:rPr>
          <w:rFonts w:asciiTheme="majorHAnsi" w:hAnsiTheme="majorHAnsi"/>
          <w:color w:val="auto"/>
          <w:szCs w:val="20"/>
          <w:lang w:val="fr-FR"/>
        </w:rPr>
        <w:t>en rapport avec</w:t>
      </w:r>
      <w:r w:rsidR="0041705C" w:rsidRPr="00545FAE">
        <w:rPr>
          <w:rFonts w:asciiTheme="majorHAnsi" w:hAnsiTheme="majorHAnsi"/>
          <w:color w:val="auto"/>
          <w:szCs w:val="20"/>
          <w:lang w:val="fr-FR"/>
        </w:rPr>
        <w:t xml:space="preserve"> l’article </w:t>
      </w:r>
      <w:r w:rsidR="00585515" w:rsidRPr="00545FAE">
        <w:rPr>
          <w:rFonts w:asciiTheme="majorHAnsi" w:hAnsiTheme="majorHAnsi"/>
          <w:color w:val="auto"/>
          <w:szCs w:val="20"/>
          <w:lang w:val="fr-FR"/>
        </w:rPr>
        <w:t xml:space="preserve">1.1 </w:t>
      </w:r>
      <w:r w:rsidR="0041705C" w:rsidRPr="00545FAE">
        <w:rPr>
          <w:rFonts w:asciiTheme="majorHAnsi" w:hAnsiTheme="majorHAnsi"/>
          <w:color w:val="auto"/>
          <w:szCs w:val="20"/>
          <w:lang w:val="fr-FR"/>
        </w:rPr>
        <w:t>du même instrument</w:t>
      </w:r>
      <w:r w:rsidR="00585515" w:rsidRPr="00545FAE">
        <w:rPr>
          <w:rFonts w:asciiTheme="majorHAnsi" w:hAnsiTheme="majorHAnsi"/>
          <w:color w:val="auto"/>
          <w:szCs w:val="20"/>
          <w:lang w:val="fr-FR"/>
        </w:rPr>
        <w:t xml:space="preserve">. </w:t>
      </w:r>
      <w:r w:rsidR="0041705C" w:rsidRPr="00545FAE">
        <w:rPr>
          <w:rFonts w:asciiTheme="majorHAnsi" w:hAnsiTheme="majorHAnsi"/>
          <w:color w:val="auto"/>
          <w:szCs w:val="20"/>
          <w:lang w:val="fr-FR"/>
        </w:rPr>
        <w:t xml:space="preserve">Elle allègue en particulier qu’Haïti a manqué à ses obligations d’enquêter sur les menaces et les attaques </w:t>
      </w:r>
      <w:r w:rsidR="00E41C80" w:rsidRPr="00545FAE">
        <w:rPr>
          <w:rFonts w:asciiTheme="majorHAnsi" w:hAnsiTheme="majorHAnsi"/>
          <w:color w:val="auto"/>
          <w:szCs w:val="20"/>
          <w:lang w:val="fr-FR"/>
        </w:rPr>
        <w:t xml:space="preserve">dont M. </w:t>
      </w:r>
      <w:r w:rsidR="00432964" w:rsidRPr="00545FAE">
        <w:rPr>
          <w:rFonts w:asciiTheme="majorHAnsi" w:hAnsiTheme="majorHAnsi"/>
          <w:color w:val="auto"/>
          <w:szCs w:val="20"/>
          <w:lang w:val="fr-FR"/>
        </w:rPr>
        <w:t>Baptiste Willer</w:t>
      </w:r>
      <w:r w:rsidR="00585515" w:rsidRPr="00545FAE">
        <w:rPr>
          <w:rFonts w:asciiTheme="majorHAnsi" w:hAnsiTheme="majorHAnsi"/>
          <w:color w:val="auto"/>
          <w:szCs w:val="20"/>
          <w:lang w:val="fr-FR"/>
        </w:rPr>
        <w:t xml:space="preserve"> </w:t>
      </w:r>
      <w:r w:rsidR="00E41C80" w:rsidRPr="00545FAE">
        <w:rPr>
          <w:rFonts w:asciiTheme="majorHAnsi" w:hAnsiTheme="majorHAnsi"/>
          <w:color w:val="auto"/>
          <w:szCs w:val="20"/>
          <w:lang w:val="fr-FR"/>
        </w:rPr>
        <w:t xml:space="preserve">et sa famille ont été victimes, de </w:t>
      </w:r>
      <w:r w:rsidR="004036F6" w:rsidRPr="00545FAE">
        <w:rPr>
          <w:rFonts w:asciiTheme="majorHAnsi" w:hAnsiTheme="majorHAnsi"/>
          <w:color w:val="auto"/>
          <w:szCs w:val="20"/>
          <w:lang w:val="fr-FR"/>
        </w:rPr>
        <w:t>lancer</w:t>
      </w:r>
      <w:r w:rsidR="00AC659C" w:rsidRPr="00545FAE">
        <w:rPr>
          <w:rFonts w:asciiTheme="majorHAnsi" w:hAnsiTheme="majorHAnsi"/>
          <w:color w:val="auto"/>
          <w:szCs w:val="20"/>
          <w:lang w:val="fr-FR"/>
        </w:rPr>
        <w:t xml:space="preserve"> l</w:t>
      </w:r>
      <w:r w:rsidR="00E41C80" w:rsidRPr="00545FAE">
        <w:rPr>
          <w:rFonts w:asciiTheme="majorHAnsi" w:hAnsiTheme="majorHAnsi"/>
          <w:color w:val="auto"/>
          <w:szCs w:val="20"/>
          <w:lang w:val="fr-FR"/>
        </w:rPr>
        <w:t xml:space="preserve">es </w:t>
      </w:r>
      <w:r w:rsidR="004036F6" w:rsidRPr="00545FAE">
        <w:rPr>
          <w:rFonts w:asciiTheme="majorHAnsi" w:hAnsiTheme="majorHAnsi"/>
          <w:color w:val="auto"/>
          <w:szCs w:val="20"/>
          <w:lang w:val="fr-FR"/>
        </w:rPr>
        <w:t>enquêtes</w:t>
      </w:r>
      <w:r w:rsidR="00E41C80" w:rsidRPr="00545FAE">
        <w:rPr>
          <w:rFonts w:asciiTheme="majorHAnsi" w:hAnsiTheme="majorHAnsi"/>
          <w:color w:val="auto"/>
          <w:szCs w:val="20"/>
          <w:lang w:val="fr-FR"/>
        </w:rPr>
        <w:t xml:space="preserve"> ou procédures judiciaires visant à identifier et punir les auteurs des crimes perpétrés et, enfin, de prévenir et sanctionner comme il convient les violations qu’ils ont subies</w:t>
      </w:r>
      <w:r w:rsidR="00673D26" w:rsidRPr="00545FAE">
        <w:rPr>
          <w:rFonts w:asciiTheme="majorHAnsi" w:hAnsiTheme="majorHAnsi"/>
          <w:color w:val="auto"/>
          <w:szCs w:val="20"/>
          <w:lang w:val="fr-FR"/>
        </w:rPr>
        <w:t>.</w:t>
      </w:r>
    </w:p>
    <w:p w14:paraId="6F89D6CE" w14:textId="77777777" w:rsidR="001A0879" w:rsidRPr="00545FAE" w:rsidRDefault="00673D26" w:rsidP="00673D26">
      <w:pPr>
        <w:pStyle w:val="ListParagraph"/>
        <w:numPr>
          <w:ilvl w:val="0"/>
          <w:numId w:val="0"/>
        </w:numPr>
        <w:tabs>
          <w:tab w:val="left" w:pos="360"/>
        </w:tabs>
        <w:rPr>
          <w:rFonts w:asciiTheme="majorHAnsi" w:hAnsiTheme="majorHAnsi"/>
          <w:color w:val="auto"/>
          <w:szCs w:val="20"/>
          <w:lang w:val="fr-FR"/>
        </w:rPr>
      </w:pPr>
      <w:r w:rsidRPr="00545FAE">
        <w:rPr>
          <w:rFonts w:asciiTheme="majorHAnsi" w:hAnsiTheme="majorHAnsi"/>
          <w:color w:val="auto"/>
          <w:szCs w:val="20"/>
          <w:lang w:val="fr-FR"/>
        </w:rPr>
        <w:t xml:space="preserve"> </w:t>
      </w:r>
    </w:p>
    <w:p w14:paraId="1602898F" w14:textId="77777777" w:rsidR="00E74D70" w:rsidRPr="00545FAE" w:rsidRDefault="00FC6133" w:rsidP="003168EE">
      <w:pPr>
        <w:pStyle w:val="ListParagraph"/>
        <w:rPr>
          <w:rFonts w:asciiTheme="majorHAnsi" w:hAnsiTheme="majorHAnsi"/>
          <w:color w:val="auto"/>
          <w:szCs w:val="20"/>
          <w:lang w:val="fr-FR"/>
        </w:rPr>
      </w:pPr>
      <w:r w:rsidRPr="00545FAE">
        <w:rPr>
          <w:lang w:val="fr-FR"/>
        </w:rPr>
        <w:t xml:space="preserve">La partie requérante précise que M. </w:t>
      </w:r>
      <w:r w:rsidR="009273D8" w:rsidRPr="00545FAE">
        <w:rPr>
          <w:lang w:val="fr-FR"/>
        </w:rPr>
        <w:t xml:space="preserve">Baptiste Willer </w:t>
      </w:r>
      <w:r w:rsidRPr="00545FAE">
        <w:rPr>
          <w:lang w:val="fr-FR"/>
        </w:rPr>
        <w:t xml:space="preserve">a fait l’objet de menaces et de tentatives d’homicide à de nombreuses reprises </w:t>
      </w:r>
      <w:r w:rsidR="00C34455" w:rsidRPr="00545FAE">
        <w:rPr>
          <w:lang w:val="fr-FR"/>
        </w:rPr>
        <w:t xml:space="preserve">pour avoir </w:t>
      </w:r>
      <w:r w:rsidR="004036F6" w:rsidRPr="00545FAE">
        <w:rPr>
          <w:lang w:val="fr-FR"/>
        </w:rPr>
        <w:t xml:space="preserve">refusé </w:t>
      </w:r>
      <w:r w:rsidR="00AC659C" w:rsidRPr="00545FAE">
        <w:rPr>
          <w:lang w:val="fr-FR"/>
        </w:rPr>
        <w:t>de prendre part à des</w:t>
      </w:r>
      <w:r w:rsidR="00C34455" w:rsidRPr="00545FAE">
        <w:rPr>
          <w:lang w:val="fr-FR"/>
        </w:rPr>
        <w:t xml:space="preserve"> activités illégales. Les auteurs de ces faits seraient des individus </w:t>
      </w:r>
      <w:r w:rsidR="00D558B9" w:rsidRPr="00545FAE">
        <w:rPr>
          <w:lang w:val="fr-FR"/>
        </w:rPr>
        <w:t>qui continuent de jouir d’une impunité totale</w:t>
      </w:r>
      <w:r w:rsidR="00673D26" w:rsidRPr="00545FAE">
        <w:rPr>
          <w:lang w:val="fr-FR"/>
        </w:rPr>
        <w:t>.</w:t>
      </w:r>
      <w:r w:rsidR="009273D8" w:rsidRPr="00545FAE">
        <w:rPr>
          <w:lang w:val="fr-FR"/>
        </w:rPr>
        <w:t xml:space="preserve"> </w:t>
      </w:r>
      <w:r w:rsidR="00D558B9" w:rsidRPr="00545FAE">
        <w:rPr>
          <w:lang w:val="fr-FR"/>
        </w:rPr>
        <w:t xml:space="preserve">La partie requérante allègue en particulier que M. </w:t>
      </w:r>
      <w:r w:rsidR="00432964" w:rsidRPr="00545FAE">
        <w:rPr>
          <w:lang w:val="fr-FR"/>
        </w:rPr>
        <w:t xml:space="preserve">Baptiste Willer </w:t>
      </w:r>
      <w:r w:rsidR="00D558B9" w:rsidRPr="00545FAE">
        <w:rPr>
          <w:lang w:val="fr-FR"/>
        </w:rPr>
        <w:t>a été victime d’une tentative d’homicide le 4 février 2007 à 9h00 et</w:t>
      </w:r>
      <w:r w:rsidR="00781758" w:rsidRPr="00545FAE">
        <w:rPr>
          <w:lang w:val="fr-FR"/>
        </w:rPr>
        <w:t xml:space="preserve"> que</w:t>
      </w:r>
      <w:r w:rsidR="00D558B9" w:rsidRPr="00545FAE">
        <w:rPr>
          <w:lang w:val="fr-FR"/>
        </w:rPr>
        <w:t>, ce même jour, son jeune frère de 16 ans a été assassiné entre 17</w:t>
      </w:r>
      <w:r w:rsidR="00761179" w:rsidRPr="00545FAE">
        <w:rPr>
          <w:lang w:val="fr-FR"/>
        </w:rPr>
        <w:t>h00</w:t>
      </w:r>
      <w:r w:rsidR="00D558B9" w:rsidRPr="00545FAE">
        <w:rPr>
          <w:lang w:val="fr-FR"/>
        </w:rPr>
        <w:t xml:space="preserve"> et 18h00 par les individus qui avaient attenté à sa vie quelques heures plus tôt</w:t>
      </w:r>
      <w:r w:rsidR="005832E2" w:rsidRPr="00545FAE">
        <w:rPr>
          <w:lang w:val="fr-FR"/>
        </w:rPr>
        <w:t>.</w:t>
      </w:r>
      <w:r w:rsidR="00B80BF8" w:rsidRPr="00545FAE">
        <w:rPr>
          <w:lang w:val="fr-FR"/>
        </w:rPr>
        <w:t xml:space="preserve"> </w:t>
      </w:r>
      <w:r w:rsidR="00D558B9" w:rsidRPr="00545FAE">
        <w:rPr>
          <w:lang w:val="fr-FR"/>
        </w:rPr>
        <w:t xml:space="preserve">Elle allègue également que ces actes se sont produits dans un contexte général de violence sociale et d’insécurité publique où les auteurs des crimes perpétrés </w:t>
      </w:r>
      <w:r w:rsidR="00781758" w:rsidRPr="00545FAE">
        <w:rPr>
          <w:lang w:val="fr-FR"/>
        </w:rPr>
        <w:t>étaient</w:t>
      </w:r>
      <w:r w:rsidR="00D558B9" w:rsidRPr="00545FAE">
        <w:rPr>
          <w:lang w:val="fr-FR"/>
        </w:rPr>
        <w:t xml:space="preserve"> des délinquants connus des habitants d</w:t>
      </w:r>
      <w:r w:rsidR="003168EE" w:rsidRPr="00545FAE">
        <w:rPr>
          <w:lang w:val="fr-FR"/>
        </w:rPr>
        <w:t xml:space="preserve">u quartier et des forces de police. Face à cette situation, la partie requérante a envoyé le 27 février 2007 une communication au Premier ministre, la plus haute autorité du Conseil supérieur de la police nationale, au ministre de la Justice et au Secrétaire d’État </w:t>
      </w:r>
      <w:r w:rsidR="00086101" w:rsidRPr="00545FAE">
        <w:rPr>
          <w:lang w:val="fr-FR"/>
        </w:rPr>
        <w:t>à</w:t>
      </w:r>
      <w:r w:rsidR="003168EE" w:rsidRPr="00545FAE">
        <w:rPr>
          <w:lang w:val="fr-FR"/>
        </w:rPr>
        <w:t xml:space="preserve"> la sécurité publique. Dans cette communication, la partie requérante a informé les autorités des événements qui s’étaient produits et a demandé à</w:t>
      </w:r>
      <w:r w:rsidR="00782EBB" w:rsidRPr="00545FAE">
        <w:rPr>
          <w:lang w:val="fr-FR"/>
        </w:rPr>
        <w:t xml:space="preserve"> bénéficier d’une aide judiciaire</w:t>
      </w:r>
      <w:r w:rsidR="003168EE" w:rsidRPr="00545FAE">
        <w:rPr>
          <w:lang w:val="fr-FR"/>
        </w:rPr>
        <w:t xml:space="preserve"> au motif que sa vie et celle des membres de sa famille étaient en danger mais cette demande n’a jamais été satisfaite</w:t>
      </w:r>
      <w:r w:rsidR="00E74D70" w:rsidRPr="00545FAE">
        <w:rPr>
          <w:rFonts w:asciiTheme="majorHAnsi" w:hAnsiTheme="majorHAnsi"/>
          <w:color w:val="auto"/>
          <w:szCs w:val="20"/>
          <w:lang w:val="fr-FR"/>
        </w:rPr>
        <w:t>.</w:t>
      </w:r>
    </w:p>
    <w:p w14:paraId="7A63FC00" w14:textId="77777777" w:rsidR="00E74D70" w:rsidRPr="00545FAE" w:rsidRDefault="00E74D70" w:rsidP="002169C4">
      <w:pPr>
        <w:pStyle w:val="ListParagraph"/>
        <w:numPr>
          <w:ilvl w:val="0"/>
          <w:numId w:val="0"/>
        </w:numPr>
        <w:rPr>
          <w:rFonts w:asciiTheme="majorHAnsi" w:hAnsiTheme="majorHAnsi"/>
          <w:color w:val="auto"/>
          <w:szCs w:val="20"/>
          <w:lang w:val="fr-FR"/>
        </w:rPr>
      </w:pPr>
    </w:p>
    <w:p w14:paraId="68C79006" w14:textId="77777777" w:rsidR="00894DFB" w:rsidRPr="00545FAE" w:rsidRDefault="00DC1FB4" w:rsidP="00894DFB">
      <w:pPr>
        <w:pStyle w:val="ListParagraph"/>
        <w:rPr>
          <w:rFonts w:asciiTheme="majorHAnsi" w:hAnsiTheme="majorHAnsi"/>
          <w:color w:val="auto"/>
          <w:szCs w:val="20"/>
          <w:lang w:val="fr-FR"/>
        </w:rPr>
      </w:pPr>
      <w:r w:rsidRPr="00545FAE">
        <w:rPr>
          <w:rFonts w:asciiTheme="majorHAnsi" w:hAnsiTheme="majorHAnsi"/>
          <w:color w:val="auto"/>
          <w:szCs w:val="20"/>
          <w:lang w:val="fr-FR"/>
        </w:rPr>
        <w:t xml:space="preserve">De plus, </w:t>
      </w:r>
      <w:r w:rsidR="003E4027" w:rsidRPr="00545FAE">
        <w:rPr>
          <w:lang w:val="fr-FR"/>
        </w:rPr>
        <w:t xml:space="preserve">M. Baptiste Willer </w:t>
      </w:r>
      <w:r w:rsidRPr="00545FAE">
        <w:rPr>
          <w:rFonts w:asciiTheme="majorHAnsi" w:hAnsiTheme="majorHAnsi"/>
          <w:color w:val="auto"/>
          <w:szCs w:val="20"/>
          <w:lang w:val="fr-FR"/>
        </w:rPr>
        <w:t xml:space="preserve">allègue que d’autres événements qui se sont produits entre </w:t>
      </w:r>
      <w:r w:rsidR="002169C4" w:rsidRPr="00545FAE">
        <w:rPr>
          <w:rFonts w:asciiTheme="majorHAnsi" w:hAnsiTheme="majorHAnsi"/>
          <w:color w:val="auto"/>
          <w:szCs w:val="20"/>
          <w:lang w:val="fr-FR"/>
        </w:rPr>
        <w:t xml:space="preserve">2007 </w:t>
      </w:r>
      <w:r w:rsidRPr="00545FAE">
        <w:rPr>
          <w:rFonts w:asciiTheme="majorHAnsi" w:hAnsiTheme="majorHAnsi"/>
          <w:color w:val="auto"/>
          <w:szCs w:val="20"/>
          <w:lang w:val="fr-FR"/>
        </w:rPr>
        <w:t>et</w:t>
      </w:r>
      <w:r w:rsidR="002169C4" w:rsidRPr="00545FAE">
        <w:rPr>
          <w:rFonts w:asciiTheme="majorHAnsi" w:hAnsiTheme="majorHAnsi"/>
          <w:color w:val="auto"/>
          <w:szCs w:val="20"/>
          <w:lang w:val="fr-FR"/>
        </w:rPr>
        <w:t xml:space="preserve"> 2009 </w:t>
      </w:r>
      <w:r w:rsidRPr="00545FAE">
        <w:rPr>
          <w:rFonts w:asciiTheme="majorHAnsi" w:hAnsiTheme="majorHAnsi"/>
          <w:color w:val="auto"/>
          <w:szCs w:val="20"/>
          <w:lang w:val="fr-FR"/>
        </w:rPr>
        <w:t xml:space="preserve">démontrent que sa vie et son intégrité physique étaient </w:t>
      </w:r>
      <w:r w:rsidR="006F1BAD" w:rsidRPr="00545FAE">
        <w:rPr>
          <w:rFonts w:asciiTheme="majorHAnsi" w:hAnsiTheme="majorHAnsi"/>
          <w:color w:val="auto"/>
          <w:szCs w:val="20"/>
          <w:lang w:val="fr-FR"/>
        </w:rPr>
        <w:t xml:space="preserve">danger. En effet, le 9 mars 2007 à 11h00, </w:t>
      </w:r>
      <w:r w:rsidR="003E4027" w:rsidRPr="00545FAE">
        <w:rPr>
          <w:rFonts w:asciiTheme="majorHAnsi" w:hAnsiTheme="majorHAnsi"/>
          <w:color w:val="auto"/>
          <w:szCs w:val="20"/>
          <w:lang w:val="fr-FR"/>
        </w:rPr>
        <w:t>il</w:t>
      </w:r>
      <w:r w:rsidR="006F1BAD" w:rsidRPr="00545FAE">
        <w:rPr>
          <w:rFonts w:asciiTheme="majorHAnsi" w:hAnsiTheme="majorHAnsi"/>
          <w:color w:val="auto"/>
          <w:szCs w:val="20"/>
          <w:lang w:val="fr-FR"/>
        </w:rPr>
        <w:t xml:space="preserve"> a été victime </w:t>
      </w:r>
      <w:r w:rsidR="006F1BAD" w:rsidRPr="00545FAE">
        <w:rPr>
          <w:rFonts w:asciiTheme="majorHAnsi" w:hAnsiTheme="majorHAnsi"/>
          <w:color w:val="auto"/>
          <w:szCs w:val="20"/>
          <w:lang w:val="fr-FR"/>
        </w:rPr>
        <w:lastRenderedPageBreak/>
        <w:t>d’une nouvelle tentative d’assassinat, cette fois dans son local commercial</w:t>
      </w:r>
      <w:r w:rsidR="002169C4" w:rsidRPr="00545FAE">
        <w:rPr>
          <w:rFonts w:asciiTheme="majorHAnsi" w:hAnsiTheme="majorHAnsi"/>
          <w:color w:val="auto"/>
          <w:szCs w:val="20"/>
          <w:lang w:val="fr-FR"/>
        </w:rPr>
        <w:t xml:space="preserve">. </w:t>
      </w:r>
      <w:r w:rsidR="006F1BAD" w:rsidRPr="00545FAE">
        <w:rPr>
          <w:rFonts w:asciiTheme="majorHAnsi" w:hAnsiTheme="majorHAnsi"/>
          <w:color w:val="auto"/>
          <w:szCs w:val="20"/>
          <w:lang w:val="fr-FR"/>
        </w:rPr>
        <w:t>Face à cette situation</w:t>
      </w:r>
      <w:r w:rsidR="002169C4" w:rsidRPr="00545FAE">
        <w:rPr>
          <w:rFonts w:asciiTheme="majorHAnsi" w:hAnsiTheme="majorHAnsi"/>
          <w:color w:val="auto"/>
          <w:szCs w:val="20"/>
          <w:lang w:val="fr-FR"/>
        </w:rPr>
        <w:t xml:space="preserve">, </w:t>
      </w:r>
      <w:r w:rsidR="003E4027" w:rsidRPr="00545FAE">
        <w:rPr>
          <w:rFonts w:asciiTheme="majorHAnsi" w:hAnsiTheme="majorHAnsi"/>
          <w:color w:val="auto"/>
          <w:szCs w:val="20"/>
          <w:lang w:val="fr-FR"/>
        </w:rPr>
        <w:t xml:space="preserve">il </w:t>
      </w:r>
      <w:r w:rsidR="006F1BAD" w:rsidRPr="00545FAE">
        <w:rPr>
          <w:rFonts w:asciiTheme="majorHAnsi" w:hAnsiTheme="majorHAnsi"/>
          <w:color w:val="auto"/>
          <w:szCs w:val="20"/>
          <w:lang w:val="fr-FR"/>
        </w:rPr>
        <w:t xml:space="preserve">a quitté son domicile et son local commercial. Cependant, le 22 mars 2007 à 11h00, un homme qui lui ressemblait physiquement et qui portait le même nom a été assassiné par erreur, la véritable cible étant </w:t>
      </w:r>
      <w:r w:rsidR="00C469C5" w:rsidRPr="00545FAE">
        <w:rPr>
          <w:rFonts w:asciiTheme="majorHAnsi" w:hAnsiTheme="majorHAnsi"/>
          <w:color w:val="auto"/>
          <w:szCs w:val="20"/>
          <w:lang w:val="fr-FR"/>
        </w:rPr>
        <w:t xml:space="preserve">lui, </w:t>
      </w:r>
      <w:r w:rsidR="006F1BAD" w:rsidRPr="00545FAE">
        <w:rPr>
          <w:lang w:val="fr-FR"/>
        </w:rPr>
        <w:t>M. Baptiste Willer</w:t>
      </w:r>
      <w:r w:rsidR="002169C4" w:rsidRPr="00545FAE">
        <w:rPr>
          <w:rFonts w:asciiTheme="majorHAnsi" w:hAnsiTheme="majorHAnsi"/>
          <w:color w:val="auto"/>
          <w:szCs w:val="20"/>
          <w:lang w:val="fr-FR"/>
        </w:rPr>
        <w:t xml:space="preserve">. </w:t>
      </w:r>
      <w:r w:rsidR="006F1BAD" w:rsidRPr="00545FAE">
        <w:rPr>
          <w:rFonts w:asciiTheme="majorHAnsi" w:hAnsiTheme="majorHAnsi"/>
          <w:color w:val="auto"/>
          <w:szCs w:val="20"/>
          <w:lang w:val="fr-FR"/>
        </w:rPr>
        <w:t xml:space="preserve">Le </w:t>
      </w:r>
      <w:r w:rsidR="002169C4" w:rsidRPr="00545FAE">
        <w:rPr>
          <w:rFonts w:asciiTheme="majorHAnsi" w:hAnsiTheme="majorHAnsi"/>
          <w:color w:val="auto"/>
          <w:szCs w:val="20"/>
          <w:lang w:val="fr-FR"/>
        </w:rPr>
        <w:t>28</w:t>
      </w:r>
      <w:r w:rsidR="006F1BAD" w:rsidRPr="00545FAE">
        <w:rPr>
          <w:rFonts w:asciiTheme="majorHAnsi" w:hAnsiTheme="majorHAnsi"/>
          <w:color w:val="auto"/>
          <w:szCs w:val="20"/>
          <w:lang w:val="fr-FR"/>
        </w:rPr>
        <w:t xml:space="preserve"> août</w:t>
      </w:r>
      <w:r w:rsidR="002169C4" w:rsidRPr="00545FAE">
        <w:rPr>
          <w:rFonts w:asciiTheme="majorHAnsi" w:hAnsiTheme="majorHAnsi"/>
          <w:color w:val="auto"/>
          <w:szCs w:val="20"/>
          <w:lang w:val="fr-FR"/>
        </w:rPr>
        <w:t xml:space="preserve"> 2008, s</w:t>
      </w:r>
      <w:r w:rsidR="006F1BAD" w:rsidRPr="00545FAE">
        <w:rPr>
          <w:rFonts w:asciiTheme="majorHAnsi" w:hAnsiTheme="majorHAnsi"/>
          <w:color w:val="auto"/>
          <w:szCs w:val="20"/>
          <w:lang w:val="fr-FR"/>
        </w:rPr>
        <w:t xml:space="preserve">on domicile a </w:t>
      </w:r>
      <w:r w:rsidR="003E4027" w:rsidRPr="00545FAE">
        <w:rPr>
          <w:rFonts w:asciiTheme="majorHAnsi" w:hAnsiTheme="majorHAnsi"/>
          <w:color w:val="auto"/>
          <w:szCs w:val="20"/>
          <w:lang w:val="fr-FR"/>
        </w:rPr>
        <w:t>fait</w:t>
      </w:r>
      <w:r w:rsidR="006F1BAD" w:rsidRPr="00545FAE">
        <w:rPr>
          <w:rFonts w:asciiTheme="majorHAnsi" w:hAnsiTheme="majorHAnsi"/>
          <w:color w:val="auto"/>
          <w:szCs w:val="20"/>
          <w:lang w:val="fr-FR"/>
        </w:rPr>
        <w:t xml:space="preserve"> l’objet d’une attaque. Lorsqu’il a signalé cet événement à la police, un agent lui a déclaré qu’il était impossible d’assurer des patrouilles dans tous les quartiers</w:t>
      </w:r>
      <w:r w:rsidR="00962BF7" w:rsidRPr="00545FAE">
        <w:rPr>
          <w:rFonts w:asciiTheme="majorHAnsi" w:hAnsiTheme="majorHAnsi"/>
          <w:color w:val="auto"/>
          <w:szCs w:val="20"/>
          <w:lang w:val="fr-FR"/>
        </w:rPr>
        <w:t xml:space="preserve">. </w:t>
      </w:r>
      <w:r w:rsidR="006F1BAD" w:rsidRPr="00545FAE">
        <w:rPr>
          <w:rFonts w:asciiTheme="majorHAnsi" w:hAnsiTheme="majorHAnsi"/>
          <w:color w:val="auto"/>
          <w:szCs w:val="20"/>
          <w:lang w:val="fr-FR"/>
        </w:rPr>
        <w:t>Enfin</w:t>
      </w:r>
      <w:r w:rsidR="00962BF7" w:rsidRPr="00545FAE">
        <w:rPr>
          <w:rFonts w:asciiTheme="majorHAnsi" w:hAnsiTheme="majorHAnsi"/>
          <w:color w:val="auto"/>
          <w:szCs w:val="20"/>
          <w:lang w:val="fr-FR"/>
        </w:rPr>
        <w:t>,</w:t>
      </w:r>
      <w:r w:rsidR="006F1BAD" w:rsidRPr="00545FAE">
        <w:rPr>
          <w:rFonts w:asciiTheme="majorHAnsi" w:hAnsiTheme="majorHAnsi"/>
          <w:color w:val="auto"/>
          <w:szCs w:val="20"/>
          <w:lang w:val="fr-FR"/>
        </w:rPr>
        <w:t xml:space="preserve"> le </w:t>
      </w:r>
      <w:r w:rsidR="00962BF7" w:rsidRPr="00545FAE">
        <w:rPr>
          <w:rFonts w:asciiTheme="majorHAnsi" w:hAnsiTheme="majorHAnsi"/>
          <w:color w:val="auto"/>
          <w:szCs w:val="20"/>
          <w:lang w:val="fr-FR"/>
        </w:rPr>
        <w:t xml:space="preserve">26 </w:t>
      </w:r>
      <w:r w:rsidR="006F1BAD" w:rsidRPr="00545FAE">
        <w:rPr>
          <w:rFonts w:asciiTheme="majorHAnsi" w:hAnsiTheme="majorHAnsi"/>
          <w:color w:val="auto"/>
          <w:szCs w:val="20"/>
          <w:lang w:val="fr-FR"/>
        </w:rPr>
        <w:t>août</w:t>
      </w:r>
      <w:r w:rsidR="00962BF7" w:rsidRPr="00545FAE">
        <w:rPr>
          <w:rFonts w:asciiTheme="majorHAnsi" w:hAnsiTheme="majorHAnsi"/>
          <w:color w:val="auto"/>
          <w:szCs w:val="20"/>
          <w:lang w:val="fr-FR"/>
        </w:rPr>
        <w:t xml:space="preserve"> 2009</w:t>
      </w:r>
      <w:r w:rsidR="006F1BAD" w:rsidRPr="00545FAE">
        <w:rPr>
          <w:rFonts w:asciiTheme="majorHAnsi" w:hAnsiTheme="majorHAnsi"/>
          <w:color w:val="auto"/>
          <w:szCs w:val="20"/>
          <w:lang w:val="fr-FR"/>
        </w:rPr>
        <w:t xml:space="preserve">, </w:t>
      </w:r>
      <w:r w:rsidR="00201390" w:rsidRPr="00545FAE">
        <w:rPr>
          <w:rFonts w:asciiTheme="majorHAnsi" w:hAnsiTheme="majorHAnsi"/>
          <w:color w:val="auto"/>
          <w:szCs w:val="20"/>
          <w:lang w:val="fr-FR"/>
        </w:rPr>
        <w:t xml:space="preserve">il a été pris en chasse par un groupe d’inconnus sur la voie publique. Par chance, il a réussi à s’échapper. </w:t>
      </w:r>
    </w:p>
    <w:p w14:paraId="4AED121E" w14:textId="77777777" w:rsidR="00962BF7" w:rsidRPr="00545FAE" w:rsidRDefault="00962BF7" w:rsidP="00962BF7">
      <w:pPr>
        <w:pStyle w:val="ListParagraph"/>
        <w:numPr>
          <w:ilvl w:val="0"/>
          <w:numId w:val="0"/>
        </w:numPr>
        <w:rPr>
          <w:rFonts w:asciiTheme="majorHAnsi" w:hAnsiTheme="majorHAnsi"/>
          <w:color w:val="auto"/>
          <w:szCs w:val="20"/>
          <w:lang w:val="fr-FR"/>
        </w:rPr>
      </w:pPr>
    </w:p>
    <w:p w14:paraId="03DCDDDF" w14:textId="77777777" w:rsidR="00F56082" w:rsidRPr="00545FAE" w:rsidRDefault="00774BC4" w:rsidP="00894DFB">
      <w:pPr>
        <w:pStyle w:val="ListParagraph"/>
        <w:rPr>
          <w:rFonts w:asciiTheme="majorHAnsi" w:hAnsiTheme="majorHAnsi"/>
          <w:color w:val="auto"/>
          <w:szCs w:val="20"/>
          <w:lang w:val="fr-FR"/>
        </w:rPr>
      </w:pPr>
      <w:r w:rsidRPr="00545FAE">
        <w:rPr>
          <w:rFonts w:asciiTheme="majorHAnsi" w:hAnsiTheme="majorHAnsi"/>
          <w:color w:val="auto"/>
          <w:szCs w:val="20"/>
          <w:lang w:val="fr-FR"/>
        </w:rPr>
        <w:t xml:space="preserve">Par conséquent, il demande à </w:t>
      </w:r>
      <w:r w:rsidR="00412E84" w:rsidRPr="00545FAE">
        <w:rPr>
          <w:rFonts w:asciiTheme="majorHAnsi" w:hAnsiTheme="majorHAnsi"/>
          <w:color w:val="auto"/>
          <w:szCs w:val="20"/>
          <w:lang w:val="fr-FR"/>
        </w:rPr>
        <w:t xml:space="preserve">la CIDH </w:t>
      </w:r>
      <w:r w:rsidRPr="00545FAE">
        <w:rPr>
          <w:rFonts w:asciiTheme="majorHAnsi" w:hAnsiTheme="majorHAnsi"/>
          <w:color w:val="auto"/>
          <w:szCs w:val="20"/>
          <w:lang w:val="fr-FR"/>
        </w:rPr>
        <w:t>qu’elle recommande à la République d’Haïti</w:t>
      </w:r>
      <w:r w:rsidR="003E4027" w:rsidRPr="00545FAE">
        <w:rPr>
          <w:rFonts w:asciiTheme="majorHAnsi" w:hAnsiTheme="majorHAnsi"/>
          <w:color w:val="auto"/>
          <w:szCs w:val="20"/>
          <w:lang w:val="fr-FR"/>
        </w:rPr>
        <w:t>,</w:t>
      </w:r>
      <w:r w:rsidR="00F90995" w:rsidRPr="00545FAE">
        <w:rPr>
          <w:rFonts w:asciiTheme="majorHAnsi" w:hAnsiTheme="majorHAnsi"/>
          <w:color w:val="auto"/>
          <w:szCs w:val="20"/>
          <w:lang w:val="fr-FR"/>
        </w:rPr>
        <w:t xml:space="preserve"> d’une part,</w:t>
      </w:r>
      <w:r w:rsidRPr="00545FAE">
        <w:rPr>
          <w:rFonts w:asciiTheme="majorHAnsi" w:hAnsiTheme="majorHAnsi"/>
          <w:color w:val="auto"/>
          <w:szCs w:val="20"/>
          <w:lang w:val="fr-FR"/>
        </w:rPr>
        <w:t xml:space="preserve"> d’adopter les mesures législatives et opérationnelles destinées </w:t>
      </w:r>
      <w:r w:rsidR="00C469C5" w:rsidRPr="00545FAE">
        <w:rPr>
          <w:rFonts w:asciiTheme="majorHAnsi" w:hAnsiTheme="majorHAnsi"/>
          <w:color w:val="auto"/>
          <w:szCs w:val="20"/>
          <w:lang w:val="fr-FR"/>
        </w:rPr>
        <w:t xml:space="preserve">à prévenir, </w:t>
      </w:r>
      <w:r w:rsidRPr="00545FAE">
        <w:rPr>
          <w:rFonts w:asciiTheme="majorHAnsi" w:hAnsiTheme="majorHAnsi"/>
          <w:color w:val="auto"/>
          <w:szCs w:val="20"/>
          <w:lang w:val="fr-FR"/>
        </w:rPr>
        <w:t xml:space="preserve">enquêter sur </w:t>
      </w:r>
      <w:r w:rsidR="00C469C5" w:rsidRPr="00545FAE">
        <w:rPr>
          <w:rFonts w:asciiTheme="majorHAnsi" w:hAnsiTheme="majorHAnsi"/>
          <w:color w:val="auto"/>
          <w:szCs w:val="20"/>
          <w:lang w:val="fr-FR"/>
        </w:rPr>
        <w:t xml:space="preserve">et sanctionner </w:t>
      </w:r>
      <w:r w:rsidRPr="00545FAE">
        <w:rPr>
          <w:rFonts w:asciiTheme="majorHAnsi" w:hAnsiTheme="majorHAnsi"/>
          <w:color w:val="auto"/>
          <w:szCs w:val="20"/>
          <w:lang w:val="fr-FR"/>
        </w:rPr>
        <w:t xml:space="preserve">les menaces aux droits à la liberté et à la sécurité </w:t>
      </w:r>
      <w:r w:rsidR="003E4027" w:rsidRPr="00545FAE">
        <w:rPr>
          <w:rFonts w:asciiTheme="majorHAnsi" w:hAnsiTheme="majorHAnsi"/>
          <w:color w:val="auto"/>
          <w:szCs w:val="20"/>
          <w:lang w:val="fr-FR"/>
        </w:rPr>
        <w:t>de la personne</w:t>
      </w:r>
      <w:r w:rsidRPr="00545FAE">
        <w:rPr>
          <w:rFonts w:asciiTheme="majorHAnsi" w:hAnsiTheme="majorHAnsi"/>
          <w:color w:val="auto"/>
          <w:szCs w:val="20"/>
          <w:lang w:val="fr-FR"/>
        </w:rPr>
        <w:t xml:space="preserve"> </w:t>
      </w:r>
      <w:r w:rsidR="00F90995" w:rsidRPr="00545FAE">
        <w:rPr>
          <w:rFonts w:asciiTheme="majorHAnsi" w:hAnsiTheme="majorHAnsi"/>
          <w:color w:val="auto"/>
          <w:szCs w:val="20"/>
          <w:lang w:val="fr-FR"/>
        </w:rPr>
        <w:t xml:space="preserve">perpétrées par des particuliers, </w:t>
      </w:r>
      <w:r w:rsidR="00C469C5" w:rsidRPr="00545FAE">
        <w:rPr>
          <w:rFonts w:asciiTheme="majorHAnsi" w:hAnsiTheme="majorHAnsi"/>
          <w:color w:val="auto"/>
          <w:szCs w:val="20"/>
          <w:lang w:val="fr-FR"/>
        </w:rPr>
        <w:t xml:space="preserve">dans des </w:t>
      </w:r>
      <w:r w:rsidR="00302C4F" w:rsidRPr="00545FAE">
        <w:rPr>
          <w:rFonts w:asciiTheme="majorHAnsi" w:hAnsiTheme="majorHAnsi"/>
          <w:color w:val="auto"/>
          <w:szCs w:val="20"/>
          <w:lang w:val="fr-FR"/>
        </w:rPr>
        <w:t xml:space="preserve">affaires comme la </w:t>
      </w:r>
      <w:r w:rsidR="00C469C5" w:rsidRPr="00545FAE">
        <w:rPr>
          <w:rFonts w:asciiTheme="majorHAnsi" w:hAnsiTheme="majorHAnsi"/>
          <w:color w:val="auto"/>
          <w:szCs w:val="20"/>
          <w:lang w:val="fr-FR"/>
        </w:rPr>
        <w:t>sien</w:t>
      </w:r>
      <w:r w:rsidR="00302C4F" w:rsidRPr="00545FAE">
        <w:rPr>
          <w:rFonts w:asciiTheme="majorHAnsi" w:hAnsiTheme="majorHAnsi"/>
          <w:color w:val="auto"/>
          <w:szCs w:val="20"/>
          <w:lang w:val="fr-FR"/>
        </w:rPr>
        <w:t>ne</w:t>
      </w:r>
      <w:r w:rsidR="00C469C5" w:rsidRPr="00545FAE">
        <w:rPr>
          <w:rFonts w:asciiTheme="majorHAnsi" w:hAnsiTheme="majorHAnsi"/>
          <w:color w:val="auto"/>
          <w:szCs w:val="20"/>
          <w:lang w:val="fr-FR"/>
        </w:rPr>
        <w:t xml:space="preserve"> et dans tou</w:t>
      </w:r>
      <w:r w:rsidR="00302C4F" w:rsidRPr="00545FAE">
        <w:rPr>
          <w:rFonts w:asciiTheme="majorHAnsi" w:hAnsiTheme="majorHAnsi"/>
          <w:color w:val="auto"/>
          <w:szCs w:val="20"/>
          <w:lang w:val="fr-FR"/>
        </w:rPr>
        <w:t>te</w:t>
      </w:r>
      <w:r w:rsidR="00C469C5" w:rsidRPr="00545FAE">
        <w:rPr>
          <w:rFonts w:asciiTheme="majorHAnsi" w:hAnsiTheme="majorHAnsi"/>
          <w:color w:val="auto"/>
          <w:szCs w:val="20"/>
          <w:lang w:val="fr-FR"/>
        </w:rPr>
        <w:t>s ce</w:t>
      </w:r>
      <w:r w:rsidR="00302C4F" w:rsidRPr="00545FAE">
        <w:rPr>
          <w:rFonts w:asciiTheme="majorHAnsi" w:hAnsiTheme="majorHAnsi"/>
          <w:color w:val="auto"/>
          <w:szCs w:val="20"/>
          <w:lang w:val="fr-FR"/>
        </w:rPr>
        <w:t>lles</w:t>
      </w:r>
      <w:r w:rsidR="00C469C5" w:rsidRPr="00545FAE">
        <w:rPr>
          <w:rFonts w:asciiTheme="majorHAnsi" w:hAnsiTheme="majorHAnsi"/>
          <w:color w:val="auto"/>
          <w:szCs w:val="20"/>
          <w:lang w:val="fr-FR"/>
        </w:rPr>
        <w:t xml:space="preserve"> qui sont lié</w:t>
      </w:r>
      <w:r w:rsidR="00302C4F" w:rsidRPr="00545FAE">
        <w:rPr>
          <w:rFonts w:asciiTheme="majorHAnsi" w:hAnsiTheme="majorHAnsi"/>
          <w:color w:val="auto"/>
          <w:szCs w:val="20"/>
          <w:lang w:val="fr-FR"/>
        </w:rPr>
        <w:t>e</w:t>
      </w:r>
      <w:r w:rsidR="00C469C5" w:rsidRPr="00545FAE">
        <w:rPr>
          <w:rFonts w:asciiTheme="majorHAnsi" w:hAnsiTheme="majorHAnsi"/>
          <w:color w:val="auto"/>
          <w:szCs w:val="20"/>
          <w:lang w:val="fr-FR"/>
        </w:rPr>
        <w:t>s à des crimes violents</w:t>
      </w:r>
      <w:r w:rsidR="006A3357" w:rsidRPr="00545FAE">
        <w:rPr>
          <w:rFonts w:asciiTheme="majorHAnsi" w:hAnsiTheme="majorHAnsi"/>
          <w:color w:val="auto"/>
          <w:szCs w:val="20"/>
          <w:lang w:val="fr-FR"/>
        </w:rPr>
        <w:t xml:space="preserve">, </w:t>
      </w:r>
      <w:r w:rsidR="00F90995" w:rsidRPr="00545FAE">
        <w:rPr>
          <w:rFonts w:asciiTheme="majorHAnsi" w:hAnsiTheme="majorHAnsi"/>
          <w:color w:val="auto"/>
          <w:szCs w:val="20"/>
          <w:lang w:val="fr-FR"/>
        </w:rPr>
        <w:t>et, d’autre part, de créer et d’équiper une faction des forces de sécurité dont la mission consisterait à intervenir dans ces situations</w:t>
      </w:r>
      <w:r w:rsidR="00595125" w:rsidRPr="00545FAE">
        <w:rPr>
          <w:rFonts w:asciiTheme="majorHAnsi" w:hAnsiTheme="majorHAnsi"/>
          <w:color w:val="auto"/>
          <w:szCs w:val="20"/>
          <w:lang w:val="fr-FR"/>
        </w:rPr>
        <w:t xml:space="preserve">. </w:t>
      </w:r>
      <w:r w:rsidR="00F90995" w:rsidRPr="00545FAE">
        <w:rPr>
          <w:rFonts w:asciiTheme="majorHAnsi" w:hAnsiTheme="majorHAnsi"/>
          <w:color w:val="auto"/>
          <w:szCs w:val="20"/>
          <w:lang w:val="fr-FR"/>
        </w:rPr>
        <w:t xml:space="preserve">De plus, il demande à la CIDH qu’elle enjoigne l’État d’indemniser le pétitionnaire au motif qu’il est responsable d’avoir contribué </w:t>
      </w:r>
      <w:r w:rsidR="001845F4" w:rsidRPr="00545FAE">
        <w:rPr>
          <w:rFonts w:asciiTheme="majorHAnsi" w:hAnsiTheme="majorHAnsi"/>
          <w:color w:val="auto"/>
          <w:szCs w:val="20"/>
          <w:lang w:val="fr-FR"/>
        </w:rPr>
        <w:t>à l’atteinte des droits garanti</w:t>
      </w:r>
      <w:r w:rsidR="00595125" w:rsidRPr="00545FAE">
        <w:rPr>
          <w:rFonts w:asciiTheme="majorHAnsi" w:hAnsiTheme="majorHAnsi"/>
          <w:color w:val="auto"/>
          <w:szCs w:val="20"/>
          <w:lang w:val="fr-FR"/>
        </w:rPr>
        <w:t>s p</w:t>
      </w:r>
      <w:r w:rsidR="001845F4" w:rsidRPr="00545FAE">
        <w:rPr>
          <w:rFonts w:asciiTheme="majorHAnsi" w:hAnsiTheme="majorHAnsi"/>
          <w:color w:val="auto"/>
          <w:szCs w:val="20"/>
          <w:lang w:val="fr-FR"/>
        </w:rPr>
        <w:t>a</w:t>
      </w:r>
      <w:r w:rsidR="00595125" w:rsidRPr="00545FAE">
        <w:rPr>
          <w:rFonts w:asciiTheme="majorHAnsi" w:hAnsiTheme="majorHAnsi"/>
          <w:color w:val="auto"/>
          <w:szCs w:val="20"/>
          <w:lang w:val="fr-FR"/>
        </w:rPr>
        <w:t>r la Conven</w:t>
      </w:r>
      <w:r w:rsidR="001845F4" w:rsidRPr="00545FAE">
        <w:rPr>
          <w:rFonts w:asciiTheme="majorHAnsi" w:hAnsiTheme="majorHAnsi"/>
          <w:color w:val="auto"/>
          <w:szCs w:val="20"/>
          <w:lang w:val="fr-FR"/>
        </w:rPr>
        <w:t>tion</w:t>
      </w:r>
      <w:r w:rsidR="00595125" w:rsidRPr="00545FAE">
        <w:rPr>
          <w:rFonts w:asciiTheme="majorHAnsi" w:hAnsiTheme="majorHAnsi"/>
          <w:color w:val="auto"/>
          <w:szCs w:val="20"/>
          <w:lang w:val="fr-FR"/>
        </w:rPr>
        <w:t xml:space="preserve">. </w:t>
      </w:r>
    </w:p>
    <w:p w14:paraId="4B3866BD" w14:textId="77777777" w:rsidR="00F56082" w:rsidRPr="00545FAE" w:rsidRDefault="00F56082" w:rsidP="00F56082">
      <w:pPr>
        <w:pStyle w:val="ListParagraph"/>
        <w:numPr>
          <w:ilvl w:val="0"/>
          <w:numId w:val="0"/>
        </w:numPr>
        <w:rPr>
          <w:rFonts w:asciiTheme="majorHAnsi" w:hAnsiTheme="majorHAnsi"/>
          <w:color w:val="auto"/>
          <w:szCs w:val="20"/>
          <w:lang w:val="fr-FR"/>
        </w:rPr>
      </w:pPr>
    </w:p>
    <w:p w14:paraId="4DCA3960" w14:textId="77777777" w:rsidR="00260893" w:rsidRPr="00545FAE" w:rsidRDefault="00D425C9" w:rsidP="00260893">
      <w:pPr>
        <w:pStyle w:val="ListParagraph"/>
        <w:rPr>
          <w:rFonts w:asciiTheme="majorHAnsi" w:hAnsiTheme="majorHAnsi"/>
          <w:color w:val="auto"/>
          <w:szCs w:val="20"/>
          <w:lang w:val="fr-FR"/>
        </w:rPr>
      </w:pPr>
      <w:r w:rsidRPr="00545FAE">
        <w:rPr>
          <w:rFonts w:asciiTheme="majorHAnsi" w:hAnsiTheme="majorHAnsi"/>
          <w:color w:val="auto"/>
          <w:szCs w:val="20"/>
          <w:lang w:val="fr-FR"/>
        </w:rPr>
        <w:t xml:space="preserve">Il demande aussi à la Commission d’imposer à l’État l’obligation de fournir des délais ainsi qu’un rapport public, au niveau législatif et concernant les procédures administratives, </w:t>
      </w:r>
      <w:r w:rsidR="00302C4F" w:rsidRPr="00545FAE">
        <w:rPr>
          <w:rFonts w:asciiTheme="majorHAnsi" w:hAnsiTheme="majorHAnsi"/>
          <w:color w:val="auto"/>
          <w:szCs w:val="20"/>
          <w:lang w:val="fr-FR"/>
        </w:rPr>
        <w:t>les procédures d’enquête de la police et les poursuites pénales, en particulier sur l’affaire du pétitionnaire mais également sur les autres affaires de crimes violents</w:t>
      </w:r>
      <w:r w:rsidR="00860CF3" w:rsidRPr="00545FAE">
        <w:rPr>
          <w:rFonts w:asciiTheme="majorHAnsi" w:hAnsiTheme="majorHAnsi"/>
          <w:color w:val="auto"/>
          <w:szCs w:val="20"/>
          <w:lang w:val="fr-FR"/>
        </w:rPr>
        <w:t xml:space="preserve"> </w:t>
      </w:r>
      <w:r w:rsidR="00F56082" w:rsidRPr="00545FAE">
        <w:rPr>
          <w:rFonts w:asciiTheme="majorHAnsi" w:hAnsiTheme="majorHAnsi"/>
          <w:color w:val="auto"/>
          <w:szCs w:val="20"/>
          <w:lang w:val="fr-FR"/>
        </w:rPr>
        <w:t>(</w:t>
      </w:r>
      <w:r w:rsidRPr="00545FAE">
        <w:rPr>
          <w:rFonts w:asciiTheme="majorHAnsi" w:hAnsiTheme="majorHAnsi"/>
          <w:color w:val="auto"/>
          <w:szCs w:val="20"/>
          <w:lang w:val="fr-FR"/>
        </w:rPr>
        <w:t>y compris ceux à caractère sexuel</w:t>
      </w:r>
      <w:r w:rsidR="002049C4" w:rsidRPr="00545FAE">
        <w:rPr>
          <w:rFonts w:asciiTheme="majorHAnsi" w:hAnsiTheme="majorHAnsi"/>
          <w:color w:val="auto"/>
          <w:szCs w:val="20"/>
          <w:lang w:val="fr-FR"/>
        </w:rPr>
        <w:t xml:space="preserve">), </w:t>
      </w:r>
      <w:r w:rsidR="0005563B" w:rsidRPr="00545FAE">
        <w:rPr>
          <w:rFonts w:asciiTheme="majorHAnsi" w:hAnsiTheme="majorHAnsi"/>
          <w:color w:val="auto"/>
          <w:szCs w:val="20"/>
          <w:lang w:val="fr-FR"/>
        </w:rPr>
        <w:t>sans oublier</w:t>
      </w:r>
      <w:r w:rsidR="002049C4" w:rsidRPr="00545FAE">
        <w:rPr>
          <w:rFonts w:asciiTheme="majorHAnsi" w:hAnsiTheme="majorHAnsi"/>
          <w:color w:val="auto"/>
          <w:szCs w:val="20"/>
          <w:lang w:val="fr-FR"/>
        </w:rPr>
        <w:t xml:space="preserve"> les atteintes flagrantes aux droits des personnes et les crimes contre l’</w:t>
      </w:r>
      <w:r w:rsidR="00F56082" w:rsidRPr="00545FAE">
        <w:rPr>
          <w:rFonts w:asciiTheme="majorHAnsi" w:hAnsiTheme="majorHAnsi"/>
          <w:color w:val="auto"/>
          <w:szCs w:val="20"/>
          <w:lang w:val="fr-FR"/>
        </w:rPr>
        <w:t>humani</w:t>
      </w:r>
      <w:r w:rsidR="002049C4" w:rsidRPr="00545FAE">
        <w:rPr>
          <w:rFonts w:asciiTheme="majorHAnsi" w:hAnsiTheme="majorHAnsi"/>
          <w:color w:val="auto"/>
          <w:szCs w:val="20"/>
          <w:lang w:val="fr-FR"/>
        </w:rPr>
        <w:t>té</w:t>
      </w:r>
      <w:r w:rsidR="00F56082" w:rsidRPr="00545FAE">
        <w:rPr>
          <w:rFonts w:asciiTheme="majorHAnsi" w:hAnsiTheme="majorHAnsi"/>
          <w:color w:val="auto"/>
          <w:szCs w:val="20"/>
          <w:lang w:val="fr-FR"/>
        </w:rPr>
        <w:t xml:space="preserve">. </w:t>
      </w:r>
      <w:r w:rsidR="002049C4" w:rsidRPr="00545FAE">
        <w:rPr>
          <w:rFonts w:asciiTheme="majorHAnsi" w:hAnsiTheme="majorHAnsi"/>
          <w:color w:val="auto"/>
          <w:szCs w:val="20"/>
          <w:lang w:val="fr-FR"/>
        </w:rPr>
        <w:t xml:space="preserve">Il demande donc à la Commission d’exiger que la loi et les procédures administratives </w:t>
      </w:r>
      <w:r w:rsidR="00213EFE" w:rsidRPr="00545FAE">
        <w:rPr>
          <w:rFonts w:asciiTheme="majorHAnsi" w:hAnsiTheme="majorHAnsi"/>
          <w:color w:val="auto"/>
          <w:szCs w:val="20"/>
          <w:lang w:val="fr-FR"/>
        </w:rPr>
        <w:t>précisent obligatoirement la durée de chaque étape de la procédure d’enquête et des poursuites ainsi que la fréquence de présentation</w:t>
      </w:r>
      <w:r w:rsidR="000B2EF6" w:rsidRPr="00545FAE">
        <w:rPr>
          <w:rFonts w:asciiTheme="majorHAnsi" w:hAnsiTheme="majorHAnsi"/>
          <w:color w:val="auto"/>
          <w:szCs w:val="20"/>
          <w:lang w:val="fr-FR"/>
        </w:rPr>
        <w:t xml:space="preserve"> des rapports publics</w:t>
      </w:r>
      <w:r w:rsidR="00213EFE" w:rsidRPr="00545FAE">
        <w:rPr>
          <w:rFonts w:asciiTheme="majorHAnsi" w:hAnsiTheme="majorHAnsi"/>
          <w:color w:val="auto"/>
          <w:szCs w:val="20"/>
          <w:lang w:val="fr-FR"/>
        </w:rPr>
        <w:t>, et ce, afin d’examiner les retards et de déterminer</w:t>
      </w:r>
      <w:r w:rsidR="000B2EF6" w:rsidRPr="00545FAE">
        <w:rPr>
          <w:rFonts w:asciiTheme="majorHAnsi" w:hAnsiTheme="majorHAnsi"/>
          <w:color w:val="auto"/>
          <w:szCs w:val="20"/>
          <w:lang w:val="fr-FR"/>
        </w:rPr>
        <w:t xml:space="preserve"> si les mécanismes de contrôle, gouvernementaux et civils sont activés</w:t>
      </w:r>
      <w:r w:rsidR="00FF1758" w:rsidRPr="00545FAE">
        <w:rPr>
          <w:rFonts w:asciiTheme="majorHAnsi" w:hAnsiTheme="majorHAnsi"/>
          <w:color w:val="auto"/>
          <w:szCs w:val="20"/>
          <w:lang w:val="fr-FR"/>
        </w:rPr>
        <w:t>.</w:t>
      </w:r>
    </w:p>
    <w:p w14:paraId="6207F41C" w14:textId="77777777" w:rsidR="00260893" w:rsidRPr="00545FAE" w:rsidRDefault="00260893" w:rsidP="00260893">
      <w:pPr>
        <w:pStyle w:val="ListParagraph"/>
        <w:numPr>
          <w:ilvl w:val="0"/>
          <w:numId w:val="0"/>
        </w:numPr>
        <w:rPr>
          <w:rFonts w:asciiTheme="majorHAnsi" w:hAnsiTheme="majorHAnsi"/>
          <w:szCs w:val="20"/>
          <w:lang w:val="fr-FR"/>
        </w:rPr>
      </w:pPr>
    </w:p>
    <w:p w14:paraId="662CC703" w14:textId="77777777" w:rsidR="00ED0302" w:rsidRPr="00545FAE" w:rsidRDefault="00FF1758" w:rsidP="00ED0302">
      <w:pPr>
        <w:pStyle w:val="ListParagraph"/>
        <w:rPr>
          <w:rFonts w:asciiTheme="majorHAnsi" w:hAnsiTheme="majorHAnsi"/>
          <w:color w:val="auto"/>
          <w:szCs w:val="20"/>
          <w:lang w:val="fr-FR"/>
        </w:rPr>
      </w:pPr>
      <w:r w:rsidRPr="00545FAE">
        <w:rPr>
          <w:rFonts w:asciiTheme="majorHAnsi" w:hAnsiTheme="majorHAnsi"/>
          <w:szCs w:val="20"/>
          <w:lang w:val="fr-FR"/>
        </w:rPr>
        <w:t>De</w:t>
      </w:r>
      <w:r w:rsidR="00D550E7" w:rsidRPr="00545FAE">
        <w:rPr>
          <w:rFonts w:asciiTheme="majorHAnsi" w:hAnsiTheme="majorHAnsi"/>
          <w:szCs w:val="20"/>
          <w:lang w:val="fr-FR"/>
        </w:rPr>
        <w:t xml:space="preserve"> la même manière, il demande à la Commission, dans l’exercice des pouvoirs qui lui sont conférés par l’article </w:t>
      </w:r>
      <w:r w:rsidRPr="00545FAE">
        <w:rPr>
          <w:rFonts w:asciiTheme="majorHAnsi" w:hAnsiTheme="majorHAnsi"/>
          <w:szCs w:val="20"/>
          <w:lang w:val="fr-FR"/>
        </w:rPr>
        <w:t>25.8 de la Conven</w:t>
      </w:r>
      <w:r w:rsidR="00D550E7" w:rsidRPr="00545FAE">
        <w:rPr>
          <w:rFonts w:asciiTheme="majorHAnsi" w:hAnsiTheme="majorHAnsi"/>
          <w:szCs w:val="20"/>
          <w:lang w:val="fr-FR"/>
        </w:rPr>
        <w:t>tion</w:t>
      </w:r>
      <w:r w:rsidRPr="00545FAE">
        <w:rPr>
          <w:rFonts w:asciiTheme="majorHAnsi" w:hAnsiTheme="majorHAnsi"/>
          <w:szCs w:val="20"/>
          <w:lang w:val="fr-FR"/>
        </w:rPr>
        <w:t xml:space="preserve"> </w:t>
      </w:r>
      <w:r w:rsidR="00D550E7" w:rsidRPr="00545FAE">
        <w:rPr>
          <w:rFonts w:asciiTheme="majorHAnsi" w:hAnsiTheme="majorHAnsi"/>
          <w:szCs w:val="20"/>
          <w:lang w:val="fr-FR"/>
        </w:rPr>
        <w:t>e</w:t>
      </w:r>
      <w:r w:rsidR="00C83D8D" w:rsidRPr="00545FAE">
        <w:rPr>
          <w:rFonts w:asciiTheme="majorHAnsi" w:hAnsiTheme="majorHAnsi"/>
          <w:szCs w:val="20"/>
          <w:lang w:val="fr-FR"/>
        </w:rPr>
        <w:t>t l</w:t>
      </w:r>
      <w:r w:rsidR="00D550E7" w:rsidRPr="00545FAE">
        <w:rPr>
          <w:rFonts w:asciiTheme="majorHAnsi" w:hAnsiTheme="majorHAnsi"/>
          <w:szCs w:val="20"/>
          <w:lang w:val="fr-FR"/>
        </w:rPr>
        <w:t>es dispositions respectives du Règlement, d’ordonner à l’État d’adopter des mesures conservatoires, y compris celles visant à protéger la vie et l’intégrité physique du pétitionnaire et de sa famille,</w:t>
      </w:r>
      <w:r w:rsidR="00C83D8D" w:rsidRPr="00545FAE">
        <w:rPr>
          <w:rFonts w:asciiTheme="majorHAnsi" w:hAnsiTheme="majorHAnsi"/>
          <w:szCs w:val="20"/>
          <w:lang w:val="fr-FR"/>
        </w:rPr>
        <w:t xml:space="preserve"> lesdites mesures devant être adoptées en concertation avec le pétitionnaire</w:t>
      </w:r>
      <w:r w:rsidR="00B76F12" w:rsidRPr="00545FAE">
        <w:rPr>
          <w:rFonts w:asciiTheme="majorHAnsi" w:hAnsiTheme="majorHAnsi"/>
          <w:szCs w:val="20"/>
          <w:lang w:val="fr-FR"/>
        </w:rPr>
        <w:t>,</w:t>
      </w:r>
      <w:r w:rsidR="00C83D8D" w:rsidRPr="00545FAE">
        <w:rPr>
          <w:rFonts w:asciiTheme="majorHAnsi" w:hAnsiTheme="majorHAnsi"/>
          <w:szCs w:val="20"/>
          <w:lang w:val="fr-FR"/>
        </w:rPr>
        <w:t xml:space="preserve"> a</w:t>
      </w:r>
      <w:r w:rsidRPr="00545FAE">
        <w:rPr>
          <w:rFonts w:asciiTheme="majorHAnsi" w:hAnsiTheme="majorHAnsi"/>
          <w:szCs w:val="20"/>
          <w:lang w:val="fr-FR"/>
        </w:rPr>
        <w:t xml:space="preserve">fin de </w:t>
      </w:r>
      <w:r w:rsidR="00C83D8D" w:rsidRPr="00545FAE">
        <w:rPr>
          <w:rFonts w:asciiTheme="majorHAnsi" w:hAnsiTheme="majorHAnsi"/>
          <w:szCs w:val="20"/>
          <w:lang w:val="fr-FR"/>
        </w:rPr>
        <w:t>s’assurer de l’adéquation de la protection octroyée, et dûment notifiées à la Commission pour qu’elle puisse garantir la protection du pétitionnaire</w:t>
      </w:r>
      <w:r w:rsidR="00260893" w:rsidRPr="00545FAE">
        <w:rPr>
          <w:rFonts w:asciiTheme="majorHAnsi" w:hAnsiTheme="majorHAnsi"/>
          <w:szCs w:val="20"/>
          <w:lang w:val="fr-FR"/>
        </w:rPr>
        <w:t>.</w:t>
      </w:r>
    </w:p>
    <w:p w14:paraId="5EDBAD0F" w14:textId="77777777" w:rsidR="00ED0302" w:rsidRPr="00545FAE" w:rsidRDefault="00ED0302" w:rsidP="00ED0302">
      <w:pPr>
        <w:pStyle w:val="ListParagraph"/>
        <w:numPr>
          <w:ilvl w:val="0"/>
          <w:numId w:val="0"/>
        </w:numPr>
        <w:rPr>
          <w:rFonts w:asciiTheme="majorHAnsi" w:hAnsiTheme="majorHAnsi"/>
          <w:szCs w:val="20"/>
          <w:lang w:val="fr-FR"/>
        </w:rPr>
      </w:pPr>
    </w:p>
    <w:p w14:paraId="2C8AF2AA" w14:textId="77777777" w:rsidR="00260893" w:rsidRPr="00545FAE" w:rsidRDefault="008229A4" w:rsidP="00ED0302">
      <w:pPr>
        <w:pStyle w:val="ListParagraph"/>
        <w:rPr>
          <w:rFonts w:asciiTheme="majorHAnsi" w:hAnsiTheme="majorHAnsi"/>
          <w:color w:val="auto"/>
          <w:szCs w:val="20"/>
          <w:lang w:val="fr-FR"/>
        </w:rPr>
      </w:pPr>
      <w:r w:rsidRPr="00545FAE">
        <w:rPr>
          <w:rFonts w:asciiTheme="majorHAnsi" w:hAnsiTheme="majorHAnsi"/>
          <w:szCs w:val="20"/>
          <w:lang w:val="fr-FR"/>
        </w:rPr>
        <w:t>Enfin</w:t>
      </w:r>
      <w:r w:rsidR="00260893" w:rsidRPr="00545FAE">
        <w:rPr>
          <w:rFonts w:asciiTheme="majorHAnsi" w:hAnsiTheme="majorHAnsi"/>
          <w:szCs w:val="20"/>
          <w:lang w:val="fr-FR"/>
        </w:rPr>
        <w:t>, la part</w:t>
      </w:r>
      <w:r w:rsidRPr="00545FAE">
        <w:rPr>
          <w:rFonts w:asciiTheme="majorHAnsi" w:hAnsiTheme="majorHAnsi"/>
          <w:szCs w:val="20"/>
          <w:lang w:val="fr-FR"/>
        </w:rPr>
        <w:t>i</w:t>
      </w:r>
      <w:r w:rsidR="00260893" w:rsidRPr="00545FAE">
        <w:rPr>
          <w:rFonts w:asciiTheme="majorHAnsi" w:hAnsiTheme="majorHAnsi"/>
          <w:szCs w:val="20"/>
          <w:lang w:val="fr-FR"/>
        </w:rPr>
        <w:t xml:space="preserve">e </w:t>
      </w:r>
      <w:r w:rsidRPr="00545FAE">
        <w:rPr>
          <w:rFonts w:asciiTheme="majorHAnsi" w:hAnsiTheme="majorHAnsi"/>
          <w:szCs w:val="20"/>
          <w:lang w:val="fr-FR"/>
        </w:rPr>
        <w:t xml:space="preserve">requérante souligne que la Commission a précédemment confirmé que les tribunaux et les forces de police </w:t>
      </w:r>
      <w:r w:rsidR="00260893" w:rsidRPr="00545FAE">
        <w:rPr>
          <w:rFonts w:asciiTheme="majorHAnsi" w:hAnsiTheme="majorHAnsi"/>
          <w:szCs w:val="20"/>
          <w:lang w:val="fr-FR"/>
        </w:rPr>
        <w:t>de la R</w:t>
      </w:r>
      <w:r w:rsidRPr="00545FAE">
        <w:rPr>
          <w:rFonts w:asciiTheme="majorHAnsi" w:hAnsiTheme="majorHAnsi"/>
          <w:szCs w:val="20"/>
          <w:lang w:val="fr-FR"/>
        </w:rPr>
        <w:t>épublique d’Haïti</w:t>
      </w:r>
      <w:r w:rsidR="00260893" w:rsidRPr="00545FAE">
        <w:rPr>
          <w:rFonts w:asciiTheme="majorHAnsi" w:hAnsiTheme="majorHAnsi"/>
          <w:szCs w:val="20"/>
          <w:lang w:val="fr-FR"/>
        </w:rPr>
        <w:t xml:space="preserve"> </w:t>
      </w:r>
      <w:r w:rsidR="004E4909" w:rsidRPr="00545FAE">
        <w:rPr>
          <w:rFonts w:asciiTheme="majorHAnsi" w:hAnsiTheme="majorHAnsi"/>
          <w:szCs w:val="20"/>
          <w:lang w:val="fr-FR"/>
        </w:rPr>
        <w:t>sont plongés dans une corruption qui favorise l’impunité, situation dont profitent les bandes et les organisations criminelles</w:t>
      </w:r>
      <w:r w:rsidR="00260893" w:rsidRPr="00545FAE">
        <w:rPr>
          <w:rFonts w:asciiTheme="majorHAnsi" w:hAnsiTheme="majorHAnsi"/>
          <w:szCs w:val="20"/>
          <w:lang w:val="fr-FR"/>
        </w:rPr>
        <w:t xml:space="preserve">. </w:t>
      </w:r>
      <w:r w:rsidR="00551843" w:rsidRPr="00545FAE">
        <w:rPr>
          <w:rFonts w:asciiTheme="majorHAnsi" w:hAnsiTheme="majorHAnsi"/>
          <w:szCs w:val="20"/>
          <w:lang w:val="fr-FR"/>
        </w:rPr>
        <w:t xml:space="preserve">Elle soutient aussi que ces pratiques sont encore monnaie courante et qu’aucune amélioration n’a été observée depuis que la Commission a constaté </w:t>
      </w:r>
      <w:r w:rsidR="00B5039D" w:rsidRPr="00545FAE">
        <w:rPr>
          <w:rFonts w:asciiTheme="majorHAnsi" w:hAnsiTheme="majorHAnsi"/>
          <w:szCs w:val="20"/>
          <w:lang w:val="fr-FR"/>
        </w:rPr>
        <w:t>cette</w:t>
      </w:r>
      <w:r w:rsidR="00551843" w:rsidRPr="00545FAE">
        <w:rPr>
          <w:rFonts w:asciiTheme="majorHAnsi" w:hAnsiTheme="majorHAnsi"/>
          <w:szCs w:val="20"/>
          <w:lang w:val="fr-FR"/>
        </w:rPr>
        <w:t xml:space="preserve"> situation</w:t>
      </w:r>
      <w:r w:rsidR="00260893" w:rsidRPr="00545FAE">
        <w:rPr>
          <w:rFonts w:asciiTheme="majorHAnsi" w:hAnsiTheme="majorHAnsi"/>
          <w:szCs w:val="20"/>
          <w:lang w:val="fr-FR"/>
        </w:rPr>
        <w:t xml:space="preserve">. </w:t>
      </w:r>
      <w:r w:rsidR="003E0BC1" w:rsidRPr="00545FAE">
        <w:rPr>
          <w:rFonts w:asciiTheme="majorHAnsi" w:hAnsiTheme="majorHAnsi"/>
          <w:szCs w:val="20"/>
          <w:lang w:val="fr-FR"/>
        </w:rPr>
        <w:t xml:space="preserve">Il </w:t>
      </w:r>
      <w:r w:rsidR="00C31C5D" w:rsidRPr="00545FAE">
        <w:rPr>
          <w:rFonts w:asciiTheme="majorHAnsi" w:hAnsiTheme="majorHAnsi"/>
          <w:szCs w:val="20"/>
          <w:lang w:val="fr-FR"/>
        </w:rPr>
        <w:t>argue</w:t>
      </w:r>
      <w:r w:rsidR="003E0BC1" w:rsidRPr="00545FAE">
        <w:rPr>
          <w:rFonts w:asciiTheme="majorHAnsi" w:hAnsiTheme="majorHAnsi"/>
          <w:szCs w:val="20"/>
          <w:lang w:val="fr-FR"/>
        </w:rPr>
        <w:t xml:space="preserve"> donc qu’</w:t>
      </w:r>
      <w:r w:rsidR="00B5039D" w:rsidRPr="00545FAE">
        <w:rPr>
          <w:rFonts w:asciiTheme="majorHAnsi" w:hAnsiTheme="majorHAnsi"/>
          <w:szCs w:val="20"/>
          <w:lang w:val="fr-FR"/>
        </w:rPr>
        <w:t xml:space="preserve">Haïti doit traiter les atteintes aux droits des personnes, comme le pétitionnaire, </w:t>
      </w:r>
      <w:r w:rsidR="00C31C5D" w:rsidRPr="00545FAE">
        <w:rPr>
          <w:rFonts w:asciiTheme="majorHAnsi" w:hAnsiTheme="majorHAnsi"/>
          <w:szCs w:val="20"/>
          <w:lang w:val="fr-FR"/>
        </w:rPr>
        <w:t xml:space="preserve">et compenser </w:t>
      </w:r>
      <w:r w:rsidR="00B5039D" w:rsidRPr="00545FAE">
        <w:rPr>
          <w:rFonts w:asciiTheme="majorHAnsi" w:hAnsiTheme="majorHAnsi"/>
          <w:szCs w:val="20"/>
          <w:lang w:val="fr-FR"/>
        </w:rPr>
        <w:t xml:space="preserve">les préjudices </w:t>
      </w:r>
      <w:r w:rsidR="00C31C5D" w:rsidRPr="00545FAE">
        <w:rPr>
          <w:rFonts w:asciiTheme="majorHAnsi" w:hAnsiTheme="majorHAnsi"/>
          <w:szCs w:val="20"/>
          <w:lang w:val="fr-FR"/>
        </w:rPr>
        <w:t>et les retards subis lors de l’enquête et des poursuites pénales</w:t>
      </w:r>
      <w:r w:rsidR="00952883" w:rsidRPr="00545FAE">
        <w:rPr>
          <w:rFonts w:asciiTheme="majorHAnsi" w:hAnsiTheme="majorHAnsi"/>
          <w:szCs w:val="20"/>
          <w:lang w:val="fr-FR"/>
        </w:rPr>
        <w:t>, afin de garanti</w:t>
      </w:r>
      <w:r w:rsidR="00ED0302" w:rsidRPr="00545FAE">
        <w:rPr>
          <w:rFonts w:asciiTheme="majorHAnsi" w:hAnsiTheme="majorHAnsi"/>
          <w:szCs w:val="20"/>
          <w:lang w:val="fr-FR"/>
        </w:rPr>
        <w:t xml:space="preserve">r </w:t>
      </w:r>
      <w:r w:rsidR="00952883" w:rsidRPr="00545FAE">
        <w:rPr>
          <w:rFonts w:asciiTheme="majorHAnsi" w:hAnsiTheme="majorHAnsi"/>
          <w:szCs w:val="20"/>
          <w:lang w:val="fr-FR"/>
        </w:rPr>
        <w:t>la protection des droits des personnes en Haïti</w:t>
      </w:r>
      <w:r w:rsidR="00ED0302" w:rsidRPr="00545FAE">
        <w:rPr>
          <w:rFonts w:asciiTheme="majorHAnsi" w:hAnsiTheme="majorHAnsi"/>
          <w:szCs w:val="20"/>
          <w:lang w:val="fr-FR"/>
        </w:rPr>
        <w:t>,</w:t>
      </w:r>
      <w:r w:rsidR="00260893" w:rsidRPr="00545FAE">
        <w:rPr>
          <w:rFonts w:asciiTheme="majorHAnsi" w:hAnsiTheme="majorHAnsi"/>
          <w:szCs w:val="20"/>
          <w:lang w:val="fr-FR"/>
        </w:rPr>
        <w:t xml:space="preserve"> </w:t>
      </w:r>
      <w:r w:rsidR="00952883" w:rsidRPr="00545FAE">
        <w:rPr>
          <w:rFonts w:asciiTheme="majorHAnsi" w:hAnsiTheme="majorHAnsi"/>
          <w:szCs w:val="20"/>
          <w:lang w:val="fr-FR"/>
        </w:rPr>
        <w:t>ce qui pourrait améliorer l’administration de la justice et l’égalité entre tous les Haïtiens et Haïtiennes</w:t>
      </w:r>
      <w:r w:rsidR="00260893" w:rsidRPr="00545FAE">
        <w:rPr>
          <w:rFonts w:asciiTheme="majorHAnsi" w:hAnsiTheme="majorHAnsi"/>
          <w:szCs w:val="20"/>
          <w:lang w:val="fr-FR"/>
        </w:rPr>
        <w:t xml:space="preserve">. </w:t>
      </w:r>
    </w:p>
    <w:p w14:paraId="698C31E8" w14:textId="77777777" w:rsidR="00B81D9F" w:rsidRPr="00545FAE" w:rsidRDefault="00B81D9F" w:rsidP="00B81D9F">
      <w:pPr>
        <w:pStyle w:val="Heading2"/>
        <w:numPr>
          <w:ilvl w:val="0"/>
          <w:numId w:val="0"/>
        </w:numPr>
        <w:ind w:left="720"/>
        <w:rPr>
          <w:lang w:val="fr-FR"/>
        </w:rPr>
      </w:pPr>
    </w:p>
    <w:p w14:paraId="42637C6E" w14:textId="77777777" w:rsidR="00D12193" w:rsidRPr="00545FAE" w:rsidRDefault="008229A4" w:rsidP="005F3D64">
      <w:pPr>
        <w:pStyle w:val="Heading2"/>
        <w:ind w:left="720" w:hanging="720"/>
        <w:rPr>
          <w:lang w:val="fr-FR"/>
        </w:rPr>
      </w:pPr>
      <w:bookmarkStart w:id="7" w:name="_Toc33019282"/>
      <w:r w:rsidRPr="00545FAE">
        <w:rPr>
          <w:lang w:val="fr-FR"/>
        </w:rPr>
        <w:t>État</w:t>
      </w:r>
      <w:bookmarkEnd w:id="7"/>
      <w:r w:rsidR="00CC63CF" w:rsidRPr="00545FAE">
        <w:rPr>
          <w:lang w:val="fr-FR"/>
        </w:rPr>
        <w:t xml:space="preserve"> </w:t>
      </w:r>
    </w:p>
    <w:p w14:paraId="7DA9580E" w14:textId="77777777" w:rsidR="00DE4662" w:rsidRPr="00545FAE" w:rsidRDefault="00DE4662" w:rsidP="00DE4662">
      <w:pPr>
        <w:rPr>
          <w:lang w:val="fr-FR"/>
        </w:rPr>
      </w:pPr>
    </w:p>
    <w:p w14:paraId="64A417F4" w14:textId="77777777" w:rsidR="00092076" w:rsidRPr="00545FAE" w:rsidRDefault="00E46826" w:rsidP="00DE4662">
      <w:pPr>
        <w:pStyle w:val="ListParagraph"/>
        <w:tabs>
          <w:tab w:val="left" w:pos="360"/>
        </w:tabs>
        <w:rPr>
          <w:lang w:val="fr-FR"/>
        </w:rPr>
      </w:pPr>
      <w:r w:rsidRPr="00545FAE">
        <w:rPr>
          <w:lang w:val="fr-FR"/>
        </w:rPr>
        <w:t>L’</w:t>
      </w:r>
      <w:r w:rsidR="000C5200" w:rsidRPr="00545FAE">
        <w:rPr>
          <w:lang w:val="fr-FR"/>
        </w:rPr>
        <w:t>État</w:t>
      </w:r>
      <w:r w:rsidRPr="00545FAE">
        <w:rPr>
          <w:lang w:val="fr-FR"/>
        </w:rPr>
        <w:t xml:space="preserve"> n’a présenté aucune observation à l’étape de fond</w:t>
      </w:r>
      <w:r w:rsidR="007517A3" w:rsidRPr="00545FAE">
        <w:rPr>
          <w:lang w:val="fr-FR"/>
        </w:rPr>
        <w:t xml:space="preserve">. </w:t>
      </w:r>
      <w:r w:rsidRPr="00545FAE">
        <w:rPr>
          <w:lang w:val="fr-FR"/>
        </w:rPr>
        <w:t>Cependant, comme il a été indiqué dans le rapport de recevabilité, la République d’Haïti s’est contentée, en août 2007, de souligner que les éléments du dossier ne permettaient pas de démontrer l’implication d’un quelconque agent de l’État dans les tentatives d’assassinat dont M.</w:t>
      </w:r>
      <w:r w:rsidRPr="00545FAE">
        <w:rPr>
          <w:rFonts w:asciiTheme="majorHAnsi" w:hAnsiTheme="majorHAnsi"/>
          <w:color w:val="auto"/>
          <w:szCs w:val="20"/>
          <w:lang w:val="fr-FR"/>
        </w:rPr>
        <w:t xml:space="preserve"> Baptiste Willer</w:t>
      </w:r>
      <w:r w:rsidRPr="00545FAE">
        <w:rPr>
          <w:lang w:val="fr-FR"/>
        </w:rPr>
        <w:t xml:space="preserve"> prétend avoir été victime et le fait que les personnes qu’il identifie comme auteurs ou complices de ces actes ont été protégées ou couvertes par les autorités publiques haïtiennes</w:t>
      </w:r>
      <w:r w:rsidR="007517A3" w:rsidRPr="00545FAE">
        <w:rPr>
          <w:rStyle w:val="FootnoteReference"/>
          <w:rFonts w:asciiTheme="majorHAnsi" w:hAnsiTheme="majorHAnsi"/>
          <w:color w:val="auto"/>
          <w:szCs w:val="20"/>
          <w:lang w:val="fr-FR"/>
        </w:rPr>
        <w:footnoteReference w:id="3"/>
      </w:r>
      <w:r w:rsidR="007517A3" w:rsidRPr="00545FAE">
        <w:rPr>
          <w:rFonts w:asciiTheme="majorHAnsi" w:hAnsiTheme="majorHAnsi"/>
          <w:color w:val="auto"/>
          <w:szCs w:val="20"/>
          <w:lang w:val="fr-FR"/>
        </w:rPr>
        <w:t xml:space="preserve">. </w:t>
      </w:r>
      <w:r w:rsidR="000C5200" w:rsidRPr="00545FAE">
        <w:rPr>
          <w:rFonts w:asciiTheme="majorHAnsi" w:hAnsiTheme="majorHAnsi"/>
          <w:color w:val="auto"/>
          <w:szCs w:val="20"/>
          <w:lang w:val="fr-FR"/>
        </w:rPr>
        <w:t>De plus, l’État a indiqué que l’un des auteurs présumés était activement recherché par la police et qu’un</w:t>
      </w:r>
      <w:r w:rsidR="000B7017" w:rsidRPr="00545FAE">
        <w:rPr>
          <w:rFonts w:asciiTheme="majorHAnsi" w:hAnsiTheme="majorHAnsi"/>
          <w:color w:val="auto"/>
          <w:szCs w:val="20"/>
          <w:lang w:val="fr-FR"/>
        </w:rPr>
        <w:t>e</w:t>
      </w:r>
      <w:r w:rsidR="000C5200" w:rsidRPr="00545FAE">
        <w:rPr>
          <w:rFonts w:asciiTheme="majorHAnsi" w:hAnsiTheme="majorHAnsi"/>
          <w:color w:val="auto"/>
          <w:szCs w:val="20"/>
          <w:lang w:val="fr-FR"/>
        </w:rPr>
        <w:t xml:space="preserve"> </w:t>
      </w:r>
      <w:r w:rsidR="000B7017" w:rsidRPr="00545FAE">
        <w:rPr>
          <w:rFonts w:asciiTheme="majorHAnsi" w:hAnsiTheme="majorHAnsi"/>
          <w:color w:val="auto"/>
          <w:szCs w:val="20"/>
          <w:lang w:val="fr-FR"/>
        </w:rPr>
        <w:t>annonce télévisée</w:t>
      </w:r>
      <w:r w:rsidR="00894FC5" w:rsidRPr="00545FAE">
        <w:rPr>
          <w:rFonts w:asciiTheme="majorHAnsi" w:hAnsiTheme="majorHAnsi"/>
          <w:color w:val="auto"/>
          <w:szCs w:val="20"/>
          <w:lang w:val="fr-FR"/>
        </w:rPr>
        <w:t xml:space="preserve"> avait été diffusé</w:t>
      </w:r>
      <w:r w:rsidR="000B7017" w:rsidRPr="00545FAE">
        <w:rPr>
          <w:rFonts w:asciiTheme="majorHAnsi" w:hAnsiTheme="majorHAnsi"/>
          <w:color w:val="auto"/>
          <w:szCs w:val="20"/>
          <w:lang w:val="fr-FR"/>
        </w:rPr>
        <w:t>e</w:t>
      </w:r>
      <w:r w:rsidR="00894FC5" w:rsidRPr="00545FAE">
        <w:rPr>
          <w:rFonts w:asciiTheme="majorHAnsi" w:hAnsiTheme="majorHAnsi"/>
          <w:color w:val="auto"/>
          <w:szCs w:val="20"/>
          <w:lang w:val="fr-FR"/>
        </w:rPr>
        <w:t xml:space="preserve"> demandant à la population de collaborer avec la justice afin de procéder à son arrestation</w:t>
      </w:r>
      <w:r w:rsidR="00092076" w:rsidRPr="00545FAE">
        <w:rPr>
          <w:rStyle w:val="FootnoteReference"/>
          <w:rFonts w:asciiTheme="majorHAnsi" w:hAnsiTheme="majorHAnsi"/>
          <w:color w:val="auto"/>
          <w:szCs w:val="20"/>
          <w:lang w:val="fr-FR"/>
        </w:rPr>
        <w:footnoteReference w:id="4"/>
      </w:r>
      <w:r w:rsidR="00092076" w:rsidRPr="00545FAE">
        <w:rPr>
          <w:rFonts w:asciiTheme="majorHAnsi" w:hAnsiTheme="majorHAnsi"/>
          <w:color w:val="auto"/>
          <w:szCs w:val="20"/>
          <w:lang w:val="fr-FR"/>
        </w:rPr>
        <w:t xml:space="preserve">. </w:t>
      </w:r>
    </w:p>
    <w:p w14:paraId="0637EA0C" w14:textId="77777777" w:rsidR="00092076" w:rsidRPr="00545FAE" w:rsidRDefault="00092076" w:rsidP="00092076">
      <w:pPr>
        <w:pStyle w:val="ListParagraph"/>
        <w:numPr>
          <w:ilvl w:val="0"/>
          <w:numId w:val="0"/>
        </w:numPr>
        <w:tabs>
          <w:tab w:val="left" w:pos="360"/>
        </w:tabs>
        <w:rPr>
          <w:lang w:val="fr-FR"/>
        </w:rPr>
      </w:pPr>
    </w:p>
    <w:p w14:paraId="2A1A923F" w14:textId="77777777" w:rsidR="00DE4662" w:rsidRPr="00545FAE" w:rsidRDefault="000B7017" w:rsidP="00DE4662">
      <w:pPr>
        <w:pStyle w:val="ListParagraph"/>
        <w:tabs>
          <w:tab w:val="left" w:pos="360"/>
        </w:tabs>
        <w:rPr>
          <w:lang w:val="fr-FR"/>
        </w:rPr>
      </w:pPr>
      <w:r w:rsidRPr="00545FAE">
        <w:rPr>
          <w:rFonts w:asciiTheme="majorHAnsi" w:hAnsiTheme="majorHAnsi"/>
          <w:color w:val="auto"/>
          <w:szCs w:val="20"/>
          <w:lang w:val="fr-FR"/>
        </w:rPr>
        <w:lastRenderedPageBreak/>
        <w:t>Cependant, l’État n’a présenté aucune preuve pour étayer ses affirmations et n’a pas complété, lors de l’étape de fond, les informations concernant les éventuels progrès de l’enquête et des poursuites contre les auteurs de ces actes</w:t>
      </w:r>
      <w:r w:rsidR="00092076" w:rsidRPr="00545FAE">
        <w:rPr>
          <w:rFonts w:asciiTheme="majorHAnsi" w:hAnsiTheme="majorHAnsi"/>
          <w:color w:val="auto"/>
          <w:szCs w:val="20"/>
          <w:lang w:val="fr-FR"/>
        </w:rPr>
        <w:t>.</w:t>
      </w:r>
    </w:p>
    <w:p w14:paraId="58694417" w14:textId="77777777" w:rsidR="007C756A" w:rsidRPr="00545FAE" w:rsidRDefault="007C756A" w:rsidP="0011380E">
      <w:pPr>
        <w:suppressAutoHyphens/>
        <w:rPr>
          <w:rFonts w:asciiTheme="majorHAnsi" w:hAnsiTheme="majorHAnsi"/>
          <w:sz w:val="20"/>
          <w:szCs w:val="20"/>
          <w:lang w:val="fr-FR"/>
        </w:rPr>
      </w:pPr>
    </w:p>
    <w:p w14:paraId="596611F4" w14:textId="77777777" w:rsidR="002648D8" w:rsidRPr="00545FAE" w:rsidRDefault="00267C68" w:rsidP="00C3709E">
      <w:pPr>
        <w:pStyle w:val="Heading1"/>
        <w:ind w:left="0" w:firstLine="0"/>
        <w:rPr>
          <w:color w:val="auto"/>
          <w:lang w:val="fr-FR"/>
        </w:rPr>
      </w:pPr>
      <w:bookmarkStart w:id="8" w:name="_Toc33019283"/>
      <w:r w:rsidRPr="00545FAE">
        <w:rPr>
          <w:color w:val="auto"/>
          <w:lang w:val="fr-FR"/>
        </w:rPr>
        <w:t>ÉTABLISSEMENT DES FAITS</w:t>
      </w:r>
      <w:bookmarkEnd w:id="8"/>
      <w:r w:rsidRPr="00545FAE">
        <w:rPr>
          <w:color w:val="auto"/>
          <w:lang w:val="fr-FR"/>
        </w:rPr>
        <w:t xml:space="preserve"> </w:t>
      </w:r>
    </w:p>
    <w:p w14:paraId="3BCB9130" w14:textId="77777777" w:rsidR="002648D8" w:rsidRPr="00545FAE" w:rsidRDefault="002648D8" w:rsidP="002648D8">
      <w:pPr>
        <w:rPr>
          <w:lang w:val="fr-FR" w:eastAsia="es-ES"/>
        </w:rPr>
      </w:pPr>
    </w:p>
    <w:p w14:paraId="0B8DA639" w14:textId="77777777" w:rsidR="002648D8" w:rsidRPr="00545FAE" w:rsidRDefault="002648D8" w:rsidP="002648D8">
      <w:pPr>
        <w:pStyle w:val="Heading2"/>
        <w:numPr>
          <w:ilvl w:val="0"/>
          <w:numId w:val="60"/>
        </w:numPr>
        <w:rPr>
          <w:lang w:val="fr-FR"/>
        </w:rPr>
      </w:pPr>
      <w:bookmarkStart w:id="9" w:name="_Toc33019284"/>
      <w:r w:rsidRPr="00545FAE">
        <w:rPr>
          <w:lang w:val="fr-FR"/>
        </w:rPr>
        <w:t>Informa</w:t>
      </w:r>
      <w:r w:rsidR="00267C68" w:rsidRPr="00545FAE">
        <w:rPr>
          <w:lang w:val="fr-FR"/>
        </w:rPr>
        <w:t>tions disponibles sur les victimes présumées et les membres de leur famille</w:t>
      </w:r>
      <w:bookmarkEnd w:id="9"/>
    </w:p>
    <w:p w14:paraId="542E8CA2" w14:textId="77777777" w:rsidR="0065504C" w:rsidRPr="00545FAE" w:rsidRDefault="0065504C" w:rsidP="0065504C">
      <w:pPr>
        <w:rPr>
          <w:lang w:val="fr-FR"/>
        </w:rPr>
      </w:pPr>
    </w:p>
    <w:p w14:paraId="18D5F7F9" w14:textId="77777777" w:rsidR="0065504C" w:rsidRPr="00545FAE" w:rsidRDefault="00A62482" w:rsidP="0065504C">
      <w:pPr>
        <w:pStyle w:val="ListParagraph"/>
        <w:rPr>
          <w:lang w:val="fr-FR"/>
        </w:rPr>
      </w:pPr>
      <w:r w:rsidRPr="00545FAE">
        <w:rPr>
          <w:lang w:val="fr-FR"/>
        </w:rPr>
        <w:t xml:space="preserve">Selon les informations que la partie requérante a apportées au dossier, au moment des faits, M. </w:t>
      </w:r>
      <w:r w:rsidR="0065504C" w:rsidRPr="00545FAE">
        <w:rPr>
          <w:lang w:val="fr-FR"/>
        </w:rPr>
        <w:t>Baptiste Willer</w:t>
      </w:r>
      <w:r w:rsidR="00BA160D" w:rsidRPr="00545FAE">
        <w:rPr>
          <w:lang w:val="fr-FR"/>
        </w:rPr>
        <w:t xml:space="preserve"> </w:t>
      </w:r>
      <w:r w:rsidRPr="00545FAE">
        <w:rPr>
          <w:lang w:val="fr-FR"/>
        </w:rPr>
        <w:t xml:space="preserve">était marié avec Mme </w:t>
      </w:r>
      <w:r w:rsidR="00BA160D" w:rsidRPr="00545FAE">
        <w:rPr>
          <w:lang w:val="fr-FR"/>
        </w:rPr>
        <w:t>Noëlzina Baptiste</w:t>
      </w:r>
      <w:r w:rsidR="00706870" w:rsidRPr="00545FAE">
        <w:rPr>
          <w:lang w:val="fr-FR"/>
        </w:rPr>
        <w:t xml:space="preserve">, </w:t>
      </w:r>
      <w:r w:rsidRPr="00545FAE">
        <w:rPr>
          <w:lang w:val="fr-FR"/>
        </w:rPr>
        <w:t>dont il avait trois enfants mineurs</w:t>
      </w:r>
      <w:r w:rsidR="00A502D6" w:rsidRPr="00545FAE">
        <w:rPr>
          <w:lang w:val="fr-FR"/>
        </w:rPr>
        <w:t xml:space="preserve">, Baptiste Costaguinov, Baptiste Wilderson </w:t>
      </w:r>
      <w:r w:rsidRPr="00545FAE">
        <w:rPr>
          <w:lang w:val="fr-FR"/>
        </w:rPr>
        <w:t>et</w:t>
      </w:r>
      <w:r w:rsidR="00A502D6" w:rsidRPr="00545FAE">
        <w:rPr>
          <w:lang w:val="fr-FR"/>
        </w:rPr>
        <w:t xml:space="preserve"> Baptiste Noë-Willo</w:t>
      </w:r>
      <w:r w:rsidR="0065504C" w:rsidRPr="00545FAE">
        <w:rPr>
          <w:rStyle w:val="FootnoteReference"/>
          <w:lang w:val="fr-FR"/>
        </w:rPr>
        <w:footnoteReference w:id="5"/>
      </w:r>
      <w:r w:rsidR="0065504C" w:rsidRPr="00545FAE">
        <w:rPr>
          <w:lang w:val="fr-FR"/>
        </w:rPr>
        <w:t>.</w:t>
      </w:r>
      <w:r w:rsidR="00BA160D" w:rsidRPr="00545FAE">
        <w:rPr>
          <w:lang w:val="fr-FR"/>
        </w:rPr>
        <w:t xml:space="preserve"> </w:t>
      </w:r>
    </w:p>
    <w:p w14:paraId="6396CC1E" w14:textId="77777777" w:rsidR="00F42983" w:rsidRPr="00545FAE" w:rsidRDefault="00F42983" w:rsidP="00F42983">
      <w:pPr>
        <w:pStyle w:val="ListParagraph"/>
        <w:numPr>
          <w:ilvl w:val="0"/>
          <w:numId w:val="0"/>
        </w:numPr>
        <w:rPr>
          <w:lang w:val="fr-FR"/>
        </w:rPr>
      </w:pPr>
    </w:p>
    <w:p w14:paraId="2B2191BC" w14:textId="77777777" w:rsidR="00F42983" w:rsidRPr="00545FAE" w:rsidRDefault="00A62482" w:rsidP="0065504C">
      <w:pPr>
        <w:pStyle w:val="ListParagraph"/>
        <w:rPr>
          <w:lang w:val="fr-FR"/>
        </w:rPr>
      </w:pPr>
      <w:r w:rsidRPr="00545FAE">
        <w:rPr>
          <w:lang w:val="fr-FR"/>
        </w:rPr>
        <w:t>Dans sa pétition initial</w:t>
      </w:r>
      <w:r w:rsidR="002C5953" w:rsidRPr="00545FAE">
        <w:rPr>
          <w:lang w:val="fr-FR"/>
        </w:rPr>
        <w:t>e, le pétitionnaire a indiqué que le décès de M. Frédo Guirant (ou Guirand), son frère, avait fait de Mme Hélène Charlné, mère des deux hommes, une victime</w:t>
      </w:r>
      <w:r w:rsidR="00F42983" w:rsidRPr="00545FAE">
        <w:rPr>
          <w:lang w:val="fr-FR"/>
        </w:rPr>
        <w:t>.</w:t>
      </w:r>
    </w:p>
    <w:p w14:paraId="41E0B648" w14:textId="77777777" w:rsidR="002648D8" w:rsidRPr="00545FAE" w:rsidRDefault="002648D8" w:rsidP="002648D8">
      <w:pPr>
        <w:rPr>
          <w:lang w:val="fr-FR"/>
        </w:rPr>
      </w:pPr>
    </w:p>
    <w:p w14:paraId="64BDD1F4" w14:textId="77777777" w:rsidR="00A4478F" w:rsidRPr="00545FAE" w:rsidRDefault="00267C68" w:rsidP="002648D8">
      <w:pPr>
        <w:pStyle w:val="Heading2"/>
        <w:numPr>
          <w:ilvl w:val="0"/>
          <w:numId w:val="60"/>
        </w:numPr>
        <w:rPr>
          <w:lang w:val="fr-FR"/>
        </w:rPr>
      </w:pPr>
      <w:bookmarkStart w:id="10" w:name="_Toc33019285"/>
      <w:r w:rsidRPr="00545FAE">
        <w:rPr>
          <w:lang w:val="fr-FR"/>
        </w:rPr>
        <w:t>Faits relatifs à l’affaire</w:t>
      </w:r>
      <w:bookmarkEnd w:id="10"/>
    </w:p>
    <w:p w14:paraId="612C69C3" w14:textId="77777777" w:rsidR="005F3D64" w:rsidRPr="00545FAE" w:rsidRDefault="005F3D64" w:rsidP="005F3D64">
      <w:pPr>
        <w:rPr>
          <w:lang w:val="fr-FR" w:eastAsia="es-ES"/>
        </w:rPr>
      </w:pPr>
    </w:p>
    <w:p w14:paraId="7FE23BCC" w14:textId="77777777" w:rsidR="005F3D64" w:rsidRPr="00545FAE" w:rsidRDefault="00C70E12" w:rsidP="00F05CC0">
      <w:pPr>
        <w:pStyle w:val="ListParagraph"/>
        <w:tabs>
          <w:tab w:val="left" w:pos="360"/>
          <w:tab w:val="left" w:pos="720"/>
        </w:tabs>
        <w:rPr>
          <w:rFonts w:asciiTheme="majorHAnsi" w:hAnsiTheme="majorHAnsi"/>
          <w:color w:val="auto"/>
          <w:szCs w:val="20"/>
          <w:lang w:val="fr-FR"/>
        </w:rPr>
      </w:pPr>
      <w:r w:rsidRPr="00545FAE">
        <w:rPr>
          <w:lang w:val="fr-FR"/>
        </w:rPr>
        <w:t xml:space="preserve">D’après les allégations de la partie requérante, le 4 février 2007 à 9h00, alors qu’il se trouvait à proximité de son domicile, M. </w:t>
      </w:r>
      <w:r w:rsidR="001F20AE" w:rsidRPr="00545FAE">
        <w:rPr>
          <w:lang w:val="fr-FR"/>
        </w:rPr>
        <w:t>Baptiste Willer a été victime d’une tentative d’homicide perpétrée par des délinquants connus des forces de police. Il affirme en outre que, ce même jour entre 17</w:t>
      </w:r>
      <w:r w:rsidR="00761179" w:rsidRPr="00545FAE">
        <w:rPr>
          <w:lang w:val="fr-FR"/>
        </w:rPr>
        <w:t>h00</w:t>
      </w:r>
      <w:r w:rsidR="001F20AE" w:rsidRPr="00545FAE">
        <w:rPr>
          <w:lang w:val="fr-FR"/>
        </w:rPr>
        <w:t xml:space="preserve"> et 18h00, les individus qui ont intenté à sa vie ont assassiné son frère cadet </w:t>
      </w:r>
      <w:r w:rsidR="00982431" w:rsidRPr="00545FAE">
        <w:rPr>
          <w:lang w:val="fr-FR"/>
        </w:rPr>
        <w:t>Frédo Guirant (o</w:t>
      </w:r>
      <w:r w:rsidR="001F20AE" w:rsidRPr="00545FAE">
        <w:rPr>
          <w:lang w:val="fr-FR"/>
        </w:rPr>
        <w:t>u</w:t>
      </w:r>
      <w:r w:rsidR="00982431" w:rsidRPr="00545FAE">
        <w:rPr>
          <w:lang w:val="fr-FR"/>
        </w:rPr>
        <w:t xml:space="preserve"> Guirand)</w:t>
      </w:r>
      <w:r w:rsidR="00C17F8E" w:rsidRPr="00545FAE">
        <w:rPr>
          <w:lang w:val="fr-FR"/>
        </w:rPr>
        <w:t xml:space="preserve">, </w:t>
      </w:r>
      <w:r w:rsidR="001F20AE" w:rsidRPr="00545FAE">
        <w:rPr>
          <w:lang w:val="fr-FR"/>
        </w:rPr>
        <w:t>âgé de seulement 16 ans</w:t>
      </w:r>
      <w:r w:rsidR="006549DA" w:rsidRPr="00545FAE">
        <w:rPr>
          <w:lang w:val="fr-FR"/>
        </w:rPr>
        <w:t xml:space="preserve">, </w:t>
      </w:r>
      <w:r w:rsidR="001F20AE" w:rsidRPr="00545FAE">
        <w:rPr>
          <w:lang w:val="fr-FR"/>
        </w:rPr>
        <w:t>en visite chez lui</w:t>
      </w:r>
      <w:r w:rsidR="004C1C07" w:rsidRPr="00545FAE">
        <w:rPr>
          <w:lang w:val="fr-FR"/>
        </w:rPr>
        <w:t xml:space="preserve">. </w:t>
      </w:r>
      <w:r w:rsidR="001F20AE" w:rsidRPr="00545FAE">
        <w:rPr>
          <w:lang w:val="fr-FR"/>
        </w:rPr>
        <w:t>L’État n’a pas démenti ces allégations</w:t>
      </w:r>
      <w:r w:rsidR="00E770DA" w:rsidRPr="00545FAE">
        <w:rPr>
          <w:szCs w:val="20"/>
          <w:lang w:val="fr-FR"/>
        </w:rPr>
        <w:t>.</w:t>
      </w:r>
    </w:p>
    <w:p w14:paraId="251CF8C6" w14:textId="77777777" w:rsidR="006549DA" w:rsidRPr="00545FAE" w:rsidRDefault="006549DA" w:rsidP="006549DA">
      <w:pPr>
        <w:pStyle w:val="ListParagraph"/>
        <w:numPr>
          <w:ilvl w:val="0"/>
          <w:numId w:val="0"/>
        </w:numPr>
        <w:tabs>
          <w:tab w:val="left" w:pos="360"/>
          <w:tab w:val="left" w:pos="720"/>
        </w:tabs>
        <w:rPr>
          <w:rFonts w:asciiTheme="majorHAnsi" w:hAnsiTheme="majorHAnsi"/>
          <w:color w:val="auto"/>
          <w:szCs w:val="20"/>
          <w:lang w:val="fr-FR"/>
        </w:rPr>
      </w:pPr>
    </w:p>
    <w:p w14:paraId="63807A8D" w14:textId="77777777" w:rsidR="006549DA" w:rsidRPr="00545FAE" w:rsidRDefault="001F20AE" w:rsidP="00CB66F8">
      <w:pPr>
        <w:pStyle w:val="ListParagraph"/>
        <w:tabs>
          <w:tab w:val="left" w:pos="360"/>
          <w:tab w:val="left" w:pos="720"/>
        </w:tabs>
        <w:rPr>
          <w:rFonts w:asciiTheme="majorHAnsi" w:hAnsiTheme="majorHAnsi"/>
          <w:color w:val="auto"/>
          <w:szCs w:val="20"/>
          <w:lang w:val="fr-FR"/>
        </w:rPr>
      </w:pPr>
      <w:r w:rsidRPr="00545FAE">
        <w:rPr>
          <w:szCs w:val="20"/>
          <w:lang w:val="fr-FR"/>
        </w:rPr>
        <w:t xml:space="preserve">Selon les documents communiqués par le pétitionnaire, qui ont tous été dûment transmis à l’État, </w:t>
      </w:r>
      <w:r w:rsidR="003D5DCD" w:rsidRPr="00545FAE">
        <w:rPr>
          <w:szCs w:val="20"/>
          <w:lang w:val="fr-FR"/>
        </w:rPr>
        <w:t xml:space="preserve">la CIDH note que, le 30 septembre 2014, le Bureau de l’État civil du ministère de la Justice de la République d’Haïti a délivré un </w:t>
      </w:r>
      <w:r w:rsidR="00F10089" w:rsidRPr="00545FAE">
        <w:rPr>
          <w:szCs w:val="20"/>
          <w:lang w:val="fr-FR"/>
        </w:rPr>
        <w:t xml:space="preserve">acte </w:t>
      </w:r>
      <w:r w:rsidR="003D5DCD" w:rsidRPr="00545FAE">
        <w:rPr>
          <w:szCs w:val="20"/>
          <w:lang w:val="fr-FR"/>
        </w:rPr>
        <w:t xml:space="preserve">de décès qui confirme l’assassinat </w:t>
      </w:r>
      <w:r w:rsidR="009A6711" w:rsidRPr="00545FAE">
        <w:rPr>
          <w:szCs w:val="20"/>
          <w:lang w:val="fr-FR"/>
        </w:rPr>
        <w:t xml:space="preserve">de </w:t>
      </w:r>
      <w:r w:rsidR="002C5953" w:rsidRPr="00545FAE">
        <w:rPr>
          <w:szCs w:val="20"/>
          <w:lang w:val="fr-FR"/>
        </w:rPr>
        <w:t xml:space="preserve">M. </w:t>
      </w:r>
      <w:r w:rsidR="00982431" w:rsidRPr="00545FAE">
        <w:rPr>
          <w:szCs w:val="20"/>
          <w:lang w:val="fr-FR"/>
        </w:rPr>
        <w:t>Frédo Guirant (o</w:t>
      </w:r>
      <w:r w:rsidR="003D5DCD" w:rsidRPr="00545FAE">
        <w:rPr>
          <w:szCs w:val="20"/>
          <w:lang w:val="fr-FR"/>
        </w:rPr>
        <w:t>u</w:t>
      </w:r>
      <w:r w:rsidR="00982431" w:rsidRPr="00545FAE">
        <w:rPr>
          <w:szCs w:val="20"/>
          <w:lang w:val="fr-FR"/>
        </w:rPr>
        <w:t xml:space="preserve"> Guirand)</w:t>
      </w:r>
      <w:r w:rsidR="009A6711" w:rsidRPr="00545FAE">
        <w:rPr>
          <w:szCs w:val="20"/>
          <w:lang w:val="fr-FR"/>
        </w:rPr>
        <w:t xml:space="preserve">, </w:t>
      </w:r>
      <w:r w:rsidR="003D5DCD" w:rsidRPr="00545FAE">
        <w:rPr>
          <w:szCs w:val="20"/>
          <w:lang w:val="fr-FR"/>
        </w:rPr>
        <w:t>fils d’</w:t>
      </w:r>
      <w:r w:rsidR="009A6711" w:rsidRPr="00545FAE">
        <w:rPr>
          <w:szCs w:val="20"/>
          <w:lang w:val="fr-FR"/>
        </w:rPr>
        <w:t xml:space="preserve">André Guirand </w:t>
      </w:r>
      <w:r w:rsidR="003D5DCD" w:rsidRPr="00545FAE">
        <w:rPr>
          <w:szCs w:val="20"/>
          <w:lang w:val="fr-FR"/>
        </w:rPr>
        <w:t>et d’Hélè</w:t>
      </w:r>
      <w:r w:rsidR="009A6711" w:rsidRPr="00545FAE">
        <w:rPr>
          <w:szCs w:val="20"/>
          <w:lang w:val="fr-FR"/>
        </w:rPr>
        <w:t xml:space="preserve">ne Charlné, </w:t>
      </w:r>
      <w:r w:rsidR="003D5DCD" w:rsidRPr="00545FAE">
        <w:rPr>
          <w:szCs w:val="20"/>
          <w:lang w:val="fr-FR"/>
        </w:rPr>
        <w:t>survenu le 4 février 2007 par balle alors qu’il n’avait que 16 ans</w:t>
      </w:r>
      <w:r w:rsidR="00842977" w:rsidRPr="00545FAE">
        <w:rPr>
          <w:rStyle w:val="FootnoteReference"/>
          <w:szCs w:val="20"/>
          <w:lang w:val="fr-FR"/>
        </w:rPr>
        <w:footnoteReference w:id="6"/>
      </w:r>
      <w:r w:rsidR="00842977" w:rsidRPr="00545FAE">
        <w:rPr>
          <w:szCs w:val="20"/>
          <w:lang w:val="fr-FR"/>
        </w:rPr>
        <w:t>.</w:t>
      </w:r>
      <w:r w:rsidR="003C314C" w:rsidRPr="00545FAE">
        <w:rPr>
          <w:szCs w:val="20"/>
          <w:lang w:val="fr-FR"/>
        </w:rPr>
        <w:t xml:space="preserve"> </w:t>
      </w:r>
      <w:r w:rsidR="0052136E" w:rsidRPr="00545FAE">
        <w:rPr>
          <w:szCs w:val="20"/>
          <w:lang w:val="fr-FR"/>
        </w:rPr>
        <w:t xml:space="preserve">La CIDH note également que, le 7 février 2007, le juge de paix de la </w:t>
      </w:r>
      <w:r w:rsidR="00867840" w:rsidRPr="00545FAE">
        <w:rPr>
          <w:szCs w:val="20"/>
          <w:lang w:val="fr-FR"/>
        </w:rPr>
        <w:t>s</w:t>
      </w:r>
      <w:r w:rsidR="0052136E" w:rsidRPr="00545FAE">
        <w:rPr>
          <w:szCs w:val="20"/>
          <w:lang w:val="fr-FR"/>
        </w:rPr>
        <w:t>ection</w:t>
      </w:r>
      <w:r w:rsidR="00867840" w:rsidRPr="00545FAE">
        <w:rPr>
          <w:szCs w:val="20"/>
          <w:lang w:val="fr-FR"/>
        </w:rPr>
        <w:t xml:space="preserve"> S</w:t>
      </w:r>
      <w:r w:rsidR="0052136E" w:rsidRPr="00545FAE">
        <w:rPr>
          <w:szCs w:val="20"/>
          <w:lang w:val="fr-FR"/>
        </w:rPr>
        <w:t xml:space="preserve">ud </w:t>
      </w:r>
      <w:r w:rsidR="00867840" w:rsidRPr="00545FAE">
        <w:rPr>
          <w:szCs w:val="20"/>
          <w:lang w:val="fr-FR"/>
        </w:rPr>
        <w:t>de Port-au-Prince a ordonné à l’administrateur de l’Hôpital de l’Université d’État d’Haïti de remettre sans autopsie le corps de</w:t>
      </w:r>
      <w:r w:rsidR="00860CF3" w:rsidRPr="00545FAE">
        <w:rPr>
          <w:szCs w:val="20"/>
          <w:lang w:val="fr-FR"/>
        </w:rPr>
        <w:t xml:space="preserve"> </w:t>
      </w:r>
      <w:r w:rsidR="002C5953" w:rsidRPr="00545FAE">
        <w:rPr>
          <w:szCs w:val="20"/>
          <w:lang w:val="fr-FR"/>
        </w:rPr>
        <w:t xml:space="preserve">M. </w:t>
      </w:r>
      <w:r w:rsidR="00982431" w:rsidRPr="00545FAE">
        <w:rPr>
          <w:szCs w:val="20"/>
          <w:lang w:val="fr-FR"/>
        </w:rPr>
        <w:t>Frédo Guirant (o</w:t>
      </w:r>
      <w:r w:rsidR="00867840" w:rsidRPr="00545FAE">
        <w:rPr>
          <w:szCs w:val="20"/>
          <w:lang w:val="fr-FR"/>
        </w:rPr>
        <w:t>u</w:t>
      </w:r>
      <w:r w:rsidR="00982431" w:rsidRPr="00545FAE">
        <w:rPr>
          <w:szCs w:val="20"/>
          <w:lang w:val="fr-FR"/>
        </w:rPr>
        <w:t xml:space="preserve"> Guirand)</w:t>
      </w:r>
      <w:r w:rsidR="00867840" w:rsidRPr="00545FAE">
        <w:rPr>
          <w:szCs w:val="20"/>
          <w:lang w:val="fr-FR"/>
        </w:rPr>
        <w:t xml:space="preserve"> à son cousin, M. </w:t>
      </w:r>
      <w:r w:rsidR="00B32F16" w:rsidRPr="00545FAE">
        <w:rPr>
          <w:szCs w:val="20"/>
          <w:lang w:val="fr-FR"/>
        </w:rPr>
        <w:t>Mernelas Sapentier</w:t>
      </w:r>
      <w:r w:rsidR="00CB66F8" w:rsidRPr="00545FAE">
        <w:rPr>
          <w:rStyle w:val="FootnoteReference"/>
          <w:szCs w:val="20"/>
          <w:lang w:val="fr-FR"/>
        </w:rPr>
        <w:footnoteReference w:id="7"/>
      </w:r>
      <w:r w:rsidR="00F96300" w:rsidRPr="00545FAE">
        <w:rPr>
          <w:szCs w:val="20"/>
          <w:lang w:val="fr-FR"/>
        </w:rPr>
        <w:t xml:space="preserve">. </w:t>
      </w:r>
      <w:r w:rsidR="00867840" w:rsidRPr="00545FAE">
        <w:rPr>
          <w:szCs w:val="20"/>
          <w:lang w:val="fr-FR"/>
        </w:rPr>
        <w:t>Le</w:t>
      </w:r>
      <w:r w:rsidR="00CB66F8" w:rsidRPr="00545FAE">
        <w:rPr>
          <w:szCs w:val="20"/>
          <w:lang w:val="fr-FR"/>
        </w:rPr>
        <w:t xml:space="preserve"> 10 </w:t>
      </w:r>
      <w:r w:rsidR="00867840" w:rsidRPr="00545FAE">
        <w:rPr>
          <w:szCs w:val="20"/>
          <w:lang w:val="fr-FR"/>
        </w:rPr>
        <w:t>février</w:t>
      </w:r>
      <w:r w:rsidR="00FB13C3" w:rsidRPr="00545FAE">
        <w:rPr>
          <w:szCs w:val="20"/>
          <w:lang w:val="fr-FR"/>
        </w:rPr>
        <w:t>,</w:t>
      </w:r>
      <w:r w:rsidR="00CB66F8" w:rsidRPr="00545FAE">
        <w:rPr>
          <w:szCs w:val="20"/>
          <w:lang w:val="fr-FR"/>
        </w:rPr>
        <w:t xml:space="preserve"> </w:t>
      </w:r>
      <w:r w:rsidR="00867840" w:rsidRPr="00545FAE">
        <w:rPr>
          <w:szCs w:val="20"/>
          <w:lang w:val="fr-FR"/>
        </w:rPr>
        <w:t xml:space="preserve">M. </w:t>
      </w:r>
      <w:r w:rsidR="00CB66F8" w:rsidRPr="00545FAE">
        <w:rPr>
          <w:szCs w:val="20"/>
          <w:lang w:val="fr-FR"/>
        </w:rPr>
        <w:t xml:space="preserve">Baptiste Willer </w:t>
      </w:r>
      <w:r w:rsidR="00867840" w:rsidRPr="00545FAE">
        <w:rPr>
          <w:szCs w:val="20"/>
          <w:lang w:val="fr-FR"/>
        </w:rPr>
        <w:t xml:space="preserve">a autorisé l’entreprise de pompes funèbres </w:t>
      </w:r>
      <w:r w:rsidR="00CB66F8" w:rsidRPr="00545FAE">
        <w:rPr>
          <w:szCs w:val="20"/>
          <w:lang w:val="fr-FR"/>
        </w:rPr>
        <w:t>S</w:t>
      </w:r>
      <w:r w:rsidR="00867840" w:rsidRPr="00545FAE">
        <w:rPr>
          <w:szCs w:val="20"/>
          <w:lang w:val="fr-FR"/>
        </w:rPr>
        <w:t>t</w:t>
      </w:r>
      <w:r w:rsidR="00CB66F8" w:rsidRPr="00545FAE">
        <w:rPr>
          <w:szCs w:val="20"/>
          <w:lang w:val="fr-FR"/>
        </w:rPr>
        <w:t xml:space="preserve">-Jacques </w:t>
      </w:r>
      <w:r w:rsidR="00867840" w:rsidRPr="00545FAE">
        <w:rPr>
          <w:szCs w:val="20"/>
          <w:lang w:val="fr-FR"/>
        </w:rPr>
        <w:t xml:space="preserve">à enlever le corps de </w:t>
      </w:r>
      <w:r w:rsidR="00982431" w:rsidRPr="00545FAE">
        <w:rPr>
          <w:szCs w:val="20"/>
          <w:lang w:val="fr-FR"/>
        </w:rPr>
        <w:t>Frédo Guirant (o</w:t>
      </w:r>
      <w:r w:rsidR="00867840" w:rsidRPr="00545FAE">
        <w:rPr>
          <w:szCs w:val="20"/>
          <w:lang w:val="fr-FR"/>
        </w:rPr>
        <w:t>u</w:t>
      </w:r>
      <w:r w:rsidR="00982431" w:rsidRPr="00545FAE">
        <w:rPr>
          <w:szCs w:val="20"/>
          <w:lang w:val="fr-FR"/>
        </w:rPr>
        <w:t xml:space="preserve"> Guirand)</w:t>
      </w:r>
      <w:r w:rsidR="00867840" w:rsidRPr="00545FAE">
        <w:rPr>
          <w:szCs w:val="20"/>
          <w:lang w:val="fr-FR"/>
        </w:rPr>
        <w:t xml:space="preserve"> afin d’organiser ses funérailles</w:t>
      </w:r>
      <w:r w:rsidR="00E174F7" w:rsidRPr="00545FAE">
        <w:rPr>
          <w:rStyle w:val="FootnoteReference"/>
          <w:szCs w:val="20"/>
          <w:lang w:val="fr-FR"/>
        </w:rPr>
        <w:footnoteReference w:id="8"/>
      </w:r>
      <w:r w:rsidR="00CB66F8" w:rsidRPr="00545FAE">
        <w:rPr>
          <w:szCs w:val="20"/>
          <w:lang w:val="fr-FR"/>
        </w:rPr>
        <w:t xml:space="preserve">. </w:t>
      </w:r>
      <w:r w:rsidR="00437020" w:rsidRPr="00545FAE">
        <w:rPr>
          <w:szCs w:val="20"/>
          <w:lang w:val="fr-FR"/>
        </w:rPr>
        <w:t>Des photographies</w:t>
      </w:r>
      <w:r w:rsidR="0008509D" w:rsidRPr="00545FAE">
        <w:rPr>
          <w:rStyle w:val="FootnoteReference"/>
          <w:szCs w:val="20"/>
          <w:lang w:val="fr-FR"/>
        </w:rPr>
        <w:footnoteReference w:id="9"/>
      </w:r>
      <w:r w:rsidR="0008509D" w:rsidRPr="00545FAE">
        <w:rPr>
          <w:szCs w:val="20"/>
          <w:lang w:val="fr-FR"/>
        </w:rPr>
        <w:t xml:space="preserve"> </w:t>
      </w:r>
      <w:r w:rsidR="00437020" w:rsidRPr="00545FAE">
        <w:rPr>
          <w:szCs w:val="20"/>
          <w:lang w:val="fr-FR"/>
        </w:rPr>
        <w:t>et une vidé</w:t>
      </w:r>
      <w:r w:rsidR="0008509D" w:rsidRPr="00545FAE">
        <w:rPr>
          <w:szCs w:val="20"/>
          <w:lang w:val="fr-FR"/>
        </w:rPr>
        <w:t>o</w:t>
      </w:r>
      <w:r w:rsidR="0008509D" w:rsidRPr="00545FAE">
        <w:rPr>
          <w:rStyle w:val="FootnoteReference"/>
          <w:szCs w:val="20"/>
          <w:lang w:val="fr-FR"/>
        </w:rPr>
        <w:footnoteReference w:id="10"/>
      </w:r>
      <w:r w:rsidR="009F2714" w:rsidRPr="00545FAE">
        <w:rPr>
          <w:szCs w:val="20"/>
          <w:lang w:val="fr-FR"/>
        </w:rPr>
        <w:t xml:space="preserve"> </w:t>
      </w:r>
      <w:r w:rsidR="00437020" w:rsidRPr="00545FAE">
        <w:rPr>
          <w:szCs w:val="20"/>
          <w:lang w:val="fr-FR"/>
        </w:rPr>
        <w:t>des funérailles ont été jointes à la pétition</w:t>
      </w:r>
      <w:r w:rsidR="0008509D" w:rsidRPr="00545FAE">
        <w:rPr>
          <w:szCs w:val="20"/>
          <w:lang w:val="fr-FR"/>
        </w:rPr>
        <w:t>.</w:t>
      </w:r>
    </w:p>
    <w:p w14:paraId="52EA5D05" w14:textId="77777777" w:rsidR="00AE0F33" w:rsidRPr="00545FAE" w:rsidRDefault="00AE0F33" w:rsidP="00AE0F33">
      <w:pPr>
        <w:pStyle w:val="ListParagraph"/>
        <w:numPr>
          <w:ilvl w:val="0"/>
          <w:numId w:val="0"/>
        </w:numPr>
        <w:rPr>
          <w:rFonts w:asciiTheme="majorHAnsi" w:hAnsiTheme="majorHAnsi"/>
          <w:color w:val="auto"/>
          <w:szCs w:val="20"/>
          <w:lang w:val="fr-FR"/>
        </w:rPr>
      </w:pPr>
    </w:p>
    <w:p w14:paraId="03FF74F1" w14:textId="77777777" w:rsidR="002202A0" w:rsidRPr="00545FAE" w:rsidRDefault="00086101" w:rsidP="002E305A">
      <w:pPr>
        <w:pStyle w:val="ListParagraph"/>
        <w:tabs>
          <w:tab w:val="left" w:pos="360"/>
          <w:tab w:val="left" w:pos="720"/>
        </w:tabs>
        <w:rPr>
          <w:rFonts w:asciiTheme="majorHAnsi" w:hAnsiTheme="majorHAnsi"/>
          <w:color w:val="auto"/>
          <w:szCs w:val="20"/>
          <w:lang w:val="fr-FR"/>
        </w:rPr>
      </w:pPr>
      <w:r w:rsidRPr="00545FAE">
        <w:rPr>
          <w:rFonts w:asciiTheme="majorHAnsi" w:hAnsiTheme="majorHAnsi"/>
          <w:color w:val="auto"/>
          <w:szCs w:val="20"/>
          <w:lang w:val="fr-FR"/>
        </w:rPr>
        <w:t xml:space="preserve">La CIDH note </w:t>
      </w:r>
      <w:r w:rsidR="0076552B" w:rsidRPr="00545FAE">
        <w:rPr>
          <w:rFonts w:asciiTheme="majorHAnsi" w:hAnsiTheme="majorHAnsi"/>
          <w:color w:val="auto"/>
          <w:szCs w:val="20"/>
          <w:lang w:val="fr-FR"/>
        </w:rPr>
        <w:t>aussi</w:t>
      </w:r>
      <w:r w:rsidRPr="00545FAE">
        <w:rPr>
          <w:rFonts w:asciiTheme="majorHAnsi" w:hAnsiTheme="majorHAnsi"/>
          <w:color w:val="auto"/>
          <w:szCs w:val="20"/>
          <w:lang w:val="fr-FR"/>
        </w:rPr>
        <w:t xml:space="preserve"> que, selon les documents versés au dossier, M. </w:t>
      </w:r>
      <w:r w:rsidR="00AE0F33" w:rsidRPr="00545FAE">
        <w:rPr>
          <w:rFonts w:asciiTheme="majorHAnsi" w:hAnsiTheme="majorHAnsi"/>
          <w:color w:val="auto"/>
          <w:szCs w:val="20"/>
          <w:lang w:val="fr-FR"/>
        </w:rPr>
        <w:t>Baptiste Willer</w:t>
      </w:r>
      <w:r w:rsidR="00F96300" w:rsidRPr="00545FAE">
        <w:rPr>
          <w:rFonts w:asciiTheme="majorHAnsi" w:hAnsiTheme="majorHAnsi"/>
          <w:color w:val="auto"/>
          <w:szCs w:val="20"/>
          <w:lang w:val="fr-FR"/>
        </w:rPr>
        <w:t xml:space="preserve">, </w:t>
      </w:r>
      <w:r w:rsidR="007E5472" w:rsidRPr="00545FAE">
        <w:rPr>
          <w:rFonts w:asciiTheme="majorHAnsi" w:hAnsiTheme="majorHAnsi"/>
          <w:color w:val="auto"/>
          <w:szCs w:val="20"/>
          <w:lang w:val="fr-FR"/>
        </w:rPr>
        <w:t>qui se déclare orfèvre, photographe et réalisateur de vidéos</w:t>
      </w:r>
      <w:r w:rsidR="002E305A" w:rsidRPr="00545FAE">
        <w:rPr>
          <w:rFonts w:asciiTheme="majorHAnsi" w:hAnsiTheme="majorHAnsi"/>
          <w:color w:val="auto"/>
          <w:szCs w:val="20"/>
          <w:lang w:val="fr-FR"/>
        </w:rPr>
        <w:t xml:space="preserve">, </w:t>
      </w:r>
      <w:r w:rsidRPr="00545FAE">
        <w:rPr>
          <w:rFonts w:asciiTheme="majorHAnsi" w:hAnsiTheme="majorHAnsi"/>
          <w:color w:val="auto"/>
          <w:szCs w:val="20"/>
          <w:lang w:val="fr-FR"/>
        </w:rPr>
        <w:t>a envoyé</w:t>
      </w:r>
      <w:r w:rsidR="00571FAA" w:rsidRPr="00545FAE">
        <w:rPr>
          <w:rFonts w:asciiTheme="majorHAnsi" w:hAnsiTheme="majorHAnsi"/>
          <w:color w:val="auto"/>
          <w:szCs w:val="20"/>
          <w:lang w:val="fr-FR"/>
        </w:rPr>
        <w:t>,</w:t>
      </w:r>
      <w:r w:rsidRPr="00545FAE">
        <w:rPr>
          <w:rFonts w:asciiTheme="majorHAnsi" w:hAnsiTheme="majorHAnsi"/>
          <w:color w:val="auto"/>
          <w:szCs w:val="20"/>
          <w:lang w:val="fr-FR"/>
        </w:rPr>
        <w:t xml:space="preserve"> le 27 février 2007</w:t>
      </w:r>
      <w:r w:rsidR="00571FAA" w:rsidRPr="00545FAE">
        <w:rPr>
          <w:rFonts w:asciiTheme="majorHAnsi" w:hAnsiTheme="majorHAnsi"/>
          <w:color w:val="auto"/>
          <w:szCs w:val="20"/>
          <w:lang w:val="fr-FR"/>
        </w:rPr>
        <w:t>,</w:t>
      </w:r>
      <w:r w:rsidRPr="00545FAE">
        <w:rPr>
          <w:rFonts w:asciiTheme="majorHAnsi" w:hAnsiTheme="majorHAnsi"/>
          <w:color w:val="auto"/>
          <w:szCs w:val="20"/>
          <w:lang w:val="fr-FR"/>
        </w:rPr>
        <w:t xml:space="preserve"> une lettre au cabinet du Premier ministre, au ministre de la Justice et au Secrétaire d’État à la sécurité publique </w:t>
      </w:r>
      <w:r w:rsidR="0076552B" w:rsidRPr="00545FAE">
        <w:rPr>
          <w:rFonts w:asciiTheme="majorHAnsi" w:hAnsiTheme="majorHAnsi"/>
          <w:color w:val="auto"/>
          <w:szCs w:val="20"/>
          <w:lang w:val="fr-FR"/>
        </w:rPr>
        <w:t>d’Haïti, indiquant que sa vie et celle des membres de sa famille étaient en danger et demandant expressément une aide judiciaire</w:t>
      </w:r>
      <w:r w:rsidR="00952BB6" w:rsidRPr="00545FAE">
        <w:rPr>
          <w:rStyle w:val="FootnoteReference"/>
          <w:rFonts w:asciiTheme="majorHAnsi" w:hAnsiTheme="majorHAnsi"/>
          <w:color w:val="auto"/>
          <w:szCs w:val="20"/>
          <w:lang w:val="fr-FR"/>
        </w:rPr>
        <w:footnoteReference w:id="11"/>
      </w:r>
      <w:r w:rsidR="00952BB6" w:rsidRPr="00545FAE">
        <w:rPr>
          <w:rFonts w:asciiTheme="majorHAnsi" w:hAnsiTheme="majorHAnsi"/>
          <w:color w:val="auto"/>
          <w:szCs w:val="20"/>
          <w:lang w:val="fr-FR"/>
        </w:rPr>
        <w:t xml:space="preserve">. </w:t>
      </w:r>
      <w:r w:rsidR="007E5472" w:rsidRPr="00545FAE">
        <w:rPr>
          <w:rFonts w:asciiTheme="majorHAnsi" w:hAnsiTheme="majorHAnsi"/>
          <w:color w:val="auto"/>
          <w:szCs w:val="20"/>
          <w:lang w:val="fr-FR"/>
        </w:rPr>
        <w:t xml:space="preserve">Dans cette lettre, le pétitionnaire </w:t>
      </w:r>
      <w:r w:rsidR="00A41DE0" w:rsidRPr="00545FAE">
        <w:rPr>
          <w:rFonts w:asciiTheme="majorHAnsi" w:hAnsiTheme="majorHAnsi"/>
          <w:color w:val="auto"/>
          <w:szCs w:val="20"/>
          <w:lang w:val="fr-FR"/>
        </w:rPr>
        <w:t>décrit</w:t>
      </w:r>
      <w:r w:rsidR="007E5472" w:rsidRPr="00545FAE">
        <w:rPr>
          <w:rFonts w:asciiTheme="majorHAnsi" w:hAnsiTheme="majorHAnsi"/>
          <w:color w:val="auto"/>
          <w:szCs w:val="20"/>
          <w:lang w:val="fr-FR"/>
        </w:rPr>
        <w:t xml:space="preserve"> les faits survenus le 4 février </w:t>
      </w:r>
      <w:r w:rsidR="00BF2F79" w:rsidRPr="00545FAE">
        <w:rPr>
          <w:rFonts w:asciiTheme="majorHAnsi" w:hAnsiTheme="majorHAnsi"/>
          <w:color w:val="auto"/>
          <w:szCs w:val="20"/>
          <w:lang w:val="fr-FR"/>
        </w:rPr>
        <w:t>2007</w:t>
      </w:r>
      <w:r w:rsidR="007E5472" w:rsidRPr="00545FAE">
        <w:rPr>
          <w:rFonts w:asciiTheme="majorHAnsi" w:hAnsiTheme="majorHAnsi"/>
          <w:color w:val="auto"/>
          <w:szCs w:val="20"/>
          <w:lang w:val="fr-FR"/>
        </w:rPr>
        <w:t>, indique avoir été contraint d’abandonner son domicile pour des raisons de sécurité, fournit des renseignements sur le nom des suspects</w:t>
      </w:r>
      <w:r w:rsidR="00A41DE0" w:rsidRPr="00545FAE">
        <w:rPr>
          <w:rFonts w:asciiTheme="majorHAnsi" w:hAnsiTheme="majorHAnsi"/>
          <w:color w:val="auto"/>
          <w:szCs w:val="20"/>
          <w:lang w:val="fr-FR"/>
        </w:rPr>
        <w:t xml:space="preserve">, </w:t>
      </w:r>
      <w:r w:rsidR="005E204B" w:rsidRPr="00545FAE">
        <w:rPr>
          <w:rFonts w:asciiTheme="majorHAnsi" w:hAnsiTheme="majorHAnsi"/>
          <w:color w:val="auto"/>
          <w:szCs w:val="20"/>
          <w:lang w:val="fr-FR"/>
        </w:rPr>
        <w:t xml:space="preserve">relate en détail </w:t>
      </w:r>
      <w:r w:rsidR="007E5472" w:rsidRPr="00545FAE">
        <w:rPr>
          <w:rFonts w:asciiTheme="majorHAnsi" w:hAnsiTheme="majorHAnsi"/>
          <w:color w:val="auto"/>
          <w:szCs w:val="20"/>
          <w:lang w:val="fr-FR"/>
        </w:rPr>
        <w:t xml:space="preserve">d’autres exemples où </w:t>
      </w:r>
      <w:r w:rsidR="00A41DE0" w:rsidRPr="00545FAE">
        <w:rPr>
          <w:rFonts w:asciiTheme="majorHAnsi" w:hAnsiTheme="majorHAnsi"/>
          <w:color w:val="auto"/>
          <w:szCs w:val="20"/>
          <w:lang w:val="fr-FR"/>
        </w:rPr>
        <w:t>il a été épié dans</w:t>
      </w:r>
      <w:r w:rsidR="007E5472" w:rsidRPr="00545FAE">
        <w:rPr>
          <w:rFonts w:asciiTheme="majorHAnsi" w:hAnsiTheme="majorHAnsi"/>
          <w:color w:val="auto"/>
          <w:szCs w:val="20"/>
          <w:lang w:val="fr-FR"/>
        </w:rPr>
        <w:t xml:space="preserve"> </w:t>
      </w:r>
      <w:r w:rsidR="005E204B" w:rsidRPr="00545FAE">
        <w:rPr>
          <w:rFonts w:asciiTheme="majorHAnsi" w:hAnsiTheme="majorHAnsi"/>
          <w:color w:val="auto"/>
          <w:szCs w:val="20"/>
          <w:lang w:val="fr-FR"/>
        </w:rPr>
        <w:t xml:space="preserve">son commerce par des individus liés à ses agresseurs ainsi que la forme que revêtaient les menaces, </w:t>
      </w:r>
      <w:r w:rsidR="00CC18D3" w:rsidRPr="00545FAE">
        <w:rPr>
          <w:rFonts w:asciiTheme="majorHAnsi" w:hAnsiTheme="majorHAnsi"/>
          <w:color w:val="auto"/>
          <w:szCs w:val="20"/>
          <w:lang w:val="fr-FR"/>
        </w:rPr>
        <w:t xml:space="preserve">et, enfin, propose de fournir des photographies d’un des épieurs qu’il affirme avoir vu </w:t>
      </w:r>
      <w:r w:rsidR="00CC18D3" w:rsidRPr="00545FAE">
        <w:rPr>
          <w:rFonts w:asciiTheme="majorHAnsi" w:hAnsiTheme="majorHAnsi"/>
          <w:color w:val="auto"/>
          <w:szCs w:val="20"/>
          <w:lang w:val="fr-FR"/>
        </w:rPr>
        <w:lastRenderedPageBreak/>
        <w:t>aux funérailles de son frère</w:t>
      </w:r>
      <w:r w:rsidR="00BF2F79" w:rsidRPr="00545FAE">
        <w:rPr>
          <w:rStyle w:val="FootnoteReference"/>
          <w:rFonts w:asciiTheme="majorHAnsi" w:hAnsiTheme="majorHAnsi"/>
          <w:color w:val="auto"/>
          <w:szCs w:val="20"/>
          <w:lang w:val="fr-FR"/>
        </w:rPr>
        <w:footnoteReference w:id="12"/>
      </w:r>
      <w:r w:rsidR="00BF2F79" w:rsidRPr="00545FAE">
        <w:rPr>
          <w:rFonts w:asciiTheme="majorHAnsi" w:hAnsiTheme="majorHAnsi"/>
          <w:color w:val="auto"/>
          <w:szCs w:val="20"/>
          <w:lang w:val="fr-FR"/>
        </w:rPr>
        <w:t xml:space="preserve">. </w:t>
      </w:r>
      <w:r w:rsidR="00CC18D3" w:rsidRPr="00545FAE">
        <w:rPr>
          <w:rFonts w:asciiTheme="majorHAnsi" w:hAnsiTheme="majorHAnsi"/>
          <w:color w:val="auto"/>
          <w:szCs w:val="20"/>
          <w:lang w:val="fr-FR"/>
        </w:rPr>
        <w:t xml:space="preserve">De plus, il y indique que l’affaire est déjà enregistrée auprès du </w:t>
      </w:r>
      <w:r w:rsidR="009F2714" w:rsidRPr="00545FAE">
        <w:rPr>
          <w:rFonts w:asciiTheme="majorHAnsi" w:hAnsiTheme="majorHAnsi"/>
          <w:i/>
          <w:szCs w:val="20"/>
          <w:lang w:val="fr-FR"/>
        </w:rPr>
        <w:t xml:space="preserve">Réseau </w:t>
      </w:r>
      <w:r w:rsidR="00CC18D3" w:rsidRPr="00545FAE">
        <w:rPr>
          <w:rFonts w:asciiTheme="majorHAnsi" w:hAnsiTheme="majorHAnsi"/>
          <w:i/>
          <w:szCs w:val="20"/>
          <w:lang w:val="fr-FR"/>
        </w:rPr>
        <w:t>n</w:t>
      </w:r>
      <w:r w:rsidR="009F2714" w:rsidRPr="00545FAE">
        <w:rPr>
          <w:rFonts w:asciiTheme="majorHAnsi" w:hAnsiTheme="majorHAnsi"/>
          <w:i/>
          <w:szCs w:val="20"/>
          <w:lang w:val="fr-FR"/>
        </w:rPr>
        <w:t xml:space="preserve">ational de </w:t>
      </w:r>
      <w:r w:rsidR="00CC18D3" w:rsidRPr="00545FAE">
        <w:rPr>
          <w:rFonts w:asciiTheme="majorHAnsi" w:hAnsiTheme="majorHAnsi"/>
          <w:i/>
          <w:szCs w:val="20"/>
          <w:lang w:val="fr-FR"/>
        </w:rPr>
        <w:t>d</w:t>
      </w:r>
      <w:r w:rsidR="009F2714" w:rsidRPr="00545FAE">
        <w:rPr>
          <w:rFonts w:asciiTheme="majorHAnsi" w:hAnsiTheme="majorHAnsi"/>
          <w:i/>
          <w:szCs w:val="20"/>
          <w:lang w:val="fr-FR"/>
        </w:rPr>
        <w:t xml:space="preserve">éfense des </w:t>
      </w:r>
      <w:r w:rsidR="00CC18D3" w:rsidRPr="00545FAE">
        <w:rPr>
          <w:rFonts w:asciiTheme="majorHAnsi" w:hAnsiTheme="majorHAnsi"/>
          <w:i/>
          <w:szCs w:val="20"/>
          <w:lang w:val="fr-FR"/>
        </w:rPr>
        <w:t>d</w:t>
      </w:r>
      <w:r w:rsidR="009F2714" w:rsidRPr="00545FAE">
        <w:rPr>
          <w:rFonts w:asciiTheme="majorHAnsi" w:hAnsiTheme="majorHAnsi"/>
          <w:i/>
          <w:szCs w:val="20"/>
          <w:lang w:val="fr-FR"/>
        </w:rPr>
        <w:t xml:space="preserve">roits </w:t>
      </w:r>
      <w:r w:rsidR="00CC18D3" w:rsidRPr="00545FAE">
        <w:rPr>
          <w:rFonts w:asciiTheme="majorHAnsi" w:hAnsiTheme="majorHAnsi"/>
          <w:i/>
          <w:szCs w:val="20"/>
          <w:lang w:val="fr-FR"/>
        </w:rPr>
        <w:t>h</w:t>
      </w:r>
      <w:r w:rsidR="009F2714" w:rsidRPr="00545FAE">
        <w:rPr>
          <w:rFonts w:asciiTheme="majorHAnsi" w:hAnsiTheme="majorHAnsi"/>
          <w:i/>
          <w:szCs w:val="20"/>
          <w:lang w:val="fr-FR"/>
        </w:rPr>
        <w:t>umains</w:t>
      </w:r>
      <w:r w:rsidR="009F2714" w:rsidRPr="00545FAE">
        <w:rPr>
          <w:rFonts w:asciiTheme="majorHAnsi" w:hAnsiTheme="majorHAnsi"/>
          <w:color w:val="auto"/>
          <w:szCs w:val="20"/>
          <w:lang w:val="fr-FR"/>
        </w:rPr>
        <w:t xml:space="preserve"> (</w:t>
      </w:r>
      <w:r w:rsidR="00CC18D3" w:rsidRPr="00545FAE">
        <w:rPr>
          <w:rFonts w:asciiTheme="majorHAnsi" w:hAnsiTheme="majorHAnsi"/>
          <w:color w:val="auto"/>
          <w:szCs w:val="20"/>
          <w:lang w:val="fr-FR"/>
        </w:rPr>
        <w:t>RNDDH</w:t>
      </w:r>
      <w:r w:rsidR="009F2714" w:rsidRPr="00545FAE">
        <w:rPr>
          <w:rFonts w:asciiTheme="majorHAnsi" w:hAnsiTheme="majorHAnsi"/>
          <w:color w:val="auto"/>
          <w:szCs w:val="20"/>
          <w:lang w:val="fr-FR"/>
        </w:rPr>
        <w:t>)</w:t>
      </w:r>
      <w:r w:rsidR="00CC18D3" w:rsidRPr="00545FAE">
        <w:rPr>
          <w:rFonts w:asciiTheme="majorHAnsi" w:hAnsiTheme="majorHAnsi"/>
          <w:color w:val="auto"/>
          <w:szCs w:val="20"/>
          <w:lang w:val="fr-FR"/>
        </w:rPr>
        <w:t xml:space="preserve"> et propose d’apporter un plus grand nombre de documents et d’informations en appui à ses allégations</w:t>
      </w:r>
      <w:r w:rsidR="004927F2" w:rsidRPr="00545FAE">
        <w:rPr>
          <w:rStyle w:val="FootnoteReference"/>
          <w:rFonts w:asciiTheme="majorHAnsi" w:hAnsiTheme="majorHAnsi"/>
          <w:color w:val="auto"/>
          <w:szCs w:val="20"/>
          <w:lang w:val="fr-FR"/>
        </w:rPr>
        <w:footnoteReference w:id="13"/>
      </w:r>
      <w:r w:rsidR="00C3709E" w:rsidRPr="00545FAE">
        <w:rPr>
          <w:rFonts w:asciiTheme="majorHAnsi" w:hAnsiTheme="majorHAnsi"/>
          <w:color w:val="auto"/>
          <w:szCs w:val="20"/>
          <w:lang w:val="fr-FR"/>
        </w:rPr>
        <w:t xml:space="preserve">. </w:t>
      </w:r>
      <w:r w:rsidR="000723CE" w:rsidRPr="00545FAE">
        <w:rPr>
          <w:rFonts w:asciiTheme="majorHAnsi" w:hAnsiTheme="majorHAnsi"/>
          <w:color w:val="auto"/>
          <w:szCs w:val="20"/>
          <w:lang w:val="fr-FR"/>
        </w:rPr>
        <w:t xml:space="preserve">Dans son courrier, M. </w:t>
      </w:r>
      <w:r w:rsidR="00646F40" w:rsidRPr="00545FAE">
        <w:rPr>
          <w:rFonts w:asciiTheme="majorHAnsi" w:hAnsiTheme="majorHAnsi"/>
          <w:color w:val="auto"/>
          <w:szCs w:val="20"/>
          <w:lang w:val="fr-FR"/>
        </w:rPr>
        <w:t xml:space="preserve">Baptiste Willer </w:t>
      </w:r>
      <w:r w:rsidR="000723CE" w:rsidRPr="00545FAE">
        <w:rPr>
          <w:rFonts w:asciiTheme="majorHAnsi" w:hAnsiTheme="majorHAnsi"/>
          <w:color w:val="auto"/>
          <w:szCs w:val="20"/>
          <w:lang w:val="fr-FR"/>
        </w:rPr>
        <w:t xml:space="preserve">mentionne aussi que ces agressions sont liées à son refus de participer aux activités d’un groupe criminel qui opère dans le quartier et dont les membres ont été identifiés dans </w:t>
      </w:r>
      <w:r w:rsidR="00915AB4" w:rsidRPr="00545FAE">
        <w:rPr>
          <w:rFonts w:asciiTheme="majorHAnsi" w:hAnsiTheme="majorHAnsi"/>
          <w:color w:val="auto"/>
          <w:szCs w:val="20"/>
          <w:lang w:val="fr-FR"/>
        </w:rPr>
        <w:t>cette même</w:t>
      </w:r>
      <w:r w:rsidR="002E305A" w:rsidRPr="00545FAE">
        <w:rPr>
          <w:rFonts w:asciiTheme="majorHAnsi" w:hAnsiTheme="majorHAnsi"/>
          <w:color w:val="auto"/>
          <w:szCs w:val="20"/>
          <w:lang w:val="fr-FR"/>
        </w:rPr>
        <w:t xml:space="preserve"> com</w:t>
      </w:r>
      <w:r w:rsidR="00915AB4" w:rsidRPr="00545FAE">
        <w:rPr>
          <w:rFonts w:asciiTheme="majorHAnsi" w:hAnsiTheme="majorHAnsi"/>
          <w:color w:val="auto"/>
          <w:szCs w:val="20"/>
          <w:lang w:val="fr-FR"/>
        </w:rPr>
        <w:t>munication</w:t>
      </w:r>
      <w:r w:rsidR="002E305A" w:rsidRPr="00545FAE">
        <w:rPr>
          <w:rStyle w:val="FootnoteReference"/>
          <w:rFonts w:asciiTheme="majorHAnsi" w:hAnsiTheme="majorHAnsi"/>
          <w:color w:val="auto"/>
          <w:szCs w:val="20"/>
          <w:lang w:val="fr-FR"/>
        </w:rPr>
        <w:footnoteReference w:id="14"/>
      </w:r>
      <w:r w:rsidR="002E305A" w:rsidRPr="00545FAE">
        <w:rPr>
          <w:rFonts w:asciiTheme="majorHAnsi" w:hAnsiTheme="majorHAnsi"/>
          <w:color w:val="auto"/>
          <w:szCs w:val="20"/>
          <w:lang w:val="fr-FR"/>
        </w:rPr>
        <w:t>.</w:t>
      </w:r>
    </w:p>
    <w:p w14:paraId="7A35F925" w14:textId="77777777" w:rsidR="002E305A" w:rsidRPr="00545FAE" w:rsidRDefault="002E305A" w:rsidP="002E305A">
      <w:pPr>
        <w:pStyle w:val="ListParagraph"/>
        <w:numPr>
          <w:ilvl w:val="0"/>
          <w:numId w:val="0"/>
        </w:numPr>
        <w:tabs>
          <w:tab w:val="left" w:pos="360"/>
          <w:tab w:val="left" w:pos="720"/>
        </w:tabs>
        <w:rPr>
          <w:rFonts w:asciiTheme="majorHAnsi" w:hAnsiTheme="majorHAnsi"/>
          <w:color w:val="auto"/>
          <w:szCs w:val="20"/>
          <w:lang w:val="fr-FR"/>
        </w:rPr>
      </w:pPr>
    </w:p>
    <w:p w14:paraId="03A3F81B" w14:textId="77777777" w:rsidR="0053572B" w:rsidRPr="00545FAE" w:rsidRDefault="00915AB4" w:rsidP="003B184A">
      <w:pPr>
        <w:pStyle w:val="ListParagraph"/>
        <w:tabs>
          <w:tab w:val="left" w:pos="360"/>
          <w:tab w:val="left" w:pos="720"/>
        </w:tabs>
        <w:rPr>
          <w:rFonts w:asciiTheme="majorHAnsi" w:hAnsiTheme="majorHAnsi"/>
          <w:color w:val="auto"/>
          <w:szCs w:val="20"/>
          <w:lang w:val="fr-FR"/>
        </w:rPr>
      </w:pPr>
      <w:r w:rsidRPr="00545FAE">
        <w:rPr>
          <w:rFonts w:asciiTheme="majorHAnsi" w:hAnsiTheme="majorHAnsi"/>
          <w:color w:val="auto"/>
          <w:szCs w:val="20"/>
          <w:lang w:val="fr-FR"/>
        </w:rPr>
        <w:t xml:space="preserve">D’après les diverses communications que la partie requérante a envoyées à la Commission, celle-ci note que ladite partie a présenté l’affaire devant le RNDDH et que les agents de cette organisation lui ont </w:t>
      </w:r>
      <w:r w:rsidR="00571FAA" w:rsidRPr="00545FAE">
        <w:rPr>
          <w:rFonts w:asciiTheme="majorHAnsi" w:hAnsiTheme="majorHAnsi"/>
          <w:color w:val="auto"/>
          <w:szCs w:val="20"/>
          <w:lang w:val="fr-FR"/>
        </w:rPr>
        <w:t>d’abord</w:t>
      </w:r>
      <w:r w:rsidRPr="00545FAE">
        <w:rPr>
          <w:rFonts w:asciiTheme="majorHAnsi" w:hAnsiTheme="majorHAnsi"/>
          <w:color w:val="auto"/>
          <w:szCs w:val="20"/>
          <w:lang w:val="fr-FR"/>
        </w:rPr>
        <w:t xml:space="preserve"> fourni de l’aide et des informations</w:t>
      </w:r>
      <w:r w:rsidR="0053572B" w:rsidRPr="00545FAE">
        <w:rPr>
          <w:rStyle w:val="FootnoteReference"/>
          <w:rFonts w:asciiTheme="majorHAnsi" w:hAnsiTheme="majorHAnsi"/>
          <w:szCs w:val="20"/>
          <w:lang w:val="fr-FR"/>
        </w:rPr>
        <w:footnoteReference w:id="15"/>
      </w:r>
      <w:r w:rsidR="0053572B" w:rsidRPr="00545FAE">
        <w:rPr>
          <w:rFonts w:asciiTheme="majorHAnsi" w:hAnsiTheme="majorHAnsi"/>
          <w:szCs w:val="20"/>
          <w:lang w:val="fr-FR"/>
        </w:rPr>
        <w:t xml:space="preserve">. </w:t>
      </w:r>
      <w:r w:rsidR="002D7380" w:rsidRPr="00545FAE">
        <w:rPr>
          <w:rFonts w:asciiTheme="majorHAnsi" w:hAnsiTheme="majorHAnsi"/>
          <w:szCs w:val="20"/>
          <w:lang w:val="fr-FR"/>
        </w:rPr>
        <w:t>En particulier, l</w:t>
      </w:r>
      <w:r w:rsidR="00B64E77" w:rsidRPr="00545FAE">
        <w:rPr>
          <w:rFonts w:asciiTheme="majorHAnsi" w:hAnsiTheme="majorHAnsi"/>
          <w:szCs w:val="20"/>
          <w:lang w:val="fr-FR"/>
        </w:rPr>
        <w:t>e pétitionnaire a</w:t>
      </w:r>
      <w:r w:rsidR="002D7380" w:rsidRPr="00545FAE">
        <w:rPr>
          <w:rFonts w:asciiTheme="majorHAnsi" w:hAnsiTheme="majorHAnsi"/>
          <w:szCs w:val="20"/>
          <w:lang w:val="fr-FR"/>
        </w:rPr>
        <w:t xml:space="preserve"> indiqué </w:t>
      </w:r>
      <w:r w:rsidR="00B64E77" w:rsidRPr="00545FAE">
        <w:rPr>
          <w:rFonts w:asciiTheme="majorHAnsi" w:hAnsiTheme="majorHAnsi"/>
          <w:szCs w:val="20"/>
          <w:lang w:val="fr-FR"/>
        </w:rPr>
        <w:t>qu</w:t>
      </w:r>
      <w:r w:rsidR="002D7380" w:rsidRPr="00545FAE">
        <w:rPr>
          <w:rFonts w:asciiTheme="majorHAnsi" w:hAnsiTheme="majorHAnsi"/>
          <w:szCs w:val="20"/>
          <w:lang w:val="fr-FR"/>
        </w:rPr>
        <w:t>e</w:t>
      </w:r>
      <w:r w:rsidR="00571FAA" w:rsidRPr="00545FAE">
        <w:rPr>
          <w:rFonts w:asciiTheme="majorHAnsi" w:hAnsiTheme="majorHAnsi"/>
          <w:szCs w:val="20"/>
          <w:lang w:val="fr-FR"/>
        </w:rPr>
        <w:t>,</w:t>
      </w:r>
      <w:r w:rsidR="002D7380" w:rsidRPr="00545FAE">
        <w:rPr>
          <w:rFonts w:asciiTheme="majorHAnsi" w:hAnsiTheme="majorHAnsi"/>
          <w:szCs w:val="20"/>
          <w:lang w:val="fr-FR"/>
        </w:rPr>
        <w:t xml:space="preserve"> le 28 mars 2007</w:t>
      </w:r>
      <w:r w:rsidR="00571FAA" w:rsidRPr="00545FAE">
        <w:rPr>
          <w:rFonts w:asciiTheme="majorHAnsi" w:hAnsiTheme="majorHAnsi"/>
          <w:szCs w:val="20"/>
          <w:lang w:val="fr-FR"/>
        </w:rPr>
        <w:t>,</w:t>
      </w:r>
      <w:r w:rsidR="002D7380" w:rsidRPr="00545FAE">
        <w:rPr>
          <w:rFonts w:asciiTheme="majorHAnsi" w:hAnsiTheme="majorHAnsi"/>
          <w:szCs w:val="20"/>
          <w:lang w:val="fr-FR"/>
        </w:rPr>
        <w:t xml:space="preserve"> </w:t>
      </w:r>
      <w:r w:rsidR="00B64E77" w:rsidRPr="00545FAE">
        <w:rPr>
          <w:rFonts w:asciiTheme="majorHAnsi" w:hAnsiTheme="majorHAnsi"/>
          <w:szCs w:val="20"/>
          <w:lang w:val="fr-FR"/>
        </w:rPr>
        <w:t>un fonctionnaire du RNDDH</w:t>
      </w:r>
      <w:r w:rsidR="002D7380" w:rsidRPr="00545FAE">
        <w:rPr>
          <w:rFonts w:asciiTheme="majorHAnsi" w:hAnsiTheme="majorHAnsi"/>
          <w:szCs w:val="20"/>
          <w:lang w:val="fr-FR"/>
        </w:rPr>
        <w:t>, M. Darfus Richard, l’avait informé que l’on avait retrouvé le corps d’un homme assassiné portant le même nom que lui et présentant des ressemblances physiques avec lui</w:t>
      </w:r>
      <w:r w:rsidR="00167CA8" w:rsidRPr="00545FAE">
        <w:rPr>
          <w:rStyle w:val="FootnoteReference"/>
          <w:rFonts w:asciiTheme="majorHAnsi" w:hAnsiTheme="majorHAnsi"/>
          <w:szCs w:val="20"/>
          <w:lang w:val="fr-FR"/>
        </w:rPr>
        <w:footnoteReference w:id="16"/>
      </w:r>
      <w:r w:rsidR="0053572B" w:rsidRPr="00545FAE">
        <w:rPr>
          <w:rFonts w:asciiTheme="majorHAnsi" w:hAnsiTheme="majorHAnsi"/>
          <w:szCs w:val="20"/>
          <w:lang w:val="fr-FR"/>
        </w:rPr>
        <w:t>.</w:t>
      </w:r>
    </w:p>
    <w:p w14:paraId="4471DA6E" w14:textId="77777777" w:rsidR="0053572B" w:rsidRPr="00545FAE" w:rsidRDefault="0053572B" w:rsidP="0053572B">
      <w:pPr>
        <w:pStyle w:val="ListParagraph"/>
        <w:numPr>
          <w:ilvl w:val="0"/>
          <w:numId w:val="0"/>
        </w:numPr>
        <w:tabs>
          <w:tab w:val="left" w:pos="360"/>
          <w:tab w:val="left" w:pos="720"/>
        </w:tabs>
        <w:rPr>
          <w:rFonts w:asciiTheme="majorHAnsi" w:hAnsiTheme="majorHAnsi"/>
          <w:color w:val="auto"/>
          <w:szCs w:val="20"/>
          <w:lang w:val="fr-FR"/>
        </w:rPr>
      </w:pPr>
    </w:p>
    <w:p w14:paraId="5ED597C2" w14:textId="77777777" w:rsidR="003B184A" w:rsidRPr="00545FAE" w:rsidRDefault="00C01D78" w:rsidP="003B184A">
      <w:pPr>
        <w:pStyle w:val="ListParagraph"/>
        <w:tabs>
          <w:tab w:val="left" w:pos="360"/>
          <w:tab w:val="left" w:pos="720"/>
        </w:tabs>
        <w:rPr>
          <w:rFonts w:asciiTheme="majorHAnsi" w:hAnsiTheme="majorHAnsi"/>
          <w:color w:val="auto"/>
          <w:szCs w:val="20"/>
          <w:lang w:val="fr-FR"/>
        </w:rPr>
      </w:pPr>
      <w:r w:rsidRPr="00545FAE">
        <w:rPr>
          <w:rFonts w:asciiTheme="majorHAnsi" w:hAnsiTheme="majorHAnsi"/>
          <w:color w:val="auto"/>
          <w:szCs w:val="20"/>
          <w:lang w:val="fr-FR"/>
        </w:rPr>
        <w:t>L’État n’a pas démenti ces allégations et n’a apporté aucune information concernant les possibles enquêtes ou actions de protection mises en œuvre après la plainte envoyée aux autorités le 27 février 2007 ou suite à l’affaire ouverte devant le RNDDH</w:t>
      </w:r>
      <w:r w:rsidR="0053572B" w:rsidRPr="00545FAE">
        <w:rPr>
          <w:rFonts w:asciiTheme="majorHAnsi" w:hAnsiTheme="majorHAnsi"/>
          <w:color w:val="auto"/>
          <w:szCs w:val="20"/>
          <w:lang w:val="fr-FR"/>
        </w:rPr>
        <w:t>.</w:t>
      </w:r>
      <w:r w:rsidR="004927F2" w:rsidRPr="00545FAE">
        <w:rPr>
          <w:rFonts w:asciiTheme="majorHAnsi" w:hAnsiTheme="majorHAnsi"/>
          <w:color w:val="auto"/>
          <w:szCs w:val="20"/>
          <w:lang w:val="fr-FR"/>
        </w:rPr>
        <w:t xml:space="preserve"> </w:t>
      </w:r>
      <w:r w:rsidRPr="00545FAE">
        <w:rPr>
          <w:rFonts w:asciiTheme="majorHAnsi" w:hAnsiTheme="majorHAnsi"/>
          <w:color w:val="auto"/>
          <w:szCs w:val="20"/>
          <w:lang w:val="fr-FR"/>
        </w:rPr>
        <w:t xml:space="preserve">En août 2007, la République d’Haïti a cependant indiqué à </w:t>
      </w:r>
      <w:r w:rsidR="0053572B" w:rsidRPr="00545FAE">
        <w:rPr>
          <w:rFonts w:asciiTheme="majorHAnsi" w:hAnsiTheme="majorHAnsi"/>
          <w:color w:val="auto"/>
          <w:szCs w:val="20"/>
          <w:lang w:val="fr-FR"/>
        </w:rPr>
        <w:t xml:space="preserve">la CIDH </w:t>
      </w:r>
      <w:r w:rsidRPr="00545FAE">
        <w:rPr>
          <w:rFonts w:asciiTheme="majorHAnsi" w:hAnsiTheme="majorHAnsi"/>
          <w:color w:val="auto"/>
          <w:szCs w:val="20"/>
          <w:lang w:val="fr-FR"/>
        </w:rPr>
        <w:t xml:space="preserve">que le dossier ne contenait aucune information permettant d’impliquer des agents de l’État dans la tentative d’assassinat perpétrée à l’encontre de M. </w:t>
      </w:r>
      <w:r w:rsidR="00B33B99" w:rsidRPr="00545FAE">
        <w:rPr>
          <w:rFonts w:asciiTheme="majorHAnsi" w:hAnsiTheme="majorHAnsi"/>
          <w:color w:val="auto"/>
          <w:szCs w:val="20"/>
          <w:lang w:val="fr-FR"/>
        </w:rPr>
        <w:t>Baptiste Willer</w:t>
      </w:r>
      <w:r w:rsidRPr="00545FAE">
        <w:rPr>
          <w:rFonts w:asciiTheme="majorHAnsi" w:hAnsiTheme="majorHAnsi"/>
          <w:color w:val="auto"/>
          <w:szCs w:val="20"/>
          <w:lang w:val="fr-FR"/>
        </w:rPr>
        <w:t xml:space="preserve"> et d’établir que les individus qu’il avait identifiés comme auteurs ou complices </w:t>
      </w:r>
      <w:r w:rsidR="00ED012B" w:rsidRPr="00545FAE">
        <w:rPr>
          <w:rFonts w:asciiTheme="majorHAnsi" w:hAnsiTheme="majorHAnsi"/>
          <w:color w:val="auto"/>
          <w:szCs w:val="20"/>
          <w:lang w:val="fr-FR"/>
        </w:rPr>
        <w:t>de cet acte étaient protégés ou couverts par les autorités publiques haïtiennes</w:t>
      </w:r>
      <w:r w:rsidR="00B33B99" w:rsidRPr="00545FAE">
        <w:rPr>
          <w:rFonts w:asciiTheme="majorHAnsi" w:hAnsiTheme="majorHAnsi"/>
          <w:color w:val="auto"/>
          <w:szCs w:val="20"/>
          <w:lang w:val="fr-FR"/>
        </w:rPr>
        <w:t xml:space="preserve">, </w:t>
      </w:r>
      <w:r w:rsidR="00ED012B" w:rsidRPr="00545FAE">
        <w:rPr>
          <w:rFonts w:asciiTheme="majorHAnsi" w:hAnsiTheme="majorHAnsi"/>
          <w:color w:val="auto"/>
          <w:szCs w:val="20"/>
          <w:lang w:val="fr-FR"/>
        </w:rPr>
        <w:t>même si elle a affirmé que la police recherchait activement l’un des coupables présumés par le biais d’une annonce télévisée dans laquelle elle demandait à la population de collaborer avec la justice afin de procéder à son arrestation</w:t>
      </w:r>
      <w:r w:rsidR="004927F2" w:rsidRPr="00545FAE">
        <w:rPr>
          <w:rStyle w:val="FootnoteReference"/>
          <w:rFonts w:asciiTheme="majorHAnsi" w:hAnsiTheme="majorHAnsi"/>
          <w:color w:val="auto"/>
          <w:szCs w:val="20"/>
          <w:lang w:val="fr-FR"/>
        </w:rPr>
        <w:footnoteReference w:id="17"/>
      </w:r>
      <w:r w:rsidR="004927F2" w:rsidRPr="00545FAE">
        <w:rPr>
          <w:rFonts w:asciiTheme="majorHAnsi" w:hAnsiTheme="majorHAnsi"/>
          <w:color w:val="auto"/>
          <w:szCs w:val="20"/>
          <w:lang w:val="fr-FR"/>
        </w:rPr>
        <w:t xml:space="preserve">. </w:t>
      </w:r>
      <w:r w:rsidR="00ED012B" w:rsidRPr="00545FAE">
        <w:rPr>
          <w:rFonts w:asciiTheme="majorHAnsi" w:hAnsiTheme="majorHAnsi"/>
          <w:color w:val="auto"/>
          <w:szCs w:val="20"/>
          <w:lang w:val="fr-FR"/>
        </w:rPr>
        <w:t>Suite à cette note, Haïti</w:t>
      </w:r>
      <w:r w:rsidR="004927F2" w:rsidRPr="00545FAE">
        <w:rPr>
          <w:rFonts w:asciiTheme="majorHAnsi" w:hAnsiTheme="majorHAnsi"/>
          <w:color w:val="auto"/>
          <w:szCs w:val="20"/>
          <w:lang w:val="fr-FR"/>
        </w:rPr>
        <w:t xml:space="preserve"> </w:t>
      </w:r>
      <w:r w:rsidR="00ED012B" w:rsidRPr="00545FAE">
        <w:rPr>
          <w:rFonts w:asciiTheme="majorHAnsi" w:hAnsiTheme="majorHAnsi"/>
          <w:color w:val="auto"/>
          <w:szCs w:val="20"/>
          <w:lang w:val="fr-FR"/>
        </w:rPr>
        <w:t>n’a fourni aucune information supplémentaire importante</w:t>
      </w:r>
      <w:r w:rsidR="004927F2" w:rsidRPr="00545FAE">
        <w:rPr>
          <w:rFonts w:asciiTheme="majorHAnsi" w:hAnsiTheme="majorHAnsi"/>
          <w:color w:val="auto"/>
          <w:szCs w:val="20"/>
          <w:lang w:val="fr-FR"/>
        </w:rPr>
        <w:t>.</w:t>
      </w:r>
    </w:p>
    <w:p w14:paraId="432BD999" w14:textId="77777777" w:rsidR="003B184A" w:rsidRPr="00545FAE" w:rsidRDefault="003B184A" w:rsidP="003B184A">
      <w:pPr>
        <w:pStyle w:val="ListParagraph"/>
        <w:numPr>
          <w:ilvl w:val="0"/>
          <w:numId w:val="0"/>
        </w:numPr>
        <w:tabs>
          <w:tab w:val="left" w:pos="360"/>
          <w:tab w:val="left" w:pos="720"/>
        </w:tabs>
        <w:rPr>
          <w:rFonts w:asciiTheme="majorHAnsi" w:hAnsiTheme="majorHAnsi"/>
          <w:color w:val="auto"/>
          <w:szCs w:val="20"/>
          <w:lang w:val="fr-FR"/>
        </w:rPr>
      </w:pPr>
    </w:p>
    <w:p w14:paraId="0447A08C" w14:textId="77777777" w:rsidR="00E7064B" w:rsidRPr="00545FAE" w:rsidRDefault="003B184A" w:rsidP="003B184A">
      <w:pPr>
        <w:pStyle w:val="ListParagraph"/>
        <w:tabs>
          <w:tab w:val="left" w:pos="360"/>
          <w:tab w:val="left" w:pos="720"/>
        </w:tabs>
        <w:rPr>
          <w:rFonts w:asciiTheme="majorHAnsi" w:hAnsiTheme="majorHAnsi"/>
          <w:color w:val="auto"/>
          <w:szCs w:val="20"/>
          <w:lang w:val="fr-FR"/>
        </w:rPr>
      </w:pPr>
      <w:r w:rsidRPr="00545FAE">
        <w:rPr>
          <w:rFonts w:asciiTheme="majorHAnsi" w:hAnsiTheme="majorHAnsi"/>
          <w:color w:val="auto"/>
          <w:szCs w:val="20"/>
          <w:lang w:val="fr-FR"/>
        </w:rPr>
        <w:t>L</w:t>
      </w:r>
      <w:r w:rsidR="00B52D9C" w:rsidRPr="00545FAE">
        <w:rPr>
          <w:rFonts w:asciiTheme="majorHAnsi" w:hAnsiTheme="majorHAnsi"/>
          <w:color w:val="auto"/>
          <w:szCs w:val="20"/>
          <w:lang w:val="fr-FR"/>
        </w:rPr>
        <w:t xml:space="preserve">a CIDH </w:t>
      </w:r>
      <w:r w:rsidR="000565AE" w:rsidRPr="00545FAE">
        <w:rPr>
          <w:rFonts w:asciiTheme="majorHAnsi" w:hAnsiTheme="majorHAnsi"/>
          <w:color w:val="auto"/>
          <w:szCs w:val="20"/>
          <w:lang w:val="fr-FR"/>
        </w:rPr>
        <w:t xml:space="preserve">n’a constaté aucun élément permettant d’établir que des procédures judiciaires avaient été </w:t>
      </w:r>
      <w:r w:rsidR="001232DB" w:rsidRPr="00545FAE">
        <w:rPr>
          <w:rFonts w:asciiTheme="majorHAnsi" w:hAnsiTheme="majorHAnsi"/>
          <w:color w:val="auto"/>
          <w:szCs w:val="20"/>
          <w:lang w:val="fr-FR"/>
        </w:rPr>
        <w:t>lancées</w:t>
      </w:r>
      <w:r w:rsidR="000565AE" w:rsidRPr="00545FAE">
        <w:rPr>
          <w:rFonts w:asciiTheme="majorHAnsi" w:hAnsiTheme="majorHAnsi"/>
          <w:color w:val="auto"/>
          <w:szCs w:val="20"/>
          <w:lang w:val="fr-FR"/>
        </w:rPr>
        <w:t xml:space="preserve"> afin d’enquêter sur les auteurs présumés des menaces et de la tentative d’homicide contre M. Baptiste Willer, de les poursuivre et de les sanctionner ou </w:t>
      </w:r>
      <w:r w:rsidR="00FA77B1" w:rsidRPr="00545FAE">
        <w:rPr>
          <w:rFonts w:asciiTheme="majorHAnsi" w:hAnsiTheme="majorHAnsi"/>
          <w:color w:val="auto"/>
          <w:szCs w:val="20"/>
          <w:lang w:val="fr-FR"/>
        </w:rPr>
        <w:t>de faire la lumière sur</w:t>
      </w:r>
      <w:r w:rsidR="000565AE" w:rsidRPr="00545FAE">
        <w:rPr>
          <w:rFonts w:asciiTheme="majorHAnsi" w:hAnsiTheme="majorHAnsi"/>
          <w:color w:val="auto"/>
          <w:szCs w:val="20"/>
          <w:lang w:val="fr-FR"/>
        </w:rPr>
        <w:t xml:space="preserve"> l’assassinat de M. </w:t>
      </w:r>
      <w:r w:rsidR="00982431" w:rsidRPr="00545FAE">
        <w:rPr>
          <w:rFonts w:asciiTheme="majorHAnsi" w:hAnsiTheme="majorHAnsi"/>
          <w:color w:val="auto"/>
          <w:szCs w:val="20"/>
          <w:lang w:val="fr-FR"/>
        </w:rPr>
        <w:t>Frédo Guirant (o</w:t>
      </w:r>
      <w:r w:rsidR="000565AE" w:rsidRPr="00545FAE">
        <w:rPr>
          <w:rFonts w:asciiTheme="majorHAnsi" w:hAnsiTheme="majorHAnsi"/>
          <w:color w:val="auto"/>
          <w:szCs w:val="20"/>
          <w:lang w:val="fr-FR"/>
        </w:rPr>
        <w:t>u</w:t>
      </w:r>
      <w:r w:rsidR="00982431" w:rsidRPr="00545FAE">
        <w:rPr>
          <w:rFonts w:asciiTheme="majorHAnsi" w:hAnsiTheme="majorHAnsi"/>
          <w:color w:val="auto"/>
          <w:szCs w:val="20"/>
          <w:lang w:val="fr-FR"/>
        </w:rPr>
        <w:t xml:space="preserve"> Guirand)</w:t>
      </w:r>
      <w:r w:rsidR="00B52D9C" w:rsidRPr="00545FAE">
        <w:rPr>
          <w:rFonts w:asciiTheme="majorHAnsi" w:hAnsiTheme="majorHAnsi"/>
          <w:color w:val="auto"/>
          <w:szCs w:val="20"/>
          <w:lang w:val="fr-FR"/>
        </w:rPr>
        <w:t>.</w:t>
      </w:r>
      <w:r w:rsidR="000624EB" w:rsidRPr="00545FAE">
        <w:rPr>
          <w:rFonts w:asciiTheme="majorHAnsi" w:hAnsiTheme="majorHAnsi"/>
          <w:color w:val="auto"/>
          <w:szCs w:val="20"/>
          <w:lang w:val="fr-FR"/>
        </w:rPr>
        <w:t xml:space="preserve"> </w:t>
      </w:r>
      <w:r w:rsidR="00814A31" w:rsidRPr="00545FAE">
        <w:rPr>
          <w:rFonts w:asciiTheme="majorHAnsi" w:hAnsiTheme="majorHAnsi"/>
          <w:color w:val="auto"/>
          <w:szCs w:val="20"/>
          <w:lang w:val="fr-FR"/>
        </w:rPr>
        <w:t>À de multiples reprises, la partie requérante a indiqué</w:t>
      </w:r>
      <w:r w:rsidR="00666C33" w:rsidRPr="00545FAE">
        <w:rPr>
          <w:rFonts w:asciiTheme="majorHAnsi" w:hAnsiTheme="majorHAnsi"/>
          <w:color w:val="auto"/>
          <w:szCs w:val="20"/>
          <w:lang w:val="fr-FR"/>
        </w:rPr>
        <w:t xml:space="preserve"> s’attendre à ce que les autorités prennent les mesures judiciaires nécessaires suite à l’envoi de sa demande d’aide judiciaire mais, selon ladite partie, « elles </w:t>
      </w:r>
      <w:r w:rsidR="0038770E" w:rsidRPr="00545FAE">
        <w:rPr>
          <w:rFonts w:asciiTheme="majorHAnsi" w:hAnsiTheme="majorHAnsi"/>
          <w:color w:val="auto"/>
          <w:szCs w:val="20"/>
          <w:lang w:val="fr-FR"/>
        </w:rPr>
        <w:t>ont tout simp</w:t>
      </w:r>
      <w:r w:rsidR="00765EAD" w:rsidRPr="00545FAE">
        <w:rPr>
          <w:rFonts w:asciiTheme="majorHAnsi" w:hAnsiTheme="majorHAnsi"/>
          <w:color w:val="auto"/>
          <w:szCs w:val="20"/>
          <w:lang w:val="fr-FR"/>
        </w:rPr>
        <w:t>l</w:t>
      </w:r>
      <w:r w:rsidR="0038770E" w:rsidRPr="00545FAE">
        <w:rPr>
          <w:rFonts w:asciiTheme="majorHAnsi" w:hAnsiTheme="majorHAnsi"/>
          <w:color w:val="auto"/>
          <w:szCs w:val="20"/>
          <w:lang w:val="fr-FR"/>
        </w:rPr>
        <w:t>ement refus</w:t>
      </w:r>
      <w:r w:rsidR="00666C33" w:rsidRPr="00545FAE">
        <w:rPr>
          <w:rFonts w:asciiTheme="majorHAnsi" w:hAnsiTheme="majorHAnsi"/>
          <w:color w:val="auto"/>
          <w:szCs w:val="20"/>
          <w:lang w:val="fr-FR"/>
        </w:rPr>
        <w:t xml:space="preserve">é </w:t>
      </w:r>
      <w:r w:rsidR="0038770E" w:rsidRPr="00545FAE">
        <w:rPr>
          <w:rFonts w:asciiTheme="majorHAnsi" w:hAnsiTheme="majorHAnsi"/>
          <w:color w:val="auto"/>
          <w:szCs w:val="20"/>
          <w:lang w:val="fr-FR"/>
        </w:rPr>
        <w:t xml:space="preserve">de </w:t>
      </w:r>
      <w:r w:rsidR="00666C33" w:rsidRPr="00545FAE">
        <w:rPr>
          <w:rFonts w:asciiTheme="majorHAnsi" w:hAnsiTheme="majorHAnsi"/>
          <w:color w:val="auto"/>
          <w:szCs w:val="20"/>
          <w:lang w:val="fr-FR"/>
        </w:rPr>
        <w:t>m’</w:t>
      </w:r>
      <w:r w:rsidR="00963746" w:rsidRPr="00545FAE">
        <w:rPr>
          <w:rFonts w:asciiTheme="majorHAnsi" w:hAnsiTheme="majorHAnsi"/>
          <w:color w:val="auto"/>
          <w:szCs w:val="20"/>
          <w:lang w:val="fr-FR"/>
        </w:rPr>
        <w:t>a</w:t>
      </w:r>
      <w:r w:rsidR="00765EAD" w:rsidRPr="00545FAE">
        <w:rPr>
          <w:rFonts w:asciiTheme="majorHAnsi" w:hAnsiTheme="majorHAnsi"/>
          <w:color w:val="auto"/>
          <w:szCs w:val="20"/>
          <w:lang w:val="fr-FR"/>
        </w:rPr>
        <w:t>pporter leur aide</w:t>
      </w:r>
      <w:r w:rsidR="00666C33" w:rsidRPr="00545FAE">
        <w:rPr>
          <w:rFonts w:asciiTheme="majorHAnsi" w:hAnsiTheme="majorHAnsi"/>
          <w:color w:val="auto"/>
          <w:szCs w:val="20"/>
          <w:lang w:val="fr-FR"/>
        </w:rPr>
        <w:t> »</w:t>
      </w:r>
      <w:r w:rsidR="00765EAD" w:rsidRPr="00545FAE">
        <w:rPr>
          <w:rStyle w:val="FootnoteReference"/>
          <w:rFonts w:asciiTheme="majorHAnsi" w:hAnsiTheme="majorHAnsi"/>
          <w:szCs w:val="20"/>
          <w:lang w:val="fr-FR"/>
        </w:rPr>
        <w:footnoteReference w:id="18"/>
      </w:r>
      <w:r w:rsidR="00D74F15" w:rsidRPr="00545FAE">
        <w:rPr>
          <w:rFonts w:asciiTheme="majorHAnsi" w:hAnsiTheme="majorHAnsi"/>
          <w:szCs w:val="20"/>
          <w:lang w:val="fr-FR"/>
        </w:rPr>
        <w:t xml:space="preserve">. </w:t>
      </w:r>
    </w:p>
    <w:p w14:paraId="4AE6C5CB" w14:textId="77777777" w:rsidR="00E7064B" w:rsidRPr="00545FAE" w:rsidRDefault="00E7064B" w:rsidP="00E7064B">
      <w:pPr>
        <w:pStyle w:val="ListParagraph"/>
        <w:numPr>
          <w:ilvl w:val="0"/>
          <w:numId w:val="0"/>
        </w:numPr>
        <w:rPr>
          <w:rFonts w:asciiTheme="majorHAnsi" w:hAnsiTheme="majorHAnsi"/>
          <w:szCs w:val="20"/>
          <w:lang w:val="fr-FR"/>
        </w:rPr>
      </w:pPr>
    </w:p>
    <w:p w14:paraId="123ED9A9" w14:textId="77777777" w:rsidR="00A236E6" w:rsidRPr="00545FAE" w:rsidRDefault="00666C33" w:rsidP="002F2A3F">
      <w:pPr>
        <w:pStyle w:val="ListParagraph"/>
        <w:rPr>
          <w:color w:val="auto"/>
          <w:lang w:val="fr-FR"/>
        </w:rPr>
      </w:pPr>
      <w:r w:rsidRPr="00545FAE">
        <w:rPr>
          <w:lang w:val="fr-FR"/>
        </w:rPr>
        <w:t xml:space="preserve">M. </w:t>
      </w:r>
      <w:r w:rsidR="00914BEB" w:rsidRPr="00545FAE">
        <w:rPr>
          <w:lang w:val="fr-FR"/>
        </w:rPr>
        <w:t>Baptiste Willer</w:t>
      </w:r>
      <w:r w:rsidR="00AB4066" w:rsidRPr="00545FAE">
        <w:rPr>
          <w:lang w:val="fr-FR"/>
        </w:rPr>
        <w:t xml:space="preserve"> </w:t>
      </w:r>
      <w:r w:rsidRPr="00545FAE">
        <w:rPr>
          <w:lang w:val="fr-FR"/>
        </w:rPr>
        <w:t>affirme que sa famille et lui-</w:t>
      </w:r>
      <w:r w:rsidR="00571FAA" w:rsidRPr="00545FAE">
        <w:rPr>
          <w:lang w:val="fr-FR"/>
        </w:rPr>
        <w:t>même ont continué d’éprouver un sentiment</w:t>
      </w:r>
      <w:r w:rsidR="00BF1815" w:rsidRPr="00545FAE">
        <w:rPr>
          <w:lang w:val="fr-FR"/>
        </w:rPr>
        <w:t xml:space="preserve"> constant</w:t>
      </w:r>
      <w:r w:rsidRPr="00545FAE">
        <w:rPr>
          <w:lang w:val="fr-FR"/>
        </w:rPr>
        <w:t xml:space="preserve"> d’insécurité car les agresseurs circulaient lourdement armés et qu’il a été personnellement victime d’une série de menaces de mort </w:t>
      </w:r>
      <w:r w:rsidR="00693227" w:rsidRPr="00545FAE">
        <w:rPr>
          <w:lang w:val="fr-FR"/>
        </w:rPr>
        <w:t xml:space="preserve">téléphoniques et physiques ainsi que de nouvelles </w:t>
      </w:r>
      <w:r w:rsidR="00BF1815" w:rsidRPr="00545FAE">
        <w:rPr>
          <w:lang w:val="fr-FR"/>
        </w:rPr>
        <w:t xml:space="preserve">attaques sur </w:t>
      </w:r>
      <w:r w:rsidR="00693227" w:rsidRPr="00545FAE">
        <w:rPr>
          <w:lang w:val="fr-FR"/>
        </w:rPr>
        <w:t xml:space="preserve">sa personne et </w:t>
      </w:r>
      <w:r w:rsidR="00BF1815" w:rsidRPr="00545FAE">
        <w:rPr>
          <w:lang w:val="fr-FR"/>
        </w:rPr>
        <w:t>sur</w:t>
      </w:r>
      <w:r w:rsidR="00693227" w:rsidRPr="00545FAE">
        <w:rPr>
          <w:lang w:val="fr-FR"/>
        </w:rPr>
        <w:t xml:space="preserve"> son commerce après le </w:t>
      </w:r>
      <w:r w:rsidR="00391C6A" w:rsidRPr="00545FAE">
        <w:rPr>
          <w:lang w:val="fr-FR"/>
        </w:rPr>
        <w:t xml:space="preserve">27 </w:t>
      </w:r>
      <w:r w:rsidR="00693227" w:rsidRPr="00545FAE">
        <w:rPr>
          <w:lang w:val="fr-FR"/>
        </w:rPr>
        <w:t>février</w:t>
      </w:r>
      <w:r w:rsidR="00391C6A" w:rsidRPr="00545FAE">
        <w:rPr>
          <w:lang w:val="fr-FR"/>
        </w:rPr>
        <w:t xml:space="preserve"> 2007</w:t>
      </w:r>
      <w:r w:rsidR="00D74F15" w:rsidRPr="00545FAE">
        <w:rPr>
          <w:rStyle w:val="FootnoteReference"/>
          <w:rFonts w:asciiTheme="majorHAnsi" w:hAnsiTheme="majorHAnsi"/>
          <w:szCs w:val="20"/>
          <w:lang w:val="fr-FR"/>
        </w:rPr>
        <w:footnoteReference w:id="19"/>
      </w:r>
      <w:r w:rsidR="00F25C37" w:rsidRPr="00545FAE">
        <w:rPr>
          <w:lang w:val="fr-FR"/>
        </w:rPr>
        <w:t xml:space="preserve">. </w:t>
      </w:r>
      <w:r w:rsidR="00B06AA4" w:rsidRPr="00545FAE">
        <w:rPr>
          <w:lang w:val="fr-FR"/>
        </w:rPr>
        <w:t xml:space="preserve">Il allègue notamment que, le 9 mars 2007, les mêmes agresseurs ont </w:t>
      </w:r>
      <w:r w:rsidR="00B06AA4" w:rsidRPr="00545FAE">
        <w:rPr>
          <w:lang w:val="fr-FR"/>
        </w:rPr>
        <w:lastRenderedPageBreak/>
        <w:t>investi son commerce mais qu’il a réussi à prendre la fuite et décidé ne plus revenir dans cet endroit</w:t>
      </w:r>
      <w:r w:rsidR="001661B8" w:rsidRPr="00545FAE">
        <w:rPr>
          <w:rStyle w:val="FootnoteReference"/>
          <w:lang w:val="fr-FR"/>
        </w:rPr>
        <w:footnoteReference w:id="20"/>
      </w:r>
      <w:r w:rsidR="00F52A11" w:rsidRPr="00545FAE">
        <w:rPr>
          <w:lang w:val="fr-FR"/>
        </w:rPr>
        <w:t>. L</w:t>
      </w:r>
      <w:r w:rsidR="00B06AA4" w:rsidRPr="00545FAE">
        <w:rPr>
          <w:lang w:val="fr-FR"/>
        </w:rPr>
        <w:t xml:space="preserve">e logement qu’il occupait jusqu’à la première tentative d’homicide sur sa personne et l’assassinat de son frère a subi une nouvelle descente les 15 et 28 août </w:t>
      </w:r>
      <w:r w:rsidR="001661B8" w:rsidRPr="00545FAE">
        <w:rPr>
          <w:lang w:val="fr-FR"/>
        </w:rPr>
        <w:t>2008</w:t>
      </w:r>
      <w:r w:rsidR="001661B8" w:rsidRPr="00545FAE">
        <w:rPr>
          <w:rStyle w:val="FootnoteReference"/>
          <w:lang w:val="fr-FR"/>
        </w:rPr>
        <w:footnoteReference w:id="21"/>
      </w:r>
      <w:r w:rsidR="00965F76" w:rsidRPr="00545FAE">
        <w:rPr>
          <w:lang w:val="fr-FR"/>
        </w:rPr>
        <w:t xml:space="preserve">. </w:t>
      </w:r>
      <w:r w:rsidR="008C08E1" w:rsidRPr="00545FAE">
        <w:rPr>
          <w:lang w:val="fr-FR"/>
        </w:rPr>
        <w:t>Lorsque les h</w:t>
      </w:r>
      <w:r w:rsidR="00E92486" w:rsidRPr="00545FAE">
        <w:rPr>
          <w:lang w:val="fr-FR"/>
        </w:rPr>
        <w:t>abitants ont essayé de dénoncer ces faits à la police, ils ont reçu des réponses évasives qui pointaient le manque de patrouilles disponibles</w:t>
      </w:r>
      <w:r w:rsidR="00B32F16" w:rsidRPr="00545FAE">
        <w:rPr>
          <w:rStyle w:val="FootnoteReference"/>
          <w:rFonts w:asciiTheme="majorHAnsi" w:hAnsiTheme="majorHAnsi"/>
          <w:szCs w:val="20"/>
          <w:lang w:val="fr-FR"/>
        </w:rPr>
        <w:footnoteReference w:id="22"/>
      </w:r>
      <w:r w:rsidR="00B32F16" w:rsidRPr="00545FAE">
        <w:rPr>
          <w:lang w:val="fr-FR"/>
        </w:rPr>
        <w:t>.</w:t>
      </w:r>
      <w:r w:rsidR="005D234F" w:rsidRPr="00545FAE">
        <w:rPr>
          <w:lang w:val="fr-FR"/>
        </w:rPr>
        <w:t xml:space="preserve"> </w:t>
      </w:r>
      <w:r w:rsidR="00564276" w:rsidRPr="00545FAE">
        <w:rPr>
          <w:lang w:val="fr-FR"/>
        </w:rPr>
        <w:t xml:space="preserve">Le pétitionnaire allègue en outre qu’il a été victime d’une autre attaque dans le même quartier le 26 août </w:t>
      </w:r>
      <w:r w:rsidR="002345F8" w:rsidRPr="00545FAE">
        <w:rPr>
          <w:lang w:val="fr-FR"/>
        </w:rPr>
        <w:t>2009</w:t>
      </w:r>
      <w:r w:rsidR="002345F8" w:rsidRPr="00545FAE">
        <w:rPr>
          <w:rStyle w:val="FootnoteReference"/>
          <w:lang w:val="fr-FR"/>
        </w:rPr>
        <w:footnoteReference w:id="23"/>
      </w:r>
      <w:r w:rsidR="00001B40" w:rsidRPr="00545FAE">
        <w:rPr>
          <w:lang w:val="fr-FR"/>
        </w:rPr>
        <w:t>.</w:t>
      </w:r>
      <w:r w:rsidR="002345F8" w:rsidRPr="00545FAE">
        <w:rPr>
          <w:lang w:val="fr-FR"/>
        </w:rPr>
        <w:t xml:space="preserve"> </w:t>
      </w:r>
      <w:r w:rsidR="00564276" w:rsidRPr="00545FAE">
        <w:rPr>
          <w:lang w:val="fr-FR"/>
        </w:rPr>
        <w:t xml:space="preserve">Suite à cet événement, il affirme que lui et sa famille ont été contraints de </w:t>
      </w:r>
      <w:r w:rsidR="00B07D5B" w:rsidRPr="00545FAE">
        <w:rPr>
          <w:lang w:val="fr-FR"/>
        </w:rPr>
        <w:t>se sauver</w:t>
      </w:r>
      <w:r w:rsidR="00564276" w:rsidRPr="00545FAE">
        <w:rPr>
          <w:lang w:val="fr-FR"/>
        </w:rPr>
        <w:t xml:space="preserve">, d’abandonner leur logement et leur commerce et de vivre </w:t>
      </w:r>
      <w:r w:rsidR="002863DD" w:rsidRPr="00545FAE">
        <w:rPr>
          <w:lang w:val="fr-FR"/>
        </w:rPr>
        <w:t xml:space="preserve">en fuite </w:t>
      </w:r>
      <w:r w:rsidR="002F2A3F" w:rsidRPr="00545FAE">
        <w:rPr>
          <w:lang w:val="fr-FR"/>
        </w:rPr>
        <w:t>(</w:t>
      </w:r>
      <w:r w:rsidR="00564276" w:rsidRPr="00545FAE">
        <w:rPr>
          <w:i/>
          <w:lang w:val="fr-FR"/>
        </w:rPr>
        <w:t>« </w:t>
      </w:r>
      <w:r w:rsidR="002F2A3F" w:rsidRPr="00545FAE">
        <w:rPr>
          <w:i/>
          <w:lang w:val="fr-FR"/>
        </w:rPr>
        <w:t>j'étais f</w:t>
      </w:r>
      <w:r w:rsidR="00564276" w:rsidRPr="00545FAE">
        <w:rPr>
          <w:i/>
          <w:lang w:val="fr-FR"/>
        </w:rPr>
        <w:t xml:space="preserve">orcé d'abandonner ma demeure </w:t>
      </w:r>
      <w:r w:rsidR="002F2A3F" w:rsidRPr="00545FAE">
        <w:rPr>
          <w:i/>
          <w:lang w:val="fr-FR"/>
        </w:rPr>
        <w:t>pour vivre dans le marro</w:t>
      </w:r>
      <w:r w:rsidR="007F2BD1" w:rsidRPr="00545FAE">
        <w:rPr>
          <w:i/>
          <w:lang w:val="fr-FR"/>
        </w:rPr>
        <w:t>n</w:t>
      </w:r>
      <w:r w:rsidR="002F2A3F" w:rsidRPr="00545FAE">
        <w:rPr>
          <w:i/>
          <w:lang w:val="fr-FR"/>
        </w:rPr>
        <w:t>nage</w:t>
      </w:r>
      <w:r w:rsidR="00564276" w:rsidRPr="00545FAE">
        <w:rPr>
          <w:i/>
          <w:lang w:val="fr-FR"/>
        </w:rPr>
        <w:t>,</w:t>
      </w:r>
      <w:r w:rsidR="002F2A3F" w:rsidRPr="00545FAE">
        <w:rPr>
          <w:i/>
          <w:lang w:val="fr-FR"/>
        </w:rPr>
        <w:t xml:space="preserve"> c'est-à-dire dans le </w:t>
      </w:r>
      <w:r w:rsidR="00564276" w:rsidRPr="00545FAE">
        <w:rPr>
          <w:i/>
          <w:lang w:val="fr-FR"/>
        </w:rPr>
        <w:t>fuite »</w:t>
      </w:r>
      <w:r w:rsidR="002F2A3F" w:rsidRPr="00545FAE">
        <w:rPr>
          <w:lang w:val="fr-FR"/>
        </w:rPr>
        <w:t>)</w:t>
      </w:r>
      <w:r w:rsidR="005D234F" w:rsidRPr="00545FAE">
        <w:rPr>
          <w:rStyle w:val="FootnoteReference"/>
          <w:rFonts w:asciiTheme="majorHAnsi" w:hAnsiTheme="majorHAnsi"/>
          <w:szCs w:val="20"/>
          <w:lang w:val="fr-FR"/>
        </w:rPr>
        <w:footnoteReference w:id="24"/>
      </w:r>
      <w:r w:rsidR="005D234F" w:rsidRPr="00545FAE">
        <w:rPr>
          <w:lang w:val="fr-FR"/>
        </w:rPr>
        <w:t xml:space="preserve">. </w:t>
      </w:r>
      <w:r w:rsidR="00564276" w:rsidRPr="00545FAE">
        <w:rPr>
          <w:lang w:val="fr-FR"/>
        </w:rPr>
        <w:t>L’État n’a pas démenti ces allégations</w:t>
      </w:r>
      <w:r w:rsidR="005D234F" w:rsidRPr="00545FAE">
        <w:rPr>
          <w:lang w:val="fr-FR"/>
        </w:rPr>
        <w:t>.</w:t>
      </w:r>
    </w:p>
    <w:p w14:paraId="1030E4DD" w14:textId="77777777" w:rsidR="00F05CC0" w:rsidRPr="00545FAE" w:rsidRDefault="00F05CC0" w:rsidP="00F05CC0">
      <w:pPr>
        <w:pStyle w:val="ListParagraph"/>
        <w:numPr>
          <w:ilvl w:val="0"/>
          <w:numId w:val="0"/>
        </w:numPr>
        <w:tabs>
          <w:tab w:val="left" w:pos="360"/>
          <w:tab w:val="left" w:pos="720"/>
        </w:tabs>
        <w:rPr>
          <w:rFonts w:asciiTheme="majorHAnsi" w:hAnsiTheme="majorHAnsi"/>
          <w:color w:val="auto"/>
          <w:szCs w:val="20"/>
          <w:lang w:val="fr-FR"/>
        </w:rPr>
      </w:pPr>
    </w:p>
    <w:p w14:paraId="3EC8BC2A" w14:textId="77777777" w:rsidR="00D12193" w:rsidRPr="00545FAE" w:rsidRDefault="00D12193" w:rsidP="00A72DE3">
      <w:pPr>
        <w:pStyle w:val="Heading1"/>
        <w:ind w:left="0" w:firstLine="0"/>
        <w:rPr>
          <w:color w:val="auto"/>
          <w:lang w:val="fr-FR"/>
        </w:rPr>
      </w:pPr>
      <w:bookmarkStart w:id="11" w:name="_Toc33019286"/>
      <w:r w:rsidRPr="00545FAE">
        <w:rPr>
          <w:color w:val="auto"/>
          <w:lang w:val="fr-FR"/>
        </w:rPr>
        <w:t>AN</w:t>
      </w:r>
      <w:r w:rsidR="00B07D5B" w:rsidRPr="00545FAE">
        <w:rPr>
          <w:color w:val="auto"/>
          <w:lang w:val="fr-FR"/>
        </w:rPr>
        <w:t>ALY</w:t>
      </w:r>
      <w:r w:rsidRPr="00545FAE">
        <w:rPr>
          <w:color w:val="auto"/>
          <w:lang w:val="fr-FR"/>
        </w:rPr>
        <w:t>S</w:t>
      </w:r>
      <w:r w:rsidR="00B07D5B" w:rsidRPr="00545FAE">
        <w:rPr>
          <w:color w:val="auto"/>
          <w:lang w:val="fr-FR"/>
        </w:rPr>
        <w:t>E</w:t>
      </w:r>
      <w:r w:rsidRPr="00545FAE">
        <w:rPr>
          <w:color w:val="auto"/>
          <w:lang w:val="fr-FR"/>
        </w:rPr>
        <w:t xml:space="preserve"> DE</w:t>
      </w:r>
      <w:r w:rsidR="00D67E3C" w:rsidRPr="00545FAE">
        <w:rPr>
          <w:color w:val="auto"/>
          <w:lang w:val="fr-FR"/>
        </w:rPr>
        <w:t>S</w:t>
      </w:r>
      <w:r w:rsidRPr="00545FAE">
        <w:rPr>
          <w:color w:val="auto"/>
          <w:lang w:val="fr-FR"/>
        </w:rPr>
        <w:t xml:space="preserve"> D</w:t>
      </w:r>
      <w:r w:rsidR="00B07D5B" w:rsidRPr="00545FAE">
        <w:rPr>
          <w:color w:val="auto"/>
          <w:lang w:val="fr-FR"/>
        </w:rPr>
        <w:t>ROIT</w:t>
      </w:r>
      <w:r w:rsidR="00D67E3C" w:rsidRPr="00545FAE">
        <w:rPr>
          <w:color w:val="auto"/>
          <w:lang w:val="fr-FR"/>
        </w:rPr>
        <w:t>S</w:t>
      </w:r>
      <w:bookmarkEnd w:id="11"/>
      <w:r w:rsidR="00B07D5B" w:rsidRPr="00545FAE">
        <w:rPr>
          <w:color w:val="auto"/>
          <w:lang w:val="fr-FR"/>
        </w:rPr>
        <w:t xml:space="preserve"> </w:t>
      </w:r>
    </w:p>
    <w:p w14:paraId="35E774D8" w14:textId="77777777" w:rsidR="00410DB9" w:rsidRPr="00545FAE" w:rsidRDefault="00410DB9" w:rsidP="00410DB9">
      <w:pPr>
        <w:rPr>
          <w:lang w:val="fr-FR" w:eastAsia="es-ES"/>
        </w:rPr>
      </w:pPr>
    </w:p>
    <w:p w14:paraId="0B7A574B" w14:textId="77777777" w:rsidR="00F51DC1" w:rsidRPr="00545FAE" w:rsidRDefault="00F7605E" w:rsidP="00C55B05">
      <w:pPr>
        <w:pStyle w:val="ListParagraph"/>
        <w:rPr>
          <w:lang w:val="fr-FR"/>
        </w:rPr>
      </w:pPr>
      <w:r w:rsidRPr="00545FAE">
        <w:rPr>
          <w:lang w:val="fr-FR"/>
        </w:rPr>
        <w:t>L</w:t>
      </w:r>
      <w:r w:rsidR="00410DB9" w:rsidRPr="00545FAE">
        <w:rPr>
          <w:lang w:val="fr-FR"/>
        </w:rPr>
        <w:t>a Com</w:t>
      </w:r>
      <w:r w:rsidR="00B07D5B" w:rsidRPr="00545FAE">
        <w:rPr>
          <w:lang w:val="fr-FR"/>
        </w:rPr>
        <w:t>mis</w:t>
      </w:r>
      <w:r w:rsidR="00471D1D" w:rsidRPr="00545FAE">
        <w:rPr>
          <w:lang w:val="fr-FR"/>
        </w:rPr>
        <w:t>sion souligne qu’il n’existe aucune</w:t>
      </w:r>
      <w:r w:rsidR="00B07D5B" w:rsidRPr="00545FAE">
        <w:rPr>
          <w:lang w:val="fr-FR"/>
        </w:rPr>
        <w:t xml:space="preserve"> controverse entre les parties concernant le fait que les auteurs présumés des menaces et tentatives d’homicide contre M. </w:t>
      </w:r>
      <w:r w:rsidR="00410DB9" w:rsidRPr="00545FAE">
        <w:rPr>
          <w:lang w:val="fr-FR"/>
        </w:rPr>
        <w:t xml:space="preserve">Baptiste Willer </w:t>
      </w:r>
      <w:r w:rsidR="00B07D5B" w:rsidRPr="00545FAE">
        <w:rPr>
          <w:lang w:val="fr-FR"/>
        </w:rPr>
        <w:t xml:space="preserve">et de l’assassinat de son frère M. </w:t>
      </w:r>
      <w:r w:rsidR="00982431" w:rsidRPr="00545FAE">
        <w:rPr>
          <w:lang w:val="fr-FR"/>
        </w:rPr>
        <w:t>Frédo Guirant (o</w:t>
      </w:r>
      <w:r w:rsidR="00B07D5B" w:rsidRPr="00545FAE">
        <w:rPr>
          <w:lang w:val="fr-FR"/>
        </w:rPr>
        <w:t>u</w:t>
      </w:r>
      <w:r w:rsidR="00982431" w:rsidRPr="00545FAE">
        <w:rPr>
          <w:lang w:val="fr-FR"/>
        </w:rPr>
        <w:t xml:space="preserve"> Guirand)</w:t>
      </w:r>
      <w:r w:rsidR="00471D1D" w:rsidRPr="00545FAE">
        <w:rPr>
          <w:lang w:val="fr-FR"/>
        </w:rPr>
        <w:t>,</w:t>
      </w:r>
      <w:r w:rsidR="00410DB9" w:rsidRPr="00545FAE">
        <w:rPr>
          <w:lang w:val="fr-FR"/>
        </w:rPr>
        <w:t xml:space="preserve"> n</w:t>
      </w:r>
      <w:r w:rsidR="00B07D5B" w:rsidRPr="00545FAE">
        <w:rPr>
          <w:lang w:val="fr-FR"/>
        </w:rPr>
        <w:t>e sont pas des agents de l’État</w:t>
      </w:r>
      <w:r w:rsidR="00410DB9" w:rsidRPr="00545FAE">
        <w:rPr>
          <w:lang w:val="fr-FR"/>
        </w:rPr>
        <w:t xml:space="preserve">. </w:t>
      </w:r>
      <w:r w:rsidR="004A49AC" w:rsidRPr="00545FAE">
        <w:rPr>
          <w:lang w:val="fr-FR"/>
        </w:rPr>
        <w:t>D’après les allégations de la partie requérante, l’attribution de la responsabilité de ces faits à l’État</w:t>
      </w:r>
      <w:r w:rsidR="009777B3" w:rsidRPr="00545FAE">
        <w:rPr>
          <w:lang w:val="fr-FR"/>
        </w:rPr>
        <w:t xml:space="preserve"> découlerait de l’article </w:t>
      </w:r>
      <w:r w:rsidR="00410DB9" w:rsidRPr="00545FAE">
        <w:rPr>
          <w:lang w:val="fr-FR"/>
        </w:rPr>
        <w:t>1.1 de la Conven</w:t>
      </w:r>
      <w:r w:rsidR="009777B3" w:rsidRPr="00545FAE">
        <w:rPr>
          <w:lang w:val="fr-FR"/>
        </w:rPr>
        <w:t>tion</w:t>
      </w:r>
      <w:r w:rsidR="00410DB9" w:rsidRPr="00545FAE">
        <w:rPr>
          <w:lang w:val="fr-FR"/>
        </w:rPr>
        <w:t xml:space="preserve"> </w:t>
      </w:r>
      <w:r w:rsidR="009777B3" w:rsidRPr="00545FAE">
        <w:rPr>
          <w:lang w:val="fr-FR"/>
        </w:rPr>
        <w:t>a</w:t>
      </w:r>
      <w:r w:rsidR="00410DB9" w:rsidRPr="00545FAE">
        <w:rPr>
          <w:lang w:val="fr-FR"/>
        </w:rPr>
        <w:t>m</w:t>
      </w:r>
      <w:r w:rsidR="009777B3" w:rsidRPr="00545FAE">
        <w:rPr>
          <w:lang w:val="fr-FR"/>
        </w:rPr>
        <w:t>é</w:t>
      </w:r>
      <w:r w:rsidR="00410DB9" w:rsidRPr="00545FAE">
        <w:rPr>
          <w:lang w:val="fr-FR"/>
        </w:rPr>
        <w:t>rica</w:t>
      </w:r>
      <w:r w:rsidR="009777B3" w:rsidRPr="00545FAE">
        <w:rPr>
          <w:lang w:val="fr-FR"/>
        </w:rPr>
        <w:t>ine, en raison du manquement à son obligation de protection et de bonne administration de la justice</w:t>
      </w:r>
      <w:r w:rsidR="00410DB9" w:rsidRPr="00545FAE">
        <w:rPr>
          <w:lang w:val="fr-FR"/>
        </w:rPr>
        <w:t xml:space="preserve">. </w:t>
      </w:r>
    </w:p>
    <w:p w14:paraId="6F737D09" w14:textId="77777777" w:rsidR="0011380E" w:rsidRPr="00545FAE" w:rsidRDefault="0011380E" w:rsidP="00A72DE3">
      <w:pPr>
        <w:rPr>
          <w:lang w:val="fr-FR" w:eastAsia="es-ES"/>
        </w:rPr>
      </w:pPr>
    </w:p>
    <w:p w14:paraId="3C90A33A" w14:textId="77777777" w:rsidR="00500B94" w:rsidRPr="00545FAE" w:rsidRDefault="00D16405" w:rsidP="00460064">
      <w:pPr>
        <w:pStyle w:val="Heading2"/>
        <w:numPr>
          <w:ilvl w:val="0"/>
          <w:numId w:val="59"/>
        </w:numPr>
        <w:jc w:val="both"/>
        <w:rPr>
          <w:lang w:val="fr-FR"/>
        </w:rPr>
      </w:pPr>
      <w:bookmarkStart w:id="12" w:name="_Toc535172809"/>
      <w:bookmarkStart w:id="13" w:name="_Toc33019287"/>
      <w:r w:rsidRPr="00545FAE">
        <w:rPr>
          <w:lang w:val="fr-FR"/>
        </w:rPr>
        <w:t>D</w:t>
      </w:r>
      <w:r w:rsidR="00B07D5B" w:rsidRPr="00545FAE">
        <w:rPr>
          <w:lang w:val="fr-FR"/>
        </w:rPr>
        <w:t>roits à la vie</w:t>
      </w:r>
      <w:r w:rsidR="00167601" w:rsidRPr="00545FAE">
        <w:rPr>
          <w:rStyle w:val="FootnoteReference"/>
          <w:lang w:val="fr-FR"/>
        </w:rPr>
        <w:footnoteReference w:id="25"/>
      </w:r>
      <w:r w:rsidR="009C09CA" w:rsidRPr="00545FAE">
        <w:rPr>
          <w:lang w:val="fr-FR"/>
        </w:rPr>
        <w:t>,</w:t>
      </w:r>
      <w:r w:rsidR="000A3FA3" w:rsidRPr="00545FAE">
        <w:rPr>
          <w:lang w:val="fr-FR"/>
        </w:rPr>
        <w:t xml:space="preserve"> </w:t>
      </w:r>
      <w:r w:rsidR="00B07D5B" w:rsidRPr="00545FAE">
        <w:rPr>
          <w:lang w:val="fr-FR"/>
        </w:rPr>
        <w:t>à l’intégrité de la personne</w:t>
      </w:r>
      <w:r w:rsidR="00941DDC" w:rsidRPr="00545FAE">
        <w:rPr>
          <w:rStyle w:val="FootnoteReference"/>
          <w:lang w:val="fr-FR"/>
        </w:rPr>
        <w:footnoteReference w:id="26"/>
      </w:r>
      <w:bookmarkEnd w:id="12"/>
      <w:r w:rsidR="009C09CA" w:rsidRPr="00545FAE">
        <w:rPr>
          <w:lang w:val="fr-FR"/>
        </w:rPr>
        <w:t xml:space="preserve"> </w:t>
      </w:r>
      <w:r w:rsidR="00B07D5B" w:rsidRPr="00545FAE">
        <w:rPr>
          <w:lang w:val="fr-FR"/>
        </w:rPr>
        <w:t>et de l’enfant</w:t>
      </w:r>
      <w:r w:rsidR="009C09CA" w:rsidRPr="00545FAE">
        <w:rPr>
          <w:rStyle w:val="FootnoteReference"/>
          <w:lang w:val="fr-FR"/>
        </w:rPr>
        <w:footnoteReference w:id="27"/>
      </w:r>
      <w:r w:rsidR="00735D83" w:rsidRPr="00545FAE">
        <w:rPr>
          <w:lang w:val="fr-FR"/>
        </w:rPr>
        <w:t>,</w:t>
      </w:r>
      <w:r w:rsidR="00325178" w:rsidRPr="00545FAE">
        <w:rPr>
          <w:lang w:val="fr-FR"/>
        </w:rPr>
        <w:t xml:space="preserve"> </w:t>
      </w:r>
      <w:r w:rsidR="000506AB" w:rsidRPr="00545FAE">
        <w:rPr>
          <w:lang w:val="fr-FR"/>
        </w:rPr>
        <w:t>en rapport avec</w:t>
      </w:r>
      <w:r w:rsidR="00B07D5B" w:rsidRPr="00545FAE">
        <w:rPr>
          <w:lang w:val="fr-FR"/>
        </w:rPr>
        <w:t xml:space="preserve"> l’article</w:t>
      </w:r>
      <w:r w:rsidR="009942DE" w:rsidRPr="00545FAE">
        <w:rPr>
          <w:lang w:val="fr-FR"/>
        </w:rPr>
        <w:t xml:space="preserve"> 1.1</w:t>
      </w:r>
      <w:r w:rsidR="009942DE" w:rsidRPr="00545FAE">
        <w:rPr>
          <w:rStyle w:val="FootnoteReference"/>
          <w:lang w:val="fr-FR"/>
        </w:rPr>
        <w:footnoteReference w:id="28"/>
      </w:r>
      <w:r w:rsidR="009942DE" w:rsidRPr="00545FAE">
        <w:rPr>
          <w:lang w:val="fr-FR"/>
        </w:rPr>
        <w:t xml:space="preserve"> de la Conven</w:t>
      </w:r>
      <w:r w:rsidR="00B07D5B" w:rsidRPr="00545FAE">
        <w:rPr>
          <w:lang w:val="fr-FR"/>
        </w:rPr>
        <w:t>tion</w:t>
      </w:r>
      <w:r w:rsidR="009942DE" w:rsidRPr="00545FAE">
        <w:rPr>
          <w:lang w:val="fr-FR"/>
        </w:rPr>
        <w:t xml:space="preserve"> </w:t>
      </w:r>
      <w:r w:rsidR="00B07D5B" w:rsidRPr="00545FAE">
        <w:rPr>
          <w:lang w:val="fr-FR"/>
        </w:rPr>
        <w:t>a</w:t>
      </w:r>
      <w:r w:rsidR="009942DE" w:rsidRPr="00545FAE">
        <w:rPr>
          <w:lang w:val="fr-FR"/>
        </w:rPr>
        <w:t>m</w:t>
      </w:r>
      <w:r w:rsidR="00B07D5B" w:rsidRPr="00545FAE">
        <w:rPr>
          <w:lang w:val="fr-FR"/>
        </w:rPr>
        <w:t>é</w:t>
      </w:r>
      <w:r w:rsidR="009942DE" w:rsidRPr="00545FAE">
        <w:rPr>
          <w:lang w:val="fr-FR"/>
        </w:rPr>
        <w:t>rica</w:t>
      </w:r>
      <w:r w:rsidR="00B07D5B" w:rsidRPr="00545FAE">
        <w:rPr>
          <w:lang w:val="fr-FR"/>
        </w:rPr>
        <w:t>ine</w:t>
      </w:r>
      <w:bookmarkEnd w:id="13"/>
    </w:p>
    <w:p w14:paraId="13D2C3B6" w14:textId="77777777" w:rsidR="001B0717" w:rsidRPr="00545FAE" w:rsidRDefault="001B0717" w:rsidP="001B0717">
      <w:pPr>
        <w:rPr>
          <w:lang w:val="fr-FR"/>
        </w:rPr>
      </w:pPr>
    </w:p>
    <w:p w14:paraId="17AAD637" w14:textId="77777777" w:rsidR="0021451E" w:rsidRPr="00545FAE" w:rsidRDefault="0077490C" w:rsidP="0021451E">
      <w:pPr>
        <w:pStyle w:val="ListParagraph"/>
        <w:rPr>
          <w:lang w:val="fr-FR"/>
        </w:rPr>
      </w:pPr>
      <w:r w:rsidRPr="00545FAE">
        <w:rPr>
          <w:lang w:val="fr-FR"/>
        </w:rPr>
        <w:t xml:space="preserve">La </w:t>
      </w:r>
      <w:r w:rsidR="00F51DC1" w:rsidRPr="00545FAE">
        <w:rPr>
          <w:lang w:val="fr-FR"/>
        </w:rPr>
        <w:t>Co</w:t>
      </w:r>
      <w:r w:rsidR="001054B2" w:rsidRPr="00545FAE">
        <w:rPr>
          <w:lang w:val="fr-FR"/>
        </w:rPr>
        <w:t>ur interaméricaine des droits de l’Homme (« Cour »</w:t>
      </w:r>
      <w:r w:rsidR="00F51DC1" w:rsidRPr="00545FAE">
        <w:rPr>
          <w:lang w:val="fr-FR"/>
        </w:rPr>
        <w:t>)</w:t>
      </w:r>
      <w:r w:rsidR="00D25C04" w:rsidRPr="00545FAE">
        <w:rPr>
          <w:lang w:val="fr-FR"/>
        </w:rPr>
        <w:t xml:space="preserve"> </w:t>
      </w:r>
      <w:r w:rsidR="001054B2" w:rsidRPr="00545FAE">
        <w:rPr>
          <w:lang w:val="fr-FR"/>
        </w:rPr>
        <w:t xml:space="preserve">a établi que « le droit à la vie occupe une place fondamentale dans la Convention américaine </w:t>
      </w:r>
      <w:r w:rsidR="00894581" w:rsidRPr="00545FAE">
        <w:rPr>
          <w:lang w:val="fr-FR"/>
        </w:rPr>
        <w:t>car elle constitue la condition essentielle à l’exercice des autres droits</w:t>
      </w:r>
      <w:r w:rsidR="0072640D" w:rsidRPr="00545FAE">
        <w:rPr>
          <w:lang w:val="fr-FR"/>
        </w:rPr>
        <w:t xml:space="preserve">. </w:t>
      </w:r>
      <w:r w:rsidR="001054B2" w:rsidRPr="00545FAE">
        <w:rPr>
          <w:lang w:val="fr-FR"/>
        </w:rPr>
        <w:t xml:space="preserve">Les États </w:t>
      </w:r>
      <w:r w:rsidR="001054B2" w:rsidRPr="00545FAE">
        <w:rPr>
          <w:spacing w:val="-3"/>
          <w:sz w:val="22"/>
          <w:szCs w:val="22"/>
          <w:lang w:val="fr-FR"/>
        </w:rPr>
        <w:t>ont l’obligation de garantir les conditions nécessaires pour assurer que les violations de ces droits inaliénables ne se produisent pas</w:t>
      </w:r>
      <w:r w:rsidR="001054B2" w:rsidRPr="00545FAE">
        <w:rPr>
          <w:lang w:val="fr-FR"/>
        </w:rPr>
        <w:t> »</w:t>
      </w:r>
      <w:r w:rsidR="0072640D" w:rsidRPr="00545FAE">
        <w:rPr>
          <w:rStyle w:val="FootnoteReference"/>
          <w:lang w:val="fr-FR"/>
        </w:rPr>
        <w:footnoteReference w:id="29"/>
      </w:r>
      <w:r w:rsidR="0072640D" w:rsidRPr="00545FAE">
        <w:rPr>
          <w:lang w:val="fr-FR"/>
        </w:rPr>
        <w:t xml:space="preserve">. </w:t>
      </w:r>
      <w:r w:rsidR="0021451E" w:rsidRPr="00545FAE">
        <w:rPr>
          <w:lang w:val="fr-FR"/>
        </w:rPr>
        <w:t>La protec</w:t>
      </w:r>
      <w:r w:rsidR="00332493" w:rsidRPr="00545FAE">
        <w:rPr>
          <w:lang w:val="fr-FR"/>
        </w:rPr>
        <w:t xml:space="preserve">tion active du droit à la vie par l’État implique aussi les personnes chargées d’assurer la sécurité et lui impose </w:t>
      </w:r>
      <w:r w:rsidR="005C0460" w:rsidRPr="00545FAE">
        <w:rPr>
          <w:lang w:val="fr-FR"/>
        </w:rPr>
        <w:t>l’obligation</w:t>
      </w:r>
      <w:r w:rsidR="00332493" w:rsidRPr="00545FAE">
        <w:rPr>
          <w:lang w:val="fr-FR"/>
        </w:rPr>
        <w:t xml:space="preserve"> d’adopter les mesures nécessaires pour « </w:t>
      </w:r>
      <w:r w:rsidR="00616337" w:rsidRPr="00545FAE">
        <w:rPr>
          <w:lang w:val="fr-FR"/>
        </w:rPr>
        <w:t xml:space="preserve">d’une part, </w:t>
      </w:r>
      <w:r w:rsidR="00332493" w:rsidRPr="00545FAE">
        <w:rPr>
          <w:lang w:val="fr-FR"/>
        </w:rPr>
        <w:t>prévenir, éliminer et punir la privation de la vie survenue suite</w:t>
      </w:r>
      <w:r w:rsidR="0021451E" w:rsidRPr="00545FAE">
        <w:rPr>
          <w:lang w:val="fr-FR"/>
        </w:rPr>
        <w:t xml:space="preserve"> </w:t>
      </w:r>
      <w:r w:rsidR="00332493" w:rsidRPr="00545FAE">
        <w:rPr>
          <w:lang w:val="fr-FR"/>
        </w:rPr>
        <w:t>à des actes</w:t>
      </w:r>
      <w:r w:rsidR="0021451E" w:rsidRPr="00545FAE">
        <w:rPr>
          <w:lang w:val="fr-FR"/>
        </w:rPr>
        <w:t xml:space="preserve"> crimin</w:t>
      </w:r>
      <w:r w:rsidR="00332493" w:rsidRPr="00545FAE">
        <w:rPr>
          <w:lang w:val="fr-FR"/>
        </w:rPr>
        <w:t>el</w:t>
      </w:r>
      <w:r w:rsidR="0021451E" w:rsidRPr="00545FAE">
        <w:rPr>
          <w:lang w:val="fr-FR"/>
        </w:rPr>
        <w:t>s</w:t>
      </w:r>
      <w:r w:rsidR="00616337" w:rsidRPr="00545FAE">
        <w:rPr>
          <w:lang w:val="fr-FR"/>
        </w:rPr>
        <w:t xml:space="preserve"> et, d’autre part, mettre en garde et </w:t>
      </w:r>
      <w:r w:rsidR="00332493" w:rsidRPr="00545FAE">
        <w:rPr>
          <w:lang w:val="fr-FR"/>
        </w:rPr>
        <w:t>protéger les individus</w:t>
      </w:r>
      <w:r w:rsidR="00616337" w:rsidRPr="00545FAE">
        <w:rPr>
          <w:lang w:val="fr-FR"/>
        </w:rPr>
        <w:t xml:space="preserve"> contre les actes criminels commis par d’autres individus et enquêter efficacement sur ces situations »</w:t>
      </w:r>
      <w:r w:rsidR="0021451E" w:rsidRPr="00545FAE">
        <w:rPr>
          <w:rStyle w:val="FootnoteReference"/>
          <w:lang w:val="fr-FR"/>
        </w:rPr>
        <w:footnoteReference w:id="30"/>
      </w:r>
      <w:r w:rsidR="002856B4" w:rsidRPr="00545FAE">
        <w:rPr>
          <w:lang w:val="fr-FR"/>
        </w:rPr>
        <w:t>.</w:t>
      </w:r>
    </w:p>
    <w:p w14:paraId="0FE8BF32" w14:textId="77777777" w:rsidR="0021451E" w:rsidRPr="00545FAE" w:rsidRDefault="0021451E" w:rsidP="0021451E">
      <w:pPr>
        <w:pStyle w:val="ListParagraph"/>
        <w:numPr>
          <w:ilvl w:val="0"/>
          <w:numId w:val="0"/>
        </w:numPr>
        <w:rPr>
          <w:lang w:val="fr-FR"/>
        </w:rPr>
      </w:pPr>
    </w:p>
    <w:p w14:paraId="6EFB9204" w14:textId="77777777" w:rsidR="009B56A1" w:rsidRPr="00545FAE" w:rsidRDefault="00933B8C" w:rsidP="00133E2A">
      <w:pPr>
        <w:pStyle w:val="ListParagraph"/>
        <w:rPr>
          <w:lang w:val="fr-FR"/>
        </w:rPr>
      </w:pPr>
      <w:r w:rsidRPr="00545FAE">
        <w:rPr>
          <w:lang w:val="fr-FR"/>
        </w:rPr>
        <w:t>Po</w:t>
      </w:r>
      <w:r w:rsidR="00167230" w:rsidRPr="00545FAE">
        <w:rPr>
          <w:lang w:val="fr-FR"/>
        </w:rPr>
        <w:t>ur sa part</w:t>
      </w:r>
      <w:r w:rsidRPr="00545FAE">
        <w:rPr>
          <w:lang w:val="fr-FR"/>
        </w:rPr>
        <w:t xml:space="preserve">, </w:t>
      </w:r>
      <w:r w:rsidR="00C95CB1" w:rsidRPr="00545FAE">
        <w:rPr>
          <w:lang w:val="fr-FR"/>
        </w:rPr>
        <w:t>l’article</w:t>
      </w:r>
      <w:r w:rsidR="000725CF" w:rsidRPr="00545FAE">
        <w:rPr>
          <w:lang w:val="fr-FR"/>
        </w:rPr>
        <w:t xml:space="preserve"> 5.1 de l</w:t>
      </w:r>
      <w:r w:rsidR="009B56A1" w:rsidRPr="00545FAE">
        <w:rPr>
          <w:lang w:val="fr-FR"/>
        </w:rPr>
        <w:t>a Conven</w:t>
      </w:r>
      <w:r w:rsidR="00C95CB1" w:rsidRPr="00545FAE">
        <w:rPr>
          <w:lang w:val="fr-FR"/>
        </w:rPr>
        <w:t>tion</w:t>
      </w:r>
      <w:r w:rsidR="009B56A1" w:rsidRPr="00545FAE">
        <w:rPr>
          <w:lang w:val="fr-FR"/>
        </w:rPr>
        <w:t xml:space="preserve"> recon</w:t>
      </w:r>
      <w:r w:rsidR="00167230" w:rsidRPr="00545FAE">
        <w:rPr>
          <w:lang w:val="fr-FR"/>
        </w:rPr>
        <w:t xml:space="preserve">naît expressément le droit à l’intégrité de la personne, physique, psychique et morale dont l’atteinte « constitue un type de violation </w:t>
      </w:r>
      <w:r w:rsidR="00FA3985" w:rsidRPr="00545FAE">
        <w:rPr>
          <w:lang w:val="fr-FR"/>
        </w:rPr>
        <w:t>qui comporte des connotations diverses</w:t>
      </w:r>
      <w:r w:rsidR="009B56A1" w:rsidRPr="00545FAE">
        <w:rPr>
          <w:lang w:val="fr-FR"/>
        </w:rPr>
        <w:t xml:space="preserve"> </w:t>
      </w:r>
      <w:r w:rsidR="00471D1D" w:rsidRPr="00545FAE">
        <w:rPr>
          <w:lang w:val="fr-FR"/>
        </w:rPr>
        <w:t>selon son degré de gravité et</w:t>
      </w:r>
      <w:r w:rsidR="009B56A1" w:rsidRPr="00545FAE">
        <w:rPr>
          <w:lang w:val="fr-FR"/>
        </w:rPr>
        <w:t xml:space="preserve"> [...] </w:t>
      </w:r>
      <w:r w:rsidR="00167230" w:rsidRPr="00545FAE">
        <w:rPr>
          <w:lang w:val="fr-FR"/>
        </w:rPr>
        <w:t>dont les séquelles physiques et psychiques varient en intensité en fonction des facteurs endogènes et exogènes qui devront être démontrés dans chaque situation concrète »</w:t>
      </w:r>
      <w:r w:rsidR="001063A4" w:rsidRPr="00545FAE">
        <w:rPr>
          <w:rStyle w:val="FootnoteReference"/>
          <w:lang w:val="fr-FR"/>
        </w:rPr>
        <w:footnoteReference w:id="31"/>
      </w:r>
      <w:r w:rsidR="009B56A1" w:rsidRPr="00545FAE">
        <w:rPr>
          <w:lang w:val="fr-FR"/>
        </w:rPr>
        <w:t xml:space="preserve">. </w:t>
      </w:r>
      <w:r w:rsidR="002856B4" w:rsidRPr="00545FAE">
        <w:rPr>
          <w:lang w:val="fr-FR"/>
        </w:rPr>
        <w:lastRenderedPageBreak/>
        <w:t>L</w:t>
      </w:r>
      <w:r w:rsidR="009B56A1" w:rsidRPr="00545FAE">
        <w:rPr>
          <w:lang w:val="fr-FR"/>
        </w:rPr>
        <w:t>a Co</w:t>
      </w:r>
      <w:r w:rsidR="00167230" w:rsidRPr="00545FAE">
        <w:rPr>
          <w:lang w:val="fr-FR"/>
        </w:rPr>
        <w:t>ur a fait valoir à plusieurs reprises que « la simple menace que surviennent des agissements interdits par l’article</w:t>
      </w:r>
      <w:r w:rsidR="009B56A1" w:rsidRPr="00545FAE">
        <w:rPr>
          <w:lang w:val="fr-FR"/>
        </w:rPr>
        <w:t xml:space="preserve"> 5 de la Conven</w:t>
      </w:r>
      <w:r w:rsidR="00167230" w:rsidRPr="00545FAE">
        <w:rPr>
          <w:lang w:val="fr-FR"/>
        </w:rPr>
        <w:t xml:space="preserve">tion </w:t>
      </w:r>
      <w:r w:rsidR="009B56A1" w:rsidRPr="00545FAE">
        <w:rPr>
          <w:lang w:val="fr-FR"/>
        </w:rPr>
        <w:t>p</w:t>
      </w:r>
      <w:r w:rsidR="00167230" w:rsidRPr="00545FAE">
        <w:rPr>
          <w:lang w:val="fr-FR"/>
        </w:rPr>
        <w:t xml:space="preserve">eut, lorsqu’elle est suffisamment </w:t>
      </w:r>
      <w:r w:rsidR="0028009B" w:rsidRPr="00545FAE">
        <w:rPr>
          <w:lang w:val="fr-FR"/>
        </w:rPr>
        <w:t>réelle</w:t>
      </w:r>
      <w:r w:rsidR="00167230" w:rsidRPr="00545FAE">
        <w:rPr>
          <w:lang w:val="fr-FR"/>
        </w:rPr>
        <w:t xml:space="preserve"> et imminente, être en </w:t>
      </w:r>
      <w:r w:rsidR="001632E2" w:rsidRPr="00545FAE">
        <w:rPr>
          <w:lang w:val="fr-FR"/>
        </w:rPr>
        <w:t>soi</w:t>
      </w:r>
      <w:r w:rsidR="00167230" w:rsidRPr="00545FAE">
        <w:rPr>
          <w:lang w:val="fr-FR"/>
        </w:rPr>
        <w:t xml:space="preserve"> en conflit avec le droit à l’intégrité</w:t>
      </w:r>
      <w:r w:rsidR="009B56A1" w:rsidRPr="00545FAE">
        <w:rPr>
          <w:lang w:val="fr-FR"/>
        </w:rPr>
        <w:t xml:space="preserve"> </w:t>
      </w:r>
      <w:r w:rsidR="00167230" w:rsidRPr="00545FAE">
        <w:rPr>
          <w:lang w:val="fr-FR"/>
        </w:rPr>
        <w:t>de la personne »</w:t>
      </w:r>
      <w:r w:rsidR="000342ED" w:rsidRPr="00545FAE">
        <w:rPr>
          <w:rStyle w:val="FootnoteReference"/>
          <w:lang w:val="fr-FR"/>
        </w:rPr>
        <w:footnoteReference w:id="32"/>
      </w:r>
      <w:r w:rsidRPr="00545FAE">
        <w:rPr>
          <w:lang w:val="fr-FR"/>
        </w:rPr>
        <w:t>.</w:t>
      </w:r>
    </w:p>
    <w:p w14:paraId="441D8DC7" w14:textId="77777777" w:rsidR="00F51DC1" w:rsidRPr="00545FAE" w:rsidRDefault="00F51DC1" w:rsidP="00F51DC1">
      <w:pPr>
        <w:pStyle w:val="ListParagraph"/>
        <w:numPr>
          <w:ilvl w:val="0"/>
          <w:numId w:val="0"/>
        </w:numPr>
        <w:rPr>
          <w:lang w:val="fr-FR"/>
        </w:rPr>
      </w:pPr>
    </w:p>
    <w:p w14:paraId="3CD4DB8B" w14:textId="77777777" w:rsidR="00D25C04" w:rsidRPr="00545FAE" w:rsidRDefault="00652EB0" w:rsidP="00C55B05">
      <w:pPr>
        <w:pStyle w:val="ListParagraph"/>
        <w:rPr>
          <w:lang w:val="fr-FR"/>
        </w:rPr>
      </w:pPr>
      <w:r w:rsidRPr="00545FAE">
        <w:rPr>
          <w:lang w:val="fr-FR"/>
        </w:rPr>
        <w:t>Comme il a été indiqué précédemment, étant donné que les menaces et les attaques dont ont été victimes M.</w:t>
      </w:r>
      <w:r w:rsidR="00F51DC1" w:rsidRPr="00545FAE">
        <w:rPr>
          <w:lang w:val="fr-FR"/>
        </w:rPr>
        <w:t xml:space="preserve"> Baptiste Willer </w:t>
      </w:r>
      <w:r w:rsidRPr="00545FAE">
        <w:rPr>
          <w:lang w:val="fr-FR"/>
        </w:rPr>
        <w:t xml:space="preserve">et sa famille ne sont pas directement imputables à des agents de l’État, il convient de les examiner </w:t>
      </w:r>
      <w:r w:rsidR="00960524" w:rsidRPr="00545FAE">
        <w:rPr>
          <w:lang w:val="fr-FR"/>
        </w:rPr>
        <w:t xml:space="preserve">sous l’angle </w:t>
      </w:r>
      <w:r w:rsidR="005C0460" w:rsidRPr="00545FAE">
        <w:rPr>
          <w:lang w:val="fr-FR"/>
        </w:rPr>
        <w:t>de l’obligation</w:t>
      </w:r>
      <w:r w:rsidR="00960524" w:rsidRPr="00545FAE">
        <w:rPr>
          <w:lang w:val="fr-FR"/>
        </w:rPr>
        <w:t xml:space="preserve"> de protection, en tant que composantes de l’obligation de garantie</w:t>
      </w:r>
      <w:r w:rsidR="00F51DC1" w:rsidRPr="00545FAE">
        <w:rPr>
          <w:lang w:val="fr-FR"/>
        </w:rPr>
        <w:t xml:space="preserve">. </w:t>
      </w:r>
      <w:r w:rsidR="00960524" w:rsidRPr="00545FAE">
        <w:rPr>
          <w:lang w:val="fr-FR"/>
        </w:rPr>
        <w:t>À cet égard</w:t>
      </w:r>
      <w:r w:rsidR="00F51DC1" w:rsidRPr="00545FAE">
        <w:rPr>
          <w:lang w:val="fr-FR"/>
        </w:rPr>
        <w:t xml:space="preserve">, la CIDH </w:t>
      </w:r>
      <w:r w:rsidR="00960524" w:rsidRPr="00545FAE">
        <w:rPr>
          <w:lang w:val="fr-FR"/>
        </w:rPr>
        <w:t xml:space="preserve">souligne </w:t>
      </w:r>
      <w:r w:rsidR="00F51DC1" w:rsidRPr="00545FAE">
        <w:rPr>
          <w:lang w:val="fr-FR"/>
        </w:rPr>
        <w:t>que</w:t>
      </w:r>
      <w:r w:rsidR="00960524" w:rsidRPr="00545FAE">
        <w:rPr>
          <w:lang w:val="fr-FR"/>
        </w:rPr>
        <w:t xml:space="preserve"> les États doivent</w:t>
      </w:r>
      <w:r w:rsidR="00F51DC1" w:rsidRPr="00545FAE">
        <w:rPr>
          <w:lang w:val="fr-FR"/>
        </w:rPr>
        <w:t xml:space="preserve">, en </w:t>
      </w:r>
      <w:r w:rsidR="00960524" w:rsidRPr="00545FAE">
        <w:rPr>
          <w:lang w:val="fr-FR"/>
        </w:rPr>
        <w:t xml:space="preserve">vertu de leur </w:t>
      </w:r>
      <w:r w:rsidR="005C0460" w:rsidRPr="00545FAE">
        <w:rPr>
          <w:lang w:val="fr-FR"/>
        </w:rPr>
        <w:t xml:space="preserve">obligation </w:t>
      </w:r>
      <w:r w:rsidR="00960524" w:rsidRPr="00545FAE">
        <w:rPr>
          <w:lang w:val="fr-FR"/>
        </w:rPr>
        <w:t>général</w:t>
      </w:r>
      <w:r w:rsidR="005C0460" w:rsidRPr="00545FAE">
        <w:rPr>
          <w:lang w:val="fr-FR"/>
        </w:rPr>
        <w:t>e</w:t>
      </w:r>
      <w:r w:rsidR="00960524" w:rsidRPr="00545FAE">
        <w:rPr>
          <w:lang w:val="fr-FR"/>
        </w:rPr>
        <w:t xml:space="preserve"> énoncé</w:t>
      </w:r>
      <w:r w:rsidR="005C0460" w:rsidRPr="00545FAE">
        <w:rPr>
          <w:lang w:val="fr-FR"/>
        </w:rPr>
        <w:t>e</w:t>
      </w:r>
      <w:r w:rsidR="00BB71D6" w:rsidRPr="00545FAE">
        <w:rPr>
          <w:lang w:val="fr-FR"/>
        </w:rPr>
        <w:t xml:space="preserve"> à </w:t>
      </w:r>
      <w:r w:rsidR="00960524" w:rsidRPr="00545FAE">
        <w:rPr>
          <w:lang w:val="fr-FR"/>
        </w:rPr>
        <w:t xml:space="preserve">l’article </w:t>
      </w:r>
      <w:r w:rsidR="00F51DC1" w:rsidRPr="00545FAE">
        <w:rPr>
          <w:lang w:val="fr-FR"/>
        </w:rPr>
        <w:t>1.1 de la Conven</w:t>
      </w:r>
      <w:r w:rsidR="00960524" w:rsidRPr="00545FAE">
        <w:rPr>
          <w:lang w:val="fr-FR"/>
        </w:rPr>
        <w:t>tion</w:t>
      </w:r>
      <w:r w:rsidR="00F51DC1" w:rsidRPr="00545FAE">
        <w:rPr>
          <w:lang w:val="fr-FR"/>
        </w:rPr>
        <w:t>, respe</w:t>
      </w:r>
      <w:r w:rsidR="00960524" w:rsidRPr="00545FAE">
        <w:rPr>
          <w:lang w:val="fr-FR"/>
        </w:rPr>
        <w:t>cter le</w:t>
      </w:r>
      <w:r w:rsidR="00F51DC1" w:rsidRPr="00545FAE">
        <w:rPr>
          <w:lang w:val="fr-FR"/>
        </w:rPr>
        <w:t>s d</w:t>
      </w:r>
      <w:r w:rsidR="00960524" w:rsidRPr="00545FAE">
        <w:rPr>
          <w:lang w:val="fr-FR"/>
        </w:rPr>
        <w:t>roits qui y sont consacrés et adopter « toutes les mesures appropriées pour les garantir »</w:t>
      </w:r>
      <w:r w:rsidR="00F51DC1" w:rsidRPr="00545FAE">
        <w:rPr>
          <w:vertAlign w:val="superscript"/>
          <w:lang w:val="fr-FR"/>
        </w:rPr>
        <w:footnoteReference w:id="33"/>
      </w:r>
      <w:r w:rsidR="00F51DC1" w:rsidRPr="00545FAE">
        <w:rPr>
          <w:lang w:val="fr-FR"/>
        </w:rPr>
        <w:t>. L</w:t>
      </w:r>
      <w:r w:rsidR="0062003C" w:rsidRPr="00545FAE">
        <w:rPr>
          <w:lang w:val="fr-FR"/>
        </w:rPr>
        <w:t xml:space="preserve">’obligation de garantie s’étend effectivement au-delà des </w:t>
      </w:r>
      <w:r w:rsidR="00DD7777" w:rsidRPr="00545FAE">
        <w:rPr>
          <w:lang w:val="fr-FR"/>
        </w:rPr>
        <w:t xml:space="preserve">relations </w:t>
      </w:r>
      <w:r w:rsidR="0062003C" w:rsidRPr="00545FAE">
        <w:rPr>
          <w:lang w:val="fr-FR"/>
        </w:rPr>
        <w:t xml:space="preserve">entre les agents de l’État et les personnes soumises à leur </w:t>
      </w:r>
      <w:r w:rsidR="00BB71D6" w:rsidRPr="00545FAE">
        <w:rPr>
          <w:lang w:val="fr-FR"/>
        </w:rPr>
        <w:t>juridiction</w:t>
      </w:r>
      <w:r w:rsidR="0062003C" w:rsidRPr="00545FAE">
        <w:rPr>
          <w:lang w:val="fr-FR"/>
        </w:rPr>
        <w:t xml:space="preserve"> et « comprend en outre </w:t>
      </w:r>
      <w:r w:rsidR="005C0460" w:rsidRPr="00545FAE">
        <w:rPr>
          <w:lang w:val="fr-FR"/>
        </w:rPr>
        <w:t>l’obligation</w:t>
      </w:r>
      <w:r w:rsidR="0062003C" w:rsidRPr="00545FAE">
        <w:rPr>
          <w:lang w:val="fr-FR"/>
        </w:rPr>
        <w:t xml:space="preserve"> de prévenir</w:t>
      </w:r>
      <w:r w:rsidR="004037C7" w:rsidRPr="00545FAE">
        <w:rPr>
          <w:lang w:val="fr-FR"/>
        </w:rPr>
        <w:t>,</w:t>
      </w:r>
      <w:r w:rsidR="0062003C" w:rsidRPr="00545FAE">
        <w:rPr>
          <w:lang w:val="fr-FR"/>
        </w:rPr>
        <w:t xml:space="preserve"> </w:t>
      </w:r>
      <w:r w:rsidR="00B07FAC" w:rsidRPr="00545FAE">
        <w:rPr>
          <w:lang w:val="fr-FR"/>
        </w:rPr>
        <w:t>dans la sphère privée</w:t>
      </w:r>
      <w:r w:rsidR="004037C7" w:rsidRPr="00545FAE">
        <w:rPr>
          <w:lang w:val="fr-FR"/>
        </w:rPr>
        <w:t>,</w:t>
      </w:r>
      <w:r w:rsidR="00B07FAC" w:rsidRPr="00545FAE">
        <w:rPr>
          <w:lang w:val="fr-FR"/>
        </w:rPr>
        <w:t xml:space="preserve"> </w:t>
      </w:r>
      <w:r w:rsidR="0062003C" w:rsidRPr="00545FAE">
        <w:rPr>
          <w:lang w:val="fr-FR"/>
        </w:rPr>
        <w:t xml:space="preserve">toute atteinte, par des tiers, </w:t>
      </w:r>
      <w:r w:rsidR="004037C7" w:rsidRPr="00545FAE">
        <w:rPr>
          <w:lang w:val="fr-FR"/>
        </w:rPr>
        <w:t>aux</w:t>
      </w:r>
      <w:r w:rsidR="0062003C" w:rsidRPr="00545FAE">
        <w:rPr>
          <w:lang w:val="fr-FR"/>
        </w:rPr>
        <w:t xml:space="preserve"> biens juridiques protégés</w:t>
      </w:r>
      <w:r w:rsidR="00B07FAC" w:rsidRPr="00545FAE">
        <w:rPr>
          <w:lang w:val="fr-FR"/>
        </w:rPr>
        <w:t> »</w:t>
      </w:r>
      <w:r w:rsidR="00F51DC1" w:rsidRPr="00545FAE">
        <w:rPr>
          <w:bdr w:val="none" w:sz="0" w:space="0" w:color="auto"/>
          <w:vertAlign w:val="superscript"/>
          <w:lang w:val="fr-FR"/>
        </w:rPr>
        <w:footnoteReference w:id="34"/>
      </w:r>
      <w:r w:rsidR="00F51DC1" w:rsidRPr="00545FAE">
        <w:rPr>
          <w:bdr w:val="none" w:sz="0" w:space="0" w:color="auto"/>
          <w:lang w:val="fr-FR"/>
        </w:rPr>
        <w:t xml:space="preserve">. </w:t>
      </w:r>
    </w:p>
    <w:p w14:paraId="4CF72B94" w14:textId="77777777" w:rsidR="00D25C04" w:rsidRPr="00545FAE" w:rsidRDefault="00D25C04" w:rsidP="00C55B05">
      <w:pPr>
        <w:pStyle w:val="ListParagraph"/>
        <w:numPr>
          <w:ilvl w:val="0"/>
          <w:numId w:val="0"/>
        </w:numPr>
        <w:rPr>
          <w:lang w:val="fr-FR"/>
        </w:rPr>
      </w:pPr>
    </w:p>
    <w:p w14:paraId="414F9C91" w14:textId="77777777" w:rsidR="004C3C03" w:rsidRPr="00545FAE" w:rsidRDefault="00DD7777" w:rsidP="00C55B05">
      <w:pPr>
        <w:pStyle w:val="ListParagraph"/>
        <w:rPr>
          <w:lang w:val="fr-FR"/>
        </w:rPr>
      </w:pPr>
      <w:r w:rsidRPr="00545FAE">
        <w:rPr>
          <w:bdr w:val="none" w:sz="0" w:space="0" w:color="auto"/>
          <w:lang w:val="fr-FR"/>
        </w:rPr>
        <w:t xml:space="preserve">Néanmoins, comme l’a indiqué la jurisprudence constante de la Cour, un État ne peut être tenu </w:t>
      </w:r>
      <w:r w:rsidR="00FA6FBD" w:rsidRPr="00545FAE">
        <w:rPr>
          <w:bdr w:val="none" w:sz="0" w:space="0" w:color="auto"/>
          <w:lang w:val="fr-FR"/>
        </w:rPr>
        <w:t xml:space="preserve">responsable </w:t>
      </w:r>
      <w:r w:rsidRPr="00545FAE">
        <w:rPr>
          <w:bdr w:val="none" w:sz="0" w:space="0" w:color="auto"/>
          <w:lang w:val="fr-FR"/>
        </w:rPr>
        <w:t>de toutes les violations de droits humains commises entre particuliers au sein de sa juridiction</w:t>
      </w:r>
      <w:r w:rsidR="001D098F" w:rsidRPr="00545FAE">
        <w:rPr>
          <w:rStyle w:val="FootnoteReference"/>
          <w:lang w:val="fr-FR"/>
        </w:rPr>
        <w:footnoteReference w:id="35"/>
      </w:r>
      <w:r w:rsidRPr="00545FAE">
        <w:rPr>
          <w:lang w:val="fr-FR"/>
        </w:rPr>
        <w:t xml:space="preserve"> puisque « ses </w:t>
      </w:r>
      <w:r w:rsidR="005C0460" w:rsidRPr="00545FAE">
        <w:rPr>
          <w:lang w:val="fr-FR"/>
        </w:rPr>
        <w:t>obligation</w:t>
      </w:r>
      <w:r w:rsidRPr="00545FAE">
        <w:rPr>
          <w:lang w:val="fr-FR"/>
        </w:rPr>
        <w:t>s d’adopter des mesures de prévention et de protection des particuliers dans leurs relations mutuelles sont conditionné</w:t>
      </w:r>
      <w:r w:rsidR="00FA6FBD" w:rsidRPr="00545FAE">
        <w:rPr>
          <w:lang w:val="fr-FR"/>
        </w:rPr>
        <w:t>e</w:t>
      </w:r>
      <w:r w:rsidRPr="00545FAE">
        <w:rPr>
          <w:lang w:val="fr-FR"/>
        </w:rPr>
        <w:t xml:space="preserve">s par le fait d’avoir connaissance d’une situation de risque réel et immédiat pour un individu </w:t>
      </w:r>
      <w:r w:rsidR="00FA6FBD" w:rsidRPr="00545FAE">
        <w:rPr>
          <w:lang w:val="fr-FR"/>
        </w:rPr>
        <w:t xml:space="preserve">précis </w:t>
      </w:r>
      <w:r w:rsidR="00F51DC1" w:rsidRPr="00545FAE">
        <w:rPr>
          <w:lang w:val="fr-FR"/>
        </w:rPr>
        <w:t xml:space="preserve">[…] </w:t>
      </w:r>
      <w:r w:rsidRPr="00545FAE">
        <w:rPr>
          <w:lang w:val="fr-FR"/>
        </w:rPr>
        <w:t>et les possibilités raisonnables de prévenir ou d’éviter ce risque »</w:t>
      </w:r>
      <w:r w:rsidR="00F51DC1" w:rsidRPr="00545FAE">
        <w:rPr>
          <w:vertAlign w:val="superscript"/>
          <w:lang w:val="fr-FR"/>
        </w:rPr>
        <w:footnoteReference w:id="36"/>
      </w:r>
      <w:r w:rsidR="00F51DC1" w:rsidRPr="00545FAE">
        <w:rPr>
          <w:lang w:val="fr-FR"/>
        </w:rPr>
        <w:t xml:space="preserve">. </w:t>
      </w:r>
      <w:r w:rsidRPr="00545FAE">
        <w:rPr>
          <w:lang w:val="fr-FR"/>
        </w:rPr>
        <w:t>En particulie</w:t>
      </w:r>
      <w:r w:rsidR="00D25C04" w:rsidRPr="00545FAE">
        <w:rPr>
          <w:lang w:val="fr-FR"/>
        </w:rPr>
        <w:t xml:space="preserve">r, </w:t>
      </w:r>
    </w:p>
    <w:p w14:paraId="26362B50" w14:textId="77777777" w:rsidR="004C3C03" w:rsidRPr="00545FAE" w:rsidRDefault="004C3C03" w:rsidP="00B5500A">
      <w:pPr>
        <w:pStyle w:val="ListParagraph"/>
        <w:numPr>
          <w:ilvl w:val="0"/>
          <w:numId w:val="0"/>
        </w:numPr>
        <w:rPr>
          <w:lang w:val="fr-FR"/>
        </w:rPr>
      </w:pPr>
    </w:p>
    <w:p w14:paraId="07285E3A" w14:textId="77777777" w:rsidR="00377700" w:rsidRPr="00545FAE" w:rsidRDefault="00DD7777" w:rsidP="00C55B05">
      <w:pPr>
        <w:pStyle w:val="Quote"/>
        <w:rPr>
          <w:lang w:val="fr-FR"/>
        </w:rPr>
      </w:pPr>
      <w:r w:rsidRPr="00545FAE">
        <w:rPr>
          <w:rFonts w:eastAsia="Cambria"/>
          <w:iCs w:val="0"/>
          <w:u w:color="000000"/>
          <w:bdr w:val="nil"/>
          <w:lang w:val="fr-FR"/>
        </w:rPr>
        <w:t>a</w:t>
      </w:r>
      <w:r w:rsidR="00D25C04" w:rsidRPr="00545FAE">
        <w:rPr>
          <w:rFonts w:eastAsia="Cambria"/>
          <w:iCs w:val="0"/>
          <w:u w:color="000000"/>
          <w:bdr w:val="nil"/>
          <w:lang w:val="fr-FR"/>
        </w:rPr>
        <w:t>fin d</w:t>
      </w:r>
      <w:r w:rsidRPr="00545FAE">
        <w:rPr>
          <w:rFonts w:eastAsia="Cambria"/>
          <w:iCs w:val="0"/>
          <w:u w:color="000000"/>
          <w:bdr w:val="nil"/>
          <w:lang w:val="fr-FR"/>
        </w:rPr>
        <w:t xml:space="preserve">’établir un manquement </w:t>
      </w:r>
      <w:r w:rsidR="005C0460" w:rsidRPr="00545FAE">
        <w:rPr>
          <w:rFonts w:eastAsia="Cambria"/>
          <w:iCs w:val="0"/>
          <w:u w:color="000000"/>
          <w:bdr w:val="nil"/>
          <w:lang w:val="fr-FR"/>
        </w:rPr>
        <w:t>à l’obligation</w:t>
      </w:r>
      <w:r w:rsidRPr="00545FAE">
        <w:rPr>
          <w:rFonts w:eastAsia="Cambria"/>
          <w:iCs w:val="0"/>
          <w:u w:color="000000"/>
          <w:bdr w:val="nil"/>
          <w:lang w:val="fr-FR"/>
        </w:rPr>
        <w:t xml:space="preserve"> de prévenir les violations des droits à la vie et à l’intégrité de la personne, il est </w:t>
      </w:r>
      <w:r w:rsidR="00BA0441" w:rsidRPr="00545FAE">
        <w:rPr>
          <w:rFonts w:eastAsia="Cambria"/>
          <w:iCs w:val="0"/>
          <w:u w:color="000000"/>
          <w:bdr w:val="nil"/>
          <w:lang w:val="fr-FR"/>
        </w:rPr>
        <w:t>impératif</w:t>
      </w:r>
      <w:r w:rsidRPr="00545FAE">
        <w:rPr>
          <w:rFonts w:eastAsia="Cambria"/>
          <w:iCs w:val="0"/>
          <w:u w:color="000000"/>
          <w:bdr w:val="nil"/>
          <w:lang w:val="fr-FR"/>
        </w:rPr>
        <w:t xml:space="preserve"> de vérifier que </w:t>
      </w:r>
      <w:r w:rsidR="0094770D" w:rsidRPr="00545FAE">
        <w:rPr>
          <w:rFonts w:eastAsia="Cambria"/>
          <w:iCs w:val="0"/>
          <w:u w:color="000000"/>
          <w:bdr w:val="nil"/>
          <w:lang w:val="fr-FR"/>
        </w:rPr>
        <w:t>: i) le</w:t>
      </w:r>
      <w:r w:rsidR="00D25C04" w:rsidRPr="00545FAE">
        <w:rPr>
          <w:rFonts w:eastAsia="Cambria"/>
          <w:iCs w:val="0"/>
          <w:u w:color="000000"/>
          <w:bdr w:val="nil"/>
          <w:lang w:val="fr-FR"/>
        </w:rPr>
        <w:t>s autori</w:t>
      </w:r>
      <w:r w:rsidR="0094770D" w:rsidRPr="00545FAE">
        <w:rPr>
          <w:rFonts w:eastAsia="Cambria"/>
          <w:iCs w:val="0"/>
          <w:u w:color="000000"/>
          <w:bdr w:val="nil"/>
          <w:lang w:val="fr-FR"/>
        </w:rPr>
        <w:t xml:space="preserve">tés étatiques connaissaient, ou auraient dû connaître, l’existence d’un risque réel et imminent pour la vie et/ou l’intégrité de la personne d’un individu ou d’un groupe d’individus précis, et que </w:t>
      </w:r>
      <w:r w:rsidR="00D25C04" w:rsidRPr="00545FAE">
        <w:rPr>
          <w:rFonts w:eastAsia="Cambria"/>
          <w:iCs w:val="0"/>
          <w:u w:color="000000"/>
          <w:bdr w:val="nil"/>
          <w:lang w:val="fr-FR"/>
        </w:rPr>
        <w:t xml:space="preserve">ii) </w:t>
      </w:r>
      <w:r w:rsidR="0094770D" w:rsidRPr="00545FAE">
        <w:rPr>
          <w:rFonts w:eastAsia="Cambria"/>
          <w:iCs w:val="0"/>
          <w:u w:color="000000"/>
          <w:bdr w:val="nil"/>
          <w:lang w:val="fr-FR"/>
        </w:rPr>
        <w:t xml:space="preserve">ces autorités n’ont pas </w:t>
      </w:r>
      <w:r w:rsidR="00A769B7" w:rsidRPr="00545FAE">
        <w:rPr>
          <w:rFonts w:eastAsia="Cambria"/>
          <w:iCs w:val="0"/>
          <w:u w:color="000000"/>
          <w:bdr w:val="nil"/>
          <w:lang w:val="fr-FR"/>
        </w:rPr>
        <w:t xml:space="preserve">adopté </w:t>
      </w:r>
      <w:r w:rsidR="0094770D" w:rsidRPr="00545FAE">
        <w:rPr>
          <w:rFonts w:eastAsia="Cambria"/>
          <w:iCs w:val="0"/>
          <w:u w:color="000000"/>
          <w:bdr w:val="nil"/>
          <w:lang w:val="fr-FR"/>
        </w:rPr>
        <w:t xml:space="preserve">dans </w:t>
      </w:r>
      <w:r w:rsidR="00A769B7" w:rsidRPr="00545FAE">
        <w:rPr>
          <w:rFonts w:eastAsia="Cambria"/>
          <w:iCs w:val="0"/>
          <w:u w:color="000000"/>
          <w:bdr w:val="nil"/>
          <w:lang w:val="fr-FR"/>
        </w:rPr>
        <w:t xml:space="preserve">le cadre de leurs attributions les mesures nécessaires </w:t>
      </w:r>
      <w:r w:rsidR="0094770D" w:rsidRPr="00545FAE">
        <w:rPr>
          <w:rFonts w:eastAsia="Cambria"/>
          <w:iCs w:val="0"/>
          <w:u w:color="000000"/>
          <w:bdr w:val="nil"/>
          <w:lang w:val="fr-FR"/>
        </w:rPr>
        <w:t xml:space="preserve">qui, jugées raisonnablement, </w:t>
      </w:r>
      <w:r w:rsidR="00A769B7" w:rsidRPr="00545FAE">
        <w:rPr>
          <w:rFonts w:eastAsia="Cambria"/>
          <w:iCs w:val="0"/>
          <w:u w:color="000000"/>
          <w:bdr w:val="nil"/>
          <w:lang w:val="fr-FR"/>
        </w:rPr>
        <w:t>pouvaient être mises en place pour</w:t>
      </w:r>
      <w:r w:rsidR="0094770D" w:rsidRPr="00545FAE">
        <w:rPr>
          <w:rFonts w:eastAsia="Cambria"/>
          <w:iCs w:val="0"/>
          <w:u w:color="000000"/>
          <w:bdr w:val="nil"/>
          <w:lang w:val="fr-FR"/>
        </w:rPr>
        <w:t xml:space="preserve"> prévenir ou éviter ce risque</w:t>
      </w:r>
      <w:r w:rsidR="00623729" w:rsidRPr="00545FAE">
        <w:rPr>
          <w:rStyle w:val="FootnoteReference"/>
          <w:rFonts w:eastAsia="Cambria"/>
          <w:u w:color="000000"/>
          <w:bdr w:val="nil"/>
          <w:lang w:val="fr-FR"/>
        </w:rPr>
        <w:footnoteReference w:id="37"/>
      </w:r>
      <w:r w:rsidR="00D25C04" w:rsidRPr="00545FAE">
        <w:rPr>
          <w:lang w:val="fr-FR"/>
        </w:rPr>
        <w:t>.</w:t>
      </w:r>
    </w:p>
    <w:p w14:paraId="32B39975" w14:textId="77777777" w:rsidR="004C3C03" w:rsidRPr="00545FAE" w:rsidRDefault="004C3C03" w:rsidP="00C55B05">
      <w:pPr>
        <w:rPr>
          <w:lang w:val="fr-FR"/>
        </w:rPr>
      </w:pPr>
    </w:p>
    <w:p w14:paraId="2F12F4CC" w14:textId="77777777" w:rsidR="00687B20" w:rsidRPr="00545FAE" w:rsidRDefault="00BA0441" w:rsidP="00C55B05">
      <w:pPr>
        <w:pStyle w:val="ListParagraph"/>
        <w:rPr>
          <w:lang w:val="fr-FR"/>
        </w:rPr>
      </w:pPr>
      <w:r w:rsidRPr="00545FAE">
        <w:rPr>
          <w:lang w:val="fr-FR"/>
        </w:rPr>
        <w:t xml:space="preserve">En outre, l’État peut s’acquitter </w:t>
      </w:r>
      <w:r w:rsidR="005C0460" w:rsidRPr="00545FAE">
        <w:rPr>
          <w:lang w:val="fr-FR"/>
        </w:rPr>
        <w:t>de l’obligation</w:t>
      </w:r>
      <w:r w:rsidRPr="00545FAE">
        <w:rPr>
          <w:lang w:val="fr-FR"/>
        </w:rPr>
        <w:t xml:space="preserve"> de garantie de différentes manières « en fonction du droit spécifique qu’il est tenu de garantir et des besoins particuliers de protection », </w:t>
      </w:r>
      <w:r w:rsidR="005C0460" w:rsidRPr="00545FAE">
        <w:rPr>
          <w:lang w:val="fr-FR"/>
        </w:rPr>
        <w:t>obligation</w:t>
      </w:r>
      <w:r w:rsidR="00D40055" w:rsidRPr="00545FAE">
        <w:rPr>
          <w:lang w:val="fr-FR"/>
        </w:rPr>
        <w:t xml:space="preserve"> </w:t>
      </w:r>
      <w:r w:rsidR="005C0460" w:rsidRPr="00545FAE">
        <w:rPr>
          <w:lang w:val="fr-FR"/>
        </w:rPr>
        <w:t>pour la</w:t>
      </w:r>
      <w:r w:rsidRPr="00545FAE">
        <w:rPr>
          <w:lang w:val="fr-FR"/>
        </w:rPr>
        <w:t>quel</w:t>
      </w:r>
      <w:r w:rsidR="005C0460" w:rsidRPr="00545FAE">
        <w:rPr>
          <w:lang w:val="fr-FR"/>
        </w:rPr>
        <w:t>le</w:t>
      </w:r>
      <w:r w:rsidRPr="00545FAE">
        <w:rPr>
          <w:lang w:val="fr-FR"/>
        </w:rPr>
        <w:t xml:space="preserve"> </w:t>
      </w:r>
      <w:r w:rsidR="001656E4" w:rsidRPr="00545FAE">
        <w:rPr>
          <w:lang w:val="fr-FR"/>
        </w:rPr>
        <w:t xml:space="preserve">il a </w:t>
      </w:r>
      <w:r w:rsidR="005C0460" w:rsidRPr="00545FAE">
        <w:rPr>
          <w:lang w:val="fr-FR"/>
        </w:rPr>
        <w:t>le devoir</w:t>
      </w:r>
      <w:r w:rsidR="001656E4" w:rsidRPr="00545FAE">
        <w:rPr>
          <w:lang w:val="fr-FR"/>
        </w:rPr>
        <w:t xml:space="preserve"> d’organiser l’appareil étatique </w:t>
      </w:r>
      <w:r w:rsidR="00FB02C9" w:rsidRPr="00545FAE">
        <w:rPr>
          <w:lang w:val="fr-FR"/>
        </w:rPr>
        <w:t xml:space="preserve">de manière à </w:t>
      </w:r>
      <w:r w:rsidR="001656E4" w:rsidRPr="00545FAE">
        <w:rPr>
          <w:lang w:val="fr-FR"/>
        </w:rPr>
        <w:t>« assurer</w:t>
      </w:r>
      <w:r w:rsidR="00D40055" w:rsidRPr="00545FAE">
        <w:rPr>
          <w:lang w:val="fr-FR"/>
        </w:rPr>
        <w:t> sur le plan juridique</w:t>
      </w:r>
      <w:r w:rsidR="001656E4" w:rsidRPr="00545FAE">
        <w:rPr>
          <w:lang w:val="fr-FR"/>
        </w:rPr>
        <w:t xml:space="preserve"> le libre et pl</w:t>
      </w:r>
      <w:r w:rsidR="00D40055" w:rsidRPr="00545FAE">
        <w:rPr>
          <w:lang w:val="fr-FR"/>
        </w:rPr>
        <w:t>ein exercice des droits humains </w:t>
      </w:r>
      <w:r w:rsidR="001656E4" w:rsidRPr="00545FAE">
        <w:rPr>
          <w:lang w:val="fr-FR"/>
        </w:rPr>
        <w:t>»</w:t>
      </w:r>
      <w:r w:rsidR="00462C0F" w:rsidRPr="00545FAE">
        <w:rPr>
          <w:rStyle w:val="FootnoteReference"/>
          <w:lang w:val="fr-FR"/>
        </w:rPr>
        <w:footnoteReference w:id="38"/>
      </w:r>
      <w:r w:rsidR="00462C0F" w:rsidRPr="00545FAE">
        <w:rPr>
          <w:lang w:val="fr-FR"/>
        </w:rPr>
        <w:t xml:space="preserve">. </w:t>
      </w:r>
    </w:p>
    <w:p w14:paraId="0546010B" w14:textId="77777777" w:rsidR="00687B20" w:rsidRPr="00545FAE" w:rsidRDefault="00687B20" w:rsidP="00687B20">
      <w:pPr>
        <w:pStyle w:val="ListParagraph"/>
        <w:numPr>
          <w:ilvl w:val="0"/>
          <w:numId w:val="0"/>
        </w:numPr>
        <w:rPr>
          <w:lang w:val="fr-FR"/>
        </w:rPr>
      </w:pPr>
    </w:p>
    <w:p w14:paraId="69A2A8AF" w14:textId="77777777" w:rsidR="009B4D16" w:rsidRPr="00545FAE" w:rsidRDefault="005E58CF" w:rsidP="00C55B05">
      <w:pPr>
        <w:pStyle w:val="ListParagraph"/>
        <w:rPr>
          <w:lang w:val="fr-FR"/>
        </w:rPr>
      </w:pPr>
      <w:r w:rsidRPr="00545FAE">
        <w:rPr>
          <w:lang w:val="fr-FR"/>
        </w:rPr>
        <w:t>P</w:t>
      </w:r>
      <w:r w:rsidR="008C7D5D" w:rsidRPr="00545FAE">
        <w:rPr>
          <w:lang w:val="fr-FR"/>
        </w:rPr>
        <w:t xml:space="preserve">ar ailleurs, comme l’a expressément établi la Cour, il </w:t>
      </w:r>
      <w:r w:rsidR="00C37478" w:rsidRPr="00545FAE">
        <w:rPr>
          <w:lang w:val="fr-FR"/>
        </w:rPr>
        <w:t xml:space="preserve">ne convient </w:t>
      </w:r>
      <w:r w:rsidR="00464493" w:rsidRPr="00545FAE">
        <w:rPr>
          <w:lang w:val="fr-FR"/>
        </w:rPr>
        <w:t xml:space="preserve">pas </w:t>
      </w:r>
      <w:r w:rsidR="00C37478" w:rsidRPr="00545FAE">
        <w:rPr>
          <w:lang w:val="fr-FR"/>
        </w:rPr>
        <w:t>d’exiger de la personne concernée « de connaître avec exactitude quelle est l’autorité la plus à même de traiter son cas puisqu’il appartient à l’État d’établir des mesures de coordination entre ses entités et ses fonctionnaires à cette fin »</w:t>
      </w:r>
      <w:r w:rsidR="00687B20" w:rsidRPr="00545FAE">
        <w:rPr>
          <w:vertAlign w:val="superscript"/>
          <w:lang w:val="fr-FR"/>
        </w:rPr>
        <w:footnoteReference w:id="39"/>
      </w:r>
      <w:r w:rsidR="009B4D16" w:rsidRPr="00545FAE">
        <w:rPr>
          <w:lang w:val="fr-FR"/>
        </w:rPr>
        <w:t xml:space="preserve">. </w:t>
      </w:r>
      <w:r w:rsidR="008C7D5D" w:rsidRPr="00545FAE">
        <w:rPr>
          <w:lang w:val="fr-FR"/>
        </w:rPr>
        <w:t xml:space="preserve">De même, « il incombe aux autorités étatiques </w:t>
      </w:r>
      <w:r w:rsidR="007E3E78" w:rsidRPr="00545FAE">
        <w:rPr>
          <w:lang w:val="fr-FR"/>
        </w:rPr>
        <w:t>d’avoir</w:t>
      </w:r>
      <w:r w:rsidR="008C7D5D" w:rsidRPr="00545FAE">
        <w:rPr>
          <w:lang w:val="fr-FR"/>
        </w:rPr>
        <w:t xml:space="preserve"> connaissance d</w:t>
      </w:r>
      <w:r w:rsidR="00660F94" w:rsidRPr="00545FAE">
        <w:rPr>
          <w:lang w:val="fr-FR"/>
        </w:rPr>
        <w:t>e la</w:t>
      </w:r>
      <w:r w:rsidR="008C7D5D" w:rsidRPr="00545FAE">
        <w:rPr>
          <w:lang w:val="fr-FR"/>
        </w:rPr>
        <w:t xml:space="preserve"> situation de risque spéciale, d’identifier ou d’estimer si </w:t>
      </w:r>
      <w:r w:rsidR="00660F94" w:rsidRPr="00545FAE">
        <w:rPr>
          <w:lang w:val="fr-FR"/>
        </w:rPr>
        <w:t>la</w:t>
      </w:r>
      <w:r w:rsidR="008C7D5D" w:rsidRPr="00545FAE">
        <w:rPr>
          <w:lang w:val="fr-FR"/>
        </w:rPr>
        <w:t xml:space="preserve"> personne faisant l’objet de menaces et </w:t>
      </w:r>
      <w:r w:rsidR="004C109B" w:rsidRPr="00545FAE">
        <w:rPr>
          <w:lang w:val="fr-FR"/>
        </w:rPr>
        <w:t>d’intimidations</w:t>
      </w:r>
      <w:r w:rsidR="008C7D5D" w:rsidRPr="00545FAE">
        <w:rPr>
          <w:lang w:val="fr-FR"/>
        </w:rPr>
        <w:t xml:space="preserve"> nécessite des mesures de protection </w:t>
      </w:r>
      <w:r w:rsidR="00660F94" w:rsidRPr="00545FAE">
        <w:rPr>
          <w:lang w:val="fr-FR"/>
        </w:rPr>
        <w:t xml:space="preserve">ou de charger l’autorité compétente de le faire ainsi que de fournir à la personne en situation de risque </w:t>
      </w:r>
      <w:r w:rsidR="00642410" w:rsidRPr="00545FAE">
        <w:rPr>
          <w:lang w:val="fr-FR"/>
        </w:rPr>
        <w:t>d</w:t>
      </w:r>
      <w:r w:rsidR="00660F94" w:rsidRPr="00545FAE">
        <w:rPr>
          <w:lang w:val="fr-FR"/>
        </w:rPr>
        <w:t xml:space="preserve">es informations </w:t>
      </w:r>
      <w:r w:rsidR="00642410" w:rsidRPr="00545FAE">
        <w:rPr>
          <w:lang w:val="fr-FR"/>
        </w:rPr>
        <w:t>opportunes sur les mesures disponibles</w:t>
      </w:r>
      <w:r w:rsidR="009B4D16" w:rsidRPr="00545FAE">
        <w:rPr>
          <w:rStyle w:val="FootnoteReference"/>
          <w:lang w:val="fr-FR"/>
        </w:rPr>
        <w:footnoteReference w:id="40"/>
      </w:r>
      <w:r w:rsidR="009B4D16" w:rsidRPr="00545FAE">
        <w:rPr>
          <w:lang w:val="fr-FR"/>
        </w:rPr>
        <w:t xml:space="preserve">. </w:t>
      </w:r>
    </w:p>
    <w:p w14:paraId="202E296D" w14:textId="77777777" w:rsidR="009C09CA" w:rsidRPr="00545FAE" w:rsidRDefault="009C09CA" w:rsidP="009C09CA">
      <w:pPr>
        <w:pStyle w:val="ListParagraph"/>
        <w:numPr>
          <w:ilvl w:val="0"/>
          <w:numId w:val="0"/>
        </w:numPr>
        <w:rPr>
          <w:lang w:val="fr-FR"/>
        </w:rPr>
      </w:pPr>
    </w:p>
    <w:p w14:paraId="25F80AFF" w14:textId="77777777" w:rsidR="009C09CA" w:rsidRPr="00545FAE" w:rsidRDefault="00642410" w:rsidP="00C55B05">
      <w:pPr>
        <w:pStyle w:val="ListParagraph"/>
        <w:rPr>
          <w:lang w:val="fr-FR"/>
        </w:rPr>
      </w:pPr>
      <w:r w:rsidRPr="00545FAE">
        <w:rPr>
          <w:lang w:val="fr-FR"/>
        </w:rPr>
        <w:t>De plus</w:t>
      </w:r>
      <w:r w:rsidR="009C09CA" w:rsidRPr="00545FAE">
        <w:rPr>
          <w:lang w:val="fr-FR"/>
        </w:rPr>
        <w:t xml:space="preserve">, </w:t>
      </w:r>
      <w:r w:rsidRPr="00545FAE">
        <w:rPr>
          <w:bdr w:val="none" w:sz="0" w:space="0" w:color="auto"/>
          <w:lang w:val="fr-FR"/>
        </w:rPr>
        <w:t>comme l’a indiqué la jurisprudence constante de la Cour</w:t>
      </w:r>
      <w:r w:rsidR="009C09CA" w:rsidRPr="00545FAE">
        <w:rPr>
          <w:lang w:val="fr-FR"/>
        </w:rPr>
        <w:t>, l</w:t>
      </w:r>
      <w:r w:rsidR="00F17A2B" w:rsidRPr="00545FAE">
        <w:rPr>
          <w:lang w:val="fr-FR"/>
        </w:rPr>
        <w:t>es enfants détiennent un droit supplémentaire et complémentaire</w:t>
      </w:r>
      <w:r w:rsidR="00783656" w:rsidRPr="00545FAE">
        <w:rPr>
          <w:lang w:val="fr-FR"/>
        </w:rPr>
        <w:t>,</w:t>
      </w:r>
      <w:r w:rsidR="00F17A2B" w:rsidRPr="00545FAE">
        <w:rPr>
          <w:lang w:val="fr-FR"/>
        </w:rPr>
        <w:t xml:space="preserve"> « que le traité établit en faveur des êtres humains qui nécessitent, pour </w:t>
      </w:r>
      <w:r w:rsidR="00F17A2B" w:rsidRPr="00545FAE">
        <w:rPr>
          <w:lang w:val="fr-FR"/>
        </w:rPr>
        <w:lastRenderedPageBreak/>
        <w:t>leur développement physique et émotionnel, des mesures de protection spéciales »</w:t>
      </w:r>
      <w:r w:rsidR="009C09CA" w:rsidRPr="00545FAE">
        <w:rPr>
          <w:vertAlign w:val="superscript"/>
          <w:lang w:val="fr-FR"/>
        </w:rPr>
        <w:footnoteReference w:id="41"/>
      </w:r>
      <w:r w:rsidR="009C09CA" w:rsidRPr="00545FAE">
        <w:rPr>
          <w:lang w:val="fr-FR"/>
        </w:rPr>
        <w:t xml:space="preserve">. </w:t>
      </w:r>
      <w:r w:rsidR="00783656" w:rsidRPr="00545FAE">
        <w:rPr>
          <w:lang w:val="fr-FR"/>
        </w:rPr>
        <w:t>L</w:t>
      </w:r>
      <w:r w:rsidR="006B7759" w:rsidRPr="00545FAE">
        <w:rPr>
          <w:lang w:val="fr-FR"/>
        </w:rPr>
        <w:t xml:space="preserve">es enfants </w:t>
      </w:r>
      <w:r w:rsidR="005F3C51" w:rsidRPr="00545FAE">
        <w:rPr>
          <w:lang w:val="fr-FR"/>
        </w:rPr>
        <w:t xml:space="preserve">sont </w:t>
      </w:r>
      <w:r w:rsidR="00783656" w:rsidRPr="00545FAE">
        <w:rPr>
          <w:lang w:val="fr-FR"/>
        </w:rPr>
        <w:t xml:space="preserve">donc </w:t>
      </w:r>
      <w:r w:rsidR="005F3C51" w:rsidRPr="00545FAE">
        <w:rPr>
          <w:lang w:val="fr-FR"/>
        </w:rPr>
        <w:t>détenteurs des droits humains qui reviennent naturellement à toutes les personnes ainsi que des droits spéciaux découlant de leur condition</w:t>
      </w:r>
      <w:r w:rsidR="009C09CA" w:rsidRPr="00545FAE">
        <w:rPr>
          <w:vertAlign w:val="superscript"/>
          <w:lang w:val="fr-FR"/>
        </w:rPr>
        <w:footnoteReference w:id="42"/>
      </w:r>
      <w:r w:rsidR="009C09CA" w:rsidRPr="00545FAE">
        <w:rPr>
          <w:lang w:val="fr-FR"/>
        </w:rPr>
        <w:t xml:space="preserve">, </w:t>
      </w:r>
      <w:r w:rsidR="005F3C51" w:rsidRPr="00545FAE">
        <w:rPr>
          <w:lang w:val="fr-FR"/>
        </w:rPr>
        <w:t>compte tenu de leur situation particulière de vulnérabilité</w:t>
      </w:r>
      <w:r w:rsidR="009C09CA" w:rsidRPr="00545FAE">
        <w:rPr>
          <w:vertAlign w:val="superscript"/>
          <w:lang w:val="fr-FR"/>
        </w:rPr>
        <w:footnoteReference w:id="43"/>
      </w:r>
      <w:r w:rsidR="009C09CA" w:rsidRPr="00545FAE">
        <w:rPr>
          <w:lang w:val="fr-FR"/>
        </w:rPr>
        <w:t xml:space="preserve">. </w:t>
      </w:r>
      <w:r w:rsidR="005F3C51" w:rsidRPr="00545FAE">
        <w:rPr>
          <w:lang w:val="fr-FR"/>
        </w:rPr>
        <w:t>Afin de protéger ces droits, il est nécessaire d’adopter des mesures de protection spéciales</w:t>
      </w:r>
      <w:r w:rsidR="009C09CA" w:rsidRPr="00545FAE">
        <w:rPr>
          <w:vertAlign w:val="superscript"/>
          <w:lang w:val="fr-FR"/>
        </w:rPr>
        <w:footnoteReference w:id="44"/>
      </w:r>
      <w:r w:rsidR="009C09CA" w:rsidRPr="00545FAE">
        <w:rPr>
          <w:lang w:val="fr-FR"/>
        </w:rPr>
        <w:t xml:space="preserve">, </w:t>
      </w:r>
      <w:r w:rsidR="005F3C51" w:rsidRPr="00545FAE">
        <w:rPr>
          <w:lang w:val="fr-FR"/>
        </w:rPr>
        <w:t>basées sur l’intérêt supérieu</w:t>
      </w:r>
      <w:r w:rsidR="009C09CA" w:rsidRPr="00545FAE">
        <w:rPr>
          <w:lang w:val="fr-FR"/>
        </w:rPr>
        <w:t xml:space="preserve">r </w:t>
      </w:r>
      <w:r w:rsidR="005F3C51" w:rsidRPr="00545FAE">
        <w:rPr>
          <w:lang w:val="fr-FR"/>
        </w:rPr>
        <w:t>des enfants</w:t>
      </w:r>
      <w:r w:rsidR="009C09CA" w:rsidRPr="00545FAE">
        <w:rPr>
          <w:vertAlign w:val="superscript"/>
          <w:lang w:val="fr-FR"/>
        </w:rPr>
        <w:footnoteReference w:id="45"/>
      </w:r>
      <w:r w:rsidR="009C09CA" w:rsidRPr="00545FAE">
        <w:rPr>
          <w:lang w:val="fr-FR"/>
        </w:rPr>
        <w:t>.</w:t>
      </w:r>
    </w:p>
    <w:p w14:paraId="37CAAEA8" w14:textId="77777777" w:rsidR="009B4D16" w:rsidRPr="00545FAE" w:rsidRDefault="009B4D16" w:rsidP="00687B20">
      <w:pPr>
        <w:pStyle w:val="ListParagraph"/>
        <w:numPr>
          <w:ilvl w:val="0"/>
          <w:numId w:val="0"/>
        </w:numPr>
        <w:rPr>
          <w:lang w:val="fr-FR"/>
        </w:rPr>
      </w:pPr>
    </w:p>
    <w:p w14:paraId="759B2A96" w14:textId="77777777" w:rsidR="00687B20" w:rsidRPr="00545FAE" w:rsidRDefault="00A926F6" w:rsidP="006C1AE7">
      <w:pPr>
        <w:pStyle w:val="Heading3"/>
        <w:numPr>
          <w:ilvl w:val="0"/>
          <w:numId w:val="0"/>
        </w:numPr>
        <w:ind w:left="720"/>
        <w:rPr>
          <w:lang w:val="fr-FR"/>
        </w:rPr>
      </w:pPr>
      <w:bookmarkStart w:id="14" w:name="_Toc33019288"/>
      <w:r w:rsidRPr="00545FAE">
        <w:rPr>
          <w:lang w:val="fr-FR"/>
        </w:rPr>
        <w:t>Analyse sur l’affaire</w:t>
      </w:r>
      <w:bookmarkEnd w:id="14"/>
    </w:p>
    <w:p w14:paraId="5CBDA83D" w14:textId="77777777" w:rsidR="00462C0F" w:rsidRPr="00545FAE" w:rsidRDefault="00462C0F" w:rsidP="00687B20">
      <w:pPr>
        <w:pStyle w:val="ListParagraph"/>
        <w:numPr>
          <w:ilvl w:val="0"/>
          <w:numId w:val="0"/>
        </w:numPr>
        <w:rPr>
          <w:rFonts w:asciiTheme="majorHAnsi" w:hAnsiTheme="majorHAnsi"/>
          <w:lang w:val="fr-FR"/>
        </w:rPr>
      </w:pPr>
    </w:p>
    <w:p w14:paraId="72EC0DCA" w14:textId="77777777" w:rsidR="00687B20" w:rsidRPr="00545FAE" w:rsidRDefault="00BA7D69" w:rsidP="00687B20">
      <w:pPr>
        <w:pStyle w:val="ListParagraph"/>
        <w:rPr>
          <w:lang w:val="fr-FR"/>
        </w:rPr>
      </w:pPr>
      <w:r w:rsidRPr="00545FAE">
        <w:rPr>
          <w:lang w:val="fr-FR"/>
        </w:rPr>
        <w:t>L</w:t>
      </w:r>
      <w:r w:rsidR="00D0752A" w:rsidRPr="00545FAE">
        <w:rPr>
          <w:lang w:val="fr-FR"/>
        </w:rPr>
        <w:t xml:space="preserve">a Commission examinera </w:t>
      </w:r>
      <w:r w:rsidRPr="00545FAE">
        <w:rPr>
          <w:lang w:val="fr-FR"/>
        </w:rPr>
        <w:t xml:space="preserve">ultérieurement </w:t>
      </w:r>
      <w:r w:rsidR="00D0752A" w:rsidRPr="00545FAE">
        <w:rPr>
          <w:lang w:val="fr-FR"/>
        </w:rPr>
        <w:t xml:space="preserve">si l’État s’est acquitté de son </w:t>
      </w:r>
      <w:r w:rsidR="004E38F6" w:rsidRPr="00545FAE">
        <w:rPr>
          <w:lang w:val="fr-FR"/>
        </w:rPr>
        <w:t>obligation</w:t>
      </w:r>
      <w:r w:rsidR="00D0752A" w:rsidRPr="00545FAE">
        <w:rPr>
          <w:lang w:val="fr-FR"/>
        </w:rPr>
        <w:t xml:space="preserve"> de protéger les droits à la vie et à l’intégrité de la personne de M. </w:t>
      </w:r>
      <w:r w:rsidR="005A72AE" w:rsidRPr="00545FAE">
        <w:rPr>
          <w:lang w:val="fr-FR"/>
        </w:rPr>
        <w:t xml:space="preserve">Baptiste Willer </w:t>
      </w:r>
      <w:r w:rsidR="00D0752A" w:rsidRPr="00545FAE">
        <w:rPr>
          <w:lang w:val="fr-FR"/>
        </w:rPr>
        <w:t>et de sa famille</w:t>
      </w:r>
      <w:r w:rsidR="005E58CF" w:rsidRPr="00545FAE">
        <w:rPr>
          <w:lang w:val="fr-FR"/>
        </w:rPr>
        <w:t>,</w:t>
      </w:r>
      <w:r w:rsidR="00687B20" w:rsidRPr="00545FAE">
        <w:rPr>
          <w:lang w:val="fr-FR"/>
        </w:rPr>
        <w:t xml:space="preserve"> </w:t>
      </w:r>
      <w:r w:rsidR="00D0752A" w:rsidRPr="00545FAE">
        <w:rPr>
          <w:lang w:val="fr-FR"/>
        </w:rPr>
        <w:t>conformément aux normes susmentionnées</w:t>
      </w:r>
      <w:r w:rsidR="00687B20" w:rsidRPr="00545FAE">
        <w:rPr>
          <w:lang w:val="fr-FR"/>
        </w:rPr>
        <w:t xml:space="preserve">. </w:t>
      </w:r>
    </w:p>
    <w:p w14:paraId="64D9F238" w14:textId="77777777" w:rsidR="008F1670" w:rsidRPr="00545FAE" w:rsidRDefault="008F1670" w:rsidP="008F1670">
      <w:pPr>
        <w:pStyle w:val="ListParagraph"/>
        <w:numPr>
          <w:ilvl w:val="0"/>
          <w:numId w:val="0"/>
        </w:numPr>
        <w:rPr>
          <w:rFonts w:asciiTheme="majorHAnsi" w:hAnsiTheme="majorHAnsi"/>
          <w:lang w:val="fr-FR"/>
        </w:rPr>
      </w:pPr>
    </w:p>
    <w:p w14:paraId="182E47A8" w14:textId="77777777" w:rsidR="00A31856" w:rsidRPr="00545FAE" w:rsidRDefault="00687B20" w:rsidP="00C55B05">
      <w:pPr>
        <w:pStyle w:val="ListParagraph"/>
        <w:rPr>
          <w:rFonts w:asciiTheme="majorHAnsi" w:hAnsiTheme="majorHAnsi"/>
          <w:szCs w:val="20"/>
          <w:lang w:val="fr-FR"/>
        </w:rPr>
      </w:pPr>
      <w:r w:rsidRPr="00545FAE">
        <w:rPr>
          <w:lang w:val="fr-FR"/>
        </w:rPr>
        <w:t xml:space="preserve">En </w:t>
      </w:r>
      <w:r w:rsidR="00185BA5" w:rsidRPr="00545FAE">
        <w:rPr>
          <w:lang w:val="fr-FR"/>
        </w:rPr>
        <w:t>ce qui concerne la connaissance de la situation de risque, la Commission souligne que, le 4 février </w:t>
      </w:r>
      <w:r w:rsidR="00DB48F8" w:rsidRPr="00545FAE">
        <w:rPr>
          <w:rFonts w:asciiTheme="majorHAnsi" w:hAnsiTheme="majorHAnsi"/>
          <w:szCs w:val="20"/>
          <w:lang w:val="fr-FR"/>
        </w:rPr>
        <w:t xml:space="preserve">2007, </w:t>
      </w:r>
      <w:r w:rsidR="00185BA5" w:rsidRPr="00545FAE">
        <w:rPr>
          <w:rFonts w:asciiTheme="majorHAnsi" w:hAnsiTheme="majorHAnsi"/>
          <w:szCs w:val="20"/>
          <w:lang w:val="fr-FR"/>
        </w:rPr>
        <w:t xml:space="preserve">M. </w:t>
      </w:r>
      <w:r w:rsidR="00DB48F8" w:rsidRPr="00545FAE">
        <w:rPr>
          <w:rFonts w:asciiTheme="majorHAnsi" w:hAnsiTheme="majorHAnsi"/>
          <w:szCs w:val="20"/>
          <w:lang w:val="fr-FR"/>
        </w:rPr>
        <w:t xml:space="preserve">Baptiste Willer </w:t>
      </w:r>
      <w:r w:rsidR="00185BA5" w:rsidRPr="00545FAE">
        <w:rPr>
          <w:rFonts w:asciiTheme="majorHAnsi" w:hAnsiTheme="majorHAnsi"/>
          <w:szCs w:val="20"/>
          <w:lang w:val="fr-FR"/>
        </w:rPr>
        <w:t xml:space="preserve">a été victime d’une tentative d’homicide </w:t>
      </w:r>
      <w:r w:rsidR="00037188" w:rsidRPr="00545FAE">
        <w:rPr>
          <w:rFonts w:asciiTheme="majorHAnsi" w:hAnsiTheme="majorHAnsi"/>
          <w:szCs w:val="20"/>
          <w:lang w:val="fr-FR"/>
        </w:rPr>
        <w:t xml:space="preserve">et que son frère, </w:t>
      </w:r>
      <w:r w:rsidR="008575C5" w:rsidRPr="00545FAE">
        <w:rPr>
          <w:rFonts w:asciiTheme="majorHAnsi" w:hAnsiTheme="majorHAnsi"/>
          <w:szCs w:val="20"/>
          <w:lang w:val="fr-FR"/>
        </w:rPr>
        <w:t>âgé de 16 ans</w:t>
      </w:r>
      <w:r w:rsidR="00783656" w:rsidRPr="00545FAE">
        <w:rPr>
          <w:rFonts w:asciiTheme="majorHAnsi" w:hAnsiTheme="majorHAnsi"/>
          <w:szCs w:val="20"/>
          <w:lang w:val="fr-FR"/>
        </w:rPr>
        <w:t>, M. </w:t>
      </w:r>
      <w:r w:rsidR="00982431" w:rsidRPr="00545FAE">
        <w:rPr>
          <w:rFonts w:asciiTheme="majorHAnsi" w:hAnsiTheme="majorHAnsi"/>
          <w:szCs w:val="20"/>
          <w:lang w:val="fr-FR"/>
        </w:rPr>
        <w:t>Frédo Guirant (o</w:t>
      </w:r>
      <w:r w:rsidR="00037188" w:rsidRPr="00545FAE">
        <w:rPr>
          <w:rFonts w:asciiTheme="majorHAnsi" w:hAnsiTheme="majorHAnsi"/>
          <w:szCs w:val="20"/>
          <w:lang w:val="fr-FR"/>
        </w:rPr>
        <w:t>u</w:t>
      </w:r>
      <w:r w:rsidR="00982431" w:rsidRPr="00545FAE">
        <w:rPr>
          <w:rFonts w:asciiTheme="majorHAnsi" w:hAnsiTheme="majorHAnsi"/>
          <w:szCs w:val="20"/>
          <w:lang w:val="fr-FR"/>
        </w:rPr>
        <w:t xml:space="preserve"> Guirand)</w:t>
      </w:r>
      <w:r w:rsidR="00DB48F8" w:rsidRPr="00545FAE">
        <w:rPr>
          <w:rFonts w:asciiTheme="majorHAnsi" w:hAnsiTheme="majorHAnsi"/>
          <w:szCs w:val="20"/>
          <w:lang w:val="fr-FR"/>
        </w:rPr>
        <w:t xml:space="preserve">, </w:t>
      </w:r>
      <w:r w:rsidR="00037188" w:rsidRPr="00545FAE">
        <w:rPr>
          <w:rFonts w:asciiTheme="majorHAnsi" w:hAnsiTheme="majorHAnsi"/>
          <w:szCs w:val="20"/>
          <w:lang w:val="fr-FR"/>
        </w:rPr>
        <w:t>a été assassiné</w:t>
      </w:r>
      <w:r w:rsidR="00DB48F8" w:rsidRPr="00545FAE">
        <w:rPr>
          <w:rFonts w:asciiTheme="majorHAnsi" w:hAnsiTheme="majorHAnsi"/>
          <w:szCs w:val="20"/>
          <w:lang w:val="fr-FR"/>
        </w:rPr>
        <w:t xml:space="preserve">. </w:t>
      </w:r>
      <w:r w:rsidR="00BE484E" w:rsidRPr="00545FAE">
        <w:rPr>
          <w:rFonts w:asciiTheme="majorHAnsi" w:hAnsiTheme="majorHAnsi"/>
          <w:szCs w:val="20"/>
          <w:lang w:val="fr-FR"/>
        </w:rPr>
        <w:t>Les faits se sont déroulés dans le conte</w:t>
      </w:r>
      <w:r w:rsidR="004C109B" w:rsidRPr="00545FAE">
        <w:rPr>
          <w:rFonts w:asciiTheme="majorHAnsi" w:hAnsiTheme="majorHAnsi"/>
          <w:szCs w:val="20"/>
          <w:lang w:val="fr-FR"/>
        </w:rPr>
        <w:t>xte de menaces et d’intimidations</w:t>
      </w:r>
      <w:r w:rsidR="00BE484E" w:rsidRPr="00545FAE">
        <w:rPr>
          <w:rFonts w:asciiTheme="majorHAnsi" w:hAnsiTheme="majorHAnsi"/>
          <w:szCs w:val="20"/>
          <w:lang w:val="fr-FR"/>
        </w:rPr>
        <w:t xml:space="preserve"> incessant</w:t>
      </w:r>
      <w:r w:rsidR="004C109B" w:rsidRPr="00545FAE">
        <w:rPr>
          <w:rFonts w:asciiTheme="majorHAnsi" w:hAnsiTheme="majorHAnsi"/>
          <w:szCs w:val="20"/>
          <w:lang w:val="fr-FR"/>
        </w:rPr>
        <w:t>e</w:t>
      </w:r>
      <w:r w:rsidR="00BE484E" w:rsidRPr="00545FAE">
        <w:rPr>
          <w:rFonts w:asciiTheme="majorHAnsi" w:hAnsiTheme="majorHAnsi"/>
          <w:szCs w:val="20"/>
          <w:lang w:val="fr-FR"/>
        </w:rPr>
        <w:t xml:space="preserve">s à l’encontre de M. </w:t>
      </w:r>
      <w:r w:rsidR="00DB48F8" w:rsidRPr="00545FAE">
        <w:rPr>
          <w:rFonts w:asciiTheme="majorHAnsi" w:hAnsiTheme="majorHAnsi"/>
          <w:szCs w:val="20"/>
          <w:lang w:val="fr-FR"/>
        </w:rPr>
        <w:t xml:space="preserve">Baptiste Willer </w:t>
      </w:r>
      <w:r w:rsidR="00BE484E" w:rsidRPr="00545FAE">
        <w:rPr>
          <w:rFonts w:asciiTheme="majorHAnsi" w:hAnsiTheme="majorHAnsi"/>
          <w:szCs w:val="20"/>
          <w:lang w:val="fr-FR"/>
        </w:rPr>
        <w:t>et de sa famille, les auteurs étant les membres d’</w:t>
      </w:r>
      <w:r w:rsidR="00303452" w:rsidRPr="00545FAE">
        <w:rPr>
          <w:rFonts w:asciiTheme="majorHAnsi" w:hAnsiTheme="majorHAnsi"/>
          <w:szCs w:val="20"/>
          <w:lang w:val="fr-FR"/>
        </w:rPr>
        <w:t xml:space="preserve">une bande qui, </w:t>
      </w:r>
      <w:r w:rsidR="00BE484E" w:rsidRPr="00545FAE">
        <w:rPr>
          <w:rFonts w:asciiTheme="majorHAnsi" w:hAnsiTheme="majorHAnsi"/>
          <w:szCs w:val="20"/>
          <w:lang w:val="fr-FR"/>
        </w:rPr>
        <w:t xml:space="preserve">bien que </w:t>
      </w:r>
      <w:r w:rsidR="00303452" w:rsidRPr="00545FAE">
        <w:rPr>
          <w:rFonts w:asciiTheme="majorHAnsi" w:hAnsiTheme="majorHAnsi"/>
          <w:szCs w:val="20"/>
          <w:lang w:val="fr-FR"/>
        </w:rPr>
        <w:t xml:space="preserve">délinquants </w:t>
      </w:r>
      <w:r w:rsidR="00BE484E" w:rsidRPr="00545FAE">
        <w:rPr>
          <w:rFonts w:asciiTheme="majorHAnsi" w:hAnsiTheme="majorHAnsi"/>
          <w:szCs w:val="20"/>
          <w:lang w:val="fr-FR"/>
        </w:rPr>
        <w:t>connus</w:t>
      </w:r>
      <w:r w:rsidR="00DB48F8" w:rsidRPr="00545FAE">
        <w:rPr>
          <w:rFonts w:asciiTheme="majorHAnsi" w:hAnsiTheme="majorHAnsi"/>
          <w:szCs w:val="20"/>
          <w:lang w:val="fr-FR"/>
        </w:rPr>
        <w:t xml:space="preserve"> </w:t>
      </w:r>
      <w:r w:rsidR="00303452" w:rsidRPr="00545FAE">
        <w:rPr>
          <w:rFonts w:asciiTheme="majorHAnsi" w:hAnsiTheme="majorHAnsi"/>
          <w:szCs w:val="20"/>
          <w:lang w:val="fr-FR"/>
        </w:rPr>
        <w:t>des services de police, agissaient en toute impunité</w:t>
      </w:r>
      <w:r w:rsidR="00F331A6" w:rsidRPr="00545FAE">
        <w:rPr>
          <w:rFonts w:asciiTheme="majorHAnsi" w:hAnsiTheme="majorHAnsi"/>
          <w:szCs w:val="20"/>
          <w:lang w:val="fr-FR"/>
        </w:rPr>
        <w:t>.</w:t>
      </w:r>
      <w:r w:rsidR="00150DF5" w:rsidRPr="00545FAE">
        <w:rPr>
          <w:rFonts w:asciiTheme="majorHAnsi" w:hAnsiTheme="majorHAnsi"/>
          <w:szCs w:val="20"/>
          <w:lang w:val="fr-FR"/>
        </w:rPr>
        <w:t xml:space="preserve"> </w:t>
      </w:r>
      <w:r w:rsidR="00303452" w:rsidRPr="00545FAE">
        <w:rPr>
          <w:rFonts w:asciiTheme="majorHAnsi" w:hAnsiTheme="majorHAnsi"/>
          <w:szCs w:val="20"/>
          <w:lang w:val="fr-FR"/>
        </w:rPr>
        <w:t>Le 27 février </w:t>
      </w:r>
      <w:r w:rsidR="00150DF5" w:rsidRPr="00545FAE">
        <w:rPr>
          <w:rFonts w:asciiTheme="majorHAnsi" w:hAnsiTheme="majorHAnsi"/>
          <w:szCs w:val="20"/>
          <w:lang w:val="fr-FR"/>
        </w:rPr>
        <w:t xml:space="preserve">2007, </w:t>
      </w:r>
      <w:r w:rsidR="00303452" w:rsidRPr="00545FAE">
        <w:rPr>
          <w:rFonts w:asciiTheme="majorHAnsi" w:hAnsiTheme="majorHAnsi"/>
          <w:szCs w:val="20"/>
          <w:lang w:val="fr-FR"/>
        </w:rPr>
        <w:t xml:space="preserve">M. </w:t>
      </w:r>
      <w:r w:rsidR="00150DF5" w:rsidRPr="00545FAE">
        <w:rPr>
          <w:rFonts w:asciiTheme="majorHAnsi" w:hAnsiTheme="majorHAnsi"/>
          <w:szCs w:val="20"/>
          <w:lang w:val="fr-FR"/>
        </w:rPr>
        <w:t xml:space="preserve">Baptiste Willer </w:t>
      </w:r>
      <w:r w:rsidR="00303452" w:rsidRPr="00545FAE">
        <w:rPr>
          <w:rFonts w:asciiTheme="majorHAnsi" w:hAnsiTheme="majorHAnsi"/>
          <w:szCs w:val="20"/>
          <w:lang w:val="fr-FR"/>
        </w:rPr>
        <w:t>a alerté les autorités que sa vie et celle des membres de sa famille étaient en danger et a demandé une aide judiciaire par le biais d’une lettre adressée à diverses autorités, en fournissant des informations sur l’identité des suspects et le t</w:t>
      </w:r>
      <w:r w:rsidR="004C109B" w:rsidRPr="00545FAE">
        <w:rPr>
          <w:rFonts w:asciiTheme="majorHAnsi" w:hAnsiTheme="majorHAnsi"/>
          <w:szCs w:val="20"/>
          <w:lang w:val="fr-FR"/>
        </w:rPr>
        <w:t>ype de menaces et d’intimidations</w:t>
      </w:r>
      <w:r w:rsidR="00303452" w:rsidRPr="00545FAE">
        <w:rPr>
          <w:rFonts w:asciiTheme="majorHAnsi" w:hAnsiTheme="majorHAnsi"/>
          <w:szCs w:val="20"/>
          <w:lang w:val="fr-FR"/>
        </w:rPr>
        <w:t xml:space="preserve"> dont il était victime</w:t>
      </w:r>
      <w:r w:rsidR="00150DF5" w:rsidRPr="00545FAE">
        <w:rPr>
          <w:rFonts w:asciiTheme="majorHAnsi" w:hAnsiTheme="majorHAnsi"/>
          <w:szCs w:val="20"/>
          <w:lang w:val="fr-FR"/>
        </w:rPr>
        <w:t xml:space="preserve">. </w:t>
      </w:r>
      <w:r w:rsidR="00303452" w:rsidRPr="00545FAE">
        <w:rPr>
          <w:rFonts w:asciiTheme="majorHAnsi" w:hAnsiTheme="majorHAnsi"/>
          <w:szCs w:val="20"/>
          <w:lang w:val="fr-FR"/>
        </w:rPr>
        <w:t>Craignant pour sa sécurité et celle de sa famille, il les a également informés qu’il avait été contraint d’abandonner sa résidence habituelle et de changer de domicile. Compte tenu de ce qui précède</w:t>
      </w:r>
      <w:r w:rsidR="009B4D16" w:rsidRPr="00545FAE">
        <w:rPr>
          <w:rFonts w:asciiTheme="majorHAnsi" w:hAnsiTheme="majorHAnsi"/>
          <w:szCs w:val="20"/>
          <w:lang w:val="fr-FR"/>
        </w:rPr>
        <w:t>, la Com</w:t>
      </w:r>
      <w:r w:rsidR="00303452" w:rsidRPr="00545FAE">
        <w:rPr>
          <w:rFonts w:asciiTheme="majorHAnsi" w:hAnsiTheme="majorHAnsi"/>
          <w:szCs w:val="20"/>
          <w:lang w:val="fr-FR"/>
        </w:rPr>
        <w:t>mission conclut que l’État avait connaissance de la situation de risque spécifique dans laquelle se trouvaient M. </w:t>
      </w:r>
      <w:r w:rsidR="005A5283" w:rsidRPr="00545FAE">
        <w:rPr>
          <w:rFonts w:asciiTheme="majorHAnsi" w:hAnsiTheme="majorHAnsi"/>
          <w:szCs w:val="20"/>
          <w:lang w:val="fr-FR"/>
        </w:rPr>
        <w:t xml:space="preserve">Baptiste Willer </w:t>
      </w:r>
      <w:r w:rsidR="00303452" w:rsidRPr="00545FAE">
        <w:rPr>
          <w:rFonts w:asciiTheme="majorHAnsi" w:hAnsiTheme="majorHAnsi"/>
          <w:szCs w:val="20"/>
          <w:lang w:val="fr-FR"/>
        </w:rPr>
        <w:t>et sa famille directe</w:t>
      </w:r>
      <w:r w:rsidR="009B4D16" w:rsidRPr="00545FAE">
        <w:rPr>
          <w:rFonts w:asciiTheme="majorHAnsi" w:hAnsiTheme="majorHAnsi"/>
          <w:szCs w:val="20"/>
          <w:lang w:val="fr-FR"/>
        </w:rPr>
        <w:t xml:space="preserve">. </w:t>
      </w:r>
      <w:r w:rsidR="006D0099" w:rsidRPr="00545FAE">
        <w:rPr>
          <w:rFonts w:asciiTheme="majorHAnsi" w:hAnsiTheme="majorHAnsi"/>
          <w:szCs w:val="20"/>
          <w:lang w:val="fr-FR"/>
        </w:rPr>
        <w:t xml:space="preserve">La condition de </w:t>
      </w:r>
      <w:r w:rsidR="006D0099" w:rsidRPr="00545FAE">
        <w:rPr>
          <w:lang w:val="fr-FR"/>
        </w:rPr>
        <w:t>la connaissance de la situation de risque</w:t>
      </w:r>
      <w:r w:rsidR="006D0099" w:rsidRPr="00545FAE">
        <w:rPr>
          <w:rFonts w:asciiTheme="majorHAnsi" w:hAnsiTheme="majorHAnsi"/>
          <w:szCs w:val="20"/>
          <w:lang w:val="fr-FR"/>
        </w:rPr>
        <w:t xml:space="preserve"> est remplie</w:t>
      </w:r>
      <w:r w:rsidR="00736AE5" w:rsidRPr="00545FAE">
        <w:rPr>
          <w:rFonts w:asciiTheme="majorHAnsi" w:hAnsiTheme="majorHAnsi"/>
          <w:szCs w:val="20"/>
          <w:lang w:val="fr-FR"/>
        </w:rPr>
        <w:t xml:space="preserve">, que l’autorité ou les autorités </w:t>
      </w:r>
      <w:r w:rsidR="00F3625C" w:rsidRPr="00545FAE">
        <w:rPr>
          <w:rFonts w:asciiTheme="majorHAnsi" w:hAnsiTheme="majorHAnsi"/>
          <w:szCs w:val="20"/>
          <w:lang w:val="fr-FR"/>
        </w:rPr>
        <w:t xml:space="preserve">en </w:t>
      </w:r>
      <w:r w:rsidR="00736AE5" w:rsidRPr="00545FAE">
        <w:rPr>
          <w:rFonts w:asciiTheme="majorHAnsi" w:hAnsiTheme="majorHAnsi"/>
          <w:szCs w:val="20"/>
          <w:lang w:val="fr-FR"/>
        </w:rPr>
        <w:t xml:space="preserve">ayant été informées </w:t>
      </w:r>
      <w:r w:rsidR="00F3625C" w:rsidRPr="00545FAE">
        <w:rPr>
          <w:rFonts w:asciiTheme="majorHAnsi" w:hAnsiTheme="majorHAnsi"/>
          <w:szCs w:val="20"/>
          <w:lang w:val="fr-FR"/>
        </w:rPr>
        <w:t>aient été ou non spécifiquement celles chargées de fournir une protection</w:t>
      </w:r>
      <w:r w:rsidR="00783656" w:rsidRPr="00545FAE">
        <w:rPr>
          <w:rFonts w:asciiTheme="majorHAnsi" w:hAnsiTheme="majorHAnsi"/>
          <w:szCs w:val="20"/>
          <w:lang w:val="fr-FR"/>
        </w:rPr>
        <w:t xml:space="preserve">, car </w:t>
      </w:r>
      <w:r w:rsidR="00F3625C" w:rsidRPr="00545FAE">
        <w:rPr>
          <w:rFonts w:asciiTheme="majorHAnsi" w:hAnsiTheme="majorHAnsi"/>
          <w:szCs w:val="20"/>
          <w:lang w:val="fr-FR"/>
        </w:rPr>
        <w:t xml:space="preserve">l’État est tenu de s’acquitter </w:t>
      </w:r>
      <w:r w:rsidR="004E38F6" w:rsidRPr="00545FAE">
        <w:rPr>
          <w:rFonts w:asciiTheme="majorHAnsi" w:hAnsiTheme="majorHAnsi"/>
          <w:szCs w:val="20"/>
          <w:lang w:val="fr-FR"/>
        </w:rPr>
        <w:t>de l’obligation</w:t>
      </w:r>
      <w:r w:rsidR="00F3625C" w:rsidRPr="00545FAE">
        <w:rPr>
          <w:rFonts w:asciiTheme="majorHAnsi" w:hAnsiTheme="majorHAnsi"/>
          <w:szCs w:val="20"/>
          <w:lang w:val="fr-FR"/>
        </w:rPr>
        <w:t xml:space="preserve"> de coordination entre se</w:t>
      </w:r>
      <w:r w:rsidR="005E58CF" w:rsidRPr="00545FAE">
        <w:rPr>
          <w:rFonts w:asciiTheme="majorHAnsi" w:hAnsiTheme="majorHAnsi"/>
          <w:szCs w:val="20"/>
          <w:lang w:val="fr-FR"/>
        </w:rPr>
        <w:t>s enti</w:t>
      </w:r>
      <w:r w:rsidR="00F3625C" w:rsidRPr="00545FAE">
        <w:rPr>
          <w:rFonts w:asciiTheme="majorHAnsi" w:hAnsiTheme="majorHAnsi"/>
          <w:szCs w:val="20"/>
          <w:lang w:val="fr-FR"/>
        </w:rPr>
        <w:t>tés et ses fonctionnaires</w:t>
      </w:r>
      <w:r w:rsidR="009B4D16" w:rsidRPr="00545FAE">
        <w:rPr>
          <w:rFonts w:asciiTheme="majorHAnsi" w:hAnsiTheme="majorHAnsi"/>
          <w:szCs w:val="20"/>
          <w:lang w:val="fr-FR"/>
        </w:rPr>
        <w:t>.</w:t>
      </w:r>
    </w:p>
    <w:p w14:paraId="427FAE6E" w14:textId="77777777" w:rsidR="00397DA6" w:rsidRPr="00545FAE" w:rsidRDefault="00397DA6" w:rsidP="00A31856">
      <w:pPr>
        <w:pStyle w:val="ListParagraph"/>
        <w:numPr>
          <w:ilvl w:val="0"/>
          <w:numId w:val="0"/>
        </w:numPr>
        <w:rPr>
          <w:rFonts w:asciiTheme="majorHAnsi" w:hAnsiTheme="majorHAnsi"/>
          <w:szCs w:val="20"/>
          <w:lang w:val="fr-FR"/>
        </w:rPr>
      </w:pPr>
    </w:p>
    <w:p w14:paraId="375386DB" w14:textId="77777777" w:rsidR="00397DA6" w:rsidRPr="00545FAE" w:rsidRDefault="009B4D16">
      <w:pPr>
        <w:pStyle w:val="ListParagraph"/>
        <w:rPr>
          <w:lang w:val="fr-FR"/>
        </w:rPr>
      </w:pPr>
      <w:r w:rsidRPr="00545FAE">
        <w:rPr>
          <w:lang w:val="fr-FR"/>
        </w:rPr>
        <w:t xml:space="preserve">En </w:t>
      </w:r>
      <w:r w:rsidR="001632E2" w:rsidRPr="00545FAE">
        <w:rPr>
          <w:lang w:val="fr-FR"/>
        </w:rPr>
        <w:t xml:space="preserve">ce qui concerne le caractère réel et imminent du risque, la CIDH considère que les faits portés à la connaissance des autorités revêtaient </w:t>
      </w:r>
      <w:r w:rsidR="00E902C1" w:rsidRPr="00545FAE">
        <w:rPr>
          <w:lang w:val="fr-FR"/>
        </w:rPr>
        <w:t xml:space="preserve">en soi </w:t>
      </w:r>
      <w:r w:rsidR="001632E2" w:rsidRPr="00545FAE">
        <w:rPr>
          <w:lang w:val="fr-FR"/>
        </w:rPr>
        <w:t>une gravité particulière</w:t>
      </w:r>
      <w:r w:rsidR="00077649" w:rsidRPr="00545FAE">
        <w:rPr>
          <w:lang w:val="fr-FR"/>
        </w:rPr>
        <w:t xml:space="preserve">. En </w:t>
      </w:r>
      <w:r w:rsidR="00E902C1" w:rsidRPr="00545FAE">
        <w:rPr>
          <w:lang w:val="fr-FR"/>
        </w:rPr>
        <w:t xml:space="preserve">effet, la tentative d’homicide et les menaces dont a été victime M. </w:t>
      </w:r>
      <w:r w:rsidR="00077649" w:rsidRPr="00545FAE">
        <w:rPr>
          <w:lang w:val="fr-FR"/>
        </w:rPr>
        <w:t xml:space="preserve">Baptiste Willer </w:t>
      </w:r>
      <w:r w:rsidR="00E902C1" w:rsidRPr="00545FAE">
        <w:rPr>
          <w:lang w:val="fr-FR"/>
        </w:rPr>
        <w:t>ainsi que l’assassinat de son frère étaient suffisamment graves</w:t>
      </w:r>
      <w:r w:rsidR="00025C7A" w:rsidRPr="00545FAE">
        <w:rPr>
          <w:lang w:val="fr-FR"/>
        </w:rPr>
        <w:t xml:space="preserve"> </w:t>
      </w:r>
      <w:r w:rsidR="00E902C1" w:rsidRPr="00545FAE">
        <w:rPr>
          <w:lang w:val="fr-FR"/>
        </w:rPr>
        <w:t>s’</w:t>
      </w:r>
      <w:r w:rsidR="00025C7A" w:rsidRPr="00545FAE">
        <w:rPr>
          <w:lang w:val="fr-FR"/>
        </w:rPr>
        <w:t>agissant</w:t>
      </w:r>
      <w:r w:rsidR="00E902C1" w:rsidRPr="00545FAE">
        <w:rPr>
          <w:lang w:val="fr-FR"/>
        </w:rPr>
        <w:t xml:space="preserve"> d’atteintes à la vie et à l’intégrité de la personne </w:t>
      </w:r>
      <w:r w:rsidR="00025C7A" w:rsidRPr="00545FAE">
        <w:rPr>
          <w:lang w:val="fr-FR"/>
        </w:rPr>
        <w:t xml:space="preserve">et d’une situation </w:t>
      </w:r>
      <w:r w:rsidR="00CA3351" w:rsidRPr="00545FAE">
        <w:rPr>
          <w:lang w:val="fr-FR"/>
        </w:rPr>
        <w:t xml:space="preserve">où les mesures de protection </w:t>
      </w:r>
      <w:r w:rsidR="00713175" w:rsidRPr="00545FAE">
        <w:rPr>
          <w:lang w:val="fr-FR"/>
        </w:rPr>
        <w:t xml:space="preserve">en faveur de M. Baptiste Willer qui dénonçait ces actes </w:t>
      </w:r>
      <w:r w:rsidR="00CA3351" w:rsidRPr="00545FAE">
        <w:rPr>
          <w:lang w:val="fr-FR"/>
        </w:rPr>
        <w:t xml:space="preserve">étaient inexistantes </w:t>
      </w:r>
      <w:r w:rsidR="00713175" w:rsidRPr="00545FAE">
        <w:rPr>
          <w:lang w:val="fr-FR"/>
        </w:rPr>
        <w:t>et précisément demandées à l’État</w:t>
      </w:r>
      <w:r w:rsidR="00397DA6" w:rsidRPr="00545FAE">
        <w:rPr>
          <w:lang w:val="fr-FR"/>
        </w:rPr>
        <w:t xml:space="preserve">. </w:t>
      </w:r>
      <w:r w:rsidR="00A524F6" w:rsidRPr="00545FAE">
        <w:rPr>
          <w:lang w:val="fr-FR"/>
        </w:rPr>
        <w:t>En outre, ce</w:t>
      </w:r>
      <w:r w:rsidR="00025C7A" w:rsidRPr="00545FAE">
        <w:rPr>
          <w:lang w:val="fr-FR"/>
        </w:rPr>
        <w:t>s faits étaient survenus à peine quelques semaines avant le dépôt de la plainte</w:t>
      </w:r>
      <w:r w:rsidR="00397DA6" w:rsidRPr="00545FAE">
        <w:rPr>
          <w:lang w:val="fr-FR"/>
        </w:rPr>
        <w:t xml:space="preserve">. </w:t>
      </w:r>
      <w:r w:rsidR="00E902C1" w:rsidRPr="00545FAE">
        <w:rPr>
          <w:lang w:val="fr-FR"/>
        </w:rPr>
        <w:t xml:space="preserve">De plus, suite aux faits signalés aux autorités, une nouvelle série d’événements </w:t>
      </w:r>
      <w:r w:rsidR="001B0C66" w:rsidRPr="00545FAE">
        <w:rPr>
          <w:lang w:val="fr-FR"/>
        </w:rPr>
        <w:t xml:space="preserve">graves </w:t>
      </w:r>
      <w:r w:rsidR="00FA5883" w:rsidRPr="00545FAE">
        <w:rPr>
          <w:lang w:val="fr-FR"/>
        </w:rPr>
        <w:t>s’est produite</w:t>
      </w:r>
      <w:r w:rsidR="00397DA6" w:rsidRPr="00545FAE">
        <w:rPr>
          <w:lang w:val="fr-FR"/>
        </w:rPr>
        <w:t xml:space="preserve">. </w:t>
      </w:r>
      <w:r w:rsidR="001B0C66" w:rsidRPr="00545FAE">
        <w:rPr>
          <w:lang w:val="fr-FR"/>
        </w:rPr>
        <w:t xml:space="preserve">Seulement un mois plus tard, le </w:t>
      </w:r>
      <w:r w:rsidR="00397DA6" w:rsidRPr="00545FAE">
        <w:rPr>
          <w:lang w:val="fr-FR"/>
        </w:rPr>
        <w:t xml:space="preserve">28 </w:t>
      </w:r>
      <w:r w:rsidR="001B0C66" w:rsidRPr="00545FAE">
        <w:rPr>
          <w:lang w:val="fr-FR"/>
        </w:rPr>
        <w:t>mars</w:t>
      </w:r>
      <w:r w:rsidR="00397DA6" w:rsidRPr="00545FAE">
        <w:rPr>
          <w:lang w:val="fr-FR"/>
        </w:rPr>
        <w:t xml:space="preserve"> 2007, un</w:t>
      </w:r>
      <w:r w:rsidR="001B0C66" w:rsidRPr="00545FAE">
        <w:rPr>
          <w:lang w:val="fr-FR"/>
        </w:rPr>
        <w:t xml:space="preserve"> homme portant le même nom que le pétitionnaire et </w:t>
      </w:r>
      <w:r w:rsidR="003874BD" w:rsidRPr="00545FAE">
        <w:rPr>
          <w:lang w:val="fr-FR"/>
        </w:rPr>
        <w:t>lui ressemblant</w:t>
      </w:r>
      <w:r w:rsidR="001B0C66" w:rsidRPr="00545FAE">
        <w:rPr>
          <w:lang w:val="fr-FR"/>
        </w:rPr>
        <w:t xml:space="preserve"> physique</w:t>
      </w:r>
      <w:r w:rsidR="003874BD" w:rsidRPr="00545FAE">
        <w:rPr>
          <w:lang w:val="fr-FR"/>
        </w:rPr>
        <w:t>ment</w:t>
      </w:r>
      <w:r w:rsidR="00545FAE">
        <w:rPr>
          <w:lang w:val="fr-FR"/>
        </w:rPr>
        <w:t xml:space="preserve"> </w:t>
      </w:r>
      <w:r w:rsidR="001B0C66" w:rsidRPr="00545FAE">
        <w:rPr>
          <w:lang w:val="fr-FR"/>
        </w:rPr>
        <w:t>a été assassiné, probablement lors d’une tentative d’assassinat sur M. </w:t>
      </w:r>
      <w:r w:rsidR="00397DA6" w:rsidRPr="00545FAE">
        <w:rPr>
          <w:lang w:val="fr-FR"/>
        </w:rPr>
        <w:t xml:space="preserve">Baptiste Willer. </w:t>
      </w:r>
      <w:r w:rsidR="00F73498" w:rsidRPr="00545FAE">
        <w:rPr>
          <w:lang w:val="fr-FR"/>
        </w:rPr>
        <w:t>Mais ce n’est pas tout.</w:t>
      </w:r>
      <w:r w:rsidR="001B0C66" w:rsidRPr="00545FAE">
        <w:rPr>
          <w:lang w:val="fr-FR"/>
        </w:rPr>
        <w:t xml:space="preserve"> M. </w:t>
      </w:r>
      <w:r w:rsidR="00077649" w:rsidRPr="00545FAE">
        <w:rPr>
          <w:lang w:val="fr-FR"/>
        </w:rPr>
        <w:t>Baptiste Willer</w:t>
      </w:r>
      <w:r w:rsidR="00397DA6" w:rsidRPr="00545FAE">
        <w:rPr>
          <w:lang w:val="fr-FR"/>
        </w:rPr>
        <w:t>, s</w:t>
      </w:r>
      <w:r w:rsidR="001B0C66" w:rsidRPr="00545FAE">
        <w:rPr>
          <w:lang w:val="fr-FR"/>
        </w:rPr>
        <w:t>on épouse et leurs enfants ont été victimes de menaces téléphoniques continuelles</w:t>
      </w:r>
      <w:r w:rsidR="00AD2BD0" w:rsidRPr="00545FAE">
        <w:rPr>
          <w:lang w:val="fr-FR"/>
        </w:rPr>
        <w:t xml:space="preserve"> et</w:t>
      </w:r>
      <w:r w:rsidR="001B0C66" w:rsidRPr="00545FAE">
        <w:rPr>
          <w:lang w:val="fr-FR"/>
        </w:rPr>
        <w:t xml:space="preserve"> d’attaques, notamment une perpétrée contre son commerce le 9 mars 2007, deux descentes dans le logement que le couple occupait précédemment - les 15 et 28 août </w:t>
      </w:r>
      <w:r w:rsidR="00397DA6" w:rsidRPr="00545FAE">
        <w:rPr>
          <w:lang w:val="fr-FR"/>
        </w:rPr>
        <w:t>2008</w:t>
      </w:r>
      <w:r w:rsidR="005D4F52" w:rsidRPr="00545FAE">
        <w:rPr>
          <w:lang w:val="fr-FR"/>
        </w:rPr>
        <w:t xml:space="preserve"> </w:t>
      </w:r>
      <w:r w:rsidR="00AD2BD0" w:rsidRPr="00545FAE">
        <w:rPr>
          <w:lang w:val="fr-FR"/>
        </w:rPr>
        <w:t>-</w:t>
      </w:r>
      <w:r w:rsidR="00397DA6" w:rsidRPr="00545FAE">
        <w:rPr>
          <w:lang w:val="fr-FR"/>
        </w:rPr>
        <w:t xml:space="preserve"> </w:t>
      </w:r>
      <w:r w:rsidR="00AD2BD0" w:rsidRPr="00545FAE">
        <w:rPr>
          <w:lang w:val="fr-FR"/>
        </w:rPr>
        <w:t xml:space="preserve">et une autre visant directement la personne de </w:t>
      </w:r>
      <w:r w:rsidR="00397DA6" w:rsidRPr="00545FAE">
        <w:rPr>
          <w:lang w:val="fr-FR"/>
        </w:rPr>
        <w:t xml:space="preserve">Baptiste Willer </w:t>
      </w:r>
      <w:r w:rsidR="00AD2BD0" w:rsidRPr="00545FAE">
        <w:rPr>
          <w:lang w:val="fr-FR"/>
        </w:rPr>
        <w:t>le</w:t>
      </w:r>
      <w:r w:rsidR="00397DA6" w:rsidRPr="00545FAE">
        <w:rPr>
          <w:lang w:val="fr-FR"/>
        </w:rPr>
        <w:t xml:space="preserve"> 26 </w:t>
      </w:r>
      <w:r w:rsidR="00AD2BD0" w:rsidRPr="00545FAE">
        <w:rPr>
          <w:lang w:val="fr-FR"/>
        </w:rPr>
        <w:t>août</w:t>
      </w:r>
      <w:r w:rsidR="00397DA6" w:rsidRPr="00545FAE">
        <w:rPr>
          <w:lang w:val="fr-FR"/>
        </w:rPr>
        <w:t xml:space="preserve"> 2009. </w:t>
      </w:r>
    </w:p>
    <w:p w14:paraId="1A6951AF" w14:textId="77777777" w:rsidR="00397DA6" w:rsidRPr="00545FAE" w:rsidRDefault="00397DA6" w:rsidP="00C55B05">
      <w:pPr>
        <w:pStyle w:val="ListParagraph"/>
        <w:numPr>
          <w:ilvl w:val="0"/>
          <w:numId w:val="0"/>
        </w:numPr>
        <w:rPr>
          <w:rFonts w:asciiTheme="majorHAnsi" w:hAnsiTheme="majorHAnsi"/>
          <w:szCs w:val="20"/>
          <w:lang w:val="fr-FR"/>
        </w:rPr>
      </w:pPr>
    </w:p>
    <w:p w14:paraId="556F5D0C" w14:textId="77777777" w:rsidR="009B4D16" w:rsidRPr="00545FAE" w:rsidRDefault="00397DA6" w:rsidP="009B4D16">
      <w:pPr>
        <w:pStyle w:val="ListParagraph"/>
        <w:rPr>
          <w:rFonts w:asciiTheme="majorHAnsi" w:hAnsiTheme="majorHAnsi"/>
          <w:szCs w:val="20"/>
          <w:lang w:val="fr-FR"/>
        </w:rPr>
      </w:pPr>
      <w:r w:rsidRPr="00545FAE">
        <w:rPr>
          <w:rFonts w:asciiTheme="majorHAnsi" w:hAnsiTheme="majorHAnsi"/>
          <w:szCs w:val="20"/>
          <w:lang w:val="fr-FR"/>
        </w:rPr>
        <w:t xml:space="preserve"> La Com</w:t>
      </w:r>
      <w:r w:rsidR="004E6EDE" w:rsidRPr="00545FAE">
        <w:rPr>
          <w:rFonts w:asciiTheme="majorHAnsi" w:hAnsiTheme="majorHAnsi"/>
          <w:szCs w:val="20"/>
          <w:lang w:val="fr-FR"/>
        </w:rPr>
        <w:t xml:space="preserve">mission signale que le risque couru par M. </w:t>
      </w:r>
      <w:r w:rsidR="00077649" w:rsidRPr="00545FAE">
        <w:rPr>
          <w:rFonts w:asciiTheme="majorHAnsi" w:hAnsiTheme="majorHAnsi"/>
          <w:szCs w:val="20"/>
          <w:lang w:val="fr-FR"/>
        </w:rPr>
        <w:t xml:space="preserve">Baptiste Willer, </w:t>
      </w:r>
      <w:r w:rsidR="004E6EDE" w:rsidRPr="00545FAE">
        <w:rPr>
          <w:rFonts w:asciiTheme="majorHAnsi" w:hAnsiTheme="majorHAnsi"/>
          <w:szCs w:val="20"/>
          <w:lang w:val="fr-FR"/>
        </w:rPr>
        <w:t>son épouse et leurs enfants est cohérent avec la situation d’insécurité que connaissait le pays à l’époque des faits. En effet, comme l’a directement constaté</w:t>
      </w:r>
      <w:r w:rsidR="009B4D16" w:rsidRPr="00545FAE">
        <w:rPr>
          <w:lang w:val="fr-FR"/>
        </w:rPr>
        <w:t xml:space="preserve"> la CIDH </w:t>
      </w:r>
      <w:r w:rsidR="004E6EDE" w:rsidRPr="00545FAE">
        <w:rPr>
          <w:lang w:val="fr-FR"/>
        </w:rPr>
        <w:t>lors de sa visite</w:t>
      </w:r>
      <w:r w:rsidR="009B4D16" w:rsidRPr="00545FAE">
        <w:rPr>
          <w:lang w:val="fr-FR"/>
        </w:rPr>
        <w:t xml:space="preserve"> </w:t>
      </w:r>
      <w:r w:rsidR="009B4D16" w:rsidRPr="00545FAE">
        <w:rPr>
          <w:i/>
          <w:lang w:val="fr-FR"/>
        </w:rPr>
        <w:t>in loco</w:t>
      </w:r>
      <w:r w:rsidR="004E6EDE" w:rsidRPr="00545FAE">
        <w:rPr>
          <w:lang w:val="fr-FR"/>
        </w:rPr>
        <w:t xml:space="preserve"> en Haïti</w:t>
      </w:r>
      <w:r w:rsidR="00F57DDC" w:rsidRPr="00545FAE">
        <w:rPr>
          <w:lang w:val="fr-FR"/>
        </w:rPr>
        <w:t>,</w:t>
      </w:r>
      <w:r w:rsidR="004E6EDE" w:rsidRPr="00545FAE">
        <w:rPr>
          <w:lang w:val="fr-FR"/>
        </w:rPr>
        <w:t xml:space="preserve"> effectuée précisément en avril 2007, l’impunité à grande </w:t>
      </w:r>
      <w:r w:rsidR="004E6EDE" w:rsidRPr="00545FAE">
        <w:rPr>
          <w:lang w:val="fr-FR"/>
        </w:rPr>
        <w:lastRenderedPageBreak/>
        <w:t>échelle prévalait alors dans le pays</w:t>
      </w:r>
      <w:r w:rsidR="009B4D16" w:rsidRPr="00545FAE">
        <w:rPr>
          <w:rStyle w:val="FootnoteReference"/>
          <w:szCs w:val="20"/>
          <w:lang w:val="fr-FR"/>
        </w:rPr>
        <w:footnoteReference w:id="46"/>
      </w:r>
      <w:r w:rsidR="009B4D16" w:rsidRPr="00545FAE">
        <w:rPr>
          <w:lang w:val="fr-FR"/>
        </w:rPr>
        <w:t xml:space="preserve">. </w:t>
      </w:r>
      <w:r w:rsidR="005A57CB" w:rsidRPr="00545FAE">
        <w:rPr>
          <w:lang w:val="fr-FR"/>
        </w:rPr>
        <w:t xml:space="preserve">Bien que </w:t>
      </w:r>
      <w:r w:rsidR="009B4D16" w:rsidRPr="00545FAE">
        <w:rPr>
          <w:lang w:val="fr-FR"/>
        </w:rPr>
        <w:t xml:space="preserve">la CIDH </w:t>
      </w:r>
      <w:r w:rsidR="005A57CB" w:rsidRPr="00545FAE">
        <w:rPr>
          <w:lang w:val="fr-FR"/>
        </w:rPr>
        <w:t xml:space="preserve">ait observé des améliorations en matière de sécurité par rapport </w:t>
      </w:r>
      <w:r w:rsidR="009F6FB7" w:rsidRPr="00545FAE">
        <w:rPr>
          <w:lang w:val="fr-FR"/>
        </w:rPr>
        <w:t>à la situation des années précédentes, elle a souligné que de graves défaillances et des fragilités persistaient dans le système de sécurité publique</w:t>
      </w:r>
      <w:r w:rsidR="009B4D16" w:rsidRPr="00545FAE">
        <w:rPr>
          <w:rStyle w:val="FootnoteReference"/>
          <w:szCs w:val="20"/>
          <w:lang w:val="fr-FR"/>
        </w:rPr>
        <w:footnoteReference w:id="47"/>
      </w:r>
      <w:r w:rsidR="009B4D16" w:rsidRPr="00545FAE">
        <w:rPr>
          <w:lang w:val="fr-FR"/>
        </w:rPr>
        <w:t xml:space="preserve"> </w:t>
      </w:r>
      <w:r w:rsidR="009F6FB7" w:rsidRPr="00545FAE">
        <w:rPr>
          <w:lang w:val="fr-FR"/>
        </w:rPr>
        <w:t>et dans le système</w:t>
      </w:r>
      <w:r w:rsidR="009B4D16" w:rsidRPr="00545FAE">
        <w:rPr>
          <w:lang w:val="fr-FR"/>
        </w:rPr>
        <w:t xml:space="preserve"> </w:t>
      </w:r>
      <w:r w:rsidR="00B422D4" w:rsidRPr="00545FAE">
        <w:rPr>
          <w:lang w:val="fr-FR"/>
        </w:rPr>
        <w:t>judiciaire pour enqu</w:t>
      </w:r>
      <w:r w:rsidR="00FB5944" w:rsidRPr="00545FAE">
        <w:rPr>
          <w:lang w:val="fr-FR"/>
        </w:rPr>
        <w:t>êter sur</w:t>
      </w:r>
      <w:r w:rsidR="00B422D4" w:rsidRPr="00545FAE">
        <w:rPr>
          <w:lang w:val="fr-FR"/>
        </w:rPr>
        <w:t xml:space="preserve"> les auteurs de violations des droits humains et de crimes</w:t>
      </w:r>
      <w:r w:rsidR="00FB5944" w:rsidRPr="00545FAE">
        <w:rPr>
          <w:lang w:val="fr-FR"/>
        </w:rPr>
        <w:t xml:space="preserve">, les juger et les sanctionner </w:t>
      </w:r>
      <w:r w:rsidR="009B4D16" w:rsidRPr="00545FAE">
        <w:rPr>
          <w:rStyle w:val="FootnoteReference"/>
          <w:szCs w:val="20"/>
          <w:lang w:val="fr-FR"/>
        </w:rPr>
        <w:footnoteReference w:id="48"/>
      </w:r>
      <w:r w:rsidR="009B4D16" w:rsidRPr="00545FAE">
        <w:rPr>
          <w:lang w:val="fr-FR"/>
        </w:rPr>
        <w:t xml:space="preserve">, </w:t>
      </w:r>
      <w:r w:rsidR="00B422D4" w:rsidRPr="00545FAE">
        <w:rPr>
          <w:lang w:val="fr-FR"/>
        </w:rPr>
        <w:t>ce qui favorisait la prolifération d’une délinquance violente et d</w:t>
      </w:r>
      <w:r w:rsidR="00FB5944" w:rsidRPr="00545FAE">
        <w:rPr>
          <w:lang w:val="fr-FR"/>
        </w:rPr>
        <w:t xml:space="preserve">es </w:t>
      </w:r>
      <w:r w:rsidR="00B422D4" w:rsidRPr="00545FAE">
        <w:rPr>
          <w:lang w:val="fr-FR"/>
        </w:rPr>
        <w:t>activités</w:t>
      </w:r>
      <w:r w:rsidR="00FB5944" w:rsidRPr="00545FAE">
        <w:rPr>
          <w:lang w:val="fr-FR"/>
        </w:rPr>
        <w:t xml:space="preserve"> de la criminalité organisée ainsi que des bandes qui sévissaient en toute impunité</w:t>
      </w:r>
      <w:r w:rsidR="00F57DDC" w:rsidRPr="00545FAE">
        <w:rPr>
          <w:rStyle w:val="FootnoteReference"/>
          <w:lang w:val="fr-FR"/>
        </w:rPr>
        <w:footnoteReference w:id="49"/>
      </w:r>
      <w:r w:rsidR="009B4D16" w:rsidRPr="00545FAE">
        <w:rPr>
          <w:lang w:val="fr-FR"/>
        </w:rPr>
        <w:t xml:space="preserve">. </w:t>
      </w:r>
    </w:p>
    <w:p w14:paraId="2C517139" w14:textId="77777777" w:rsidR="00397DA6" w:rsidRPr="00545FAE" w:rsidRDefault="00397DA6" w:rsidP="00C55B05">
      <w:pPr>
        <w:pStyle w:val="ListParagraph"/>
        <w:numPr>
          <w:ilvl w:val="0"/>
          <w:numId w:val="0"/>
        </w:numPr>
        <w:rPr>
          <w:rFonts w:asciiTheme="majorHAnsi" w:hAnsiTheme="majorHAnsi"/>
          <w:szCs w:val="20"/>
          <w:lang w:val="fr-FR"/>
        </w:rPr>
      </w:pPr>
    </w:p>
    <w:p w14:paraId="4B7165B5" w14:textId="77777777" w:rsidR="00C213EE" w:rsidRPr="00545FAE" w:rsidRDefault="00C213EE" w:rsidP="009B4D16">
      <w:pPr>
        <w:pStyle w:val="ListParagraph"/>
        <w:rPr>
          <w:rFonts w:asciiTheme="majorHAnsi" w:hAnsiTheme="majorHAnsi"/>
          <w:szCs w:val="20"/>
          <w:lang w:val="fr-FR"/>
        </w:rPr>
      </w:pPr>
      <w:r w:rsidRPr="00545FAE">
        <w:rPr>
          <w:lang w:val="fr-FR"/>
        </w:rPr>
        <w:t>P</w:t>
      </w:r>
      <w:r w:rsidR="00D20A99" w:rsidRPr="00545FAE">
        <w:rPr>
          <w:lang w:val="fr-FR"/>
        </w:rPr>
        <w:t xml:space="preserve">ar conséquent, compte tenu des informations fournies par le pétitionnaire aux autorités, ajoutées au contexte de prolifération de la délinquance violente et de la criminalité organisée dans le pays au moment des faits, la Commission conclut que M. </w:t>
      </w:r>
      <w:r w:rsidR="00516521" w:rsidRPr="00545FAE">
        <w:rPr>
          <w:lang w:val="fr-FR"/>
        </w:rPr>
        <w:t>Baptiste Willer, s</w:t>
      </w:r>
      <w:r w:rsidR="00D20A99" w:rsidRPr="00545FAE">
        <w:rPr>
          <w:lang w:val="fr-FR"/>
        </w:rPr>
        <w:t>on épouse et leurs enfants étaient confrontés à un risque réel et immédiat d’atteinte à leur vie et à l’intégrité de leur personne</w:t>
      </w:r>
      <w:r w:rsidRPr="00545FAE">
        <w:rPr>
          <w:lang w:val="fr-FR"/>
        </w:rPr>
        <w:t>.</w:t>
      </w:r>
    </w:p>
    <w:p w14:paraId="5857ADF7" w14:textId="77777777" w:rsidR="00C213EE" w:rsidRPr="00545FAE" w:rsidRDefault="00C213EE" w:rsidP="00C55B05">
      <w:pPr>
        <w:pStyle w:val="ListParagraph"/>
        <w:numPr>
          <w:ilvl w:val="0"/>
          <w:numId w:val="0"/>
        </w:numPr>
        <w:rPr>
          <w:rFonts w:asciiTheme="majorHAnsi" w:hAnsiTheme="majorHAnsi"/>
          <w:szCs w:val="20"/>
          <w:lang w:val="fr-FR"/>
        </w:rPr>
      </w:pPr>
    </w:p>
    <w:p w14:paraId="36B9B512" w14:textId="77777777" w:rsidR="00C213EE" w:rsidRPr="00545FAE" w:rsidRDefault="00C213EE" w:rsidP="00C55B05">
      <w:pPr>
        <w:pStyle w:val="ListParagraph"/>
        <w:rPr>
          <w:lang w:val="fr-FR"/>
        </w:rPr>
      </w:pPr>
      <w:r w:rsidRPr="00545FAE">
        <w:rPr>
          <w:lang w:val="fr-FR"/>
        </w:rPr>
        <w:t xml:space="preserve">En </w:t>
      </w:r>
      <w:r w:rsidR="008E745C" w:rsidRPr="00545FAE">
        <w:rPr>
          <w:lang w:val="fr-FR"/>
        </w:rPr>
        <w:t>ce qui concerne le fait de savoir si les autorités qui ont eu connaissance de la situation de risque ont adopté, dans le cadre de leurs attributions</w:t>
      </w:r>
      <w:r w:rsidR="00F73498" w:rsidRPr="00545FAE">
        <w:rPr>
          <w:lang w:val="fr-FR"/>
        </w:rPr>
        <w:t>, les mesures nécessaires</w:t>
      </w:r>
      <w:r w:rsidR="008E745C" w:rsidRPr="00545FAE">
        <w:rPr>
          <w:lang w:val="fr-FR"/>
        </w:rPr>
        <w:t xml:space="preserve"> qui, jugées raisonnablement, </w:t>
      </w:r>
      <w:r w:rsidR="00F73498" w:rsidRPr="00545FAE">
        <w:rPr>
          <w:iCs/>
          <w:lang w:val="fr-FR"/>
        </w:rPr>
        <w:t>pouvaient être mises en place pour</w:t>
      </w:r>
      <w:r w:rsidR="008E745C" w:rsidRPr="00545FAE">
        <w:rPr>
          <w:iCs/>
          <w:lang w:val="fr-FR"/>
        </w:rPr>
        <w:t xml:space="preserve"> prévenir ou éviter ce risque</w:t>
      </w:r>
      <w:r w:rsidRPr="00545FAE">
        <w:rPr>
          <w:lang w:val="fr-FR"/>
        </w:rPr>
        <w:t xml:space="preserve">, </w:t>
      </w:r>
      <w:r w:rsidR="00516521" w:rsidRPr="00545FAE">
        <w:rPr>
          <w:lang w:val="fr-FR"/>
        </w:rPr>
        <w:t>la CIDH no</w:t>
      </w:r>
      <w:r w:rsidR="008E745C" w:rsidRPr="00545FAE">
        <w:rPr>
          <w:lang w:val="fr-FR"/>
        </w:rPr>
        <w:t xml:space="preserve">te qu’à partir du 27 février 2007, </w:t>
      </w:r>
      <w:r w:rsidR="004E38F6" w:rsidRPr="00545FAE">
        <w:rPr>
          <w:lang w:val="fr-FR"/>
        </w:rPr>
        <w:t>l’obligation</w:t>
      </w:r>
      <w:r w:rsidR="008E745C" w:rsidRPr="00545FAE">
        <w:rPr>
          <w:lang w:val="fr-FR"/>
        </w:rPr>
        <w:t xml:space="preserve"> de l’État de prendre des mesures de protection </w:t>
      </w:r>
      <w:r w:rsidR="00747458" w:rsidRPr="00545FAE">
        <w:rPr>
          <w:lang w:val="fr-FR"/>
        </w:rPr>
        <w:t>a été mis en œuvre</w:t>
      </w:r>
      <w:r w:rsidR="006E7BF7" w:rsidRPr="00545FAE">
        <w:rPr>
          <w:lang w:val="fr-FR"/>
        </w:rPr>
        <w:t>,</w:t>
      </w:r>
      <w:r w:rsidR="00F722D9" w:rsidRPr="00545FAE">
        <w:rPr>
          <w:lang w:val="fr-FR"/>
        </w:rPr>
        <w:t xml:space="preserve"> conform</w:t>
      </w:r>
      <w:r w:rsidR="008E745C" w:rsidRPr="00545FAE">
        <w:rPr>
          <w:lang w:val="fr-FR"/>
        </w:rPr>
        <w:t xml:space="preserve">ément </w:t>
      </w:r>
      <w:r w:rsidR="004E38F6" w:rsidRPr="00545FAE">
        <w:rPr>
          <w:lang w:val="fr-FR"/>
        </w:rPr>
        <w:t>à l’obligation</w:t>
      </w:r>
      <w:r w:rsidR="008E745C" w:rsidRPr="00545FAE">
        <w:rPr>
          <w:lang w:val="fr-FR"/>
        </w:rPr>
        <w:t xml:space="preserve"> de garantie</w:t>
      </w:r>
      <w:r w:rsidR="00747458" w:rsidRPr="00545FAE">
        <w:rPr>
          <w:lang w:val="fr-FR"/>
        </w:rPr>
        <w:t xml:space="preserve">. Cependant, aucun élément dans le dossier n’indique qu’Haïti a répondu à la demande du pétitionnaire ou a mis en place </w:t>
      </w:r>
      <w:r w:rsidR="008E745C" w:rsidRPr="00545FAE">
        <w:rPr>
          <w:lang w:val="fr-FR"/>
        </w:rPr>
        <w:t xml:space="preserve">les mesures de protection que justifiait le risque couru. </w:t>
      </w:r>
      <w:r w:rsidR="00890CF7" w:rsidRPr="00545FAE">
        <w:rPr>
          <w:lang w:val="fr-FR"/>
        </w:rPr>
        <w:t>Com</w:t>
      </w:r>
      <w:r w:rsidR="00747458" w:rsidRPr="00545FAE">
        <w:rPr>
          <w:lang w:val="fr-FR"/>
        </w:rPr>
        <w:t>me indiqué précédemment, cette situation d’impuissance a entraîné la survenue de nouveaux événements graves</w:t>
      </w:r>
      <w:r w:rsidRPr="00545FAE">
        <w:rPr>
          <w:lang w:val="fr-FR"/>
        </w:rPr>
        <w:t>.</w:t>
      </w:r>
    </w:p>
    <w:p w14:paraId="0D64534D" w14:textId="77777777" w:rsidR="009C09CA" w:rsidRPr="00545FAE" w:rsidRDefault="009C09CA" w:rsidP="009C09CA">
      <w:pPr>
        <w:pStyle w:val="ListParagraph"/>
        <w:numPr>
          <w:ilvl w:val="0"/>
          <w:numId w:val="0"/>
        </w:numPr>
        <w:rPr>
          <w:lang w:val="fr-FR"/>
        </w:rPr>
      </w:pPr>
    </w:p>
    <w:p w14:paraId="5CDC69B1" w14:textId="77777777" w:rsidR="009C09CA" w:rsidRPr="00545FAE" w:rsidRDefault="00761179" w:rsidP="009C09CA">
      <w:pPr>
        <w:pStyle w:val="ListParagraph"/>
        <w:rPr>
          <w:lang w:val="fr-FR"/>
        </w:rPr>
      </w:pPr>
      <w:r w:rsidRPr="00545FAE">
        <w:rPr>
          <w:lang w:val="fr-FR"/>
        </w:rPr>
        <w:t>Au vu de ce qui précède</w:t>
      </w:r>
      <w:r w:rsidR="00D63ABE" w:rsidRPr="00545FAE">
        <w:rPr>
          <w:lang w:val="fr-FR"/>
        </w:rPr>
        <w:t xml:space="preserve">, la Commission estime que l’État ne s’est pas acquitté de son </w:t>
      </w:r>
      <w:r w:rsidR="004E38F6" w:rsidRPr="00545FAE">
        <w:rPr>
          <w:lang w:val="fr-FR"/>
        </w:rPr>
        <w:t>obligation</w:t>
      </w:r>
      <w:r w:rsidR="00D63ABE" w:rsidRPr="00545FAE">
        <w:rPr>
          <w:lang w:val="fr-FR"/>
        </w:rPr>
        <w:t xml:space="preserve"> de protéger les droits à la vie et à l’intégrité de la personne établis aux articles </w:t>
      </w:r>
      <w:r w:rsidR="006E7BF7" w:rsidRPr="00545FAE">
        <w:rPr>
          <w:lang w:val="fr-FR"/>
        </w:rPr>
        <w:t>4.1</w:t>
      </w:r>
      <w:r w:rsidR="00C213EE" w:rsidRPr="00545FAE">
        <w:rPr>
          <w:lang w:val="fr-FR"/>
        </w:rPr>
        <w:t xml:space="preserve"> </w:t>
      </w:r>
      <w:r w:rsidR="00D63ABE" w:rsidRPr="00545FAE">
        <w:rPr>
          <w:lang w:val="fr-FR"/>
        </w:rPr>
        <w:t>et</w:t>
      </w:r>
      <w:r w:rsidR="00C213EE" w:rsidRPr="00545FAE">
        <w:rPr>
          <w:lang w:val="fr-FR"/>
        </w:rPr>
        <w:t xml:space="preserve"> </w:t>
      </w:r>
      <w:r w:rsidR="006E7BF7" w:rsidRPr="00545FAE">
        <w:rPr>
          <w:lang w:val="fr-FR"/>
        </w:rPr>
        <w:t>5.1</w:t>
      </w:r>
      <w:r w:rsidR="00C213EE" w:rsidRPr="00545FAE">
        <w:rPr>
          <w:lang w:val="fr-FR"/>
        </w:rPr>
        <w:t xml:space="preserve"> </w:t>
      </w:r>
      <w:r w:rsidR="006E7BF7" w:rsidRPr="00545FAE">
        <w:rPr>
          <w:lang w:val="fr-FR"/>
        </w:rPr>
        <w:t>de la Conven</w:t>
      </w:r>
      <w:r w:rsidR="00D63ABE" w:rsidRPr="00545FAE">
        <w:rPr>
          <w:lang w:val="fr-FR"/>
        </w:rPr>
        <w:t>tion am</w:t>
      </w:r>
      <w:r w:rsidR="00A75BAB" w:rsidRPr="00545FAE">
        <w:rPr>
          <w:lang w:val="fr-FR"/>
        </w:rPr>
        <w:t>é</w:t>
      </w:r>
      <w:r w:rsidR="00D63ABE" w:rsidRPr="00545FAE">
        <w:rPr>
          <w:lang w:val="fr-FR"/>
        </w:rPr>
        <w:t xml:space="preserve">ricaine, </w:t>
      </w:r>
      <w:r w:rsidR="000506AB" w:rsidRPr="00545FAE">
        <w:rPr>
          <w:lang w:val="fr-FR"/>
        </w:rPr>
        <w:t>en rapport avec</w:t>
      </w:r>
      <w:r w:rsidR="00D63ABE" w:rsidRPr="00545FAE">
        <w:rPr>
          <w:lang w:val="fr-FR"/>
        </w:rPr>
        <w:t xml:space="preserve"> </w:t>
      </w:r>
      <w:r w:rsidR="004E38F6" w:rsidRPr="00545FAE">
        <w:rPr>
          <w:lang w:val="fr-FR"/>
        </w:rPr>
        <w:t>l’obligation</w:t>
      </w:r>
      <w:r w:rsidR="00D63ABE" w:rsidRPr="00545FAE">
        <w:rPr>
          <w:lang w:val="fr-FR"/>
        </w:rPr>
        <w:t xml:space="preserve"> de garantie </w:t>
      </w:r>
      <w:r w:rsidR="00D46E4F" w:rsidRPr="00545FAE">
        <w:rPr>
          <w:lang w:val="fr-FR"/>
        </w:rPr>
        <w:t>de sa composante de protection contenue</w:t>
      </w:r>
      <w:r w:rsidR="00F7605E" w:rsidRPr="00545FAE">
        <w:rPr>
          <w:lang w:val="fr-FR"/>
        </w:rPr>
        <w:t xml:space="preserve"> </w:t>
      </w:r>
      <w:r w:rsidR="00D63ABE" w:rsidRPr="00545FAE">
        <w:rPr>
          <w:lang w:val="fr-FR"/>
        </w:rPr>
        <w:t>à l’article</w:t>
      </w:r>
      <w:r w:rsidR="00F7605E" w:rsidRPr="00545FAE">
        <w:rPr>
          <w:lang w:val="fr-FR"/>
        </w:rPr>
        <w:t xml:space="preserve"> 1.1 </w:t>
      </w:r>
      <w:r w:rsidR="00D63ABE" w:rsidRPr="00545FAE">
        <w:rPr>
          <w:lang w:val="fr-FR"/>
        </w:rPr>
        <w:t>du même instrument</w:t>
      </w:r>
      <w:r w:rsidR="00D46E4F" w:rsidRPr="00545FAE">
        <w:rPr>
          <w:lang w:val="fr-FR"/>
        </w:rPr>
        <w:t>, et ce</w:t>
      </w:r>
      <w:r w:rsidR="006E7BF7" w:rsidRPr="00545FAE">
        <w:rPr>
          <w:lang w:val="fr-FR"/>
        </w:rPr>
        <w:t xml:space="preserve">, </w:t>
      </w:r>
      <w:r w:rsidR="00D63ABE" w:rsidRPr="00545FAE">
        <w:rPr>
          <w:lang w:val="fr-FR"/>
        </w:rPr>
        <w:t xml:space="preserve">aux dépens de M. </w:t>
      </w:r>
      <w:r w:rsidR="006E7BF7" w:rsidRPr="00545FAE">
        <w:rPr>
          <w:lang w:val="fr-FR"/>
        </w:rPr>
        <w:t xml:space="preserve">Baptiste Willer, </w:t>
      </w:r>
      <w:r w:rsidR="00D63ABE" w:rsidRPr="00545FAE">
        <w:rPr>
          <w:lang w:val="fr-FR"/>
        </w:rPr>
        <w:t>son épouse, Mme Noëlzina Baptiste, et leurs trois enfants</w:t>
      </w:r>
      <w:r w:rsidR="006E7BF7" w:rsidRPr="00545FAE">
        <w:rPr>
          <w:lang w:val="fr-FR"/>
        </w:rPr>
        <w:t xml:space="preserve">, Baptiste Costaguinov, Baptiste Wilderson </w:t>
      </w:r>
      <w:r w:rsidR="00D63ABE" w:rsidRPr="00545FAE">
        <w:rPr>
          <w:lang w:val="fr-FR"/>
        </w:rPr>
        <w:t>et</w:t>
      </w:r>
      <w:r w:rsidR="006E7BF7" w:rsidRPr="00545FAE">
        <w:rPr>
          <w:lang w:val="fr-FR"/>
        </w:rPr>
        <w:t xml:space="preserve"> Baptiste Noë-Willo. </w:t>
      </w:r>
    </w:p>
    <w:p w14:paraId="0ECF9866" w14:textId="77777777" w:rsidR="009C09CA" w:rsidRPr="00545FAE" w:rsidRDefault="009C09CA" w:rsidP="009C09CA">
      <w:pPr>
        <w:pStyle w:val="ListParagraph"/>
        <w:numPr>
          <w:ilvl w:val="0"/>
          <w:numId w:val="0"/>
        </w:numPr>
        <w:rPr>
          <w:lang w:val="fr-FR"/>
        </w:rPr>
      </w:pPr>
    </w:p>
    <w:p w14:paraId="4D164683" w14:textId="77777777" w:rsidR="009C09CA" w:rsidRPr="00545FAE" w:rsidRDefault="00A75BAB" w:rsidP="009C09CA">
      <w:pPr>
        <w:pStyle w:val="ListParagraph"/>
        <w:rPr>
          <w:lang w:val="fr-FR"/>
        </w:rPr>
      </w:pPr>
      <w:r w:rsidRPr="00545FAE">
        <w:rPr>
          <w:lang w:val="fr-FR"/>
        </w:rPr>
        <w:t>De plus</w:t>
      </w:r>
      <w:r w:rsidR="009C09CA" w:rsidRPr="00545FAE">
        <w:rPr>
          <w:lang w:val="fr-FR"/>
        </w:rPr>
        <w:t>, la Com</w:t>
      </w:r>
      <w:r w:rsidRPr="00545FAE">
        <w:rPr>
          <w:lang w:val="fr-FR"/>
        </w:rPr>
        <w:t xml:space="preserve">mission ne peut </w:t>
      </w:r>
      <w:r w:rsidR="00D43F3E" w:rsidRPr="00545FAE">
        <w:rPr>
          <w:lang w:val="fr-FR"/>
        </w:rPr>
        <w:t>que</w:t>
      </w:r>
      <w:r w:rsidR="005C0460" w:rsidRPr="00545FAE">
        <w:rPr>
          <w:lang w:val="fr-FR"/>
        </w:rPr>
        <w:t xml:space="preserve"> noter qu’au moment des faits, les trois enfants de M. </w:t>
      </w:r>
      <w:r w:rsidR="009C09CA" w:rsidRPr="00545FAE">
        <w:rPr>
          <w:lang w:val="fr-FR"/>
        </w:rPr>
        <w:t>Baptiste</w:t>
      </w:r>
      <w:r w:rsidR="004E38F6" w:rsidRPr="00545FAE">
        <w:rPr>
          <w:lang w:val="fr-FR"/>
        </w:rPr>
        <w:t xml:space="preserve"> étaient</w:t>
      </w:r>
      <w:r w:rsidR="005C0460" w:rsidRPr="00545FAE">
        <w:rPr>
          <w:lang w:val="fr-FR"/>
        </w:rPr>
        <w:t xml:space="preserve"> mineurs et qu’il</w:t>
      </w:r>
      <w:r w:rsidR="009C09CA" w:rsidRPr="00545FAE">
        <w:rPr>
          <w:lang w:val="fr-FR"/>
        </w:rPr>
        <w:t xml:space="preserve"> </w:t>
      </w:r>
      <w:r w:rsidR="004E38F6" w:rsidRPr="00545FAE">
        <w:rPr>
          <w:lang w:val="fr-FR"/>
        </w:rPr>
        <w:t xml:space="preserve">existait une obligation spéciale pour l’État de protéger leurs droits en tenant compte de leur intérêt supérieur. La Commission conclut donc que l’État a </w:t>
      </w:r>
      <w:r w:rsidR="00961FAB" w:rsidRPr="00545FAE">
        <w:rPr>
          <w:lang w:val="fr-FR"/>
        </w:rPr>
        <w:t xml:space="preserve">aussi </w:t>
      </w:r>
      <w:r w:rsidR="004E38F6" w:rsidRPr="00545FAE">
        <w:rPr>
          <w:lang w:val="fr-FR"/>
        </w:rPr>
        <w:t xml:space="preserve">violé l’article </w:t>
      </w:r>
      <w:r w:rsidR="009C09CA" w:rsidRPr="00545FAE">
        <w:rPr>
          <w:lang w:val="fr-FR"/>
        </w:rPr>
        <w:t>19 de la Conven</w:t>
      </w:r>
      <w:r w:rsidR="004E38F6" w:rsidRPr="00545FAE">
        <w:rPr>
          <w:lang w:val="fr-FR"/>
        </w:rPr>
        <w:t>tion</w:t>
      </w:r>
      <w:r w:rsidR="00890CF7" w:rsidRPr="00545FAE">
        <w:rPr>
          <w:lang w:val="fr-FR"/>
        </w:rPr>
        <w:t>,</w:t>
      </w:r>
      <w:r w:rsidR="009C09CA" w:rsidRPr="00545FAE">
        <w:rPr>
          <w:lang w:val="fr-FR"/>
        </w:rPr>
        <w:t xml:space="preserve"> </w:t>
      </w:r>
      <w:r w:rsidR="000506AB" w:rsidRPr="00545FAE">
        <w:rPr>
          <w:lang w:val="fr-FR"/>
        </w:rPr>
        <w:t>en rapport avec</w:t>
      </w:r>
      <w:r w:rsidR="004E38F6" w:rsidRPr="00545FAE">
        <w:rPr>
          <w:lang w:val="fr-FR"/>
        </w:rPr>
        <w:t xml:space="preserve"> l’article</w:t>
      </w:r>
      <w:r w:rsidR="009C09CA" w:rsidRPr="00545FAE">
        <w:rPr>
          <w:lang w:val="fr-FR"/>
        </w:rPr>
        <w:t xml:space="preserve"> 1.1 </w:t>
      </w:r>
      <w:r w:rsidR="004E38F6" w:rsidRPr="00545FAE">
        <w:rPr>
          <w:lang w:val="fr-FR"/>
        </w:rPr>
        <w:t>du même instrument</w:t>
      </w:r>
      <w:r w:rsidR="00890CF7" w:rsidRPr="00545FAE">
        <w:rPr>
          <w:lang w:val="fr-FR"/>
        </w:rPr>
        <w:t>,</w:t>
      </w:r>
      <w:r w:rsidR="009C09CA" w:rsidRPr="00545FAE">
        <w:rPr>
          <w:lang w:val="fr-FR"/>
        </w:rPr>
        <w:t xml:space="preserve"> </w:t>
      </w:r>
      <w:r w:rsidR="004E38F6" w:rsidRPr="00545FAE">
        <w:rPr>
          <w:lang w:val="fr-FR"/>
        </w:rPr>
        <w:t xml:space="preserve">et ce, aux dépens de </w:t>
      </w:r>
      <w:r w:rsidR="009C09CA" w:rsidRPr="00545FAE">
        <w:rPr>
          <w:lang w:val="fr-FR"/>
        </w:rPr>
        <w:t xml:space="preserve">Baptiste Costaguinov, Baptiste Wilderson </w:t>
      </w:r>
      <w:r w:rsidR="004E38F6" w:rsidRPr="00545FAE">
        <w:rPr>
          <w:lang w:val="fr-FR"/>
        </w:rPr>
        <w:t xml:space="preserve">et </w:t>
      </w:r>
      <w:r w:rsidR="009C09CA" w:rsidRPr="00545FAE">
        <w:rPr>
          <w:lang w:val="fr-FR"/>
        </w:rPr>
        <w:t xml:space="preserve">Baptiste Noë-Willo. </w:t>
      </w:r>
    </w:p>
    <w:p w14:paraId="6A9BF80A" w14:textId="77777777" w:rsidR="00345EF7" w:rsidRPr="00545FAE" w:rsidRDefault="00345EF7" w:rsidP="00345EF7">
      <w:pPr>
        <w:pStyle w:val="ListParagraph"/>
        <w:numPr>
          <w:ilvl w:val="0"/>
          <w:numId w:val="0"/>
        </w:numPr>
        <w:rPr>
          <w:lang w:val="fr-FR"/>
        </w:rPr>
      </w:pPr>
    </w:p>
    <w:p w14:paraId="7C877969" w14:textId="77777777" w:rsidR="00345EF7" w:rsidRPr="00545FAE" w:rsidRDefault="00345EF7" w:rsidP="00345EF7">
      <w:pPr>
        <w:pStyle w:val="ListParagraph"/>
        <w:numPr>
          <w:ilvl w:val="0"/>
          <w:numId w:val="0"/>
        </w:numPr>
        <w:rPr>
          <w:lang w:val="fr-FR"/>
        </w:rPr>
      </w:pPr>
    </w:p>
    <w:p w14:paraId="7449B2EB" w14:textId="77777777" w:rsidR="009C09CA" w:rsidRPr="00545FAE" w:rsidRDefault="009C09CA" w:rsidP="00C55B05">
      <w:pPr>
        <w:pStyle w:val="ListParagraph"/>
        <w:numPr>
          <w:ilvl w:val="0"/>
          <w:numId w:val="0"/>
        </w:numPr>
        <w:rPr>
          <w:lang w:val="fr-FR"/>
        </w:rPr>
      </w:pPr>
    </w:p>
    <w:p w14:paraId="4A61D24A" w14:textId="77777777" w:rsidR="00F7605E" w:rsidRPr="00545FAE" w:rsidRDefault="008F2947" w:rsidP="00C55B05">
      <w:pPr>
        <w:pStyle w:val="Heading2"/>
        <w:rPr>
          <w:lang w:val="fr-FR"/>
        </w:rPr>
      </w:pPr>
      <w:bookmarkStart w:id="15" w:name="_Toc33019289"/>
      <w:r w:rsidRPr="00545FAE">
        <w:rPr>
          <w:lang w:val="fr-FR"/>
        </w:rPr>
        <w:t>D</w:t>
      </w:r>
      <w:r w:rsidR="00421C73" w:rsidRPr="00545FAE">
        <w:rPr>
          <w:lang w:val="fr-FR"/>
        </w:rPr>
        <w:t>roits à la liberté de déplacement et de résidence</w:t>
      </w:r>
      <w:r w:rsidR="000A3FA3" w:rsidRPr="00545FAE">
        <w:rPr>
          <w:vertAlign w:val="superscript"/>
          <w:lang w:val="fr-FR"/>
        </w:rPr>
        <w:footnoteReference w:id="50"/>
      </w:r>
      <w:r w:rsidRPr="00545FAE">
        <w:rPr>
          <w:lang w:val="fr-FR"/>
        </w:rPr>
        <w:t xml:space="preserve"> </w:t>
      </w:r>
      <w:r w:rsidR="00421C73" w:rsidRPr="00545FAE">
        <w:rPr>
          <w:lang w:val="fr-FR"/>
        </w:rPr>
        <w:t>et droits de l’enfant</w:t>
      </w:r>
      <w:r w:rsidRPr="00545FAE">
        <w:rPr>
          <w:lang w:val="fr-FR"/>
        </w:rPr>
        <w:t xml:space="preserve">, </w:t>
      </w:r>
      <w:r w:rsidR="000506AB" w:rsidRPr="00545FAE">
        <w:rPr>
          <w:lang w:val="fr-FR"/>
        </w:rPr>
        <w:t>en rapport avec</w:t>
      </w:r>
      <w:r w:rsidR="00421C73" w:rsidRPr="00545FAE">
        <w:rPr>
          <w:lang w:val="fr-FR"/>
        </w:rPr>
        <w:t xml:space="preserve"> l’article</w:t>
      </w:r>
      <w:r w:rsidRPr="00545FAE">
        <w:rPr>
          <w:lang w:val="fr-FR"/>
        </w:rPr>
        <w:t xml:space="preserve"> 1.1 de la Conven</w:t>
      </w:r>
      <w:r w:rsidR="00421C73" w:rsidRPr="00545FAE">
        <w:rPr>
          <w:lang w:val="fr-FR"/>
        </w:rPr>
        <w:t>tion américaine</w:t>
      </w:r>
      <w:bookmarkEnd w:id="15"/>
      <w:r w:rsidR="00F7605E" w:rsidRPr="00545FAE" w:rsidDel="00F7605E">
        <w:rPr>
          <w:lang w:val="fr-FR"/>
        </w:rPr>
        <w:t xml:space="preserve"> </w:t>
      </w:r>
    </w:p>
    <w:p w14:paraId="25CD3089" w14:textId="77777777" w:rsidR="003D0953" w:rsidRPr="00545FAE" w:rsidRDefault="003D0953" w:rsidP="00C55B05">
      <w:pPr>
        <w:pStyle w:val="ListParagraph"/>
        <w:numPr>
          <w:ilvl w:val="0"/>
          <w:numId w:val="0"/>
        </w:numPr>
        <w:rPr>
          <w:lang w:val="fr-FR"/>
        </w:rPr>
      </w:pPr>
    </w:p>
    <w:p w14:paraId="4BCBAE77" w14:textId="77777777" w:rsidR="00AF2987" w:rsidRPr="00545FAE" w:rsidRDefault="00A341B4" w:rsidP="00C55B05">
      <w:pPr>
        <w:pStyle w:val="ListParagraph"/>
        <w:rPr>
          <w:lang w:val="fr-FR"/>
        </w:rPr>
      </w:pPr>
      <w:r w:rsidRPr="00545FAE">
        <w:rPr>
          <w:lang w:val="fr-FR"/>
        </w:rPr>
        <w:t xml:space="preserve">En </w:t>
      </w:r>
      <w:r w:rsidR="00BF25B9" w:rsidRPr="00545FAE">
        <w:rPr>
          <w:lang w:val="fr-FR"/>
        </w:rPr>
        <w:t xml:space="preserve">ce qui concerne le droit de déplacement et de résidence reconnu à l’article </w:t>
      </w:r>
      <w:r w:rsidRPr="00545FAE">
        <w:rPr>
          <w:lang w:val="fr-FR"/>
        </w:rPr>
        <w:t>22.1 de la Conven</w:t>
      </w:r>
      <w:r w:rsidR="00BF25B9" w:rsidRPr="00545FAE">
        <w:rPr>
          <w:lang w:val="fr-FR"/>
        </w:rPr>
        <w:t>tion, la Cour a indiqué qu’il constituait « une condition indispensable au libre développement de la personne »</w:t>
      </w:r>
      <w:r w:rsidRPr="00545FAE">
        <w:rPr>
          <w:vertAlign w:val="superscript"/>
          <w:lang w:val="fr-FR"/>
        </w:rPr>
        <w:footnoteReference w:id="51"/>
      </w:r>
      <w:r w:rsidR="00BF25B9" w:rsidRPr="00545FAE">
        <w:rPr>
          <w:lang w:val="fr-FR"/>
        </w:rPr>
        <w:t>, qui comprend notamment « le droit des individus qui se trouvent légalement sur le territoire d'un État à y circuler librement et à y résider »</w:t>
      </w:r>
      <w:r w:rsidRPr="00545FAE">
        <w:rPr>
          <w:vertAlign w:val="superscript"/>
          <w:lang w:val="fr-FR"/>
        </w:rPr>
        <w:footnoteReference w:id="52"/>
      </w:r>
      <w:r w:rsidR="00F504F1" w:rsidRPr="00545FAE">
        <w:rPr>
          <w:lang w:val="fr-FR"/>
        </w:rPr>
        <w:t xml:space="preserve">. </w:t>
      </w:r>
      <w:r w:rsidR="00A926F6" w:rsidRPr="00545FAE">
        <w:rPr>
          <w:lang w:val="fr-FR"/>
        </w:rPr>
        <w:t>Ce droit</w:t>
      </w:r>
      <w:r w:rsidR="004F7545" w:rsidRPr="00545FAE">
        <w:rPr>
          <w:lang w:val="fr-FR"/>
        </w:rPr>
        <w:t xml:space="preserve"> « </w:t>
      </w:r>
      <w:r w:rsidR="00A926F6" w:rsidRPr="00545FAE">
        <w:rPr>
          <w:lang w:val="fr-FR"/>
        </w:rPr>
        <w:t xml:space="preserve">peut faire l’objet d’une </w:t>
      </w:r>
      <w:r w:rsidR="004F7545" w:rsidRPr="00545FAE">
        <w:rPr>
          <w:lang w:val="fr-FR"/>
        </w:rPr>
        <w:t xml:space="preserve">violation en raison de restrictions </w:t>
      </w:r>
      <w:r w:rsidRPr="00545FAE">
        <w:rPr>
          <w:i/>
          <w:lang w:val="fr-FR"/>
        </w:rPr>
        <w:t xml:space="preserve">de facto </w:t>
      </w:r>
      <w:r w:rsidR="00A97C70" w:rsidRPr="00545FAE">
        <w:rPr>
          <w:lang w:val="fr-FR"/>
        </w:rPr>
        <w:t xml:space="preserve">si l’État n’a </w:t>
      </w:r>
      <w:r w:rsidR="00F504F1" w:rsidRPr="00545FAE">
        <w:rPr>
          <w:lang w:val="fr-FR"/>
        </w:rPr>
        <w:t>ni</w:t>
      </w:r>
      <w:r w:rsidR="00A97C70" w:rsidRPr="00545FAE">
        <w:rPr>
          <w:lang w:val="fr-FR"/>
        </w:rPr>
        <w:t xml:space="preserve"> mis en place les conditions ni prévu les moyens </w:t>
      </w:r>
      <w:r w:rsidR="00F504F1" w:rsidRPr="00545FAE">
        <w:rPr>
          <w:lang w:val="fr-FR"/>
        </w:rPr>
        <w:t>qui permettent de l’exercer »</w:t>
      </w:r>
      <w:r w:rsidRPr="00545FAE">
        <w:rPr>
          <w:vertAlign w:val="superscript"/>
          <w:lang w:val="fr-FR"/>
        </w:rPr>
        <w:footnoteReference w:id="53"/>
      </w:r>
      <w:r w:rsidR="00A97C70" w:rsidRPr="00545FAE">
        <w:rPr>
          <w:lang w:val="fr-FR"/>
        </w:rPr>
        <w:t xml:space="preserve">, en particulier « lorsqu’une </w:t>
      </w:r>
      <w:r w:rsidR="00A97C70" w:rsidRPr="00545FAE">
        <w:rPr>
          <w:lang w:val="fr-FR"/>
        </w:rPr>
        <w:lastRenderedPageBreak/>
        <w:t>personne est victime de menaces ou d’intimidations et que l’État ne fournit pas les garanties nécessaires pour qu’elle puisse circuler librement et résider dans le lieu de son choix sur le territoire concerné, même dans les cas où les auteurs desdites menaces et intimidations ne sont pas des agents de l’État »</w:t>
      </w:r>
      <w:r w:rsidRPr="00545FAE">
        <w:rPr>
          <w:vertAlign w:val="superscript"/>
          <w:lang w:val="fr-FR"/>
        </w:rPr>
        <w:footnoteReference w:id="54"/>
      </w:r>
      <w:r w:rsidRPr="00545FAE">
        <w:rPr>
          <w:lang w:val="fr-FR"/>
        </w:rPr>
        <w:t>.</w:t>
      </w:r>
      <w:r w:rsidR="00AF2987" w:rsidRPr="00545FAE">
        <w:rPr>
          <w:lang w:val="fr-FR"/>
        </w:rPr>
        <w:t xml:space="preserve"> </w:t>
      </w:r>
    </w:p>
    <w:p w14:paraId="5FF0FBFF" w14:textId="77777777" w:rsidR="00AF2987" w:rsidRPr="00545FAE" w:rsidRDefault="00AF2987" w:rsidP="00C55B05">
      <w:pPr>
        <w:pStyle w:val="ListParagraph"/>
        <w:numPr>
          <w:ilvl w:val="0"/>
          <w:numId w:val="0"/>
        </w:numPr>
        <w:rPr>
          <w:lang w:val="fr-FR"/>
        </w:rPr>
      </w:pPr>
    </w:p>
    <w:p w14:paraId="3B004DA3" w14:textId="77777777" w:rsidR="00A341B4" w:rsidRPr="00545FAE" w:rsidRDefault="00C23E1E" w:rsidP="00C55B05">
      <w:pPr>
        <w:pStyle w:val="ListParagraph"/>
        <w:rPr>
          <w:lang w:val="fr-FR"/>
        </w:rPr>
      </w:pPr>
      <w:r w:rsidRPr="00545FAE">
        <w:rPr>
          <w:lang w:val="fr-FR"/>
        </w:rPr>
        <w:t>L</w:t>
      </w:r>
      <w:r w:rsidR="00472708" w:rsidRPr="00545FAE">
        <w:rPr>
          <w:lang w:val="fr-FR"/>
        </w:rPr>
        <w:t>’</w:t>
      </w:r>
      <w:r w:rsidR="00AF2987" w:rsidRPr="00545FAE">
        <w:rPr>
          <w:lang w:val="fr-FR"/>
        </w:rPr>
        <w:t>obliga</w:t>
      </w:r>
      <w:r w:rsidR="00472708" w:rsidRPr="00545FAE">
        <w:rPr>
          <w:lang w:val="fr-FR"/>
        </w:rPr>
        <w:t xml:space="preserve">tion de garantie </w:t>
      </w:r>
      <w:r w:rsidR="00A44D73" w:rsidRPr="00545FAE">
        <w:rPr>
          <w:lang w:val="fr-FR"/>
        </w:rPr>
        <w:t>de l’État en matière de protection des</w:t>
      </w:r>
      <w:r w:rsidR="00472708" w:rsidRPr="00545FAE">
        <w:rPr>
          <w:lang w:val="fr-FR"/>
        </w:rPr>
        <w:t xml:space="preserve"> droits des personnes déplacées </w:t>
      </w:r>
      <w:r w:rsidR="00A44D73" w:rsidRPr="00545FAE">
        <w:rPr>
          <w:lang w:val="fr-FR"/>
        </w:rPr>
        <w:t xml:space="preserve">comporte l’obligation d’adopter des mesures de prévention et de fournir les conditions nécessaires pour faciliter un retour délibéré, digne et sûr dans le lieu de résidence habituel ou une réinstallation volontaire dans une autre région du pays, en garantissant </w:t>
      </w:r>
      <w:r w:rsidR="00A926F6" w:rsidRPr="00545FAE">
        <w:rPr>
          <w:lang w:val="fr-FR"/>
        </w:rPr>
        <w:t xml:space="preserve">la </w:t>
      </w:r>
      <w:r w:rsidR="00A44D73" w:rsidRPr="00545FAE">
        <w:rPr>
          <w:lang w:val="fr-FR"/>
        </w:rPr>
        <w:t xml:space="preserve">pleine participation </w:t>
      </w:r>
      <w:r w:rsidR="00A926F6" w:rsidRPr="00545FAE">
        <w:rPr>
          <w:lang w:val="fr-FR"/>
        </w:rPr>
        <w:t xml:space="preserve">de ces personnes </w:t>
      </w:r>
      <w:r w:rsidR="00FC4EC1" w:rsidRPr="00545FAE">
        <w:rPr>
          <w:lang w:val="fr-FR"/>
        </w:rPr>
        <w:t>à</w:t>
      </w:r>
      <w:r w:rsidR="00A44D73" w:rsidRPr="00545FAE">
        <w:rPr>
          <w:lang w:val="fr-FR"/>
        </w:rPr>
        <w:t xml:space="preserve"> la planification et la gestion </w:t>
      </w:r>
      <w:r w:rsidR="00FC4EC1" w:rsidRPr="00545FAE">
        <w:rPr>
          <w:lang w:val="fr-FR"/>
        </w:rPr>
        <w:t>de leur</w:t>
      </w:r>
      <w:r w:rsidR="00A44D73" w:rsidRPr="00545FAE">
        <w:rPr>
          <w:lang w:val="fr-FR"/>
        </w:rPr>
        <w:t xml:space="preserve"> retour ou</w:t>
      </w:r>
      <w:r w:rsidR="00FC4EC1" w:rsidRPr="00545FAE">
        <w:rPr>
          <w:lang w:val="fr-FR"/>
        </w:rPr>
        <w:t xml:space="preserve"> de leur</w:t>
      </w:r>
      <w:r w:rsidR="00A44D73" w:rsidRPr="00545FAE">
        <w:rPr>
          <w:lang w:val="fr-FR"/>
        </w:rPr>
        <w:t xml:space="preserve"> réintégration</w:t>
      </w:r>
      <w:r w:rsidR="00AF2987" w:rsidRPr="00545FAE">
        <w:rPr>
          <w:rStyle w:val="FootnoteReference"/>
          <w:lang w:val="fr-FR"/>
        </w:rPr>
        <w:footnoteReference w:id="55"/>
      </w:r>
      <w:r w:rsidR="00AF2987" w:rsidRPr="00545FAE">
        <w:rPr>
          <w:lang w:val="fr-FR"/>
        </w:rPr>
        <w:t>.</w:t>
      </w:r>
    </w:p>
    <w:p w14:paraId="15AF448D" w14:textId="77777777" w:rsidR="0000378F" w:rsidRPr="00545FAE" w:rsidRDefault="0000378F" w:rsidP="00C55B05">
      <w:pPr>
        <w:pStyle w:val="ListParagraph"/>
        <w:numPr>
          <w:ilvl w:val="0"/>
          <w:numId w:val="0"/>
        </w:numPr>
        <w:rPr>
          <w:lang w:val="fr-FR"/>
        </w:rPr>
      </w:pPr>
    </w:p>
    <w:p w14:paraId="7FE5A2FF" w14:textId="77777777" w:rsidR="0000378F" w:rsidRPr="00545FAE" w:rsidRDefault="00FC4EC1" w:rsidP="00C55B05">
      <w:pPr>
        <w:pStyle w:val="ListParagraph"/>
        <w:rPr>
          <w:szCs w:val="20"/>
          <w:lang w:val="fr-FR"/>
        </w:rPr>
      </w:pPr>
      <w:r w:rsidRPr="00545FAE">
        <w:rPr>
          <w:lang w:val="fr-FR"/>
        </w:rPr>
        <w:t>De plus, dans les cas où des enfants comptent parmi les victimes de déplacement forcé</w:t>
      </w:r>
      <w:r w:rsidRPr="00545FAE">
        <w:rPr>
          <w:szCs w:val="20"/>
          <w:lang w:val="fr-FR"/>
        </w:rPr>
        <w:t>, le</w:t>
      </w:r>
      <w:r w:rsidR="0000378F" w:rsidRPr="00545FAE">
        <w:rPr>
          <w:szCs w:val="20"/>
          <w:lang w:val="fr-FR"/>
        </w:rPr>
        <w:t>s viola</w:t>
      </w:r>
      <w:r w:rsidRPr="00545FAE">
        <w:rPr>
          <w:szCs w:val="20"/>
          <w:lang w:val="fr-FR"/>
        </w:rPr>
        <w:t xml:space="preserve">tions de ces droits </w:t>
      </w:r>
      <w:r w:rsidR="00507678" w:rsidRPr="00545FAE">
        <w:rPr>
          <w:szCs w:val="20"/>
          <w:lang w:val="fr-FR"/>
        </w:rPr>
        <w:t xml:space="preserve">interviennent </w:t>
      </w:r>
      <w:r w:rsidR="00A926F6" w:rsidRPr="00545FAE">
        <w:rPr>
          <w:szCs w:val="20"/>
          <w:lang w:val="fr-FR"/>
        </w:rPr>
        <w:t xml:space="preserve">également </w:t>
      </w:r>
      <w:r w:rsidR="000506AB" w:rsidRPr="00545FAE">
        <w:rPr>
          <w:szCs w:val="20"/>
          <w:lang w:val="fr-FR"/>
        </w:rPr>
        <w:t>en rapport avec</w:t>
      </w:r>
      <w:r w:rsidR="00507678" w:rsidRPr="00545FAE">
        <w:rPr>
          <w:szCs w:val="20"/>
          <w:lang w:val="fr-FR"/>
        </w:rPr>
        <w:t xml:space="preserve"> l’article 19 de la Convention</w:t>
      </w:r>
      <w:r w:rsidR="0000378F" w:rsidRPr="00545FAE">
        <w:rPr>
          <w:rStyle w:val="FootnoteReference"/>
          <w:szCs w:val="20"/>
          <w:lang w:val="fr-FR"/>
        </w:rPr>
        <w:footnoteReference w:id="56"/>
      </w:r>
      <w:r w:rsidR="0000378F" w:rsidRPr="00545FAE">
        <w:rPr>
          <w:szCs w:val="20"/>
          <w:lang w:val="fr-FR"/>
        </w:rPr>
        <w:t>.</w:t>
      </w:r>
    </w:p>
    <w:p w14:paraId="27AAFF4F" w14:textId="77777777" w:rsidR="003D0953" w:rsidRPr="00545FAE" w:rsidRDefault="003D0953" w:rsidP="00A341B4">
      <w:pPr>
        <w:rPr>
          <w:rFonts w:ascii="Cambria" w:hAnsi="Cambria"/>
          <w:sz w:val="20"/>
          <w:szCs w:val="20"/>
          <w:lang w:val="fr-FR"/>
        </w:rPr>
      </w:pPr>
    </w:p>
    <w:p w14:paraId="6611381D" w14:textId="77777777" w:rsidR="009E3CB0" w:rsidRPr="00545FAE" w:rsidRDefault="00A926F6" w:rsidP="009E3CB0">
      <w:pPr>
        <w:pStyle w:val="Heading3"/>
        <w:numPr>
          <w:ilvl w:val="0"/>
          <w:numId w:val="0"/>
        </w:numPr>
        <w:ind w:left="720"/>
        <w:rPr>
          <w:lang w:val="fr-FR"/>
        </w:rPr>
      </w:pPr>
      <w:bookmarkStart w:id="16" w:name="_Toc33019290"/>
      <w:r w:rsidRPr="00545FAE">
        <w:rPr>
          <w:lang w:val="fr-FR"/>
        </w:rPr>
        <w:t>Analyse sur l’affaire</w:t>
      </w:r>
      <w:bookmarkEnd w:id="16"/>
    </w:p>
    <w:p w14:paraId="3DA29623" w14:textId="77777777" w:rsidR="001D3061" w:rsidRPr="00545FAE" w:rsidRDefault="001D3061" w:rsidP="00A341B4">
      <w:pPr>
        <w:rPr>
          <w:rFonts w:ascii="Cambria" w:hAnsi="Cambria"/>
          <w:sz w:val="20"/>
          <w:szCs w:val="20"/>
          <w:lang w:val="fr-FR"/>
        </w:rPr>
      </w:pPr>
    </w:p>
    <w:p w14:paraId="2166A23F" w14:textId="77777777" w:rsidR="00EE0A0D" w:rsidRPr="00545FAE" w:rsidRDefault="0061510B" w:rsidP="00135333">
      <w:pPr>
        <w:pStyle w:val="ListParagraph"/>
        <w:rPr>
          <w:lang w:val="fr-FR"/>
        </w:rPr>
      </w:pPr>
      <w:r w:rsidRPr="00545FAE">
        <w:rPr>
          <w:szCs w:val="20"/>
          <w:lang w:val="fr-FR"/>
        </w:rPr>
        <w:t>Comme</w:t>
      </w:r>
      <w:r w:rsidR="00EE0A0D" w:rsidRPr="00545FAE">
        <w:rPr>
          <w:szCs w:val="20"/>
          <w:lang w:val="fr-FR"/>
        </w:rPr>
        <w:t xml:space="preserve"> </w:t>
      </w:r>
      <w:r w:rsidR="00507678" w:rsidRPr="00545FAE">
        <w:rPr>
          <w:szCs w:val="20"/>
          <w:lang w:val="fr-FR"/>
        </w:rPr>
        <w:t>il est précisé dans les faits avérés, après avoir informé les autorités des événements décrits précédemment, et en l’absence d’un quelconque type de protection, d’aide ou de réponse de la part de l’État,</w:t>
      </w:r>
      <w:r w:rsidR="00860CF3" w:rsidRPr="00545FAE">
        <w:rPr>
          <w:szCs w:val="20"/>
          <w:lang w:val="fr-FR"/>
        </w:rPr>
        <w:t xml:space="preserve"> </w:t>
      </w:r>
      <w:r w:rsidR="00507678" w:rsidRPr="00545FAE">
        <w:rPr>
          <w:szCs w:val="20"/>
          <w:lang w:val="fr-FR"/>
        </w:rPr>
        <w:t xml:space="preserve">M. </w:t>
      </w:r>
      <w:r w:rsidR="00EE0A0D" w:rsidRPr="00545FAE">
        <w:rPr>
          <w:szCs w:val="20"/>
          <w:lang w:val="fr-FR"/>
        </w:rPr>
        <w:t>Baptiste Willer, s</w:t>
      </w:r>
      <w:r w:rsidR="00507678" w:rsidRPr="00545FAE">
        <w:rPr>
          <w:szCs w:val="20"/>
          <w:lang w:val="fr-FR"/>
        </w:rPr>
        <w:t xml:space="preserve">on épouse et leurs enfants mineurs ont continué à ressentir une sentiment permanent d’insécurité et ont été victimes de menaces téléphoniques et physiques continuelles, ainsi que d’attaques. </w:t>
      </w:r>
      <w:r w:rsidR="009C2E98" w:rsidRPr="00545FAE">
        <w:rPr>
          <w:szCs w:val="20"/>
          <w:lang w:val="fr-FR"/>
        </w:rPr>
        <w:t>Étant donné l</w:t>
      </w:r>
      <w:r w:rsidR="00507678" w:rsidRPr="00545FAE">
        <w:rPr>
          <w:szCs w:val="20"/>
          <w:lang w:val="fr-FR"/>
        </w:rPr>
        <w:t xml:space="preserve">es circonstances, ils se sont vus contraints d’abandonner leur domicile et leur commerce et de vivre </w:t>
      </w:r>
      <w:r w:rsidR="009C2E98" w:rsidRPr="00545FAE">
        <w:rPr>
          <w:szCs w:val="20"/>
          <w:lang w:val="fr-FR"/>
        </w:rPr>
        <w:t>dans une fuite permanente</w:t>
      </w:r>
      <w:r w:rsidR="00C55B05" w:rsidRPr="00545FAE">
        <w:rPr>
          <w:rFonts w:asciiTheme="majorHAnsi" w:hAnsiTheme="majorHAnsi"/>
          <w:szCs w:val="20"/>
          <w:lang w:val="fr-FR"/>
        </w:rPr>
        <w:t>.</w:t>
      </w:r>
      <w:r w:rsidR="00135333" w:rsidRPr="00545FAE">
        <w:rPr>
          <w:rFonts w:eastAsia="PMingLiU"/>
          <w:lang w:val="fr-FR" w:eastAsia="zh-TW"/>
        </w:rPr>
        <w:t xml:space="preserve"> </w:t>
      </w:r>
      <w:r w:rsidR="009C2E98" w:rsidRPr="00545FAE">
        <w:rPr>
          <w:rFonts w:eastAsia="PMingLiU"/>
          <w:lang w:val="fr-FR" w:eastAsia="zh-TW"/>
        </w:rPr>
        <w:t xml:space="preserve">De plus, il n’existe aucun élément indiquant qu’Haïti a adopté une quelconque mesure pour faciliter le retour délibéré, digne et sûr </w:t>
      </w:r>
      <w:r w:rsidR="00C34D2D" w:rsidRPr="00545FAE">
        <w:rPr>
          <w:rFonts w:asciiTheme="majorHAnsi" w:hAnsiTheme="majorHAnsi"/>
          <w:szCs w:val="20"/>
          <w:lang w:val="fr-FR"/>
        </w:rPr>
        <w:t>de</w:t>
      </w:r>
      <w:r w:rsidR="009C2E98" w:rsidRPr="00545FAE">
        <w:rPr>
          <w:rFonts w:asciiTheme="majorHAnsi" w:eastAsia="Times New Roman" w:hAnsiTheme="majorHAnsi" w:cs="Times New Roman"/>
          <w:color w:val="auto"/>
          <w:sz w:val="24"/>
          <w:szCs w:val="20"/>
          <w:bdr w:val="none" w:sz="0" w:space="0" w:color="auto"/>
          <w:lang w:val="fr-FR" w:eastAsia="en-US"/>
        </w:rPr>
        <w:t xml:space="preserve"> </w:t>
      </w:r>
      <w:r w:rsidR="009C2E98" w:rsidRPr="00545FAE">
        <w:rPr>
          <w:rFonts w:asciiTheme="majorHAnsi" w:hAnsiTheme="majorHAnsi"/>
          <w:szCs w:val="20"/>
          <w:lang w:val="fr-FR"/>
        </w:rPr>
        <w:t>M. B</w:t>
      </w:r>
      <w:r w:rsidR="00C34D2D" w:rsidRPr="00545FAE">
        <w:rPr>
          <w:rFonts w:asciiTheme="majorHAnsi" w:hAnsiTheme="majorHAnsi"/>
          <w:szCs w:val="20"/>
          <w:lang w:val="fr-FR"/>
        </w:rPr>
        <w:t xml:space="preserve">aptiste Willer, </w:t>
      </w:r>
      <w:r w:rsidR="009C2E98" w:rsidRPr="00545FAE">
        <w:rPr>
          <w:rFonts w:asciiTheme="majorHAnsi" w:hAnsiTheme="majorHAnsi"/>
          <w:szCs w:val="20"/>
          <w:lang w:val="fr-FR"/>
        </w:rPr>
        <w:t>son épouse et leurs enfants dans leur lieu de résidence habituel ou leur réinstallation volontaire dans une autre rég</w:t>
      </w:r>
      <w:r w:rsidR="00A926F6" w:rsidRPr="00545FAE">
        <w:rPr>
          <w:rFonts w:asciiTheme="majorHAnsi" w:hAnsiTheme="majorHAnsi"/>
          <w:szCs w:val="20"/>
          <w:lang w:val="fr-FR"/>
        </w:rPr>
        <w:t>ion du pays, tout en assurant leur</w:t>
      </w:r>
      <w:r w:rsidR="009C2E98" w:rsidRPr="00545FAE">
        <w:rPr>
          <w:rFonts w:asciiTheme="majorHAnsi" w:hAnsiTheme="majorHAnsi"/>
          <w:szCs w:val="20"/>
          <w:lang w:val="fr-FR"/>
        </w:rPr>
        <w:t xml:space="preserve"> pleine participation à ce processus</w:t>
      </w:r>
      <w:r w:rsidR="00C34D2D" w:rsidRPr="00545FAE">
        <w:rPr>
          <w:rFonts w:asciiTheme="majorHAnsi" w:hAnsiTheme="majorHAnsi"/>
          <w:szCs w:val="20"/>
          <w:lang w:val="fr-FR"/>
        </w:rPr>
        <w:t>.</w:t>
      </w:r>
    </w:p>
    <w:p w14:paraId="796B0314" w14:textId="77777777" w:rsidR="00C34D2D" w:rsidRPr="00545FAE" w:rsidRDefault="00C34D2D" w:rsidP="00C55B05">
      <w:pPr>
        <w:pStyle w:val="ListParagraph"/>
        <w:numPr>
          <w:ilvl w:val="0"/>
          <w:numId w:val="0"/>
        </w:numPr>
        <w:rPr>
          <w:lang w:val="fr-FR"/>
        </w:rPr>
      </w:pPr>
    </w:p>
    <w:p w14:paraId="19621F50" w14:textId="77777777" w:rsidR="00135333" w:rsidRPr="00545FAE" w:rsidRDefault="00135333" w:rsidP="00135333">
      <w:pPr>
        <w:pStyle w:val="ListParagraph"/>
        <w:rPr>
          <w:rFonts w:eastAsia="PMingLiU"/>
          <w:lang w:val="fr-FR" w:eastAsia="zh-TW"/>
        </w:rPr>
      </w:pPr>
      <w:r w:rsidRPr="00545FAE">
        <w:rPr>
          <w:rFonts w:eastAsia="PMingLiU"/>
          <w:lang w:val="fr-FR" w:eastAsia="zh-TW"/>
        </w:rPr>
        <w:t>La Com</w:t>
      </w:r>
      <w:r w:rsidR="00E30A8B" w:rsidRPr="00545FAE">
        <w:rPr>
          <w:rFonts w:eastAsia="PMingLiU"/>
          <w:lang w:val="fr-FR" w:eastAsia="zh-TW"/>
        </w:rPr>
        <w:t xml:space="preserve">mission estime que la restriction </w:t>
      </w:r>
      <w:r w:rsidRPr="00545FAE">
        <w:rPr>
          <w:i/>
          <w:lang w:val="fr-FR"/>
        </w:rPr>
        <w:t>de facto</w:t>
      </w:r>
      <w:r w:rsidR="00E30A8B" w:rsidRPr="00545FAE">
        <w:rPr>
          <w:lang w:val="fr-FR"/>
        </w:rPr>
        <w:t xml:space="preserve"> au droit de cette famille à la liberté de déplacement et de résidence, qui a conduit à son déplacement forcé, est imputable à l’État, </w:t>
      </w:r>
      <w:r w:rsidR="002C166F" w:rsidRPr="00545FAE">
        <w:rPr>
          <w:lang w:val="fr-FR"/>
        </w:rPr>
        <w:t xml:space="preserve">compte tenu </w:t>
      </w:r>
      <w:r w:rsidR="00E30A8B" w:rsidRPr="00545FAE">
        <w:rPr>
          <w:lang w:val="fr-FR"/>
        </w:rPr>
        <w:t>précisément</w:t>
      </w:r>
      <w:r w:rsidR="002C166F" w:rsidRPr="00545FAE">
        <w:rPr>
          <w:lang w:val="fr-FR"/>
        </w:rPr>
        <w:t xml:space="preserve"> de l’absence de mesures de protection, tel qu’il a été décrit dans la section précédente</w:t>
      </w:r>
      <w:r w:rsidRPr="00545FAE">
        <w:rPr>
          <w:lang w:val="fr-FR"/>
        </w:rPr>
        <w:t xml:space="preserve">. </w:t>
      </w:r>
      <w:r w:rsidR="002C166F" w:rsidRPr="00545FAE">
        <w:rPr>
          <w:lang w:val="fr-FR"/>
        </w:rPr>
        <w:t>Outre ce manque</w:t>
      </w:r>
      <w:r w:rsidR="00A926F6" w:rsidRPr="00545FAE">
        <w:rPr>
          <w:lang w:val="fr-FR"/>
        </w:rPr>
        <w:t xml:space="preserve">ment, et quoiqu’informé qu’ils </w:t>
      </w:r>
      <w:r w:rsidR="002C166F" w:rsidRPr="00545FAE">
        <w:rPr>
          <w:lang w:val="fr-FR"/>
        </w:rPr>
        <w:t>avai</w:t>
      </w:r>
      <w:r w:rsidR="00A926F6" w:rsidRPr="00545FAE">
        <w:rPr>
          <w:lang w:val="fr-FR"/>
        </w:rPr>
        <w:t>ent été contraints</w:t>
      </w:r>
      <w:r w:rsidR="002C166F" w:rsidRPr="00545FAE">
        <w:rPr>
          <w:lang w:val="fr-FR"/>
        </w:rPr>
        <w:t xml:space="preserve"> d’abandonner </w:t>
      </w:r>
      <w:r w:rsidR="00A926F6" w:rsidRPr="00545FAE">
        <w:rPr>
          <w:lang w:val="fr-FR"/>
        </w:rPr>
        <w:t>leur</w:t>
      </w:r>
      <w:r w:rsidR="002C166F" w:rsidRPr="00545FAE">
        <w:rPr>
          <w:lang w:val="fr-FR"/>
        </w:rPr>
        <w:t xml:space="preserve"> domicile et </w:t>
      </w:r>
      <w:r w:rsidR="00A926F6" w:rsidRPr="00545FAE">
        <w:rPr>
          <w:lang w:val="fr-FR"/>
        </w:rPr>
        <w:t>leur</w:t>
      </w:r>
      <w:r w:rsidR="002C166F" w:rsidRPr="00545FAE">
        <w:rPr>
          <w:lang w:val="fr-FR"/>
        </w:rPr>
        <w:t xml:space="preserve"> commerce, l’État n’a pas mis en place les mesures appropriées pour faciliter le retour ou la réinstallation volontaire de M. Baptiste Willer et de sa famille, et ce, en violation de l’article </w:t>
      </w:r>
      <w:r w:rsidRPr="00545FAE">
        <w:rPr>
          <w:lang w:val="fr-FR"/>
        </w:rPr>
        <w:t>22.1 de la Conven</w:t>
      </w:r>
      <w:r w:rsidR="002C166F" w:rsidRPr="00545FAE">
        <w:rPr>
          <w:lang w:val="fr-FR"/>
        </w:rPr>
        <w:t>tion</w:t>
      </w:r>
      <w:r w:rsidRPr="00545FAE">
        <w:rPr>
          <w:lang w:val="fr-FR"/>
        </w:rPr>
        <w:t xml:space="preserve"> </w:t>
      </w:r>
      <w:r w:rsidR="002C166F" w:rsidRPr="00545FAE">
        <w:rPr>
          <w:lang w:val="fr-FR"/>
        </w:rPr>
        <w:t>américaine</w:t>
      </w:r>
      <w:r w:rsidRPr="00545FAE">
        <w:rPr>
          <w:lang w:val="fr-FR"/>
        </w:rPr>
        <w:t>.</w:t>
      </w:r>
      <w:r w:rsidRPr="00545FAE">
        <w:rPr>
          <w:rFonts w:eastAsia="PMingLiU"/>
          <w:lang w:val="fr-FR" w:eastAsia="zh-TW"/>
        </w:rPr>
        <w:t xml:space="preserve"> </w:t>
      </w:r>
    </w:p>
    <w:p w14:paraId="6457FC14" w14:textId="77777777" w:rsidR="00135333" w:rsidRPr="00545FAE" w:rsidRDefault="00135333" w:rsidP="00135333">
      <w:pPr>
        <w:pStyle w:val="ListParagraph"/>
        <w:numPr>
          <w:ilvl w:val="0"/>
          <w:numId w:val="0"/>
        </w:numPr>
        <w:rPr>
          <w:rFonts w:eastAsia="PMingLiU"/>
          <w:lang w:val="fr-FR" w:eastAsia="zh-TW"/>
        </w:rPr>
      </w:pPr>
    </w:p>
    <w:p w14:paraId="1E6E7810" w14:textId="77777777" w:rsidR="00C34D2D" w:rsidRPr="00545FAE" w:rsidRDefault="00697062" w:rsidP="00135333">
      <w:pPr>
        <w:pStyle w:val="ListParagraph"/>
        <w:rPr>
          <w:rFonts w:eastAsia="PMingLiU"/>
          <w:lang w:val="fr-FR" w:eastAsia="zh-TW"/>
        </w:rPr>
      </w:pPr>
      <w:r w:rsidRPr="00545FAE">
        <w:rPr>
          <w:rFonts w:asciiTheme="majorHAnsi" w:hAnsiTheme="majorHAnsi"/>
          <w:szCs w:val="20"/>
          <w:lang w:val="fr-FR"/>
        </w:rPr>
        <w:t xml:space="preserve">De plus, </w:t>
      </w:r>
      <w:r w:rsidR="001A1EC6" w:rsidRPr="00545FAE">
        <w:rPr>
          <w:rFonts w:asciiTheme="majorHAnsi" w:hAnsiTheme="majorHAnsi"/>
          <w:szCs w:val="20"/>
          <w:lang w:val="fr-FR"/>
        </w:rPr>
        <w:t>étant donné qu</w:t>
      </w:r>
      <w:r w:rsidR="00B31513" w:rsidRPr="00545FAE">
        <w:rPr>
          <w:rFonts w:asciiTheme="majorHAnsi" w:hAnsiTheme="majorHAnsi"/>
          <w:szCs w:val="20"/>
          <w:lang w:val="fr-FR"/>
        </w:rPr>
        <w:t xml:space="preserve">e les victimes des violences </w:t>
      </w:r>
      <w:r w:rsidR="001A1EC6" w:rsidRPr="00545FAE">
        <w:rPr>
          <w:rFonts w:asciiTheme="majorHAnsi" w:hAnsiTheme="majorHAnsi"/>
          <w:szCs w:val="20"/>
          <w:lang w:val="fr-FR"/>
        </w:rPr>
        <w:t>mentionnées incluent les trois enfants et qu’aucun élément n’indique que l’État haïtien a pris les mesures de protection spéciales</w:t>
      </w:r>
      <w:r w:rsidR="00DD6D94" w:rsidRPr="00545FAE">
        <w:rPr>
          <w:rFonts w:asciiTheme="majorHAnsi" w:hAnsiTheme="majorHAnsi"/>
          <w:szCs w:val="20"/>
          <w:lang w:val="fr-FR"/>
        </w:rPr>
        <w:t xml:space="preserve">, basées sur le principe de l’intérêt supérieur de l’enfant, qui s’imposent pour répondre à leur situation vulnérabilité particulière, </w:t>
      </w:r>
      <w:r w:rsidR="00C34D2D" w:rsidRPr="00545FAE">
        <w:rPr>
          <w:rFonts w:asciiTheme="majorHAnsi" w:hAnsiTheme="majorHAnsi"/>
          <w:szCs w:val="20"/>
          <w:lang w:val="fr-FR"/>
        </w:rPr>
        <w:t>la Com</w:t>
      </w:r>
      <w:r w:rsidR="001A1EC6" w:rsidRPr="00545FAE">
        <w:rPr>
          <w:rFonts w:asciiTheme="majorHAnsi" w:hAnsiTheme="majorHAnsi"/>
          <w:szCs w:val="20"/>
          <w:lang w:val="fr-FR"/>
        </w:rPr>
        <w:t xml:space="preserve">mission estime qu’en vertu de l’article 19 de la Convention, </w:t>
      </w:r>
      <w:r w:rsidR="00EE3E73" w:rsidRPr="00545FAE">
        <w:rPr>
          <w:rFonts w:asciiTheme="majorHAnsi" w:hAnsiTheme="majorHAnsi"/>
          <w:szCs w:val="20"/>
          <w:lang w:val="fr-FR"/>
        </w:rPr>
        <w:t>ils ont aussi fait l’objet</w:t>
      </w:r>
      <w:r w:rsidR="001A1EC6" w:rsidRPr="00545FAE">
        <w:rPr>
          <w:rFonts w:asciiTheme="majorHAnsi" w:hAnsiTheme="majorHAnsi"/>
          <w:szCs w:val="20"/>
          <w:lang w:val="fr-FR"/>
        </w:rPr>
        <w:t xml:space="preserve"> d’</w:t>
      </w:r>
      <w:r w:rsidR="00EE3E73" w:rsidRPr="00545FAE">
        <w:rPr>
          <w:rFonts w:asciiTheme="majorHAnsi" w:hAnsiTheme="majorHAnsi"/>
          <w:szCs w:val="20"/>
          <w:lang w:val="fr-FR"/>
        </w:rPr>
        <w:t>une violation de leurs droits</w:t>
      </w:r>
      <w:r w:rsidR="00C34D2D" w:rsidRPr="00545FAE">
        <w:rPr>
          <w:rFonts w:asciiTheme="majorHAnsi" w:hAnsiTheme="majorHAnsi"/>
          <w:szCs w:val="20"/>
          <w:lang w:val="fr-FR"/>
        </w:rPr>
        <w:t>.</w:t>
      </w:r>
    </w:p>
    <w:p w14:paraId="0F00CDC4" w14:textId="77777777" w:rsidR="00C213EE" w:rsidRPr="00545FAE" w:rsidRDefault="00C213EE" w:rsidP="00C213EE">
      <w:pPr>
        <w:pStyle w:val="ListParagraph"/>
        <w:numPr>
          <w:ilvl w:val="0"/>
          <w:numId w:val="0"/>
        </w:numPr>
        <w:tabs>
          <w:tab w:val="left" w:pos="641"/>
        </w:tabs>
        <w:rPr>
          <w:rFonts w:asciiTheme="majorHAnsi" w:hAnsiTheme="majorHAnsi"/>
          <w:szCs w:val="20"/>
          <w:lang w:val="fr-FR"/>
        </w:rPr>
      </w:pPr>
    </w:p>
    <w:p w14:paraId="2CE2846A" w14:textId="77777777" w:rsidR="008F5A71" w:rsidRPr="00545FAE" w:rsidRDefault="00EE1335" w:rsidP="00C55B05">
      <w:pPr>
        <w:pStyle w:val="ListParagraph"/>
        <w:rPr>
          <w:lang w:val="fr-FR"/>
        </w:rPr>
      </w:pPr>
      <w:r w:rsidRPr="00545FAE">
        <w:rPr>
          <w:lang w:val="fr-FR"/>
        </w:rPr>
        <w:t xml:space="preserve">Compte tenu des considérations précédentes, la Commission conclut que l’État haïtien est responsable de la violation des droits à la liberté de déplacement et de résidence, </w:t>
      </w:r>
      <w:r w:rsidR="009E628F" w:rsidRPr="00545FAE">
        <w:rPr>
          <w:lang w:val="fr-FR"/>
        </w:rPr>
        <w:t xml:space="preserve">établis à l’article </w:t>
      </w:r>
      <w:r w:rsidR="008F5A71" w:rsidRPr="00545FAE">
        <w:rPr>
          <w:lang w:val="fr-FR"/>
        </w:rPr>
        <w:t>22.1 de la Conven</w:t>
      </w:r>
      <w:r w:rsidR="009E628F" w:rsidRPr="00545FAE">
        <w:rPr>
          <w:lang w:val="fr-FR"/>
        </w:rPr>
        <w:t>tio</w:t>
      </w:r>
      <w:r w:rsidR="008F5A71" w:rsidRPr="00545FAE">
        <w:rPr>
          <w:lang w:val="fr-FR"/>
        </w:rPr>
        <w:t xml:space="preserve">n </w:t>
      </w:r>
      <w:r w:rsidR="009E628F" w:rsidRPr="00545FAE">
        <w:rPr>
          <w:lang w:val="fr-FR"/>
        </w:rPr>
        <w:t>américaine</w:t>
      </w:r>
      <w:r w:rsidR="008F5A71" w:rsidRPr="00545FAE">
        <w:rPr>
          <w:lang w:val="fr-FR"/>
        </w:rPr>
        <w:t xml:space="preserve">, </w:t>
      </w:r>
      <w:r w:rsidR="000506AB" w:rsidRPr="00545FAE">
        <w:rPr>
          <w:lang w:val="fr-FR"/>
        </w:rPr>
        <w:t>en rapport avec</w:t>
      </w:r>
      <w:r w:rsidR="009E628F" w:rsidRPr="00545FAE">
        <w:rPr>
          <w:lang w:val="fr-FR"/>
        </w:rPr>
        <w:t xml:space="preserve"> l’article</w:t>
      </w:r>
      <w:r w:rsidR="00B8752A" w:rsidRPr="00545FAE">
        <w:rPr>
          <w:lang w:val="fr-FR"/>
        </w:rPr>
        <w:t xml:space="preserve"> 1.1 </w:t>
      </w:r>
      <w:r w:rsidR="009E628F" w:rsidRPr="00545FAE">
        <w:rPr>
          <w:lang w:val="fr-FR"/>
        </w:rPr>
        <w:t>du même instrument</w:t>
      </w:r>
      <w:r w:rsidR="00F44355" w:rsidRPr="00545FAE">
        <w:rPr>
          <w:lang w:val="fr-FR"/>
        </w:rPr>
        <w:t>,</w:t>
      </w:r>
      <w:r w:rsidR="00B8752A" w:rsidRPr="00545FAE">
        <w:rPr>
          <w:lang w:val="fr-FR"/>
        </w:rPr>
        <w:t xml:space="preserve"> </w:t>
      </w:r>
      <w:r w:rsidR="009E628F" w:rsidRPr="00545FAE">
        <w:rPr>
          <w:lang w:val="fr-FR"/>
        </w:rPr>
        <w:t>aux dépens</w:t>
      </w:r>
      <w:r w:rsidR="008F5A71" w:rsidRPr="00545FAE">
        <w:rPr>
          <w:lang w:val="fr-FR"/>
        </w:rPr>
        <w:t xml:space="preserve"> de </w:t>
      </w:r>
      <w:r w:rsidR="009E628F" w:rsidRPr="00545FAE">
        <w:rPr>
          <w:lang w:val="fr-FR"/>
        </w:rPr>
        <w:t xml:space="preserve">M. </w:t>
      </w:r>
      <w:r w:rsidR="008F5A71" w:rsidRPr="00545FAE">
        <w:rPr>
          <w:lang w:val="fr-FR"/>
        </w:rPr>
        <w:t xml:space="preserve">Baptiste Willer, </w:t>
      </w:r>
      <w:r w:rsidR="009E628F" w:rsidRPr="00545FAE">
        <w:rPr>
          <w:lang w:val="fr-FR"/>
        </w:rPr>
        <w:t>son</w:t>
      </w:r>
      <w:r w:rsidR="008F5A71" w:rsidRPr="00545FAE">
        <w:rPr>
          <w:lang w:val="fr-FR"/>
        </w:rPr>
        <w:t xml:space="preserve"> </w:t>
      </w:r>
      <w:r w:rsidR="009E628F" w:rsidRPr="00545FAE">
        <w:rPr>
          <w:lang w:val="fr-FR"/>
        </w:rPr>
        <w:t xml:space="preserve">épouse, Mme </w:t>
      </w:r>
      <w:r w:rsidR="008F5A71" w:rsidRPr="00545FAE">
        <w:rPr>
          <w:lang w:val="fr-FR"/>
        </w:rPr>
        <w:t>Noëlzina Baptiste</w:t>
      </w:r>
      <w:r w:rsidR="009E628F" w:rsidRPr="00545FAE">
        <w:rPr>
          <w:lang w:val="fr-FR"/>
        </w:rPr>
        <w:t>, et leurs trois enfants</w:t>
      </w:r>
      <w:r w:rsidR="00B8752A" w:rsidRPr="00545FAE">
        <w:rPr>
          <w:lang w:val="fr-FR"/>
        </w:rPr>
        <w:t xml:space="preserve">, Baptiste Costaguinov, Baptiste Wilderson </w:t>
      </w:r>
      <w:r w:rsidR="009E628F" w:rsidRPr="00545FAE">
        <w:rPr>
          <w:lang w:val="fr-FR"/>
        </w:rPr>
        <w:t>et</w:t>
      </w:r>
      <w:r w:rsidR="00B8752A" w:rsidRPr="00545FAE">
        <w:rPr>
          <w:lang w:val="fr-FR"/>
        </w:rPr>
        <w:t xml:space="preserve"> Baptiste Noë-Willo. </w:t>
      </w:r>
      <w:r w:rsidR="00645AC3" w:rsidRPr="00545FAE">
        <w:rPr>
          <w:lang w:val="fr-FR"/>
        </w:rPr>
        <w:t>En outre</w:t>
      </w:r>
      <w:r w:rsidR="00B8752A" w:rsidRPr="00545FAE">
        <w:rPr>
          <w:lang w:val="fr-FR"/>
        </w:rPr>
        <w:t xml:space="preserve">, </w:t>
      </w:r>
      <w:r w:rsidR="00645AC3" w:rsidRPr="00545FAE">
        <w:rPr>
          <w:lang w:val="fr-FR"/>
        </w:rPr>
        <w:t xml:space="preserve">vu que les trois enfants étaient tous mineurs à l’époque des faits, l’État est aussi responsable de la violation des droits de l’enfant, établis à l’article </w:t>
      </w:r>
      <w:r w:rsidR="00B8752A" w:rsidRPr="00545FAE">
        <w:rPr>
          <w:lang w:val="fr-FR"/>
        </w:rPr>
        <w:t>19 de la Conven</w:t>
      </w:r>
      <w:r w:rsidR="00645AC3" w:rsidRPr="00545FAE">
        <w:rPr>
          <w:lang w:val="fr-FR"/>
        </w:rPr>
        <w:t>tion</w:t>
      </w:r>
      <w:r w:rsidR="00B8752A" w:rsidRPr="00545FAE">
        <w:rPr>
          <w:lang w:val="fr-FR"/>
        </w:rPr>
        <w:t>.</w:t>
      </w:r>
      <w:r w:rsidR="008F5A71" w:rsidRPr="00545FAE">
        <w:rPr>
          <w:lang w:val="fr-FR"/>
        </w:rPr>
        <w:t xml:space="preserve"> </w:t>
      </w:r>
    </w:p>
    <w:p w14:paraId="08FE906E" w14:textId="77777777" w:rsidR="00F06A7C" w:rsidRPr="00545FAE" w:rsidRDefault="00F06A7C" w:rsidP="00C55B05">
      <w:pPr>
        <w:rPr>
          <w:lang w:val="fr-FR"/>
        </w:rPr>
      </w:pPr>
    </w:p>
    <w:p w14:paraId="28F78F19" w14:textId="77777777" w:rsidR="00994F8D" w:rsidRPr="00545FAE" w:rsidRDefault="00994F8D" w:rsidP="00994F8D">
      <w:pPr>
        <w:pStyle w:val="Heading2"/>
        <w:numPr>
          <w:ilvl w:val="0"/>
          <w:numId w:val="0"/>
        </w:numPr>
        <w:ind w:left="927"/>
        <w:jc w:val="both"/>
        <w:rPr>
          <w:rFonts w:asciiTheme="majorHAnsi" w:hAnsiTheme="majorHAnsi"/>
          <w:szCs w:val="20"/>
          <w:lang w:val="fr-FR"/>
        </w:rPr>
      </w:pPr>
      <w:bookmarkStart w:id="17" w:name="_Toc22123385"/>
      <w:bookmarkEnd w:id="17"/>
    </w:p>
    <w:p w14:paraId="3C398255" w14:textId="77777777" w:rsidR="00994F8D" w:rsidRPr="00545FAE" w:rsidRDefault="00994F8D" w:rsidP="00994F8D">
      <w:pPr>
        <w:rPr>
          <w:lang w:val="fr-FR"/>
        </w:rPr>
      </w:pPr>
    </w:p>
    <w:p w14:paraId="0549BEF7" w14:textId="77777777" w:rsidR="00460064" w:rsidRPr="00545FAE" w:rsidRDefault="00B9607E">
      <w:pPr>
        <w:pStyle w:val="Heading2"/>
        <w:numPr>
          <w:ilvl w:val="0"/>
          <w:numId w:val="59"/>
        </w:numPr>
        <w:jc w:val="both"/>
        <w:rPr>
          <w:rFonts w:asciiTheme="majorHAnsi" w:hAnsiTheme="majorHAnsi"/>
          <w:szCs w:val="20"/>
          <w:lang w:val="fr-FR"/>
        </w:rPr>
      </w:pPr>
      <w:bookmarkStart w:id="18" w:name="_Toc33019291"/>
      <w:r w:rsidRPr="00545FAE">
        <w:rPr>
          <w:lang w:val="fr-FR"/>
        </w:rPr>
        <w:lastRenderedPageBreak/>
        <w:t>D</w:t>
      </w:r>
      <w:r w:rsidR="005E1957" w:rsidRPr="00545FAE">
        <w:rPr>
          <w:lang w:val="fr-FR"/>
        </w:rPr>
        <w:t>roits aux garanties judiciaires</w:t>
      </w:r>
      <w:r w:rsidR="00325178" w:rsidRPr="00545FAE">
        <w:rPr>
          <w:vertAlign w:val="superscript"/>
          <w:lang w:val="fr-FR"/>
        </w:rPr>
        <w:footnoteReference w:id="57"/>
      </w:r>
      <w:r w:rsidR="00325178" w:rsidRPr="00545FAE">
        <w:rPr>
          <w:lang w:val="fr-FR"/>
        </w:rPr>
        <w:t xml:space="preserve"> </w:t>
      </w:r>
      <w:r w:rsidR="005E1957" w:rsidRPr="00545FAE">
        <w:rPr>
          <w:lang w:val="fr-FR"/>
        </w:rPr>
        <w:t>et à la</w:t>
      </w:r>
      <w:r w:rsidR="00325178" w:rsidRPr="00545FAE">
        <w:rPr>
          <w:lang w:val="fr-FR"/>
        </w:rPr>
        <w:t xml:space="preserve"> protec</w:t>
      </w:r>
      <w:r w:rsidR="005E1957" w:rsidRPr="00545FAE">
        <w:rPr>
          <w:lang w:val="fr-FR"/>
        </w:rPr>
        <w:t>tion judiciaire</w:t>
      </w:r>
      <w:r w:rsidR="00325178" w:rsidRPr="00545FAE">
        <w:rPr>
          <w:vertAlign w:val="superscript"/>
          <w:lang w:val="fr-FR"/>
        </w:rPr>
        <w:footnoteReference w:id="58"/>
      </w:r>
      <w:r w:rsidR="007133C6" w:rsidRPr="00545FAE">
        <w:rPr>
          <w:rFonts w:asciiTheme="majorHAnsi" w:hAnsiTheme="majorHAnsi"/>
          <w:szCs w:val="20"/>
          <w:lang w:val="fr-FR"/>
        </w:rPr>
        <w:t xml:space="preserve"> </w:t>
      </w:r>
      <w:r w:rsidR="005E1957" w:rsidRPr="00545FAE">
        <w:rPr>
          <w:rFonts w:asciiTheme="majorHAnsi" w:hAnsiTheme="majorHAnsi"/>
          <w:szCs w:val="20"/>
          <w:lang w:val="fr-FR"/>
        </w:rPr>
        <w:t xml:space="preserve">et droit à l’intégrité de la personne </w:t>
      </w:r>
      <w:bookmarkStart w:id="19" w:name="_Toc535172806"/>
      <w:bookmarkStart w:id="20" w:name="_Toc5788722"/>
      <w:r w:rsidR="009414FA" w:rsidRPr="00545FAE">
        <w:rPr>
          <w:rFonts w:asciiTheme="majorHAnsi" w:hAnsiTheme="majorHAnsi"/>
          <w:szCs w:val="20"/>
          <w:lang w:val="fr-FR"/>
        </w:rPr>
        <w:t>concernant les membres de la famille</w:t>
      </w:r>
      <w:r w:rsidR="007133C6" w:rsidRPr="00545FAE">
        <w:rPr>
          <w:rFonts w:asciiTheme="majorHAnsi" w:hAnsiTheme="majorHAnsi"/>
          <w:szCs w:val="20"/>
          <w:lang w:val="fr-FR"/>
        </w:rPr>
        <w:t xml:space="preserve">, </w:t>
      </w:r>
      <w:bookmarkEnd w:id="19"/>
      <w:bookmarkEnd w:id="20"/>
      <w:r w:rsidR="000506AB" w:rsidRPr="00545FAE">
        <w:rPr>
          <w:lang w:val="fr-FR"/>
        </w:rPr>
        <w:t>en rapport avec</w:t>
      </w:r>
      <w:r w:rsidR="005E1957" w:rsidRPr="00545FAE">
        <w:rPr>
          <w:lang w:val="fr-FR"/>
        </w:rPr>
        <w:t xml:space="preserve"> l’article </w:t>
      </w:r>
      <w:r w:rsidRPr="00545FAE">
        <w:rPr>
          <w:lang w:val="fr-FR"/>
        </w:rPr>
        <w:t>1.1 de la Conven</w:t>
      </w:r>
      <w:r w:rsidR="005E1957" w:rsidRPr="00545FAE">
        <w:rPr>
          <w:lang w:val="fr-FR"/>
        </w:rPr>
        <w:t>tion</w:t>
      </w:r>
      <w:r w:rsidRPr="00545FAE">
        <w:rPr>
          <w:lang w:val="fr-FR"/>
        </w:rPr>
        <w:t xml:space="preserve"> </w:t>
      </w:r>
      <w:r w:rsidR="005E1957" w:rsidRPr="00545FAE">
        <w:rPr>
          <w:lang w:val="fr-FR"/>
        </w:rPr>
        <w:t>amé</w:t>
      </w:r>
      <w:r w:rsidRPr="00545FAE">
        <w:rPr>
          <w:lang w:val="fr-FR"/>
        </w:rPr>
        <w:t>rica</w:t>
      </w:r>
      <w:r w:rsidR="005E1957" w:rsidRPr="00545FAE">
        <w:rPr>
          <w:lang w:val="fr-FR"/>
        </w:rPr>
        <w:t>ine</w:t>
      </w:r>
      <w:bookmarkEnd w:id="18"/>
    </w:p>
    <w:p w14:paraId="792FB32A" w14:textId="77777777" w:rsidR="00414B3C" w:rsidRPr="00545FAE" w:rsidRDefault="00414B3C" w:rsidP="00C55B05">
      <w:pPr>
        <w:pStyle w:val="ListParagraph"/>
        <w:numPr>
          <w:ilvl w:val="0"/>
          <w:numId w:val="0"/>
        </w:numPr>
        <w:rPr>
          <w:lang w:val="fr-FR"/>
        </w:rPr>
      </w:pPr>
    </w:p>
    <w:p w14:paraId="35F93D42" w14:textId="77777777" w:rsidR="00366EE7" w:rsidRPr="00545FAE" w:rsidRDefault="00A04245" w:rsidP="00366EE7">
      <w:pPr>
        <w:pStyle w:val="ListParagraph"/>
        <w:rPr>
          <w:lang w:val="fr-FR"/>
        </w:rPr>
      </w:pPr>
      <w:r w:rsidRPr="00545FAE">
        <w:rPr>
          <w:lang w:val="fr-FR"/>
        </w:rPr>
        <w:t>La Co</w:t>
      </w:r>
      <w:r w:rsidR="00FC724D" w:rsidRPr="00545FAE">
        <w:rPr>
          <w:lang w:val="fr-FR"/>
        </w:rPr>
        <w:t xml:space="preserve">ur a indiqué que les États étaient tenus de mettre à la disposition des victimes de violations de droits humains </w:t>
      </w:r>
      <w:r w:rsidR="004B1DC0" w:rsidRPr="00545FAE">
        <w:rPr>
          <w:lang w:val="fr-FR"/>
        </w:rPr>
        <w:t xml:space="preserve">des recours judiciaires effectifs </w:t>
      </w:r>
      <w:r w:rsidR="00FC724D" w:rsidRPr="00545FAE">
        <w:rPr>
          <w:lang w:val="fr-FR"/>
        </w:rPr>
        <w:t>(article</w:t>
      </w:r>
      <w:r w:rsidR="004B1DC0" w:rsidRPr="00545FAE">
        <w:rPr>
          <w:lang w:val="fr-FR"/>
        </w:rPr>
        <w:t xml:space="preserve"> 25), le</w:t>
      </w:r>
      <w:r w:rsidRPr="00545FAE">
        <w:rPr>
          <w:lang w:val="fr-FR"/>
        </w:rPr>
        <w:t>s</w:t>
      </w:r>
      <w:r w:rsidR="004B1DC0" w:rsidRPr="00545FAE">
        <w:rPr>
          <w:lang w:val="fr-FR"/>
        </w:rPr>
        <w:t xml:space="preserve">quels doivent être justifiés </w:t>
      </w:r>
      <w:r w:rsidRPr="00545FAE">
        <w:rPr>
          <w:lang w:val="fr-FR"/>
        </w:rPr>
        <w:t>conform</w:t>
      </w:r>
      <w:r w:rsidR="00CF5A69" w:rsidRPr="00545FAE">
        <w:rPr>
          <w:lang w:val="fr-FR"/>
        </w:rPr>
        <w:t xml:space="preserve">ément aux règles du procès équitable </w:t>
      </w:r>
      <w:r w:rsidR="007D3EC5" w:rsidRPr="00545FAE">
        <w:rPr>
          <w:lang w:val="fr-FR"/>
        </w:rPr>
        <w:t xml:space="preserve">(article </w:t>
      </w:r>
      <w:r w:rsidRPr="00545FAE">
        <w:rPr>
          <w:lang w:val="fr-FR"/>
        </w:rPr>
        <w:t>8.1)</w:t>
      </w:r>
      <w:r w:rsidR="007D3EC5" w:rsidRPr="00545FAE">
        <w:rPr>
          <w:lang w:val="fr-FR"/>
        </w:rPr>
        <w:t>, l’ensemble s’insérant dans le cadre de l’obligation générale de l’État de garantir le libre et plein exercice des droits reconnus par la Convention à toute personne qui relève de sa juridiction (article</w:t>
      </w:r>
      <w:r w:rsidRPr="00545FAE">
        <w:rPr>
          <w:lang w:val="fr-FR"/>
        </w:rPr>
        <w:t xml:space="preserve"> 1.1)</w:t>
      </w:r>
      <w:r w:rsidRPr="00545FAE">
        <w:rPr>
          <w:sz w:val="16"/>
          <w:szCs w:val="16"/>
          <w:vertAlign w:val="superscript"/>
          <w:lang w:val="fr-FR"/>
        </w:rPr>
        <w:footnoteReference w:id="59"/>
      </w:r>
      <w:r w:rsidRPr="00545FAE">
        <w:rPr>
          <w:lang w:val="fr-FR"/>
        </w:rPr>
        <w:t>.</w:t>
      </w:r>
      <w:r w:rsidR="001C1F09" w:rsidRPr="00545FAE">
        <w:rPr>
          <w:lang w:val="fr-FR"/>
        </w:rPr>
        <w:t xml:space="preserve"> </w:t>
      </w:r>
    </w:p>
    <w:p w14:paraId="35AFCF24" w14:textId="77777777" w:rsidR="00366EE7" w:rsidRPr="00545FAE" w:rsidRDefault="00366EE7" w:rsidP="00366EE7">
      <w:pPr>
        <w:pStyle w:val="ListParagraph"/>
        <w:numPr>
          <w:ilvl w:val="0"/>
          <w:numId w:val="0"/>
        </w:numPr>
        <w:rPr>
          <w:lang w:val="fr-FR"/>
        </w:rPr>
      </w:pPr>
    </w:p>
    <w:p w14:paraId="34AA5A77" w14:textId="77777777" w:rsidR="00A04245" w:rsidRPr="00545FAE" w:rsidRDefault="001C1F09" w:rsidP="00366EE7">
      <w:pPr>
        <w:pStyle w:val="ListParagraph"/>
        <w:rPr>
          <w:lang w:val="fr-FR"/>
        </w:rPr>
      </w:pPr>
      <w:r w:rsidRPr="00545FAE">
        <w:rPr>
          <w:lang w:val="fr-FR"/>
        </w:rPr>
        <w:t>L</w:t>
      </w:r>
      <w:r w:rsidR="00A04245" w:rsidRPr="00545FAE">
        <w:rPr>
          <w:lang w:val="fr-FR"/>
        </w:rPr>
        <w:t>a jurisprudenc</w:t>
      </w:r>
      <w:r w:rsidR="001C7AA3" w:rsidRPr="00545FAE">
        <w:rPr>
          <w:lang w:val="fr-FR"/>
        </w:rPr>
        <w:t xml:space="preserve">e a clairement souligné que, à la lumière </w:t>
      </w:r>
      <w:r w:rsidR="0059123B" w:rsidRPr="00545FAE">
        <w:rPr>
          <w:lang w:val="fr-FR"/>
        </w:rPr>
        <w:t>de l’obligation</w:t>
      </w:r>
      <w:r w:rsidR="001C7AA3" w:rsidRPr="00545FAE">
        <w:rPr>
          <w:lang w:val="fr-FR"/>
        </w:rPr>
        <w:t xml:space="preserve"> d’enquêter avec la diligence requise, « les autorités de l’État doivent, après avoir eu connaissance du fait, </w:t>
      </w:r>
      <w:r w:rsidR="00A425AC" w:rsidRPr="00545FAE">
        <w:rPr>
          <w:lang w:val="fr-FR"/>
        </w:rPr>
        <w:t xml:space="preserve">lancer </w:t>
      </w:r>
      <w:r w:rsidR="00A04245" w:rsidRPr="00545FAE">
        <w:rPr>
          <w:i/>
          <w:lang w:val="fr-FR"/>
        </w:rPr>
        <w:t xml:space="preserve">ex officio </w:t>
      </w:r>
      <w:r w:rsidR="00A425AC" w:rsidRPr="00545FAE">
        <w:rPr>
          <w:lang w:val="fr-FR"/>
        </w:rPr>
        <w:t xml:space="preserve">et sans délai, une enquête sérieuse, impartiale et efficace </w:t>
      </w:r>
      <w:r w:rsidR="00A04245" w:rsidRPr="00545FAE">
        <w:rPr>
          <w:lang w:val="fr-FR"/>
        </w:rPr>
        <w:t>[…] p</w:t>
      </w:r>
      <w:r w:rsidR="00A425AC" w:rsidRPr="00545FAE">
        <w:rPr>
          <w:lang w:val="fr-FR"/>
        </w:rPr>
        <w:t>ar tous les moyens légaux disponibles dans le but de déterminer la vérité »</w:t>
      </w:r>
      <w:r w:rsidR="00A04245" w:rsidRPr="00545FAE">
        <w:rPr>
          <w:sz w:val="16"/>
          <w:szCs w:val="16"/>
          <w:vertAlign w:val="superscript"/>
          <w:lang w:val="fr-FR"/>
        </w:rPr>
        <w:footnoteReference w:id="60"/>
      </w:r>
      <w:r w:rsidR="00A04245" w:rsidRPr="00545FAE">
        <w:rPr>
          <w:lang w:val="fr-FR"/>
        </w:rPr>
        <w:t xml:space="preserve">. </w:t>
      </w:r>
      <w:r w:rsidR="0059123B" w:rsidRPr="00545FAE">
        <w:rPr>
          <w:lang w:val="fr-FR"/>
        </w:rPr>
        <w:t>De plus</w:t>
      </w:r>
      <w:r w:rsidR="00366EE7" w:rsidRPr="00545FAE">
        <w:rPr>
          <w:lang w:val="fr-FR"/>
        </w:rPr>
        <w:t xml:space="preserve">, </w:t>
      </w:r>
      <w:r w:rsidR="0059123B" w:rsidRPr="00545FAE">
        <w:rPr>
          <w:lang w:val="fr-FR"/>
        </w:rPr>
        <w:t>comme les cas où les victimes de violations des droits humains sont des enfants revêtent une gravité particulière</w:t>
      </w:r>
      <w:r w:rsidR="00366EE7" w:rsidRPr="00545FAE">
        <w:rPr>
          <w:rStyle w:val="FootnoteReference"/>
          <w:sz w:val="16"/>
          <w:szCs w:val="16"/>
          <w:lang w:val="fr-FR"/>
        </w:rPr>
        <w:footnoteReference w:id="61"/>
      </w:r>
      <w:r w:rsidR="009E05A6" w:rsidRPr="00545FAE">
        <w:rPr>
          <w:lang w:val="fr-FR"/>
        </w:rPr>
        <w:t xml:space="preserve">, </w:t>
      </w:r>
      <w:r w:rsidR="00AA139B" w:rsidRPr="00545FAE">
        <w:rPr>
          <w:lang w:val="fr-FR"/>
        </w:rPr>
        <w:t>l</w:t>
      </w:r>
      <w:r w:rsidR="000E5A4E" w:rsidRPr="00545FAE">
        <w:rPr>
          <w:lang w:val="fr-FR"/>
        </w:rPr>
        <w:t>a Com</w:t>
      </w:r>
      <w:r w:rsidR="0059123B" w:rsidRPr="00545FAE">
        <w:rPr>
          <w:lang w:val="fr-FR"/>
        </w:rPr>
        <w:t xml:space="preserve">mission estime que l’obligation d’enquêter avec la diligence requise sur les violations </w:t>
      </w:r>
      <w:r w:rsidR="006D4977" w:rsidRPr="00545FAE">
        <w:rPr>
          <w:lang w:val="fr-FR"/>
        </w:rPr>
        <w:t>qui les concernent est considérablement renforcée</w:t>
      </w:r>
      <w:r w:rsidR="009E05A6" w:rsidRPr="00545FAE">
        <w:rPr>
          <w:lang w:val="fr-FR"/>
        </w:rPr>
        <w:t xml:space="preserve">. </w:t>
      </w:r>
      <w:r w:rsidR="006D4977" w:rsidRPr="00545FAE">
        <w:rPr>
          <w:lang w:val="fr-FR"/>
        </w:rPr>
        <w:t xml:space="preserve">En outre, il est impératif de garder à l’esprit que l’obligation d’enquêter </w:t>
      </w:r>
      <w:r w:rsidR="00044205" w:rsidRPr="00545FAE">
        <w:rPr>
          <w:szCs w:val="20"/>
          <w:lang w:val="fr-FR"/>
        </w:rPr>
        <w:t>subsiste</w:t>
      </w:r>
      <w:r w:rsidR="006D4977" w:rsidRPr="00545FAE">
        <w:rPr>
          <w:lang w:val="fr-FR"/>
        </w:rPr>
        <w:t xml:space="preserve"> « </w:t>
      </w:r>
      <w:r w:rsidR="00044205" w:rsidRPr="00545FAE">
        <w:rPr>
          <w:lang w:val="fr-FR"/>
        </w:rPr>
        <w:t>quel que soit l’auteur présumé de la violation</w:t>
      </w:r>
      <w:r w:rsidR="00A04245" w:rsidRPr="00545FAE">
        <w:rPr>
          <w:lang w:val="fr-FR"/>
        </w:rPr>
        <w:t xml:space="preserve">, </w:t>
      </w:r>
      <w:r w:rsidR="006D4977" w:rsidRPr="00545FAE">
        <w:rPr>
          <w:lang w:val="fr-FR"/>
        </w:rPr>
        <w:t>même les</w:t>
      </w:r>
      <w:r w:rsidR="00A04245" w:rsidRPr="00545FAE">
        <w:rPr>
          <w:lang w:val="fr-FR"/>
        </w:rPr>
        <w:t xml:space="preserve"> particul</w:t>
      </w:r>
      <w:r w:rsidR="006D4977" w:rsidRPr="00545FAE">
        <w:rPr>
          <w:lang w:val="fr-FR"/>
        </w:rPr>
        <w:t xml:space="preserve">iers, </w:t>
      </w:r>
      <w:r w:rsidR="00044205" w:rsidRPr="00545FAE">
        <w:rPr>
          <w:lang w:val="fr-FR"/>
        </w:rPr>
        <w:t>car, si les faits ne font pas l’objet d’une enquête sérieuse, ils peuvent, d’une certaine manière, être cautionnés par le pouvoir public, ce qui engagerait la responsabilité internationale de l’État</w:t>
      </w:r>
      <w:r w:rsidR="006D4977" w:rsidRPr="00545FAE">
        <w:rPr>
          <w:lang w:val="fr-FR"/>
        </w:rPr>
        <w:t> »</w:t>
      </w:r>
      <w:r w:rsidR="00A04245" w:rsidRPr="00545FAE">
        <w:rPr>
          <w:sz w:val="16"/>
          <w:vertAlign w:val="superscript"/>
          <w:lang w:val="fr-FR"/>
        </w:rPr>
        <w:footnoteReference w:id="62"/>
      </w:r>
      <w:r w:rsidR="00A04245" w:rsidRPr="00545FAE">
        <w:rPr>
          <w:lang w:val="fr-FR"/>
        </w:rPr>
        <w:t xml:space="preserve">. </w:t>
      </w:r>
    </w:p>
    <w:p w14:paraId="065D5E87" w14:textId="77777777" w:rsidR="00A04245" w:rsidRPr="00545FAE" w:rsidRDefault="00A04245" w:rsidP="00A04245">
      <w:pPr>
        <w:pStyle w:val="ListParagraph"/>
        <w:numPr>
          <w:ilvl w:val="0"/>
          <w:numId w:val="0"/>
        </w:numPr>
        <w:rPr>
          <w:lang w:val="fr-FR"/>
        </w:rPr>
      </w:pPr>
    </w:p>
    <w:p w14:paraId="4700059C" w14:textId="77777777" w:rsidR="00F1453D" w:rsidRPr="00545FAE" w:rsidRDefault="007C54D6" w:rsidP="00F1453D">
      <w:pPr>
        <w:pStyle w:val="ListParagraph"/>
        <w:rPr>
          <w:lang w:val="fr-FR"/>
        </w:rPr>
      </w:pPr>
      <w:r w:rsidRPr="00545FAE">
        <w:rPr>
          <w:lang w:val="fr-FR"/>
        </w:rPr>
        <w:t>En particulie</w:t>
      </w:r>
      <w:r w:rsidR="00F1453D" w:rsidRPr="00545FAE">
        <w:rPr>
          <w:lang w:val="fr-FR"/>
        </w:rPr>
        <w:t xml:space="preserve">r, </w:t>
      </w:r>
      <w:r w:rsidRPr="00545FAE">
        <w:rPr>
          <w:lang w:val="fr-FR"/>
        </w:rPr>
        <w:t xml:space="preserve">afin de garantir la diligence requise dans la conduite d’une enquête exhaustive, sérieuse, impartiale et </w:t>
      </w:r>
      <w:r w:rsidR="00C854C2" w:rsidRPr="00545FAE">
        <w:rPr>
          <w:lang w:val="fr-FR"/>
        </w:rPr>
        <w:t>efficace sur un homicide résultant potentiellement d’actes illégaux</w:t>
      </w:r>
      <w:r w:rsidR="00F1453D" w:rsidRPr="00545FAE">
        <w:rPr>
          <w:lang w:val="fr-FR"/>
        </w:rPr>
        <w:t>, la Co</w:t>
      </w:r>
      <w:r w:rsidR="00C854C2" w:rsidRPr="00545FAE">
        <w:rPr>
          <w:lang w:val="fr-FR"/>
        </w:rPr>
        <w:t>m</w:t>
      </w:r>
      <w:r w:rsidR="00F1453D" w:rsidRPr="00545FAE">
        <w:rPr>
          <w:lang w:val="fr-FR"/>
        </w:rPr>
        <w:t>mi</w:t>
      </w:r>
      <w:r w:rsidR="00C854C2" w:rsidRPr="00545FAE">
        <w:rPr>
          <w:lang w:val="fr-FR"/>
        </w:rPr>
        <w:t>ssion met en évidence les règles du Protocole du</w:t>
      </w:r>
      <w:r w:rsidR="00F1453D" w:rsidRPr="00545FAE">
        <w:rPr>
          <w:lang w:val="fr-FR"/>
        </w:rPr>
        <w:t xml:space="preserve"> Minnesota</w:t>
      </w:r>
      <w:r w:rsidR="00F1453D" w:rsidRPr="00545FAE">
        <w:rPr>
          <w:rStyle w:val="FootnoteReference"/>
          <w:rFonts w:cs="Verdana"/>
          <w:sz w:val="16"/>
          <w:szCs w:val="16"/>
          <w:lang w:val="fr-FR"/>
        </w:rPr>
        <w:footnoteReference w:id="63"/>
      </w:r>
      <w:r w:rsidR="00C777DD" w:rsidRPr="00545FAE">
        <w:rPr>
          <w:lang w:val="fr-FR"/>
        </w:rPr>
        <w:t>, ap</w:t>
      </w:r>
      <w:r w:rsidR="00C854C2" w:rsidRPr="00545FAE">
        <w:rPr>
          <w:lang w:val="fr-FR"/>
        </w:rPr>
        <w:t>p</w:t>
      </w:r>
      <w:r w:rsidR="00C777DD" w:rsidRPr="00545FAE">
        <w:rPr>
          <w:lang w:val="fr-FR"/>
        </w:rPr>
        <w:t xml:space="preserve">licable </w:t>
      </w:r>
      <w:r w:rsidR="00C854C2" w:rsidRPr="00545FAE">
        <w:rPr>
          <w:lang w:val="fr-FR"/>
        </w:rPr>
        <w:t>à toute enquête sur les mort</w:t>
      </w:r>
      <w:r w:rsidR="00075A22" w:rsidRPr="00545FAE">
        <w:rPr>
          <w:lang w:val="fr-FR"/>
        </w:rPr>
        <w:t>s violentes, subites, inopinées et suspecte</w:t>
      </w:r>
      <w:r w:rsidR="00C777DD" w:rsidRPr="00545FAE">
        <w:rPr>
          <w:lang w:val="fr-FR"/>
        </w:rPr>
        <w:t>s</w:t>
      </w:r>
      <w:r w:rsidR="00C777DD" w:rsidRPr="00545FAE">
        <w:rPr>
          <w:rStyle w:val="FootnoteReference"/>
          <w:sz w:val="16"/>
          <w:szCs w:val="16"/>
          <w:lang w:val="fr-FR"/>
        </w:rPr>
        <w:footnoteReference w:id="64"/>
      </w:r>
      <w:r w:rsidR="00C777DD" w:rsidRPr="00545FAE">
        <w:rPr>
          <w:sz w:val="16"/>
          <w:szCs w:val="16"/>
          <w:lang w:val="fr-FR"/>
        </w:rPr>
        <w:t>.</w:t>
      </w:r>
      <w:r w:rsidR="00C777DD" w:rsidRPr="00545FAE">
        <w:rPr>
          <w:lang w:val="fr-FR"/>
        </w:rPr>
        <w:t xml:space="preserve"> </w:t>
      </w:r>
      <w:r w:rsidR="00075A22" w:rsidRPr="00545FAE">
        <w:rPr>
          <w:lang w:val="fr-FR"/>
        </w:rPr>
        <w:t xml:space="preserve">Cet </w:t>
      </w:r>
      <w:r w:rsidR="00075A22" w:rsidRPr="00545FAE">
        <w:rPr>
          <w:rFonts w:cs="Tahoma"/>
          <w:lang w:val="fr-FR"/>
        </w:rPr>
        <w:t xml:space="preserve">instrument établit les diligences minimales que doit mettre en </w:t>
      </w:r>
      <w:r w:rsidR="00A926F6" w:rsidRPr="00545FAE">
        <w:rPr>
          <w:rFonts w:cs="Tahoma"/>
          <w:lang w:val="fr-FR"/>
        </w:rPr>
        <w:t>œuvre</w:t>
      </w:r>
      <w:r w:rsidR="00075A22" w:rsidRPr="00545FAE">
        <w:rPr>
          <w:rFonts w:cs="Tahoma"/>
          <w:lang w:val="fr-FR"/>
        </w:rPr>
        <w:t xml:space="preserve"> l’État conformément à son obligation d’enquêter, y compris l’identification de la victime, </w:t>
      </w:r>
      <w:r w:rsidR="00F1453D" w:rsidRPr="00545FAE">
        <w:rPr>
          <w:rFonts w:cs="Tahoma"/>
          <w:lang w:val="fr-FR"/>
        </w:rPr>
        <w:t>la</w:t>
      </w:r>
      <w:r w:rsidR="00075A22" w:rsidRPr="00545FAE">
        <w:rPr>
          <w:rFonts w:cs="Tahoma"/>
          <w:lang w:val="fr-FR"/>
        </w:rPr>
        <w:t xml:space="preserve"> collecte et la conservation des preuves liées au décès afin de faciliter l’inculpation potentielle des responsables, l’identification des éventuels témoins et le recueil de leurs déclarations </w:t>
      </w:r>
      <w:r w:rsidR="000506AB" w:rsidRPr="00545FAE">
        <w:rPr>
          <w:rFonts w:cs="Tahoma"/>
          <w:lang w:val="fr-FR"/>
        </w:rPr>
        <w:t>en rapport avec</w:t>
      </w:r>
      <w:r w:rsidR="00075A22" w:rsidRPr="00545FAE">
        <w:rPr>
          <w:rFonts w:cs="Tahoma"/>
          <w:lang w:val="fr-FR"/>
        </w:rPr>
        <w:t xml:space="preserve"> le décès, la détermination de la cause, </w:t>
      </w:r>
      <w:r w:rsidR="004F2F0D" w:rsidRPr="00545FAE">
        <w:rPr>
          <w:rFonts w:cs="Tahoma"/>
          <w:lang w:val="fr-FR"/>
        </w:rPr>
        <w:t>du mode, du lieu et de l</w:t>
      </w:r>
      <w:r w:rsidR="00503918" w:rsidRPr="00545FAE">
        <w:rPr>
          <w:rFonts w:cs="Tahoma"/>
          <w:lang w:val="fr-FR"/>
        </w:rPr>
        <w:t>’heure de</w:t>
      </w:r>
      <w:r w:rsidR="004F2F0D" w:rsidRPr="00545FAE">
        <w:rPr>
          <w:rFonts w:cs="Tahoma"/>
          <w:lang w:val="fr-FR"/>
        </w:rPr>
        <w:t xml:space="preserve"> décès ainsi que</w:t>
      </w:r>
      <w:r w:rsidR="00075A22" w:rsidRPr="00545FAE">
        <w:rPr>
          <w:rFonts w:cs="Tahoma"/>
          <w:lang w:val="fr-FR"/>
        </w:rPr>
        <w:t xml:space="preserve"> </w:t>
      </w:r>
      <w:r w:rsidR="004F2F0D" w:rsidRPr="00545FAE">
        <w:rPr>
          <w:rFonts w:cs="Tahoma"/>
          <w:lang w:val="fr-FR"/>
        </w:rPr>
        <w:t>le modèle ou la pratique pouvant l’avoir provoqué, la distinction entre mort naturelle, suicide et homicide, l’identification et l’arrestation de la ou des personnes impliquées dans le décès et la présentation des auteurs présumés devant un tribunal compétent établi par la loi</w:t>
      </w:r>
      <w:r w:rsidR="00F1453D" w:rsidRPr="00545FAE">
        <w:rPr>
          <w:lang w:val="fr-FR"/>
        </w:rPr>
        <w:t xml:space="preserve">. </w:t>
      </w:r>
    </w:p>
    <w:p w14:paraId="66E3FDB9" w14:textId="77777777" w:rsidR="00F1453D" w:rsidRPr="00545FAE" w:rsidRDefault="00F1453D" w:rsidP="00C55B05">
      <w:pPr>
        <w:pStyle w:val="ListParagraph"/>
        <w:numPr>
          <w:ilvl w:val="0"/>
          <w:numId w:val="0"/>
        </w:numPr>
        <w:rPr>
          <w:lang w:val="fr-FR"/>
        </w:rPr>
      </w:pPr>
    </w:p>
    <w:p w14:paraId="53898A0F" w14:textId="77777777" w:rsidR="00660D33" w:rsidRPr="00545FAE" w:rsidRDefault="004A452B" w:rsidP="00831E8F">
      <w:pPr>
        <w:pStyle w:val="ListParagraph"/>
        <w:rPr>
          <w:lang w:val="fr-FR"/>
        </w:rPr>
      </w:pPr>
      <w:r w:rsidRPr="00545FAE">
        <w:rPr>
          <w:lang w:val="fr-FR"/>
        </w:rPr>
        <w:t>De plus, conformément aux règles du Protocole susmentionné</w:t>
      </w:r>
      <w:r w:rsidR="008E3BC2" w:rsidRPr="00545FAE">
        <w:rPr>
          <w:lang w:val="fr-FR"/>
        </w:rPr>
        <w:t xml:space="preserve">, </w:t>
      </w:r>
      <w:r w:rsidR="0072653D" w:rsidRPr="00545FAE">
        <w:rPr>
          <w:lang w:val="fr-FR"/>
        </w:rPr>
        <w:t>la pratique d’une autopsie est établie comme principe général dans les cas de morts suspectes</w:t>
      </w:r>
      <w:r w:rsidR="00660D33" w:rsidRPr="00545FAE">
        <w:rPr>
          <w:lang w:val="fr-FR"/>
        </w:rPr>
        <w:t xml:space="preserve">, </w:t>
      </w:r>
      <w:r w:rsidR="0072653D" w:rsidRPr="00545FAE">
        <w:rPr>
          <w:lang w:val="fr-FR"/>
        </w:rPr>
        <w:t xml:space="preserve">ce qui contribue </w:t>
      </w:r>
      <w:r w:rsidR="00F964D4" w:rsidRPr="00545FAE">
        <w:rPr>
          <w:lang w:val="fr-FR"/>
        </w:rPr>
        <w:t>sensi</w:t>
      </w:r>
      <w:r w:rsidR="0072653D" w:rsidRPr="00545FAE">
        <w:rPr>
          <w:lang w:val="fr-FR"/>
        </w:rPr>
        <w:t xml:space="preserve">blement </w:t>
      </w:r>
      <w:r w:rsidR="00F964D4" w:rsidRPr="00545FAE">
        <w:rPr>
          <w:lang w:val="fr-FR"/>
        </w:rPr>
        <w:t>à révéler les causes et les circonstances du décès</w:t>
      </w:r>
      <w:r w:rsidR="00F20F9B" w:rsidRPr="00545FAE">
        <w:rPr>
          <w:lang w:val="fr-FR"/>
        </w:rPr>
        <w:t xml:space="preserve"> et permet d’émettre des conclusions</w:t>
      </w:r>
      <w:r w:rsidR="00F964D4" w:rsidRPr="00545FAE">
        <w:rPr>
          <w:lang w:val="fr-FR"/>
        </w:rPr>
        <w:t xml:space="preserve"> </w:t>
      </w:r>
      <w:r w:rsidR="00F20F9B" w:rsidRPr="00545FAE">
        <w:rPr>
          <w:lang w:val="fr-FR"/>
        </w:rPr>
        <w:t>à ce sujet</w:t>
      </w:r>
      <w:r w:rsidR="00660D33" w:rsidRPr="00545FAE">
        <w:rPr>
          <w:lang w:val="fr-FR"/>
        </w:rPr>
        <w:t xml:space="preserve">. </w:t>
      </w:r>
      <w:r w:rsidRPr="00545FAE">
        <w:rPr>
          <w:lang w:val="fr-FR"/>
        </w:rPr>
        <w:t xml:space="preserve">La décision de ne pas pratiquer une </w:t>
      </w:r>
      <w:r w:rsidRPr="00545FAE">
        <w:rPr>
          <w:lang w:val="fr-FR"/>
        </w:rPr>
        <w:lastRenderedPageBreak/>
        <w:t>autopsie dans le cas d’homicides résultant potentiellement d’actes illégaux devra être justifiée par écrit et soumise à examen judiciaire</w:t>
      </w:r>
      <w:r w:rsidR="00660D33" w:rsidRPr="00545FAE">
        <w:rPr>
          <w:rStyle w:val="FootnoteReference"/>
          <w:lang w:val="fr-FR"/>
        </w:rPr>
        <w:footnoteReference w:id="65"/>
      </w:r>
      <w:r w:rsidR="00660D33" w:rsidRPr="00545FAE">
        <w:rPr>
          <w:lang w:val="fr-FR"/>
        </w:rPr>
        <w:t>.</w:t>
      </w:r>
    </w:p>
    <w:p w14:paraId="5E8231D9" w14:textId="77777777" w:rsidR="008E3BC2" w:rsidRPr="00545FAE" w:rsidRDefault="008E3BC2" w:rsidP="00C55B05">
      <w:pPr>
        <w:pStyle w:val="ListParagraph"/>
        <w:numPr>
          <w:ilvl w:val="0"/>
          <w:numId w:val="0"/>
        </w:numPr>
        <w:rPr>
          <w:lang w:val="fr-FR"/>
        </w:rPr>
      </w:pPr>
    </w:p>
    <w:p w14:paraId="43BF27DA" w14:textId="77777777" w:rsidR="001C1F09" w:rsidRPr="00545FAE" w:rsidRDefault="0072653D" w:rsidP="00C55B05">
      <w:pPr>
        <w:pStyle w:val="ListParagraph"/>
        <w:rPr>
          <w:lang w:val="fr-FR"/>
        </w:rPr>
      </w:pPr>
      <w:r w:rsidRPr="00545FAE">
        <w:rPr>
          <w:lang w:val="fr-FR"/>
        </w:rPr>
        <w:t>Par ailleurs</w:t>
      </w:r>
      <w:r w:rsidR="00F1453D" w:rsidRPr="00545FAE">
        <w:rPr>
          <w:lang w:val="fr-FR"/>
        </w:rPr>
        <w:t xml:space="preserve">, </w:t>
      </w:r>
      <w:r w:rsidRPr="00545FAE">
        <w:rPr>
          <w:lang w:val="fr-FR"/>
        </w:rPr>
        <w:t xml:space="preserve">en ce qui concerne l’enquête sur les cas de menaces, </w:t>
      </w:r>
      <w:r w:rsidR="001C1F09" w:rsidRPr="00545FAE">
        <w:rPr>
          <w:lang w:val="fr-FR"/>
        </w:rPr>
        <w:t>la Com</w:t>
      </w:r>
      <w:r w:rsidRPr="00545FAE">
        <w:rPr>
          <w:lang w:val="fr-FR"/>
        </w:rPr>
        <w:t>mission a indiqué que l’obligation de prévention ne se limitait pas à fournir des mesures matérielles de protection mais qu’elle impliquait aussi l’obligation d’agir sur les causes structurelles qui nuisent à la sécurité des personnes menacées</w:t>
      </w:r>
      <w:r w:rsidR="001C1F09" w:rsidRPr="00545FAE">
        <w:rPr>
          <w:lang w:val="fr-FR"/>
        </w:rPr>
        <w:t xml:space="preserve">. </w:t>
      </w:r>
      <w:r w:rsidRPr="00545FAE">
        <w:rPr>
          <w:lang w:val="fr-FR"/>
        </w:rPr>
        <w:t>Afin de s’acquitter de cette obligation, l’État est tenu d’enquêter sur les auteurs des menaces et de les sanctionner. La conduite de l’enquête « doit s’effectuer de manière rapide, exhaustive, sérieuse et impartiale, l’objectif étant d’identifier les auteurs des menaces et de les sanctionner pour tenter d’éviter qu’</w:t>
      </w:r>
      <w:r w:rsidR="002D58E6" w:rsidRPr="00545FAE">
        <w:rPr>
          <w:lang w:val="fr-FR"/>
        </w:rPr>
        <w:t>elles ne soient mises à ex</w:t>
      </w:r>
      <w:r w:rsidRPr="00545FAE">
        <w:rPr>
          <w:lang w:val="fr-FR"/>
        </w:rPr>
        <w:t>é</w:t>
      </w:r>
      <w:r w:rsidR="002D58E6" w:rsidRPr="00545FAE">
        <w:rPr>
          <w:lang w:val="fr-FR"/>
        </w:rPr>
        <w:t>c</w:t>
      </w:r>
      <w:r w:rsidRPr="00545FAE">
        <w:rPr>
          <w:lang w:val="fr-FR"/>
        </w:rPr>
        <w:t>ution »</w:t>
      </w:r>
      <w:r w:rsidR="001C1F09" w:rsidRPr="00545FAE">
        <w:rPr>
          <w:vertAlign w:val="superscript"/>
          <w:lang w:val="fr-FR"/>
        </w:rPr>
        <w:footnoteReference w:id="66"/>
      </w:r>
      <w:r w:rsidR="001C1F09" w:rsidRPr="00545FAE">
        <w:rPr>
          <w:lang w:val="fr-FR"/>
        </w:rPr>
        <w:t xml:space="preserve">. </w:t>
      </w:r>
    </w:p>
    <w:p w14:paraId="17689DC1" w14:textId="77777777" w:rsidR="0050521B" w:rsidRPr="00545FAE" w:rsidRDefault="0050521B" w:rsidP="00C55B05">
      <w:pPr>
        <w:pStyle w:val="ListParagraph"/>
        <w:numPr>
          <w:ilvl w:val="0"/>
          <w:numId w:val="0"/>
        </w:numPr>
        <w:rPr>
          <w:szCs w:val="20"/>
          <w:lang w:val="fr-FR"/>
        </w:rPr>
      </w:pPr>
    </w:p>
    <w:p w14:paraId="2378BA80" w14:textId="77777777" w:rsidR="0050521B" w:rsidRPr="00545FAE" w:rsidRDefault="0050521B" w:rsidP="00C55B05">
      <w:pPr>
        <w:pStyle w:val="ListParagraph"/>
        <w:rPr>
          <w:lang w:val="fr-FR"/>
        </w:rPr>
      </w:pPr>
      <w:r w:rsidRPr="00545FAE">
        <w:rPr>
          <w:lang w:val="fr-FR"/>
        </w:rPr>
        <w:t xml:space="preserve">En </w:t>
      </w:r>
      <w:r w:rsidR="002D58E6" w:rsidRPr="00545FAE">
        <w:rPr>
          <w:lang w:val="fr-FR"/>
        </w:rPr>
        <w:t xml:space="preserve">ce qui concerne le délai raisonnable, l’article </w:t>
      </w:r>
      <w:r w:rsidRPr="00545FAE">
        <w:rPr>
          <w:lang w:val="fr-FR"/>
        </w:rPr>
        <w:t>8.1 de la Conven</w:t>
      </w:r>
      <w:r w:rsidR="002D58E6" w:rsidRPr="00545FAE">
        <w:rPr>
          <w:lang w:val="fr-FR"/>
        </w:rPr>
        <w:t>tion</w:t>
      </w:r>
      <w:r w:rsidRPr="00545FAE">
        <w:rPr>
          <w:lang w:val="fr-FR"/>
        </w:rPr>
        <w:t xml:space="preserve"> </w:t>
      </w:r>
      <w:r w:rsidR="002D58E6" w:rsidRPr="00545FAE">
        <w:rPr>
          <w:lang w:val="fr-FR"/>
        </w:rPr>
        <w:t>américaine</w:t>
      </w:r>
      <w:r w:rsidRPr="00545FAE">
        <w:rPr>
          <w:lang w:val="fr-FR"/>
        </w:rPr>
        <w:t xml:space="preserve"> </w:t>
      </w:r>
      <w:r w:rsidR="002D58E6" w:rsidRPr="00545FAE">
        <w:rPr>
          <w:lang w:val="fr-FR"/>
        </w:rPr>
        <w:t xml:space="preserve">établit comme l’un des </w:t>
      </w:r>
      <w:r w:rsidR="00FC54B3" w:rsidRPr="00545FAE">
        <w:rPr>
          <w:lang w:val="fr-FR"/>
        </w:rPr>
        <w:t xml:space="preserve">principaux </w:t>
      </w:r>
      <w:r w:rsidR="002D58E6" w:rsidRPr="00545FAE">
        <w:rPr>
          <w:lang w:val="fr-FR"/>
        </w:rPr>
        <w:t xml:space="preserve">éléments du procès équitable </w:t>
      </w:r>
      <w:r w:rsidR="00A926F6" w:rsidRPr="00545FAE">
        <w:rPr>
          <w:lang w:val="fr-FR"/>
        </w:rPr>
        <w:t>l’obligation des</w:t>
      </w:r>
      <w:r w:rsidR="00FC54B3" w:rsidRPr="00545FAE">
        <w:rPr>
          <w:lang w:val="fr-FR"/>
        </w:rPr>
        <w:t xml:space="preserve"> tribunaux</w:t>
      </w:r>
      <w:r w:rsidR="00A926F6" w:rsidRPr="00545FAE">
        <w:rPr>
          <w:lang w:val="fr-FR"/>
        </w:rPr>
        <w:t xml:space="preserve"> de se prononcer</w:t>
      </w:r>
      <w:r w:rsidR="00FC54B3" w:rsidRPr="00545FAE">
        <w:rPr>
          <w:lang w:val="fr-FR"/>
        </w:rPr>
        <w:t xml:space="preserve"> sur les affaires portées à leur connaissance dans un délai raisonnable</w:t>
      </w:r>
      <w:r w:rsidRPr="00545FAE">
        <w:rPr>
          <w:lang w:val="fr-FR"/>
        </w:rPr>
        <w:t xml:space="preserve">. </w:t>
      </w:r>
      <w:r w:rsidR="002D58E6" w:rsidRPr="00545FAE">
        <w:rPr>
          <w:lang w:val="fr-FR"/>
        </w:rPr>
        <w:t xml:space="preserve">Dans ce contexte, un retard prolongé peut finir par constituer </w:t>
      </w:r>
      <w:r w:rsidRPr="00545FAE">
        <w:rPr>
          <w:i/>
          <w:lang w:val="fr-FR"/>
        </w:rPr>
        <w:t>per se</w:t>
      </w:r>
      <w:r w:rsidR="002D58E6" w:rsidRPr="00545FAE">
        <w:rPr>
          <w:lang w:val="fr-FR"/>
        </w:rPr>
        <w:t xml:space="preserve"> une</w:t>
      </w:r>
      <w:r w:rsidRPr="00545FAE">
        <w:rPr>
          <w:lang w:val="fr-FR"/>
        </w:rPr>
        <w:t xml:space="preserve"> viola</w:t>
      </w:r>
      <w:r w:rsidR="002D58E6" w:rsidRPr="00545FAE">
        <w:rPr>
          <w:lang w:val="fr-FR"/>
        </w:rPr>
        <w:t>tion des garanties judiciaires</w:t>
      </w:r>
      <w:r w:rsidRPr="00545FAE">
        <w:rPr>
          <w:rStyle w:val="FootnoteReference"/>
          <w:szCs w:val="20"/>
          <w:lang w:val="fr-FR"/>
        </w:rPr>
        <w:footnoteReference w:id="67"/>
      </w:r>
      <w:r w:rsidR="002D58E6" w:rsidRPr="00545FAE">
        <w:rPr>
          <w:lang w:val="fr-FR"/>
        </w:rPr>
        <w:t xml:space="preserve">. Il incombe donc à l’État d’expliquer et de justifier la raison </w:t>
      </w:r>
      <w:r w:rsidRPr="00545FAE">
        <w:rPr>
          <w:lang w:val="fr-FR"/>
        </w:rPr>
        <w:t>po</w:t>
      </w:r>
      <w:r w:rsidR="00FC54B3" w:rsidRPr="00545FAE">
        <w:rPr>
          <w:lang w:val="fr-FR"/>
        </w:rPr>
        <w:t xml:space="preserve">ur laquelle un délai supplémentaire est nécessaire pour </w:t>
      </w:r>
      <w:r w:rsidRPr="00545FAE">
        <w:rPr>
          <w:lang w:val="fr-FR"/>
        </w:rPr>
        <w:t>r</w:t>
      </w:r>
      <w:r w:rsidR="00FC54B3" w:rsidRPr="00545FAE">
        <w:rPr>
          <w:lang w:val="fr-FR"/>
        </w:rPr>
        <w:t>endre un jugement déf</w:t>
      </w:r>
      <w:r w:rsidR="00BC10A9" w:rsidRPr="00545FAE">
        <w:rPr>
          <w:lang w:val="fr-FR"/>
        </w:rPr>
        <w:t>initif dans une affaire précise</w:t>
      </w:r>
      <w:r w:rsidRPr="00545FAE">
        <w:rPr>
          <w:rStyle w:val="FootnoteReference"/>
          <w:szCs w:val="20"/>
          <w:lang w:val="fr-FR"/>
        </w:rPr>
        <w:footnoteReference w:id="68"/>
      </w:r>
      <w:r w:rsidRPr="00545FAE">
        <w:rPr>
          <w:lang w:val="fr-FR"/>
        </w:rPr>
        <w:t xml:space="preserve">. </w:t>
      </w:r>
    </w:p>
    <w:p w14:paraId="69977B9E" w14:textId="77777777" w:rsidR="0050521B" w:rsidRPr="00545FAE" w:rsidRDefault="0050521B" w:rsidP="0050521B">
      <w:pPr>
        <w:ind w:left="629"/>
        <w:jc w:val="both"/>
        <w:rPr>
          <w:rFonts w:ascii="Cambria" w:hAnsi="Cambria"/>
          <w:sz w:val="20"/>
          <w:szCs w:val="20"/>
          <w:lang w:val="fr-FR"/>
        </w:rPr>
      </w:pPr>
    </w:p>
    <w:p w14:paraId="736E424C" w14:textId="77777777" w:rsidR="0050521B" w:rsidRPr="00545FAE" w:rsidRDefault="00BE34A1" w:rsidP="00C55B05">
      <w:pPr>
        <w:pStyle w:val="ListParagraph"/>
        <w:rPr>
          <w:lang w:val="fr-FR"/>
        </w:rPr>
      </w:pPr>
      <w:r w:rsidRPr="00545FAE">
        <w:rPr>
          <w:lang w:val="fr-FR"/>
        </w:rPr>
        <w:t>Dans ce contexte, l</w:t>
      </w:r>
      <w:r w:rsidR="00D2183A" w:rsidRPr="00545FAE">
        <w:rPr>
          <w:lang w:val="fr-FR"/>
        </w:rPr>
        <w:t>e caractère raisonnable du délai peut s’apprécier par rapport à la</w:t>
      </w:r>
      <w:r w:rsidR="001717BA" w:rsidRPr="00545FAE">
        <w:rPr>
          <w:lang w:val="fr-FR"/>
        </w:rPr>
        <w:t xml:space="preserve"> </w:t>
      </w:r>
      <w:r w:rsidR="00D2183A" w:rsidRPr="00545FAE">
        <w:rPr>
          <w:lang w:val="fr-FR"/>
        </w:rPr>
        <w:t>durée totale de la procédure pé</w:t>
      </w:r>
      <w:r w:rsidR="0050521B" w:rsidRPr="00545FAE">
        <w:rPr>
          <w:lang w:val="fr-FR"/>
        </w:rPr>
        <w:t>nal</w:t>
      </w:r>
      <w:r w:rsidR="00D2183A" w:rsidRPr="00545FAE">
        <w:rPr>
          <w:lang w:val="fr-FR"/>
        </w:rPr>
        <w:t>e</w:t>
      </w:r>
      <w:r w:rsidR="0050521B" w:rsidRPr="00545FAE">
        <w:rPr>
          <w:rStyle w:val="FootnoteReference"/>
          <w:szCs w:val="20"/>
          <w:lang w:val="fr-FR"/>
        </w:rPr>
        <w:footnoteReference w:id="69"/>
      </w:r>
      <w:r w:rsidR="0050521B" w:rsidRPr="00545FAE">
        <w:rPr>
          <w:lang w:val="fr-FR"/>
        </w:rPr>
        <w:t xml:space="preserve">. </w:t>
      </w:r>
      <w:r w:rsidR="001717BA" w:rsidRPr="00545FAE">
        <w:rPr>
          <w:lang w:val="fr-FR"/>
        </w:rPr>
        <w:t>Au sens de l’article</w:t>
      </w:r>
      <w:r w:rsidR="0050521B" w:rsidRPr="00545FAE">
        <w:rPr>
          <w:lang w:val="fr-FR"/>
        </w:rPr>
        <w:t xml:space="preserve"> 8.1 de la Conven</w:t>
      </w:r>
      <w:r w:rsidR="001717BA" w:rsidRPr="00545FAE">
        <w:rPr>
          <w:lang w:val="fr-FR"/>
        </w:rPr>
        <w:t>tion</w:t>
      </w:r>
      <w:r w:rsidR="0050521B" w:rsidRPr="00545FAE">
        <w:rPr>
          <w:lang w:val="fr-FR"/>
        </w:rPr>
        <w:t xml:space="preserve"> </w:t>
      </w:r>
      <w:r w:rsidR="001717BA" w:rsidRPr="00545FAE">
        <w:rPr>
          <w:lang w:val="fr-FR"/>
        </w:rPr>
        <w:t>a</w:t>
      </w:r>
      <w:r w:rsidR="0050521B" w:rsidRPr="00545FAE">
        <w:rPr>
          <w:lang w:val="fr-FR"/>
        </w:rPr>
        <w:t>m</w:t>
      </w:r>
      <w:r w:rsidR="001717BA" w:rsidRPr="00545FAE">
        <w:rPr>
          <w:lang w:val="fr-FR"/>
        </w:rPr>
        <w:t>éricaine</w:t>
      </w:r>
      <w:r w:rsidR="0050521B" w:rsidRPr="00545FAE">
        <w:rPr>
          <w:lang w:val="fr-FR"/>
        </w:rPr>
        <w:t>, la Com</w:t>
      </w:r>
      <w:r w:rsidR="00D2183A" w:rsidRPr="00545FAE">
        <w:rPr>
          <w:lang w:val="fr-FR"/>
        </w:rPr>
        <w:t xml:space="preserve">mission prendra en considération, à la </w:t>
      </w:r>
      <w:r w:rsidR="001717BA" w:rsidRPr="00545FAE">
        <w:rPr>
          <w:lang w:val="fr-FR"/>
        </w:rPr>
        <w:t>lumière des circonstances concrètes de l’affaire, les quatre éléments suivants </w:t>
      </w:r>
      <w:r w:rsidR="0050521B" w:rsidRPr="00545FAE">
        <w:rPr>
          <w:lang w:val="fr-FR"/>
        </w:rPr>
        <w:t>: i) la comple</w:t>
      </w:r>
      <w:r w:rsidR="001717BA" w:rsidRPr="00545FAE">
        <w:rPr>
          <w:lang w:val="fr-FR"/>
        </w:rPr>
        <w:t xml:space="preserve">xité de l’affaire ; ii) les actions engagées par l’intéressé ; iii) </w:t>
      </w:r>
      <w:r w:rsidR="00B92E8D" w:rsidRPr="00545FAE">
        <w:rPr>
          <w:lang w:val="fr-FR"/>
        </w:rPr>
        <w:t>la conduite</w:t>
      </w:r>
      <w:r w:rsidR="001717BA" w:rsidRPr="00545FAE">
        <w:rPr>
          <w:lang w:val="fr-FR"/>
        </w:rPr>
        <w:t xml:space="preserve"> des autorités judiciaires ; et</w:t>
      </w:r>
      <w:r w:rsidR="0050521B" w:rsidRPr="00545FAE">
        <w:rPr>
          <w:lang w:val="fr-FR"/>
        </w:rPr>
        <w:t xml:space="preserve"> iv) l</w:t>
      </w:r>
      <w:r w:rsidR="00D64322" w:rsidRPr="00545FAE">
        <w:rPr>
          <w:lang w:val="fr-FR"/>
        </w:rPr>
        <w:t>’effet sur la situation juridique de la personne impliquée dans la procédure</w:t>
      </w:r>
      <w:r w:rsidR="0050521B" w:rsidRPr="00545FAE">
        <w:rPr>
          <w:rStyle w:val="FootnoteReference"/>
          <w:sz w:val="16"/>
          <w:szCs w:val="16"/>
          <w:lang w:val="fr-FR"/>
        </w:rPr>
        <w:footnoteReference w:id="70"/>
      </w:r>
      <w:r w:rsidR="0050521B" w:rsidRPr="00545FAE">
        <w:rPr>
          <w:lang w:val="fr-FR"/>
        </w:rPr>
        <w:t>.</w:t>
      </w:r>
    </w:p>
    <w:p w14:paraId="67F25F02" w14:textId="77777777" w:rsidR="00063572" w:rsidRPr="00545FAE" w:rsidRDefault="00063572" w:rsidP="00C55B05">
      <w:pPr>
        <w:pStyle w:val="ListParagraph"/>
        <w:numPr>
          <w:ilvl w:val="0"/>
          <w:numId w:val="0"/>
        </w:numPr>
        <w:rPr>
          <w:lang w:val="fr-FR"/>
        </w:rPr>
      </w:pPr>
    </w:p>
    <w:p w14:paraId="5833C43D" w14:textId="77777777" w:rsidR="00063572" w:rsidRPr="00545FAE" w:rsidRDefault="00A4187F" w:rsidP="00063572">
      <w:pPr>
        <w:pStyle w:val="ListParagraph"/>
        <w:rPr>
          <w:lang w:val="fr-FR"/>
        </w:rPr>
      </w:pPr>
      <w:r w:rsidRPr="00545FAE">
        <w:rPr>
          <w:lang w:val="fr-FR"/>
        </w:rPr>
        <w:t>Enfin</w:t>
      </w:r>
      <w:r w:rsidR="00063572" w:rsidRPr="00545FAE">
        <w:rPr>
          <w:lang w:val="fr-FR"/>
        </w:rPr>
        <w:t xml:space="preserve">, </w:t>
      </w:r>
      <w:r w:rsidRPr="00545FAE">
        <w:rPr>
          <w:lang w:val="fr-FR"/>
        </w:rPr>
        <w:t>il est nécessaire de souligner que la Cour a déterminé à plusieurs reprises qu’il faut considérer que le droit des membres de la famille des victimes à l’intégrité psychique et morale est violé</w:t>
      </w:r>
      <w:r w:rsidR="0049778D" w:rsidRPr="00545FAE">
        <w:rPr>
          <w:lang w:val="fr-FR"/>
        </w:rPr>
        <w:t xml:space="preserve"> en raison de la souffrance et de l’angoisse supplémentaires</w:t>
      </w:r>
      <w:r w:rsidRPr="00545FAE">
        <w:rPr>
          <w:lang w:val="fr-FR"/>
        </w:rPr>
        <w:t xml:space="preserve"> </w:t>
      </w:r>
      <w:r w:rsidR="0049778D" w:rsidRPr="00545FAE">
        <w:rPr>
          <w:lang w:val="fr-FR"/>
        </w:rPr>
        <w:t>qu’ils ont endurées</w:t>
      </w:r>
      <w:r w:rsidRPr="00545FAE">
        <w:rPr>
          <w:lang w:val="fr-FR"/>
        </w:rPr>
        <w:t xml:space="preserve"> </w:t>
      </w:r>
      <w:r w:rsidR="0049778D" w:rsidRPr="00545FAE">
        <w:rPr>
          <w:lang w:val="fr-FR"/>
        </w:rPr>
        <w:t xml:space="preserve">à cause </w:t>
      </w:r>
      <w:r w:rsidR="00063572" w:rsidRPr="00545FAE">
        <w:rPr>
          <w:lang w:val="fr-FR"/>
        </w:rPr>
        <w:t>de</w:t>
      </w:r>
      <w:r w:rsidR="0049778D" w:rsidRPr="00545FAE">
        <w:rPr>
          <w:lang w:val="fr-FR"/>
        </w:rPr>
        <w:t>s actions ou omissions ultérieures des autorités étatiques concernant les faits ou de l’absence de recours effectifs »</w:t>
      </w:r>
      <w:r w:rsidR="00063572" w:rsidRPr="00545FAE">
        <w:rPr>
          <w:rStyle w:val="FootnoteReference"/>
          <w:sz w:val="16"/>
          <w:szCs w:val="16"/>
          <w:lang w:val="fr-FR"/>
        </w:rPr>
        <w:footnoteReference w:id="71"/>
      </w:r>
      <w:r w:rsidR="00063572" w:rsidRPr="00545FAE">
        <w:rPr>
          <w:lang w:val="fr-FR"/>
        </w:rPr>
        <w:t xml:space="preserve">. En </w:t>
      </w:r>
      <w:r w:rsidRPr="00545FAE">
        <w:rPr>
          <w:lang w:val="fr-FR"/>
        </w:rPr>
        <w:t>effet, « l’absence d’une enquête exhaustive et efficace sur les faits constitue une source supplémentaire</w:t>
      </w:r>
      <w:r w:rsidR="0049778D" w:rsidRPr="00545FAE">
        <w:rPr>
          <w:lang w:val="fr-FR"/>
        </w:rPr>
        <w:t xml:space="preserve"> de souffrance et d’angoisse</w:t>
      </w:r>
      <w:r w:rsidRPr="00545FAE">
        <w:rPr>
          <w:lang w:val="fr-FR"/>
        </w:rPr>
        <w:t xml:space="preserve"> pour les victimes et les membres de leur famille, lesquels ont le droit de connaître la vérité </w:t>
      </w:r>
      <w:r w:rsidR="00AA5F64" w:rsidRPr="00545FAE">
        <w:rPr>
          <w:lang w:val="fr-FR"/>
        </w:rPr>
        <w:t xml:space="preserve">à ce sujet. </w:t>
      </w:r>
      <w:r w:rsidR="00BE34A1" w:rsidRPr="00545FAE">
        <w:rPr>
          <w:lang w:val="fr-FR"/>
        </w:rPr>
        <w:t>C</w:t>
      </w:r>
      <w:r w:rsidR="00AA5F64" w:rsidRPr="00545FAE">
        <w:rPr>
          <w:lang w:val="fr-FR"/>
        </w:rPr>
        <w:t xml:space="preserve">e droit exige </w:t>
      </w:r>
      <w:r w:rsidR="0049778D" w:rsidRPr="00545FAE">
        <w:rPr>
          <w:lang w:val="fr-FR"/>
        </w:rPr>
        <w:t>de déterminer la vérité au cours de la procédure avec le plus de précision possible »</w:t>
      </w:r>
      <w:r w:rsidR="00063572" w:rsidRPr="00545FAE">
        <w:rPr>
          <w:rStyle w:val="FootnoteReference"/>
          <w:sz w:val="16"/>
          <w:szCs w:val="16"/>
          <w:lang w:val="fr-FR"/>
        </w:rPr>
        <w:footnoteReference w:id="72"/>
      </w:r>
      <w:r w:rsidR="00063572" w:rsidRPr="00545FAE">
        <w:rPr>
          <w:lang w:val="fr-FR"/>
        </w:rPr>
        <w:t xml:space="preserve">. </w:t>
      </w:r>
    </w:p>
    <w:p w14:paraId="54FC434F" w14:textId="77777777" w:rsidR="00027656" w:rsidRPr="00545FAE" w:rsidRDefault="00027656" w:rsidP="0076136B">
      <w:pPr>
        <w:pStyle w:val="Heading3"/>
        <w:numPr>
          <w:ilvl w:val="0"/>
          <w:numId w:val="0"/>
        </w:numPr>
        <w:rPr>
          <w:lang w:val="fr-FR"/>
        </w:rPr>
      </w:pPr>
    </w:p>
    <w:p w14:paraId="6CAEFDCC" w14:textId="77777777" w:rsidR="009E3CB0" w:rsidRPr="00545FAE" w:rsidRDefault="00A926F6" w:rsidP="009E3CB0">
      <w:pPr>
        <w:pStyle w:val="Heading3"/>
        <w:numPr>
          <w:ilvl w:val="0"/>
          <w:numId w:val="0"/>
        </w:numPr>
        <w:ind w:left="720"/>
        <w:rPr>
          <w:lang w:val="fr-FR"/>
        </w:rPr>
      </w:pPr>
      <w:bookmarkStart w:id="21" w:name="_Toc33019292"/>
      <w:r w:rsidRPr="00545FAE">
        <w:rPr>
          <w:lang w:val="fr-FR"/>
        </w:rPr>
        <w:t>Analyse sur l’affaire</w:t>
      </w:r>
      <w:bookmarkEnd w:id="21"/>
    </w:p>
    <w:p w14:paraId="104B5B9F" w14:textId="77777777" w:rsidR="001C1F09" w:rsidRPr="00545FAE" w:rsidRDefault="001C1F09" w:rsidP="00A578D1">
      <w:pPr>
        <w:pStyle w:val="ListParagraph"/>
        <w:numPr>
          <w:ilvl w:val="0"/>
          <w:numId w:val="0"/>
        </w:numPr>
        <w:rPr>
          <w:lang w:val="fr-FR"/>
        </w:rPr>
      </w:pPr>
    </w:p>
    <w:p w14:paraId="36069471" w14:textId="77777777" w:rsidR="0076136B" w:rsidRPr="00545FAE" w:rsidRDefault="0076136B" w:rsidP="004B2E49">
      <w:pPr>
        <w:pStyle w:val="ListParagraph"/>
        <w:rPr>
          <w:lang w:val="fr-FR"/>
        </w:rPr>
      </w:pPr>
      <w:r w:rsidRPr="00545FAE">
        <w:rPr>
          <w:lang w:val="fr-FR"/>
        </w:rPr>
        <w:t>La Co</w:t>
      </w:r>
      <w:r w:rsidR="006409C9" w:rsidRPr="00545FAE">
        <w:rPr>
          <w:lang w:val="fr-FR"/>
        </w:rPr>
        <w:t xml:space="preserve">mmission observe que l’État avait l’obligation d’enquêter avec diligence et dans un délai raisonnable sur l’assassinat dont a été victime M. </w:t>
      </w:r>
      <w:r w:rsidR="00982431" w:rsidRPr="00545FAE">
        <w:rPr>
          <w:lang w:val="fr-FR"/>
        </w:rPr>
        <w:t>Frédo Guirant (o</w:t>
      </w:r>
      <w:r w:rsidR="006409C9" w:rsidRPr="00545FAE">
        <w:rPr>
          <w:lang w:val="fr-FR"/>
        </w:rPr>
        <w:t>u</w:t>
      </w:r>
      <w:r w:rsidR="00982431" w:rsidRPr="00545FAE">
        <w:rPr>
          <w:lang w:val="fr-FR"/>
        </w:rPr>
        <w:t xml:space="preserve"> Guirand)</w:t>
      </w:r>
      <w:r w:rsidRPr="00545FAE">
        <w:rPr>
          <w:lang w:val="fr-FR"/>
        </w:rPr>
        <w:t xml:space="preserve">, </w:t>
      </w:r>
      <w:r w:rsidR="006409C9" w:rsidRPr="00545FAE">
        <w:rPr>
          <w:lang w:val="fr-FR"/>
        </w:rPr>
        <w:t>la tentative d’homicide dont a été l’objet M. Baptiste Willer ainsi que les menaces et les intimidations que lui et sa famille ont subies</w:t>
      </w:r>
      <w:r w:rsidRPr="00545FAE">
        <w:rPr>
          <w:lang w:val="fr-FR"/>
        </w:rPr>
        <w:t xml:space="preserve">. </w:t>
      </w:r>
    </w:p>
    <w:p w14:paraId="357976F0" w14:textId="77777777" w:rsidR="0076136B" w:rsidRPr="00545FAE" w:rsidRDefault="0076136B" w:rsidP="0076136B">
      <w:pPr>
        <w:pStyle w:val="ListParagraph"/>
        <w:numPr>
          <w:ilvl w:val="0"/>
          <w:numId w:val="0"/>
        </w:numPr>
        <w:rPr>
          <w:lang w:val="fr-FR"/>
        </w:rPr>
      </w:pPr>
    </w:p>
    <w:p w14:paraId="0FD49E65" w14:textId="77777777" w:rsidR="00C55B96" w:rsidRPr="00545FAE" w:rsidRDefault="006409C9" w:rsidP="0076136B">
      <w:pPr>
        <w:pStyle w:val="ListParagraph"/>
        <w:rPr>
          <w:lang w:val="fr-FR"/>
        </w:rPr>
      </w:pPr>
      <w:r w:rsidRPr="00545FAE">
        <w:rPr>
          <w:lang w:val="fr-FR"/>
        </w:rPr>
        <w:t xml:space="preserve">En ce qui concerne la mort violente de M. </w:t>
      </w:r>
      <w:r w:rsidR="00982431" w:rsidRPr="00545FAE">
        <w:rPr>
          <w:lang w:val="fr-FR"/>
        </w:rPr>
        <w:t>Frédo Guirant (o</w:t>
      </w:r>
      <w:r w:rsidRPr="00545FAE">
        <w:rPr>
          <w:lang w:val="fr-FR"/>
        </w:rPr>
        <w:t>u</w:t>
      </w:r>
      <w:r w:rsidR="00982431" w:rsidRPr="00545FAE">
        <w:rPr>
          <w:lang w:val="fr-FR"/>
        </w:rPr>
        <w:t xml:space="preserve"> Guiran</w:t>
      </w:r>
      <w:r w:rsidR="0076136B" w:rsidRPr="00545FAE">
        <w:rPr>
          <w:lang w:val="fr-FR"/>
        </w:rPr>
        <w:t>d</w:t>
      </w:r>
      <w:r w:rsidR="00982431" w:rsidRPr="00545FAE">
        <w:rPr>
          <w:lang w:val="fr-FR"/>
        </w:rPr>
        <w:t>)</w:t>
      </w:r>
      <w:r w:rsidR="0076136B" w:rsidRPr="00545FAE">
        <w:rPr>
          <w:lang w:val="fr-FR"/>
        </w:rPr>
        <w:t>, la Co</w:t>
      </w:r>
      <w:r w:rsidRPr="00545FAE">
        <w:rPr>
          <w:lang w:val="fr-FR"/>
        </w:rPr>
        <w:t>m</w:t>
      </w:r>
      <w:r w:rsidR="0076136B" w:rsidRPr="00545FAE">
        <w:rPr>
          <w:lang w:val="fr-FR"/>
        </w:rPr>
        <w:t>mis</w:t>
      </w:r>
      <w:r w:rsidRPr="00545FAE">
        <w:rPr>
          <w:lang w:val="fr-FR"/>
        </w:rPr>
        <w:t xml:space="preserve">sion note que, par le biais d’une communication adressée à </w:t>
      </w:r>
      <w:r w:rsidR="00C55B96" w:rsidRPr="00545FAE">
        <w:rPr>
          <w:lang w:val="fr-FR"/>
        </w:rPr>
        <w:t xml:space="preserve">la CIDH en </w:t>
      </w:r>
      <w:r w:rsidRPr="00545FAE">
        <w:rPr>
          <w:lang w:val="fr-FR"/>
        </w:rPr>
        <w:t>août</w:t>
      </w:r>
      <w:r w:rsidR="00C55B96" w:rsidRPr="00545FAE">
        <w:rPr>
          <w:lang w:val="fr-FR"/>
        </w:rPr>
        <w:t xml:space="preserve"> 2007, </w:t>
      </w:r>
      <w:r w:rsidRPr="00545FAE">
        <w:rPr>
          <w:lang w:val="fr-FR"/>
        </w:rPr>
        <w:t xml:space="preserve">l’État haïtien a reconnu </w:t>
      </w:r>
      <w:r w:rsidR="00B31513" w:rsidRPr="00545FAE">
        <w:rPr>
          <w:lang w:val="fr-FR"/>
        </w:rPr>
        <w:t>avoir connaissance de la plainte et a indiqué qu’au moins un des auteurs présumés de l’assassinat était activement recherché par la police</w:t>
      </w:r>
      <w:r w:rsidR="00C55B96" w:rsidRPr="00545FAE">
        <w:rPr>
          <w:lang w:val="fr-FR"/>
        </w:rPr>
        <w:t xml:space="preserve">. </w:t>
      </w:r>
      <w:r w:rsidR="00B31513" w:rsidRPr="00545FAE">
        <w:rPr>
          <w:lang w:val="fr-FR"/>
        </w:rPr>
        <w:t>Bien q</w:t>
      </w:r>
      <w:r w:rsidR="00BE34A1" w:rsidRPr="00545FAE">
        <w:rPr>
          <w:lang w:val="fr-FR"/>
        </w:rPr>
        <w:t>ue ce renseignement indique qu’</w:t>
      </w:r>
      <w:r w:rsidR="003D31C7" w:rsidRPr="00545FAE">
        <w:rPr>
          <w:lang w:val="fr-FR"/>
        </w:rPr>
        <w:t xml:space="preserve">Haïti </w:t>
      </w:r>
      <w:r w:rsidR="00B31513" w:rsidRPr="00545FAE">
        <w:rPr>
          <w:lang w:val="fr-FR"/>
        </w:rPr>
        <w:t xml:space="preserve">semble avoir démarré une enquête, </w:t>
      </w:r>
      <w:r w:rsidR="00C55B96" w:rsidRPr="00545FAE">
        <w:rPr>
          <w:lang w:val="fr-FR"/>
        </w:rPr>
        <w:t xml:space="preserve">la CIDH </w:t>
      </w:r>
      <w:r w:rsidR="00B31513" w:rsidRPr="00545FAE">
        <w:rPr>
          <w:lang w:val="fr-FR"/>
        </w:rPr>
        <w:t xml:space="preserve">ne dispose d’aucune information sur le résultat </w:t>
      </w:r>
      <w:r w:rsidR="00BE34A1" w:rsidRPr="00545FAE">
        <w:rPr>
          <w:lang w:val="fr-FR"/>
        </w:rPr>
        <w:t>des</w:t>
      </w:r>
      <w:r w:rsidR="00B31513" w:rsidRPr="00545FAE">
        <w:rPr>
          <w:lang w:val="fr-FR"/>
        </w:rPr>
        <w:t xml:space="preserve"> diligences </w:t>
      </w:r>
      <w:r w:rsidR="00BE34A1" w:rsidRPr="00545FAE">
        <w:rPr>
          <w:lang w:val="fr-FR"/>
        </w:rPr>
        <w:t xml:space="preserve">minimales </w:t>
      </w:r>
      <w:r w:rsidR="00B31513" w:rsidRPr="00545FAE">
        <w:rPr>
          <w:lang w:val="fr-FR"/>
        </w:rPr>
        <w:t>ni sur leur suivi</w:t>
      </w:r>
      <w:r w:rsidR="003D31C7" w:rsidRPr="00545FAE">
        <w:rPr>
          <w:lang w:val="fr-FR"/>
        </w:rPr>
        <w:t>, car l’État n’a pas apporté d’éléments démontrant qu’il s’acquittait de son obligation d’enquêter</w:t>
      </w:r>
      <w:r w:rsidR="00C55B96" w:rsidRPr="00545FAE">
        <w:rPr>
          <w:lang w:val="fr-FR"/>
        </w:rPr>
        <w:t>.</w:t>
      </w:r>
    </w:p>
    <w:p w14:paraId="6ACD4DEC" w14:textId="77777777" w:rsidR="00C55B96" w:rsidRPr="00545FAE" w:rsidRDefault="00C55B96" w:rsidP="00C55B96">
      <w:pPr>
        <w:pStyle w:val="ListParagraph"/>
        <w:numPr>
          <w:ilvl w:val="0"/>
          <w:numId w:val="0"/>
        </w:numPr>
        <w:rPr>
          <w:lang w:val="fr-FR"/>
        </w:rPr>
      </w:pPr>
    </w:p>
    <w:p w14:paraId="613350A4" w14:textId="77777777" w:rsidR="0076136B" w:rsidRPr="00545FAE" w:rsidRDefault="00DF785E" w:rsidP="0076136B">
      <w:pPr>
        <w:pStyle w:val="ListParagraph"/>
        <w:rPr>
          <w:lang w:val="fr-FR"/>
        </w:rPr>
      </w:pPr>
      <w:r w:rsidRPr="00545FAE">
        <w:rPr>
          <w:lang w:val="fr-FR"/>
        </w:rPr>
        <w:t>Par conséquent, la CIDH observe que l’État n’a pas démontré avoir enquêté sur l’assassinat avec la diligence requise par la condition de mineur de la victime et ne s’est pas acquitté des diligences minimales énoncées dans le Protocole du</w:t>
      </w:r>
      <w:r w:rsidR="0076136B" w:rsidRPr="00545FAE">
        <w:rPr>
          <w:lang w:val="fr-FR"/>
        </w:rPr>
        <w:t xml:space="preserve"> Minnesota </w:t>
      </w:r>
      <w:r w:rsidR="00BE34A1" w:rsidRPr="00545FAE">
        <w:rPr>
          <w:lang w:val="fr-FR"/>
        </w:rPr>
        <w:t xml:space="preserve">concernant </w:t>
      </w:r>
      <w:r w:rsidRPr="00545FAE">
        <w:rPr>
          <w:lang w:val="fr-FR"/>
        </w:rPr>
        <w:t xml:space="preserve">l’enquête d’un homicide résultant potentiellement d’actes illégaux. </w:t>
      </w:r>
      <w:r w:rsidR="00260974" w:rsidRPr="00545FAE">
        <w:rPr>
          <w:lang w:val="fr-FR"/>
        </w:rPr>
        <w:t xml:space="preserve">Cela revêt une importance particulière compte tenu que, comme il est décrit dans les faits avérés, l’État était au courant que la mort de M. </w:t>
      </w:r>
      <w:r w:rsidR="00982431" w:rsidRPr="00545FAE">
        <w:rPr>
          <w:lang w:val="fr-FR"/>
        </w:rPr>
        <w:t>Frédo Guirant (o</w:t>
      </w:r>
      <w:r w:rsidR="00260974" w:rsidRPr="00545FAE">
        <w:rPr>
          <w:lang w:val="fr-FR"/>
        </w:rPr>
        <w:t>u</w:t>
      </w:r>
      <w:r w:rsidR="00982431" w:rsidRPr="00545FAE">
        <w:rPr>
          <w:lang w:val="fr-FR"/>
        </w:rPr>
        <w:t xml:space="preserve"> Guirand)</w:t>
      </w:r>
      <w:r w:rsidR="0076136B" w:rsidRPr="00545FAE">
        <w:rPr>
          <w:lang w:val="fr-FR"/>
        </w:rPr>
        <w:t xml:space="preserve"> </w:t>
      </w:r>
      <w:r w:rsidR="00260974" w:rsidRPr="00545FAE">
        <w:rPr>
          <w:lang w:val="fr-FR"/>
        </w:rPr>
        <w:t xml:space="preserve">s’était produite par balle et que celui-ci était mineur, ce que mettent en évidence la communication envoyée par M. </w:t>
      </w:r>
      <w:r w:rsidR="0076136B" w:rsidRPr="00545FAE">
        <w:rPr>
          <w:lang w:val="fr-FR"/>
        </w:rPr>
        <w:t xml:space="preserve">Baptiste Willer </w:t>
      </w:r>
      <w:r w:rsidR="00260974" w:rsidRPr="00545FAE">
        <w:rPr>
          <w:lang w:val="fr-FR"/>
        </w:rPr>
        <w:t>aux</w:t>
      </w:r>
      <w:r w:rsidR="0076136B" w:rsidRPr="00545FAE">
        <w:rPr>
          <w:lang w:val="fr-FR"/>
        </w:rPr>
        <w:t xml:space="preserve"> autori</w:t>
      </w:r>
      <w:r w:rsidR="00260974" w:rsidRPr="00545FAE">
        <w:rPr>
          <w:lang w:val="fr-FR"/>
        </w:rPr>
        <w:t xml:space="preserve">tés et le certificat de décès délivré par l’autorité </w:t>
      </w:r>
      <w:r w:rsidR="002A4B18" w:rsidRPr="00545FAE">
        <w:rPr>
          <w:lang w:val="fr-FR"/>
        </w:rPr>
        <w:t>correspondante</w:t>
      </w:r>
      <w:r w:rsidR="0076136B" w:rsidRPr="00545FAE">
        <w:rPr>
          <w:lang w:val="fr-FR"/>
        </w:rPr>
        <w:t xml:space="preserve">. </w:t>
      </w:r>
      <w:r w:rsidRPr="00545FAE">
        <w:rPr>
          <w:lang w:val="fr-FR"/>
        </w:rPr>
        <w:t xml:space="preserve">De plus, la Commission constate que le juge de paix a autorisé la remise du corps sans autopsie mais qu’il n’existe aucun élément indiquant les raisons </w:t>
      </w:r>
      <w:r w:rsidR="004B0B22" w:rsidRPr="00545FAE">
        <w:rPr>
          <w:lang w:val="fr-FR"/>
        </w:rPr>
        <w:t>pour lesquelles il a été fait abstraction d’une diligence si importante pour l’enquête</w:t>
      </w:r>
      <w:r w:rsidR="0076136B" w:rsidRPr="00545FAE">
        <w:rPr>
          <w:lang w:val="fr-FR"/>
        </w:rPr>
        <w:t>.</w:t>
      </w:r>
    </w:p>
    <w:p w14:paraId="08A991CD" w14:textId="77777777" w:rsidR="00C55B96" w:rsidRPr="00545FAE" w:rsidRDefault="00C55B96" w:rsidP="00C55B96">
      <w:pPr>
        <w:pStyle w:val="ListParagraph"/>
        <w:numPr>
          <w:ilvl w:val="0"/>
          <w:numId w:val="0"/>
        </w:numPr>
        <w:rPr>
          <w:lang w:val="fr-FR"/>
        </w:rPr>
      </w:pPr>
    </w:p>
    <w:p w14:paraId="6C4B205D" w14:textId="77777777" w:rsidR="00CE3A34" w:rsidRPr="00545FAE" w:rsidRDefault="00EF5A53" w:rsidP="00C55B96">
      <w:pPr>
        <w:pStyle w:val="ListParagraph"/>
        <w:rPr>
          <w:lang w:val="fr-FR"/>
        </w:rPr>
      </w:pPr>
      <w:r w:rsidRPr="00545FAE">
        <w:rPr>
          <w:lang w:val="fr-FR"/>
        </w:rPr>
        <w:t>Par ailleurs</w:t>
      </w:r>
      <w:r w:rsidR="00C55B96" w:rsidRPr="00545FAE">
        <w:rPr>
          <w:lang w:val="fr-FR"/>
        </w:rPr>
        <w:t xml:space="preserve">, </w:t>
      </w:r>
      <w:r w:rsidRPr="00545FAE">
        <w:rPr>
          <w:lang w:val="fr-FR"/>
        </w:rPr>
        <w:t xml:space="preserve">il n’existe aucun élément </w:t>
      </w:r>
      <w:r w:rsidR="0033265C" w:rsidRPr="00545FAE">
        <w:rPr>
          <w:lang w:val="fr-FR"/>
        </w:rPr>
        <w:t xml:space="preserve">dans le dossier </w:t>
      </w:r>
      <w:r w:rsidRPr="00545FAE">
        <w:rPr>
          <w:lang w:val="fr-FR"/>
        </w:rPr>
        <w:t xml:space="preserve">indiquant que l’État </w:t>
      </w:r>
      <w:r w:rsidR="0033265C" w:rsidRPr="00545FAE">
        <w:rPr>
          <w:lang w:val="fr-FR"/>
        </w:rPr>
        <w:t xml:space="preserve">a pris des mesures </w:t>
      </w:r>
      <w:r w:rsidR="003F48D5" w:rsidRPr="00545FAE">
        <w:rPr>
          <w:lang w:val="fr-FR"/>
        </w:rPr>
        <w:t>pour mettre en œuvre des lignes logiques d’enquête concernant le possible lien de causalité entre l’assassinat de M.</w:t>
      </w:r>
      <w:r w:rsidR="00CE3A34" w:rsidRPr="00545FAE">
        <w:rPr>
          <w:lang w:val="fr-FR"/>
        </w:rPr>
        <w:t xml:space="preserve"> </w:t>
      </w:r>
      <w:r w:rsidR="00982431" w:rsidRPr="00545FAE">
        <w:rPr>
          <w:lang w:val="fr-FR"/>
        </w:rPr>
        <w:t>Frédo Guirant (o</w:t>
      </w:r>
      <w:r w:rsidR="003F48D5" w:rsidRPr="00545FAE">
        <w:rPr>
          <w:lang w:val="fr-FR"/>
        </w:rPr>
        <w:t>u</w:t>
      </w:r>
      <w:r w:rsidR="00982431" w:rsidRPr="00545FAE">
        <w:rPr>
          <w:lang w:val="fr-FR"/>
        </w:rPr>
        <w:t xml:space="preserve"> Guirand)</w:t>
      </w:r>
      <w:r w:rsidR="00CE3A34" w:rsidRPr="00545FAE">
        <w:rPr>
          <w:lang w:val="fr-FR"/>
        </w:rPr>
        <w:t xml:space="preserve"> </w:t>
      </w:r>
      <w:r w:rsidR="003F48D5" w:rsidRPr="00545FAE">
        <w:rPr>
          <w:lang w:val="fr-FR"/>
        </w:rPr>
        <w:t xml:space="preserve">et les attaques et </w:t>
      </w:r>
      <w:r w:rsidR="00406B17" w:rsidRPr="00545FAE">
        <w:rPr>
          <w:lang w:val="fr-FR"/>
        </w:rPr>
        <w:t xml:space="preserve">les </w:t>
      </w:r>
      <w:r w:rsidR="003F48D5" w:rsidRPr="00545FAE">
        <w:rPr>
          <w:lang w:val="fr-FR"/>
        </w:rPr>
        <w:t xml:space="preserve">menaces subies par M. </w:t>
      </w:r>
      <w:r w:rsidR="00CE3A34" w:rsidRPr="00545FAE">
        <w:rPr>
          <w:lang w:val="fr-FR"/>
        </w:rPr>
        <w:t xml:space="preserve">Baptiste Willer, </w:t>
      </w:r>
      <w:r w:rsidR="003F48D5" w:rsidRPr="00545FAE">
        <w:rPr>
          <w:lang w:val="fr-FR"/>
        </w:rPr>
        <w:t>compte tenu du fait que, selon les informations communiquées aux autorités, ces événements graves étaient liés à son refus d’intégrer un groupe criminel qui opérait dans la zone</w:t>
      </w:r>
      <w:r w:rsidR="0079687A" w:rsidRPr="00545FAE">
        <w:rPr>
          <w:lang w:val="fr-FR"/>
        </w:rPr>
        <w:t xml:space="preserve">. </w:t>
      </w:r>
      <w:r w:rsidR="003F48D5" w:rsidRPr="00545FAE">
        <w:rPr>
          <w:lang w:val="fr-FR"/>
        </w:rPr>
        <w:t xml:space="preserve">De fait, </w:t>
      </w:r>
      <w:r w:rsidR="00D2208A" w:rsidRPr="00545FAE">
        <w:rPr>
          <w:lang w:val="fr-FR"/>
        </w:rPr>
        <w:t>bien que M. Baptiste Will</w:t>
      </w:r>
      <w:r w:rsidR="0079687A" w:rsidRPr="00545FAE">
        <w:rPr>
          <w:lang w:val="fr-FR"/>
        </w:rPr>
        <w:t xml:space="preserve">er </w:t>
      </w:r>
      <w:r w:rsidR="00D2208A" w:rsidRPr="00545FAE">
        <w:rPr>
          <w:lang w:val="fr-FR"/>
        </w:rPr>
        <w:t xml:space="preserve">ait identifié les membres de ce groupe, la Commission n’a pas connaissance que l’État </w:t>
      </w:r>
      <w:r w:rsidR="003839E1" w:rsidRPr="00545FAE">
        <w:rPr>
          <w:lang w:val="fr-FR"/>
        </w:rPr>
        <w:t>ait ouvert</w:t>
      </w:r>
      <w:r w:rsidR="00D2208A" w:rsidRPr="00545FAE">
        <w:rPr>
          <w:lang w:val="fr-FR"/>
        </w:rPr>
        <w:t xml:space="preserve"> </w:t>
      </w:r>
      <w:r w:rsidR="00BE34A1" w:rsidRPr="00545FAE">
        <w:rPr>
          <w:lang w:val="fr-FR"/>
        </w:rPr>
        <w:t>une quelconque enquête</w:t>
      </w:r>
      <w:r w:rsidR="00D2208A" w:rsidRPr="00545FAE">
        <w:rPr>
          <w:lang w:val="fr-FR"/>
        </w:rPr>
        <w:t xml:space="preserve"> sur eux</w:t>
      </w:r>
      <w:r w:rsidR="0079687A" w:rsidRPr="00545FAE">
        <w:rPr>
          <w:lang w:val="fr-FR"/>
        </w:rPr>
        <w:t>.</w:t>
      </w:r>
    </w:p>
    <w:p w14:paraId="19258726" w14:textId="77777777" w:rsidR="00CE3A34" w:rsidRPr="00545FAE" w:rsidRDefault="00CE3A34" w:rsidP="00646F40">
      <w:pPr>
        <w:pStyle w:val="ListParagraph"/>
        <w:numPr>
          <w:ilvl w:val="0"/>
          <w:numId w:val="0"/>
        </w:numPr>
        <w:rPr>
          <w:lang w:val="fr-FR"/>
        </w:rPr>
      </w:pPr>
    </w:p>
    <w:p w14:paraId="4FBE7DEB" w14:textId="77777777" w:rsidR="002802D4" w:rsidRPr="00545FAE" w:rsidRDefault="00925CC0" w:rsidP="0079687A">
      <w:pPr>
        <w:pStyle w:val="ListParagraph"/>
        <w:rPr>
          <w:lang w:val="fr-FR"/>
        </w:rPr>
      </w:pPr>
      <w:r w:rsidRPr="00545FAE">
        <w:rPr>
          <w:lang w:val="fr-FR"/>
        </w:rPr>
        <w:t>De plus</w:t>
      </w:r>
      <w:r w:rsidR="0079687A" w:rsidRPr="00545FAE">
        <w:rPr>
          <w:lang w:val="fr-FR"/>
        </w:rPr>
        <w:t xml:space="preserve">, </w:t>
      </w:r>
      <w:r w:rsidRPr="00545FAE">
        <w:rPr>
          <w:lang w:val="fr-FR"/>
        </w:rPr>
        <w:t>en ce qui concerne la tentative d’homicide sur M. Baptiste Willer ainsi que les agressions et les intimidations à l’encontre de lui et sa famille, il apparaît qu</w:t>
      </w:r>
      <w:r w:rsidR="002D590D" w:rsidRPr="00545FAE">
        <w:rPr>
          <w:lang w:val="fr-FR"/>
        </w:rPr>
        <w:t xml:space="preserve">e le 27 février 2007, </w:t>
      </w:r>
      <w:r w:rsidRPr="00545FAE">
        <w:rPr>
          <w:lang w:val="fr-FR"/>
        </w:rPr>
        <w:t>il a dénoncé le décès de son frère et les attaques et les menaces dont lui-même était l’objet</w:t>
      </w:r>
      <w:r w:rsidR="0079687A" w:rsidRPr="00545FAE">
        <w:rPr>
          <w:lang w:val="fr-FR"/>
        </w:rPr>
        <w:t xml:space="preserve">, </w:t>
      </w:r>
      <w:r w:rsidRPr="00545FAE">
        <w:rPr>
          <w:lang w:val="fr-FR"/>
        </w:rPr>
        <w:t>demandant à bénéficier de l’aide judiciaire et d’une protection</w:t>
      </w:r>
      <w:r w:rsidR="0079687A" w:rsidRPr="00545FAE">
        <w:rPr>
          <w:lang w:val="fr-FR"/>
        </w:rPr>
        <w:t xml:space="preserve">. </w:t>
      </w:r>
      <w:r w:rsidRPr="00545FAE">
        <w:rPr>
          <w:lang w:val="fr-FR"/>
        </w:rPr>
        <w:t xml:space="preserve">Malgré la gravité des faits, aucun élément n’indique que l’État a ouvert, </w:t>
      </w:r>
      <w:r w:rsidRPr="00545FAE">
        <w:rPr>
          <w:i/>
          <w:lang w:val="fr-FR"/>
        </w:rPr>
        <w:t>ex officio</w:t>
      </w:r>
      <w:r w:rsidRPr="00545FAE">
        <w:rPr>
          <w:lang w:val="fr-FR"/>
        </w:rPr>
        <w:t xml:space="preserve"> et sans délai, une enquête à ce sujet</w:t>
      </w:r>
      <w:r w:rsidR="0079687A" w:rsidRPr="00545FAE">
        <w:rPr>
          <w:lang w:val="fr-FR"/>
        </w:rPr>
        <w:t xml:space="preserve">. </w:t>
      </w:r>
      <w:r w:rsidRPr="00545FAE">
        <w:rPr>
          <w:lang w:val="fr-FR"/>
        </w:rPr>
        <w:t xml:space="preserve">Il n’existe pas non plus d’informations montrant que l’État </w:t>
      </w:r>
      <w:r w:rsidR="004D1586" w:rsidRPr="00545FAE">
        <w:rPr>
          <w:lang w:val="fr-FR"/>
        </w:rPr>
        <w:t>a examiné en profondeur l</w:t>
      </w:r>
      <w:r w:rsidRPr="00545FAE">
        <w:rPr>
          <w:lang w:val="fr-FR"/>
        </w:rPr>
        <w:t>es menaces subies</w:t>
      </w:r>
      <w:r w:rsidR="004D1586" w:rsidRPr="00545FAE">
        <w:rPr>
          <w:lang w:val="fr-FR"/>
        </w:rPr>
        <w:t>, et ce,</w:t>
      </w:r>
      <w:r w:rsidRPr="00545FAE">
        <w:rPr>
          <w:lang w:val="fr-FR"/>
        </w:rPr>
        <w:t xml:space="preserve"> </w:t>
      </w:r>
      <w:r w:rsidR="004D1586" w:rsidRPr="00545FAE">
        <w:rPr>
          <w:lang w:val="fr-FR"/>
        </w:rPr>
        <w:t xml:space="preserve">en dépit des renseignements suggérant qu’elles proviendraient des mêmes personnes que celles liées à l’assassinat </w:t>
      </w:r>
      <w:r w:rsidR="0079687A" w:rsidRPr="00545FAE">
        <w:rPr>
          <w:lang w:val="fr-FR"/>
        </w:rPr>
        <w:t xml:space="preserve">de </w:t>
      </w:r>
      <w:r w:rsidR="004D1586" w:rsidRPr="00545FAE">
        <w:rPr>
          <w:lang w:val="fr-FR"/>
        </w:rPr>
        <w:t xml:space="preserve">M. </w:t>
      </w:r>
      <w:r w:rsidR="00982431" w:rsidRPr="00545FAE">
        <w:rPr>
          <w:lang w:val="fr-FR"/>
        </w:rPr>
        <w:t>Frédo Guirant (o</w:t>
      </w:r>
      <w:r w:rsidR="004D1586" w:rsidRPr="00545FAE">
        <w:rPr>
          <w:lang w:val="fr-FR"/>
        </w:rPr>
        <w:t>u</w:t>
      </w:r>
      <w:r w:rsidR="00982431" w:rsidRPr="00545FAE">
        <w:rPr>
          <w:lang w:val="fr-FR"/>
        </w:rPr>
        <w:t xml:space="preserve"> Guirand)</w:t>
      </w:r>
      <w:r w:rsidR="0079687A" w:rsidRPr="00545FAE">
        <w:rPr>
          <w:lang w:val="fr-FR"/>
        </w:rPr>
        <w:t xml:space="preserve">. </w:t>
      </w:r>
      <w:r w:rsidR="004D1586" w:rsidRPr="00545FAE">
        <w:rPr>
          <w:lang w:val="fr-FR"/>
        </w:rPr>
        <w:t>Outre ces points</w:t>
      </w:r>
      <w:r w:rsidR="0079687A" w:rsidRPr="00545FAE">
        <w:rPr>
          <w:lang w:val="fr-FR"/>
        </w:rPr>
        <w:t>, la Co</w:t>
      </w:r>
      <w:r w:rsidR="004D1586" w:rsidRPr="00545FAE">
        <w:rPr>
          <w:lang w:val="fr-FR"/>
        </w:rPr>
        <w:t>m</w:t>
      </w:r>
      <w:r w:rsidR="0079687A" w:rsidRPr="00545FAE">
        <w:rPr>
          <w:lang w:val="fr-FR"/>
        </w:rPr>
        <w:t>mis</w:t>
      </w:r>
      <w:r w:rsidR="004D1586" w:rsidRPr="00545FAE">
        <w:rPr>
          <w:lang w:val="fr-FR"/>
        </w:rPr>
        <w:t>sio</w:t>
      </w:r>
      <w:r w:rsidR="0079687A" w:rsidRPr="00545FAE">
        <w:rPr>
          <w:lang w:val="fr-FR"/>
        </w:rPr>
        <w:t>n obse</w:t>
      </w:r>
      <w:r w:rsidR="004D1586" w:rsidRPr="00545FAE">
        <w:rPr>
          <w:lang w:val="fr-FR"/>
        </w:rPr>
        <w:t>rve</w:t>
      </w:r>
      <w:r w:rsidR="00DC205B" w:rsidRPr="00545FAE">
        <w:rPr>
          <w:lang w:val="fr-FR"/>
        </w:rPr>
        <w:t xml:space="preserve"> que</w:t>
      </w:r>
      <w:r w:rsidR="004D1586" w:rsidRPr="00545FAE">
        <w:rPr>
          <w:lang w:val="fr-FR"/>
        </w:rPr>
        <w:t xml:space="preserve"> les causes structurelles qui menaçaient la sécurité de M. </w:t>
      </w:r>
      <w:r w:rsidR="00C55B96" w:rsidRPr="00545FAE">
        <w:rPr>
          <w:lang w:val="fr-FR"/>
        </w:rPr>
        <w:t xml:space="preserve">Baptiste Willer, </w:t>
      </w:r>
      <w:r w:rsidR="004D1586" w:rsidRPr="00545FAE">
        <w:rPr>
          <w:lang w:val="fr-FR"/>
        </w:rPr>
        <w:t xml:space="preserve">de M. </w:t>
      </w:r>
      <w:r w:rsidR="00982431" w:rsidRPr="00545FAE">
        <w:rPr>
          <w:lang w:val="fr-FR"/>
        </w:rPr>
        <w:t>Frédo Guirant (o</w:t>
      </w:r>
      <w:r w:rsidR="004D1586" w:rsidRPr="00545FAE">
        <w:rPr>
          <w:lang w:val="fr-FR"/>
        </w:rPr>
        <w:t>u</w:t>
      </w:r>
      <w:r w:rsidR="00982431" w:rsidRPr="00545FAE">
        <w:rPr>
          <w:lang w:val="fr-FR"/>
        </w:rPr>
        <w:t xml:space="preserve"> Guirand)</w:t>
      </w:r>
      <w:r w:rsidR="00A24040" w:rsidRPr="00545FAE">
        <w:rPr>
          <w:lang w:val="fr-FR"/>
        </w:rPr>
        <w:t xml:space="preserve"> </w:t>
      </w:r>
      <w:r w:rsidR="004D1586" w:rsidRPr="00545FAE">
        <w:rPr>
          <w:lang w:val="fr-FR"/>
        </w:rPr>
        <w:t>et de leur famille n’ont fait l’objet d’aucune enquête. Elle observe aussi que, face à l’absence d’enquêtes et de sanctions</w:t>
      </w:r>
      <w:r w:rsidR="00C55B96" w:rsidRPr="00545FAE">
        <w:rPr>
          <w:lang w:val="fr-FR"/>
        </w:rPr>
        <w:t>,</w:t>
      </w:r>
      <w:r w:rsidR="004D1586" w:rsidRPr="00545FAE">
        <w:rPr>
          <w:lang w:val="fr-FR"/>
        </w:rPr>
        <w:t xml:space="preserve"> de nouveaux événements graves, qui ont été par la suite portés à la connaissance de l’État haïtien au cours de la présente procédure, se sont produits. De nouveau, il n’existe aucune information indiquant qu</w:t>
      </w:r>
      <w:r w:rsidR="004E2A19" w:rsidRPr="00545FAE">
        <w:rPr>
          <w:lang w:val="fr-FR"/>
        </w:rPr>
        <w:t>’une enquête a été menée sur ces événements</w:t>
      </w:r>
      <w:r w:rsidR="002802D4" w:rsidRPr="00545FAE">
        <w:rPr>
          <w:lang w:val="fr-FR"/>
        </w:rPr>
        <w:t>.</w:t>
      </w:r>
    </w:p>
    <w:p w14:paraId="59F1744A" w14:textId="77777777" w:rsidR="00F41F56" w:rsidRPr="00545FAE" w:rsidRDefault="00F41F56" w:rsidP="00C55B05">
      <w:pPr>
        <w:pStyle w:val="ListParagraph"/>
        <w:numPr>
          <w:ilvl w:val="0"/>
          <w:numId w:val="0"/>
        </w:numPr>
        <w:rPr>
          <w:lang w:val="fr-FR"/>
        </w:rPr>
      </w:pPr>
    </w:p>
    <w:p w14:paraId="1F072582" w14:textId="77777777" w:rsidR="006C7E76" w:rsidRPr="00545FAE" w:rsidRDefault="00AC1E4D" w:rsidP="00C55B05">
      <w:pPr>
        <w:pStyle w:val="ListParagraph"/>
        <w:rPr>
          <w:lang w:val="fr-FR"/>
        </w:rPr>
      </w:pPr>
      <w:r w:rsidRPr="00545FAE">
        <w:rPr>
          <w:lang w:val="fr-FR"/>
        </w:rPr>
        <w:t>En ce qui concerne le caractère raisonnable du délai</w:t>
      </w:r>
      <w:r w:rsidR="00473DA5" w:rsidRPr="00545FAE">
        <w:rPr>
          <w:lang w:val="fr-FR"/>
        </w:rPr>
        <w:t xml:space="preserve"> des enquêtes</w:t>
      </w:r>
      <w:r w:rsidR="002802D4" w:rsidRPr="00545FAE">
        <w:rPr>
          <w:lang w:val="fr-FR"/>
        </w:rPr>
        <w:t>, la Com</w:t>
      </w:r>
      <w:r w:rsidRPr="00545FAE">
        <w:rPr>
          <w:lang w:val="fr-FR"/>
        </w:rPr>
        <w:t>mission souligne que le manque d’informations sur l’exécution de l’obligation d’enquêter sur les faits</w:t>
      </w:r>
      <w:r w:rsidR="00F94E25" w:rsidRPr="00545FAE">
        <w:rPr>
          <w:lang w:val="fr-FR"/>
        </w:rPr>
        <w:t xml:space="preserve"> dénoncés</w:t>
      </w:r>
      <w:r w:rsidRPr="00545FAE">
        <w:rPr>
          <w:lang w:val="fr-FR"/>
        </w:rPr>
        <w:t>, de les juger et de les sanctionner persiste à ce jour, bien que plus de 12 années se soient écoulées depuis</w:t>
      </w:r>
      <w:r w:rsidR="00702A36" w:rsidRPr="00545FAE">
        <w:rPr>
          <w:lang w:val="fr-FR"/>
        </w:rPr>
        <w:t xml:space="preserve">. </w:t>
      </w:r>
      <w:r w:rsidR="00F94E25" w:rsidRPr="00545FAE">
        <w:rPr>
          <w:lang w:val="fr-FR"/>
        </w:rPr>
        <w:t>L’État n’a pas démontré que ce retard était lié à la complexité de l’affaire ou aux actions engagées par l’intéressé</w:t>
      </w:r>
      <w:r w:rsidR="009A227B" w:rsidRPr="00545FAE">
        <w:rPr>
          <w:lang w:val="fr-FR"/>
        </w:rPr>
        <w:t xml:space="preserve"> car, comme il est indiqué dans les faits avérés, M. Baptiste Willer a fourni</w:t>
      </w:r>
      <w:r w:rsidR="004F3FB8" w:rsidRPr="00545FAE">
        <w:rPr>
          <w:lang w:val="fr-FR"/>
        </w:rPr>
        <w:t>,</w:t>
      </w:r>
      <w:r w:rsidR="009A227B" w:rsidRPr="00545FAE">
        <w:rPr>
          <w:lang w:val="fr-FR"/>
        </w:rPr>
        <w:t xml:space="preserve"> dans </w:t>
      </w:r>
      <w:r w:rsidR="004F3FB8" w:rsidRPr="00545FAE">
        <w:rPr>
          <w:lang w:val="fr-FR"/>
        </w:rPr>
        <w:t>l</w:t>
      </w:r>
      <w:r w:rsidR="009A227B" w:rsidRPr="00545FAE">
        <w:rPr>
          <w:lang w:val="fr-FR"/>
        </w:rPr>
        <w:t xml:space="preserve">a dénonciation </w:t>
      </w:r>
      <w:r w:rsidR="004F3FB8" w:rsidRPr="00545FAE">
        <w:rPr>
          <w:lang w:val="fr-FR"/>
        </w:rPr>
        <w:t xml:space="preserve">qu’il a adressée </w:t>
      </w:r>
      <w:r w:rsidR="009A227B" w:rsidRPr="00545FAE">
        <w:rPr>
          <w:lang w:val="fr-FR"/>
        </w:rPr>
        <w:t>aux autorités</w:t>
      </w:r>
      <w:r w:rsidR="004F3FB8" w:rsidRPr="00545FAE">
        <w:rPr>
          <w:lang w:val="fr-FR"/>
        </w:rPr>
        <w:t>,</w:t>
      </w:r>
      <w:r w:rsidR="009A227B" w:rsidRPr="00545FAE">
        <w:rPr>
          <w:lang w:val="fr-FR"/>
        </w:rPr>
        <w:t xml:space="preserve"> des informations spécifiques sur les faits</w:t>
      </w:r>
      <w:r w:rsidR="00702A36" w:rsidRPr="00545FAE">
        <w:rPr>
          <w:lang w:val="fr-FR"/>
        </w:rPr>
        <w:t xml:space="preserve">, </w:t>
      </w:r>
      <w:r w:rsidR="009A227B" w:rsidRPr="00545FAE">
        <w:rPr>
          <w:lang w:val="fr-FR"/>
        </w:rPr>
        <w:t>l’identité des auteurs présumés de</w:t>
      </w:r>
      <w:r w:rsidR="00E946D0" w:rsidRPr="00545FAE">
        <w:rPr>
          <w:lang w:val="fr-FR"/>
        </w:rPr>
        <w:t xml:space="preserve">s </w:t>
      </w:r>
      <w:r w:rsidR="009A227B" w:rsidRPr="00545FAE">
        <w:rPr>
          <w:lang w:val="fr-FR"/>
        </w:rPr>
        <w:t xml:space="preserve">actes </w:t>
      </w:r>
      <w:r w:rsidR="00E946D0" w:rsidRPr="00545FAE">
        <w:rPr>
          <w:lang w:val="fr-FR"/>
        </w:rPr>
        <w:t xml:space="preserve">mentionnés </w:t>
      </w:r>
      <w:r w:rsidR="009A227B" w:rsidRPr="00545FAE">
        <w:rPr>
          <w:lang w:val="fr-FR"/>
        </w:rPr>
        <w:t xml:space="preserve">et le </w:t>
      </w:r>
      <w:r w:rsidR="00702A36" w:rsidRPr="00545FAE">
        <w:rPr>
          <w:i/>
          <w:lang w:val="fr-FR"/>
        </w:rPr>
        <w:t>modus operandi</w:t>
      </w:r>
      <w:r w:rsidR="009A227B" w:rsidRPr="00545FAE">
        <w:rPr>
          <w:lang w:val="fr-FR"/>
        </w:rPr>
        <w:t xml:space="preserve"> auquel ils avaient recours pour développer leur activité criminelle et a proposé de communiquer des photographies et davantage d’informations</w:t>
      </w:r>
      <w:r w:rsidR="00E946D0" w:rsidRPr="00545FAE">
        <w:rPr>
          <w:lang w:val="fr-FR"/>
        </w:rPr>
        <w:t>. L</w:t>
      </w:r>
      <w:r w:rsidR="004028E4" w:rsidRPr="00545FAE">
        <w:rPr>
          <w:lang w:val="fr-FR"/>
        </w:rPr>
        <w:t>es informations disponibles suggère</w:t>
      </w:r>
      <w:r w:rsidR="00E946D0" w:rsidRPr="00545FAE">
        <w:rPr>
          <w:lang w:val="fr-FR"/>
        </w:rPr>
        <w:t>nt à l’inverse</w:t>
      </w:r>
      <w:r w:rsidR="004028E4" w:rsidRPr="00545FAE">
        <w:rPr>
          <w:lang w:val="fr-FR"/>
        </w:rPr>
        <w:t xml:space="preserve"> que ce retard est exclusivement imputable à la conduite des autorités qui n’auraient</w:t>
      </w:r>
      <w:r w:rsidR="00884491" w:rsidRPr="00545FAE">
        <w:rPr>
          <w:lang w:val="fr-FR"/>
        </w:rPr>
        <w:t xml:space="preserve"> pas engagé d’enquête </w:t>
      </w:r>
      <w:r w:rsidR="002126BF" w:rsidRPr="00545FAE">
        <w:rPr>
          <w:lang w:val="fr-FR"/>
        </w:rPr>
        <w:t>ni</w:t>
      </w:r>
      <w:r w:rsidR="00884491" w:rsidRPr="00545FAE">
        <w:rPr>
          <w:lang w:val="fr-FR"/>
        </w:rPr>
        <w:t xml:space="preserve"> de poursuites</w:t>
      </w:r>
      <w:r w:rsidR="00AA159D" w:rsidRPr="00545FAE">
        <w:rPr>
          <w:lang w:val="fr-FR"/>
        </w:rPr>
        <w:t>. Cela rend compte du manquement de l’État à l’obligation de se prononcer dans un délai raisonnable sur les affaires portées à sa connaissance</w:t>
      </w:r>
      <w:r w:rsidR="006C7E76" w:rsidRPr="00545FAE">
        <w:rPr>
          <w:lang w:val="fr-FR"/>
        </w:rPr>
        <w:t>.</w:t>
      </w:r>
      <w:r w:rsidR="00884491" w:rsidRPr="00545FAE">
        <w:rPr>
          <w:lang w:val="fr-FR"/>
        </w:rPr>
        <w:t xml:space="preserve"> </w:t>
      </w:r>
      <w:r w:rsidR="002802D4" w:rsidRPr="00545FAE">
        <w:rPr>
          <w:lang w:val="fr-FR"/>
        </w:rPr>
        <w:t>La Com</w:t>
      </w:r>
      <w:r w:rsidR="00884491" w:rsidRPr="00545FAE">
        <w:rPr>
          <w:lang w:val="fr-FR"/>
        </w:rPr>
        <w:t>mission souligne</w:t>
      </w:r>
      <w:r w:rsidR="002126BF" w:rsidRPr="00545FAE">
        <w:rPr>
          <w:lang w:val="fr-FR"/>
        </w:rPr>
        <w:t xml:space="preserve"> l’impact</w:t>
      </w:r>
      <w:r w:rsidR="00884491" w:rsidRPr="00545FAE">
        <w:rPr>
          <w:lang w:val="fr-FR"/>
        </w:rPr>
        <w:t xml:space="preserve">, dans cette affaire, de l’impunité sur la récurrence d’événements graves et sur la situation de déplacement forcé de M. </w:t>
      </w:r>
      <w:r w:rsidR="00DC205B" w:rsidRPr="00545FAE">
        <w:rPr>
          <w:lang w:val="fr-FR"/>
        </w:rPr>
        <w:t>Baptiste W</w:t>
      </w:r>
      <w:r w:rsidR="002802D4" w:rsidRPr="00545FAE">
        <w:rPr>
          <w:lang w:val="fr-FR"/>
        </w:rPr>
        <w:t xml:space="preserve">iller </w:t>
      </w:r>
      <w:r w:rsidR="00884491" w:rsidRPr="00545FAE">
        <w:rPr>
          <w:lang w:val="fr-FR"/>
        </w:rPr>
        <w:t>et de sa famille</w:t>
      </w:r>
      <w:r w:rsidR="002802D4" w:rsidRPr="00545FAE">
        <w:rPr>
          <w:lang w:val="fr-FR"/>
        </w:rPr>
        <w:t>.</w:t>
      </w:r>
    </w:p>
    <w:p w14:paraId="7036B1E8" w14:textId="77777777" w:rsidR="006C7E76" w:rsidRPr="00545FAE" w:rsidRDefault="006C7E76" w:rsidP="00C55B05">
      <w:pPr>
        <w:pStyle w:val="ListParagraph"/>
        <w:numPr>
          <w:ilvl w:val="0"/>
          <w:numId w:val="0"/>
        </w:numPr>
        <w:rPr>
          <w:lang w:val="fr-FR"/>
        </w:rPr>
      </w:pPr>
    </w:p>
    <w:p w14:paraId="7D540EA2" w14:textId="77777777" w:rsidR="006C7E76" w:rsidRPr="00545FAE" w:rsidRDefault="001C38C0" w:rsidP="00C55B05">
      <w:pPr>
        <w:pStyle w:val="ListParagraph"/>
        <w:rPr>
          <w:lang w:val="fr-FR"/>
        </w:rPr>
      </w:pPr>
      <w:r w:rsidRPr="00545FAE">
        <w:rPr>
          <w:lang w:val="fr-FR"/>
        </w:rPr>
        <w:t xml:space="preserve">Sur le base de ce qui précède, la Commission conclut que l’État ne s’est pas acquitté de son obligation d’enquêter </w:t>
      </w:r>
      <w:r w:rsidR="006C7E76" w:rsidRPr="00545FAE">
        <w:rPr>
          <w:i/>
          <w:lang w:val="fr-FR"/>
        </w:rPr>
        <w:t>ex officio</w:t>
      </w:r>
      <w:r w:rsidR="006C7E76" w:rsidRPr="00545FAE">
        <w:rPr>
          <w:lang w:val="fr-FR"/>
        </w:rPr>
        <w:t xml:space="preserve">, </w:t>
      </w:r>
      <w:r w:rsidRPr="00545FAE">
        <w:rPr>
          <w:lang w:val="fr-FR"/>
        </w:rPr>
        <w:t>sans délai</w:t>
      </w:r>
      <w:r w:rsidR="006C7E76" w:rsidRPr="00545FAE">
        <w:rPr>
          <w:lang w:val="fr-FR"/>
        </w:rPr>
        <w:t xml:space="preserve">, </w:t>
      </w:r>
      <w:r w:rsidRPr="00545FAE">
        <w:rPr>
          <w:lang w:val="fr-FR"/>
        </w:rPr>
        <w:t>avec la diligence requi</w:t>
      </w:r>
      <w:r w:rsidR="001937DA" w:rsidRPr="00545FAE">
        <w:rPr>
          <w:lang w:val="fr-FR"/>
        </w:rPr>
        <w:t>se et dans un délai raisonnable</w:t>
      </w:r>
      <w:r w:rsidRPr="00545FAE">
        <w:rPr>
          <w:lang w:val="fr-FR"/>
        </w:rPr>
        <w:t xml:space="preserve"> sur l’assassinat de M. </w:t>
      </w:r>
      <w:r w:rsidR="00982431" w:rsidRPr="00545FAE">
        <w:rPr>
          <w:lang w:val="fr-FR"/>
        </w:rPr>
        <w:t>Frédo Guirant (o</w:t>
      </w:r>
      <w:r w:rsidRPr="00545FAE">
        <w:rPr>
          <w:lang w:val="fr-FR"/>
        </w:rPr>
        <w:t>u</w:t>
      </w:r>
      <w:r w:rsidR="00982431" w:rsidRPr="00545FAE">
        <w:rPr>
          <w:lang w:val="fr-FR"/>
        </w:rPr>
        <w:t xml:space="preserve"> Guirand)</w:t>
      </w:r>
      <w:r w:rsidRPr="00545FAE">
        <w:rPr>
          <w:lang w:val="fr-FR"/>
        </w:rPr>
        <w:t xml:space="preserve">, mineur, ainsi que la tentative d’homicide et les menaces subies par M. </w:t>
      </w:r>
      <w:r w:rsidR="006C7E76" w:rsidRPr="00545FAE">
        <w:rPr>
          <w:lang w:val="fr-FR"/>
        </w:rPr>
        <w:t>Baptiste Willer</w:t>
      </w:r>
      <w:r w:rsidR="002802D4" w:rsidRPr="00545FAE">
        <w:rPr>
          <w:lang w:val="fr-FR"/>
        </w:rPr>
        <w:t xml:space="preserve"> </w:t>
      </w:r>
      <w:r w:rsidRPr="00545FAE">
        <w:rPr>
          <w:lang w:val="fr-FR"/>
        </w:rPr>
        <w:t>et sa famille</w:t>
      </w:r>
      <w:r w:rsidR="006C7E76" w:rsidRPr="00545FAE">
        <w:rPr>
          <w:lang w:val="fr-FR"/>
        </w:rPr>
        <w:t xml:space="preserve">. </w:t>
      </w:r>
    </w:p>
    <w:p w14:paraId="1CC258B6" w14:textId="77777777" w:rsidR="006C7E76" w:rsidRPr="00545FAE" w:rsidRDefault="006C7E76" w:rsidP="00C55B05">
      <w:pPr>
        <w:pStyle w:val="ListParagraph"/>
        <w:numPr>
          <w:ilvl w:val="0"/>
          <w:numId w:val="0"/>
        </w:numPr>
        <w:rPr>
          <w:lang w:val="fr-FR"/>
        </w:rPr>
      </w:pPr>
    </w:p>
    <w:p w14:paraId="66D1FB55" w14:textId="77777777" w:rsidR="004657EC" w:rsidRPr="00545FAE" w:rsidRDefault="00D33E5E" w:rsidP="004657EC">
      <w:pPr>
        <w:pStyle w:val="ListParagraph"/>
        <w:rPr>
          <w:lang w:val="fr-FR"/>
        </w:rPr>
      </w:pPr>
      <w:r w:rsidRPr="00545FAE">
        <w:rPr>
          <w:lang w:val="fr-FR"/>
        </w:rPr>
        <w:t xml:space="preserve">Cela </w:t>
      </w:r>
      <w:r w:rsidR="006C7E76" w:rsidRPr="00545FAE">
        <w:rPr>
          <w:lang w:val="fr-FR"/>
        </w:rPr>
        <w:t>constitu</w:t>
      </w:r>
      <w:r w:rsidRPr="00545FAE">
        <w:rPr>
          <w:lang w:val="fr-FR"/>
        </w:rPr>
        <w:t>e un déni de justice pour les victimes et les membres de leur famille, ce qui provoque de profonds sentiments de douleur, d’angoisse et d’incertitude, accentués par l’absence d’enquête efficace et diligente qui, à son tour, constitue une violation de leur droit à l’intégrité de la personne</w:t>
      </w:r>
      <w:r w:rsidR="004657EC" w:rsidRPr="00545FAE">
        <w:rPr>
          <w:lang w:val="fr-FR"/>
        </w:rPr>
        <w:t xml:space="preserve">. </w:t>
      </w:r>
    </w:p>
    <w:p w14:paraId="20A3D515" w14:textId="77777777" w:rsidR="00F41F56" w:rsidRPr="00545FAE" w:rsidRDefault="00F41F56" w:rsidP="00C55B05">
      <w:pPr>
        <w:pStyle w:val="ListParagraph"/>
        <w:numPr>
          <w:ilvl w:val="0"/>
          <w:numId w:val="0"/>
        </w:numPr>
        <w:rPr>
          <w:lang w:val="fr-FR"/>
        </w:rPr>
      </w:pPr>
    </w:p>
    <w:p w14:paraId="48323B01" w14:textId="77777777" w:rsidR="00A14323" w:rsidRPr="00545FAE" w:rsidRDefault="00FB6ED0" w:rsidP="004B2E49">
      <w:pPr>
        <w:pStyle w:val="ListParagraph"/>
        <w:rPr>
          <w:lang w:val="fr-FR"/>
        </w:rPr>
      </w:pPr>
      <w:r w:rsidRPr="00545FAE">
        <w:rPr>
          <w:lang w:val="fr-FR"/>
        </w:rPr>
        <w:t>Compte tenu de ce qui précède, la Commission conclut que l’État a violé les droits aux garanties judiciaires, à la protection judiciaire et à l’intégrité de la personne</w:t>
      </w:r>
      <w:r w:rsidR="00BA6C57" w:rsidRPr="00545FAE">
        <w:rPr>
          <w:lang w:val="fr-FR"/>
        </w:rPr>
        <w:t xml:space="preserve">, </w:t>
      </w:r>
      <w:r w:rsidR="004B2E49" w:rsidRPr="00545FAE">
        <w:rPr>
          <w:lang w:val="fr-FR"/>
        </w:rPr>
        <w:t>garanti</w:t>
      </w:r>
      <w:r w:rsidRPr="00545FAE">
        <w:rPr>
          <w:lang w:val="fr-FR"/>
        </w:rPr>
        <w:t xml:space="preserve">s par les articles </w:t>
      </w:r>
      <w:r w:rsidR="004657EC" w:rsidRPr="00545FAE">
        <w:rPr>
          <w:lang w:val="fr-FR"/>
        </w:rPr>
        <w:t xml:space="preserve">5.1, </w:t>
      </w:r>
      <w:r w:rsidR="004B2E49" w:rsidRPr="00545FAE">
        <w:rPr>
          <w:lang w:val="fr-FR"/>
        </w:rPr>
        <w:t xml:space="preserve">8.1 </w:t>
      </w:r>
      <w:r w:rsidRPr="00545FAE">
        <w:rPr>
          <w:lang w:val="fr-FR"/>
        </w:rPr>
        <w:t>et</w:t>
      </w:r>
      <w:r w:rsidR="004B2E49" w:rsidRPr="00545FAE">
        <w:rPr>
          <w:lang w:val="fr-FR"/>
        </w:rPr>
        <w:t xml:space="preserve"> 25.1 de la Conven</w:t>
      </w:r>
      <w:r w:rsidRPr="00545FAE">
        <w:rPr>
          <w:lang w:val="fr-FR"/>
        </w:rPr>
        <w:t>tion</w:t>
      </w:r>
      <w:r w:rsidR="004B2E49" w:rsidRPr="00545FAE">
        <w:rPr>
          <w:lang w:val="fr-FR"/>
        </w:rPr>
        <w:t xml:space="preserve"> </w:t>
      </w:r>
      <w:r w:rsidRPr="00545FAE">
        <w:rPr>
          <w:lang w:val="fr-FR"/>
        </w:rPr>
        <w:lastRenderedPageBreak/>
        <w:t>amé</w:t>
      </w:r>
      <w:r w:rsidR="004B2E49" w:rsidRPr="00545FAE">
        <w:rPr>
          <w:lang w:val="fr-FR"/>
        </w:rPr>
        <w:t>rica</w:t>
      </w:r>
      <w:r w:rsidRPr="00545FAE">
        <w:rPr>
          <w:lang w:val="fr-FR"/>
        </w:rPr>
        <w:t>ine</w:t>
      </w:r>
      <w:r w:rsidR="004B2E49" w:rsidRPr="00545FAE">
        <w:rPr>
          <w:lang w:val="fr-FR"/>
        </w:rPr>
        <w:t xml:space="preserve">, </w:t>
      </w:r>
      <w:r w:rsidR="000506AB" w:rsidRPr="00545FAE">
        <w:rPr>
          <w:lang w:val="fr-FR"/>
        </w:rPr>
        <w:t>en rapport avec</w:t>
      </w:r>
      <w:r w:rsidRPr="00545FAE">
        <w:rPr>
          <w:lang w:val="fr-FR"/>
        </w:rPr>
        <w:t xml:space="preserve"> l’obligation de respect établie à l’article </w:t>
      </w:r>
      <w:r w:rsidR="004B2E49" w:rsidRPr="00545FAE">
        <w:rPr>
          <w:lang w:val="fr-FR"/>
        </w:rPr>
        <w:t xml:space="preserve">1.1 </w:t>
      </w:r>
      <w:r w:rsidRPr="00545FAE">
        <w:rPr>
          <w:lang w:val="fr-FR"/>
        </w:rPr>
        <w:t>du même instrument</w:t>
      </w:r>
      <w:r w:rsidR="004B2E49" w:rsidRPr="00545FAE">
        <w:rPr>
          <w:lang w:val="fr-FR"/>
        </w:rPr>
        <w:t>,</w:t>
      </w:r>
      <w:r w:rsidRPr="00545FAE">
        <w:rPr>
          <w:lang w:val="fr-FR"/>
        </w:rPr>
        <w:t xml:space="preserve"> et ce, aux dépens de Mme Hélè</w:t>
      </w:r>
      <w:r w:rsidR="00BA6C57" w:rsidRPr="00545FAE">
        <w:rPr>
          <w:lang w:val="fr-FR"/>
        </w:rPr>
        <w:t xml:space="preserve">ne Charlné </w:t>
      </w:r>
      <w:r w:rsidRPr="00545FAE">
        <w:rPr>
          <w:lang w:val="fr-FR"/>
        </w:rPr>
        <w:t xml:space="preserve">et M. </w:t>
      </w:r>
      <w:r w:rsidR="00BA6C57" w:rsidRPr="00545FAE">
        <w:rPr>
          <w:lang w:val="fr-FR"/>
        </w:rPr>
        <w:t xml:space="preserve">Baptiste Willer, </w:t>
      </w:r>
      <w:r w:rsidRPr="00545FAE">
        <w:rPr>
          <w:lang w:val="fr-FR"/>
        </w:rPr>
        <w:t xml:space="preserve">membres directs de la famille de M. </w:t>
      </w:r>
      <w:r w:rsidR="00982431" w:rsidRPr="00545FAE">
        <w:rPr>
          <w:lang w:val="fr-FR"/>
        </w:rPr>
        <w:t>Frédo Guirant (o</w:t>
      </w:r>
      <w:r w:rsidRPr="00545FAE">
        <w:rPr>
          <w:lang w:val="fr-FR"/>
        </w:rPr>
        <w:t>u</w:t>
      </w:r>
      <w:r w:rsidR="00982431" w:rsidRPr="00545FAE">
        <w:rPr>
          <w:lang w:val="fr-FR"/>
        </w:rPr>
        <w:t xml:space="preserve"> Guirand)</w:t>
      </w:r>
      <w:r w:rsidR="00BA6C57" w:rsidRPr="00545FAE">
        <w:rPr>
          <w:lang w:val="fr-FR"/>
        </w:rPr>
        <w:t xml:space="preserve">, </w:t>
      </w:r>
      <w:r w:rsidRPr="00545FAE">
        <w:rPr>
          <w:lang w:val="fr-FR"/>
        </w:rPr>
        <w:t>mineur au moment de</w:t>
      </w:r>
      <w:r w:rsidR="00D33E5E" w:rsidRPr="00545FAE">
        <w:rPr>
          <w:lang w:val="fr-FR"/>
        </w:rPr>
        <w:t xml:space="preserve"> </w:t>
      </w:r>
      <w:r w:rsidR="001937DA" w:rsidRPr="00545FAE">
        <w:rPr>
          <w:lang w:val="fr-FR"/>
        </w:rPr>
        <w:t>son assassinat</w:t>
      </w:r>
      <w:r w:rsidRPr="00545FAE">
        <w:rPr>
          <w:lang w:val="fr-FR"/>
        </w:rPr>
        <w:t xml:space="preserve">, faute d’enquêtes, de poursuites et de sanctions </w:t>
      </w:r>
      <w:r w:rsidR="001937DA" w:rsidRPr="00545FAE">
        <w:rPr>
          <w:lang w:val="fr-FR"/>
        </w:rPr>
        <w:t>suite à cet événement</w:t>
      </w:r>
      <w:r w:rsidR="00D33E5E" w:rsidRPr="00545FAE">
        <w:rPr>
          <w:lang w:val="fr-FR"/>
        </w:rPr>
        <w:t>,</w:t>
      </w:r>
      <w:r w:rsidR="00BA6C57" w:rsidRPr="00545FAE">
        <w:rPr>
          <w:lang w:val="fr-FR"/>
        </w:rPr>
        <w:t xml:space="preserve"> </w:t>
      </w:r>
      <w:r w:rsidRPr="00545FAE">
        <w:rPr>
          <w:lang w:val="fr-FR"/>
        </w:rPr>
        <w:t>et, aux dép</w:t>
      </w:r>
      <w:r w:rsidR="00D33E5E" w:rsidRPr="00545FAE">
        <w:rPr>
          <w:lang w:val="fr-FR"/>
        </w:rPr>
        <w:t>ens</w:t>
      </w:r>
      <w:r w:rsidRPr="00545FAE">
        <w:rPr>
          <w:lang w:val="fr-FR"/>
        </w:rPr>
        <w:t xml:space="preserve"> de M. </w:t>
      </w:r>
      <w:r w:rsidR="00BA6C57" w:rsidRPr="00545FAE">
        <w:rPr>
          <w:lang w:val="fr-FR"/>
        </w:rPr>
        <w:t xml:space="preserve">Baptiste Willer, </w:t>
      </w:r>
      <w:r w:rsidRPr="00545FAE">
        <w:rPr>
          <w:lang w:val="fr-FR"/>
        </w:rPr>
        <w:t xml:space="preserve">son épouse, Mme </w:t>
      </w:r>
      <w:r w:rsidR="004657EC" w:rsidRPr="00545FAE">
        <w:rPr>
          <w:lang w:val="fr-FR"/>
        </w:rPr>
        <w:t>Noëlzina Baptiste</w:t>
      </w:r>
      <w:r w:rsidRPr="00545FAE">
        <w:rPr>
          <w:lang w:val="fr-FR"/>
        </w:rPr>
        <w:t xml:space="preserve">, et leurs trois enfants, </w:t>
      </w:r>
      <w:r w:rsidR="004657EC" w:rsidRPr="00545FAE">
        <w:rPr>
          <w:lang w:val="fr-FR"/>
        </w:rPr>
        <w:t xml:space="preserve">Baptiste Costaguinov, Baptiste Wilderson </w:t>
      </w:r>
      <w:r w:rsidRPr="00545FAE">
        <w:rPr>
          <w:lang w:val="fr-FR"/>
        </w:rPr>
        <w:t>et</w:t>
      </w:r>
      <w:r w:rsidR="004657EC" w:rsidRPr="00545FAE">
        <w:rPr>
          <w:lang w:val="fr-FR"/>
        </w:rPr>
        <w:t xml:space="preserve"> Baptiste Noë-Willo, </w:t>
      </w:r>
      <w:r w:rsidRPr="00545FAE">
        <w:rPr>
          <w:lang w:val="fr-FR"/>
        </w:rPr>
        <w:t xml:space="preserve">faute d’enquêtes, de poursuites et de sanctions </w:t>
      </w:r>
      <w:r w:rsidR="00EB1AD3" w:rsidRPr="00545FAE">
        <w:rPr>
          <w:lang w:val="fr-FR"/>
        </w:rPr>
        <w:t>suite aux</w:t>
      </w:r>
      <w:r w:rsidRPr="00545FAE">
        <w:rPr>
          <w:lang w:val="fr-FR"/>
        </w:rPr>
        <w:t xml:space="preserve"> menaces et </w:t>
      </w:r>
      <w:r w:rsidR="00EB1AD3" w:rsidRPr="00545FAE">
        <w:rPr>
          <w:lang w:val="fr-FR"/>
        </w:rPr>
        <w:t xml:space="preserve">aux </w:t>
      </w:r>
      <w:r w:rsidRPr="00545FAE">
        <w:rPr>
          <w:lang w:val="fr-FR"/>
        </w:rPr>
        <w:t>attaques dont ils ont été victimes</w:t>
      </w:r>
      <w:r w:rsidR="004B2E49" w:rsidRPr="00545FAE">
        <w:rPr>
          <w:lang w:val="fr-FR"/>
        </w:rPr>
        <w:t>.</w:t>
      </w:r>
    </w:p>
    <w:p w14:paraId="4A0E6DEE" w14:textId="77777777" w:rsidR="004B2E49" w:rsidRPr="00545FAE" w:rsidRDefault="004B2E49" w:rsidP="004B2E49">
      <w:pPr>
        <w:pStyle w:val="Heading1"/>
        <w:numPr>
          <w:ilvl w:val="0"/>
          <w:numId w:val="0"/>
        </w:numPr>
        <w:rPr>
          <w:color w:val="auto"/>
          <w:lang w:val="fr-FR"/>
        </w:rPr>
      </w:pPr>
    </w:p>
    <w:p w14:paraId="269C11C3" w14:textId="77777777" w:rsidR="00D12193" w:rsidRPr="00545FAE" w:rsidRDefault="003E063C" w:rsidP="0011380E">
      <w:pPr>
        <w:pStyle w:val="Heading1"/>
        <w:ind w:left="0" w:firstLine="0"/>
        <w:rPr>
          <w:color w:val="auto"/>
          <w:lang w:val="fr-FR"/>
        </w:rPr>
      </w:pPr>
      <w:bookmarkStart w:id="22" w:name="_Toc33019293"/>
      <w:r w:rsidRPr="00545FAE">
        <w:rPr>
          <w:color w:val="auto"/>
          <w:lang w:val="fr-FR"/>
        </w:rPr>
        <w:t>CONCLUSION</w:t>
      </w:r>
      <w:r w:rsidR="00D12193" w:rsidRPr="00545FAE">
        <w:rPr>
          <w:color w:val="auto"/>
          <w:lang w:val="fr-FR"/>
        </w:rPr>
        <w:t xml:space="preserve">S </w:t>
      </w:r>
      <w:r w:rsidRPr="00545FAE">
        <w:rPr>
          <w:color w:val="auto"/>
          <w:lang w:val="fr-FR"/>
        </w:rPr>
        <w:t>ET</w:t>
      </w:r>
      <w:r w:rsidR="00D12193" w:rsidRPr="00545FAE">
        <w:rPr>
          <w:color w:val="auto"/>
          <w:lang w:val="fr-FR"/>
        </w:rPr>
        <w:t xml:space="preserve"> RECOM</w:t>
      </w:r>
      <w:r w:rsidRPr="00545FAE">
        <w:rPr>
          <w:color w:val="auto"/>
          <w:lang w:val="fr-FR"/>
        </w:rPr>
        <w:t>MANDATIONS</w:t>
      </w:r>
      <w:bookmarkEnd w:id="22"/>
    </w:p>
    <w:p w14:paraId="4C62388F" w14:textId="77777777" w:rsidR="00D12193" w:rsidRPr="00545FAE" w:rsidRDefault="00D12193" w:rsidP="0011380E">
      <w:pPr>
        <w:suppressAutoHyphens/>
        <w:rPr>
          <w:rFonts w:asciiTheme="majorHAnsi" w:hAnsiTheme="majorHAnsi"/>
          <w:b/>
          <w:sz w:val="20"/>
          <w:szCs w:val="20"/>
          <w:lang w:val="fr-FR"/>
        </w:rPr>
      </w:pPr>
    </w:p>
    <w:p w14:paraId="6F20B42B" w14:textId="77777777" w:rsidR="00D7393F" w:rsidRPr="00545FAE" w:rsidRDefault="008E4D82" w:rsidP="0032793C">
      <w:pPr>
        <w:pStyle w:val="ListParagraph"/>
        <w:rPr>
          <w:lang w:val="fr-FR"/>
        </w:rPr>
      </w:pPr>
      <w:r w:rsidRPr="00545FAE">
        <w:rPr>
          <w:lang w:val="fr-FR"/>
        </w:rPr>
        <w:t xml:space="preserve">Selon les considérations de fait et de droit formulées dans le présent rapport de fond, la Commission conclut que l’État haïtien est responsable de la violation des droits à la vie, à l’intégrité de la personne, de l’enfant, à la liberté de déplacement et de résidence, aux garanties judiciaires et à la protection judiciaire, établis par les articles </w:t>
      </w:r>
      <w:r w:rsidR="008F1670" w:rsidRPr="00545FAE">
        <w:rPr>
          <w:lang w:val="fr-FR"/>
        </w:rPr>
        <w:t>4</w:t>
      </w:r>
      <w:r w:rsidR="002B1C1E" w:rsidRPr="00545FAE">
        <w:rPr>
          <w:lang w:val="fr-FR"/>
        </w:rPr>
        <w:t>.1</w:t>
      </w:r>
      <w:r w:rsidR="008F1670" w:rsidRPr="00545FAE">
        <w:rPr>
          <w:lang w:val="fr-FR"/>
        </w:rPr>
        <w:t xml:space="preserve">, </w:t>
      </w:r>
      <w:r w:rsidR="00D7393F" w:rsidRPr="00545FAE">
        <w:rPr>
          <w:lang w:val="fr-FR"/>
        </w:rPr>
        <w:t>5</w:t>
      </w:r>
      <w:r w:rsidR="002B1C1E" w:rsidRPr="00545FAE">
        <w:rPr>
          <w:lang w:val="fr-FR"/>
        </w:rPr>
        <w:t>.1</w:t>
      </w:r>
      <w:r w:rsidR="00D7393F" w:rsidRPr="00545FAE">
        <w:rPr>
          <w:lang w:val="fr-FR"/>
        </w:rPr>
        <w:t xml:space="preserve">, </w:t>
      </w:r>
      <w:r w:rsidR="00B1671F" w:rsidRPr="00545FAE">
        <w:rPr>
          <w:lang w:val="fr-FR"/>
        </w:rPr>
        <w:t xml:space="preserve">19, </w:t>
      </w:r>
      <w:r w:rsidR="002B1C1E" w:rsidRPr="00545FAE">
        <w:rPr>
          <w:lang w:val="fr-FR"/>
        </w:rPr>
        <w:t>22.1</w:t>
      </w:r>
      <w:r w:rsidR="008F1670" w:rsidRPr="00545FAE">
        <w:rPr>
          <w:lang w:val="fr-FR"/>
        </w:rPr>
        <w:t xml:space="preserve">, </w:t>
      </w:r>
      <w:r w:rsidR="00D7393F" w:rsidRPr="00545FAE">
        <w:rPr>
          <w:lang w:val="fr-FR"/>
        </w:rPr>
        <w:t>8</w:t>
      </w:r>
      <w:r w:rsidR="002B1C1E" w:rsidRPr="00545FAE">
        <w:rPr>
          <w:lang w:val="fr-FR"/>
        </w:rPr>
        <w:t>.1</w:t>
      </w:r>
      <w:r w:rsidR="00D7393F" w:rsidRPr="00545FAE">
        <w:rPr>
          <w:lang w:val="fr-FR"/>
        </w:rPr>
        <w:t xml:space="preserve">, </w:t>
      </w:r>
      <w:r w:rsidRPr="00545FAE">
        <w:rPr>
          <w:lang w:val="fr-FR"/>
        </w:rPr>
        <w:t>et</w:t>
      </w:r>
      <w:r w:rsidR="00D7393F" w:rsidRPr="00545FAE">
        <w:rPr>
          <w:lang w:val="fr-FR"/>
        </w:rPr>
        <w:t xml:space="preserve"> 25</w:t>
      </w:r>
      <w:r w:rsidR="002B1C1E" w:rsidRPr="00545FAE">
        <w:rPr>
          <w:lang w:val="fr-FR"/>
        </w:rPr>
        <w:t>.1</w:t>
      </w:r>
      <w:r w:rsidR="00D7393F" w:rsidRPr="00545FAE">
        <w:rPr>
          <w:lang w:val="fr-FR"/>
        </w:rPr>
        <w:t xml:space="preserve"> de la Conven</w:t>
      </w:r>
      <w:r w:rsidRPr="00545FAE">
        <w:rPr>
          <w:lang w:val="fr-FR"/>
        </w:rPr>
        <w:t>tion amé</w:t>
      </w:r>
      <w:r w:rsidR="00D7393F" w:rsidRPr="00545FAE">
        <w:rPr>
          <w:lang w:val="fr-FR"/>
        </w:rPr>
        <w:t>rica</w:t>
      </w:r>
      <w:r w:rsidRPr="00545FAE">
        <w:rPr>
          <w:lang w:val="fr-FR"/>
        </w:rPr>
        <w:t xml:space="preserve">ine </w:t>
      </w:r>
      <w:r w:rsidR="000506AB" w:rsidRPr="00545FAE">
        <w:rPr>
          <w:lang w:val="fr-FR"/>
        </w:rPr>
        <w:t>en rapport avec</w:t>
      </w:r>
      <w:r w:rsidRPr="00545FAE">
        <w:rPr>
          <w:lang w:val="fr-FR"/>
        </w:rPr>
        <w:t xml:space="preserve"> les obligations énoncées à l’article </w:t>
      </w:r>
      <w:r w:rsidR="00D7393F" w:rsidRPr="00545FAE">
        <w:rPr>
          <w:lang w:val="fr-FR"/>
        </w:rPr>
        <w:t xml:space="preserve">1.1 </w:t>
      </w:r>
      <w:r w:rsidRPr="00545FAE">
        <w:rPr>
          <w:lang w:val="fr-FR"/>
        </w:rPr>
        <w:t>du même instrument</w:t>
      </w:r>
      <w:r w:rsidR="008F1670" w:rsidRPr="00545FAE">
        <w:rPr>
          <w:lang w:val="fr-FR"/>
        </w:rPr>
        <w:t xml:space="preserve">, </w:t>
      </w:r>
      <w:r w:rsidRPr="00545FAE">
        <w:rPr>
          <w:lang w:val="fr-FR"/>
        </w:rPr>
        <w:t>et ce, aux dépens des victimes identifiées dans ce rapport</w:t>
      </w:r>
      <w:r w:rsidR="00D7393F" w:rsidRPr="00545FAE">
        <w:rPr>
          <w:lang w:val="fr-FR"/>
        </w:rPr>
        <w:t>.</w:t>
      </w:r>
    </w:p>
    <w:p w14:paraId="54ACB6E1" w14:textId="77777777" w:rsidR="00D7393F" w:rsidRPr="00545FAE" w:rsidRDefault="00D7393F" w:rsidP="0011380E">
      <w:pPr>
        <w:pStyle w:val="ListParagraph"/>
        <w:numPr>
          <w:ilvl w:val="0"/>
          <w:numId w:val="0"/>
        </w:numPr>
        <w:rPr>
          <w:rFonts w:asciiTheme="majorHAnsi" w:hAnsiTheme="majorHAnsi"/>
          <w:color w:val="auto"/>
          <w:szCs w:val="20"/>
          <w:lang w:val="fr-FR"/>
        </w:rPr>
      </w:pPr>
    </w:p>
    <w:p w14:paraId="00F0A6E4" w14:textId="77777777" w:rsidR="00D7393F" w:rsidRPr="00545FAE" w:rsidRDefault="003E063C" w:rsidP="0011380E">
      <w:pPr>
        <w:pStyle w:val="ListParagraph"/>
        <w:rPr>
          <w:rFonts w:asciiTheme="majorHAnsi" w:hAnsiTheme="majorHAnsi"/>
          <w:color w:val="auto"/>
          <w:szCs w:val="20"/>
          <w:lang w:val="fr-FR"/>
        </w:rPr>
      </w:pPr>
      <w:r w:rsidRPr="00545FAE">
        <w:rPr>
          <w:rFonts w:asciiTheme="majorHAnsi" w:hAnsiTheme="majorHAnsi"/>
          <w:color w:val="auto"/>
          <w:szCs w:val="20"/>
          <w:lang w:val="fr-FR"/>
        </w:rPr>
        <w:t>Compte tenu de ce qui précède</w:t>
      </w:r>
      <w:r w:rsidR="00D7393F" w:rsidRPr="00545FAE">
        <w:rPr>
          <w:rFonts w:asciiTheme="majorHAnsi" w:hAnsiTheme="majorHAnsi"/>
          <w:color w:val="auto"/>
          <w:szCs w:val="20"/>
          <w:lang w:val="fr-FR"/>
        </w:rPr>
        <w:t>,</w:t>
      </w:r>
      <w:r w:rsidR="00860CF3" w:rsidRPr="00545FAE">
        <w:rPr>
          <w:rFonts w:asciiTheme="majorHAnsi" w:hAnsiTheme="majorHAnsi"/>
          <w:color w:val="auto"/>
          <w:szCs w:val="20"/>
          <w:lang w:val="fr-FR"/>
        </w:rPr>
        <w:t xml:space="preserve"> </w:t>
      </w:r>
    </w:p>
    <w:p w14:paraId="2B3F2171" w14:textId="77777777" w:rsidR="0032793C" w:rsidRPr="00545FAE" w:rsidRDefault="0032793C" w:rsidP="0031160D">
      <w:pPr>
        <w:jc w:val="both"/>
        <w:rPr>
          <w:rFonts w:asciiTheme="majorHAnsi" w:hAnsiTheme="majorHAnsi"/>
          <w:b/>
          <w:sz w:val="20"/>
          <w:szCs w:val="20"/>
          <w:lang w:val="fr-FR"/>
        </w:rPr>
      </w:pPr>
    </w:p>
    <w:p w14:paraId="2FF2B0C3" w14:textId="77777777" w:rsidR="00006896" w:rsidRPr="00545FAE" w:rsidRDefault="00006896" w:rsidP="0031160D">
      <w:pPr>
        <w:jc w:val="both"/>
        <w:rPr>
          <w:rFonts w:asciiTheme="majorHAnsi" w:hAnsiTheme="majorHAnsi"/>
          <w:b/>
          <w:sz w:val="20"/>
          <w:szCs w:val="20"/>
          <w:lang w:val="fr-FR"/>
        </w:rPr>
      </w:pPr>
      <w:r w:rsidRPr="00545FAE">
        <w:rPr>
          <w:rFonts w:asciiTheme="majorHAnsi" w:hAnsiTheme="majorHAnsi"/>
          <w:b/>
          <w:sz w:val="20"/>
          <w:szCs w:val="20"/>
          <w:lang w:val="fr-FR"/>
        </w:rPr>
        <w:t>LA COM</w:t>
      </w:r>
      <w:r w:rsidR="003E063C" w:rsidRPr="00545FAE">
        <w:rPr>
          <w:rFonts w:asciiTheme="majorHAnsi" w:hAnsiTheme="majorHAnsi"/>
          <w:b/>
          <w:sz w:val="20"/>
          <w:szCs w:val="20"/>
          <w:lang w:val="fr-FR"/>
        </w:rPr>
        <w:t>MISSION INTERAMÉRICAINE DES DROITS DE L’HOMME RECOMMANDE À L’ÉTAT HAÏTIEN CE QUI SUIT :</w:t>
      </w:r>
    </w:p>
    <w:p w14:paraId="0C73FD7A" w14:textId="77777777" w:rsidR="00006896" w:rsidRPr="00545FAE" w:rsidRDefault="00006896" w:rsidP="00006896">
      <w:pPr>
        <w:jc w:val="both"/>
        <w:rPr>
          <w:rFonts w:asciiTheme="majorHAnsi" w:hAnsiTheme="majorHAnsi"/>
          <w:sz w:val="20"/>
          <w:szCs w:val="20"/>
          <w:lang w:val="fr-FR"/>
        </w:rPr>
      </w:pPr>
      <w:r w:rsidRPr="00545FAE">
        <w:rPr>
          <w:rFonts w:asciiTheme="majorHAnsi" w:hAnsiTheme="majorHAnsi"/>
          <w:sz w:val="20"/>
          <w:szCs w:val="20"/>
          <w:lang w:val="fr-FR"/>
        </w:rPr>
        <w:t> </w:t>
      </w:r>
    </w:p>
    <w:p w14:paraId="58CFD7DF" w14:textId="77777777" w:rsidR="005F309E" w:rsidRPr="00545FAE" w:rsidRDefault="005F309E" w:rsidP="00C95A8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asciiTheme="majorHAnsi" w:eastAsia="Times New Roman" w:hAnsiTheme="majorHAnsi" w:cs="Tahoma"/>
          <w:color w:val="auto"/>
          <w:szCs w:val="20"/>
          <w:bdr w:val="none" w:sz="0" w:space="0" w:color="auto"/>
          <w:lang w:val="fr-FR"/>
        </w:rPr>
      </w:pPr>
      <w:r w:rsidRPr="0046313F">
        <w:rPr>
          <w:rFonts w:asciiTheme="majorHAnsi" w:eastAsia="Times New Roman" w:hAnsiTheme="majorHAnsi" w:cs="Tahoma"/>
          <w:color w:val="auto"/>
          <w:szCs w:val="20"/>
          <w:bdr w:val="none" w:sz="0" w:space="0" w:color="auto"/>
          <w:lang w:val="fr-FR"/>
        </w:rPr>
        <w:t>R</w:t>
      </w:r>
      <w:r w:rsidR="005904EB" w:rsidRPr="0046313F">
        <w:rPr>
          <w:rFonts w:asciiTheme="majorHAnsi" w:eastAsia="Times New Roman" w:hAnsiTheme="majorHAnsi" w:cs="Tahoma"/>
          <w:color w:val="auto"/>
          <w:szCs w:val="20"/>
          <w:bdr w:val="none" w:sz="0" w:space="0" w:color="auto"/>
          <w:lang w:val="fr-FR"/>
        </w:rPr>
        <w:t>éparer, intégralement et selon les niveaux de compensation considérés acceptables conformément aux normes internationales</w:t>
      </w:r>
      <w:r w:rsidR="006E5307" w:rsidRPr="0046313F">
        <w:rPr>
          <w:rFonts w:asciiTheme="majorHAnsi" w:eastAsia="Times New Roman" w:hAnsiTheme="majorHAnsi" w:cs="Tahoma"/>
          <w:color w:val="auto"/>
          <w:szCs w:val="20"/>
          <w:bdr w:val="none" w:sz="0" w:space="0" w:color="auto"/>
          <w:lang w:val="fr-FR"/>
        </w:rPr>
        <w:t>, to</w:t>
      </w:r>
      <w:r w:rsidR="005904EB" w:rsidRPr="0046313F">
        <w:rPr>
          <w:rFonts w:asciiTheme="majorHAnsi" w:eastAsia="Times New Roman" w:hAnsiTheme="majorHAnsi" w:cs="Tahoma"/>
          <w:color w:val="auto"/>
          <w:szCs w:val="20"/>
          <w:bdr w:val="none" w:sz="0" w:space="0" w:color="auto"/>
          <w:lang w:val="fr-FR"/>
        </w:rPr>
        <w:t>utes les violations de droits humains sans exception mentionnées dans le présent rapport, tant en ce qui concerne l’aspect</w:t>
      </w:r>
      <w:r w:rsidR="005904EB" w:rsidRPr="00545FAE">
        <w:rPr>
          <w:rFonts w:asciiTheme="majorHAnsi" w:eastAsia="Times New Roman" w:hAnsiTheme="majorHAnsi" w:cs="Tahoma"/>
          <w:color w:val="auto"/>
          <w:szCs w:val="20"/>
          <w:bdr w:val="none" w:sz="0" w:space="0" w:color="auto"/>
          <w:lang w:val="fr-FR"/>
        </w:rPr>
        <w:t xml:space="preserve"> matériel que l’aspect immatériel, y compris les mesures de compensation financière et morale</w:t>
      </w:r>
      <w:r w:rsidRPr="00545FAE">
        <w:rPr>
          <w:rFonts w:asciiTheme="majorHAnsi" w:eastAsia="Times New Roman" w:hAnsiTheme="majorHAnsi" w:cs="Tahoma"/>
          <w:color w:val="auto"/>
          <w:szCs w:val="20"/>
          <w:bdr w:val="none" w:sz="0" w:space="0" w:color="auto"/>
          <w:lang w:val="fr-FR"/>
        </w:rPr>
        <w:t xml:space="preserve">. </w:t>
      </w:r>
    </w:p>
    <w:p w14:paraId="38995E17" w14:textId="77777777" w:rsidR="00DE4700" w:rsidRPr="00545FAE" w:rsidRDefault="00DE4700" w:rsidP="0011380E">
      <w:pPr>
        <w:pStyle w:val="ListParagraph"/>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Theme="majorHAnsi" w:eastAsia="Times New Roman" w:hAnsiTheme="majorHAnsi" w:cs="Tahoma"/>
          <w:color w:val="auto"/>
          <w:szCs w:val="20"/>
          <w:bdr w:val="none" w:sz="0" w:space="0" w:color="auto"/>
          <w:lang w:val="fr-FR"/>
        </w:rPr>
      </w:pPr>
    </w:p>
    <w:p w14:paraId="6EBB72DE" w14:textId="77777777" w:rsidR="00A002CB" w:rsidRPr="00545FAE" w:rsidRDefault="00EF38CA" w:rsidP="00A002C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asciiTheme="majorHAnsi" w:eastAsia="Times New Roman" w:hAnsiTheme="majorHAnsi"/>
          <w:color w:val="auto"/>
          <w:szCs w:val="20"/>
          <w:bdr w:val="none" w:sz="0" w:space="0" w:color="auto"/>
          <w:lang w:val="fr-FR"/>
        </w:rPr>
      </w:pPr>
      <w:r w:rsidRPr="00545FAE">
        <w:rPr>
          <w:rFonts w:asciiTheme="majorHAnsi" w:eastAsia="Times New Roman" w:hAnsiTheme="majorHAnsi" w:cs="Tahoma"/>
          <w:color w:val="auto"/>
          <w:szCs w:val="20"/>
          <w:bdr w:val="none" w:sz="0" w:space="0" w:color="auto"/>
          <w:lang w:val="fr-FR"/>
        </w:rPr>
        <w:t>Mettre en place les mesures d’aide en matière de santé physique et mentale nécessaires à la réadaptation des victimes citées dans cette affaire, avec leur consentement et en concertation avec elles</w:t>
      </w:r>
      <w:r w:rsidR="00DE4700" w:rsidRPr="00545FAE">
        <w:rPr>
          <w:rFonts w:asciiTheme="majorHAnsi" w:eastAsia="Times New Roman" w:hAnsiTheme="majorHAnsi" w:cs="Tahoma"/>
          <w:color w:val="auto"/>
          <w:szCs w:val="20"/>
          <w:bdr w:val="none" w:sz="0" w:space="0" w:color="auto"/>
          <w:lang w:val="fr-FR"/>
        </w:rPr>
        <w:t>.</w:t>
      </w:r>
    </w:p>
    <w:p w14:paraId="283298AC" w14:textId="77777777" w:rsidR="00733977" w:rsidRPr="00545FAE" w:rsidRDefault="00733977" w:rsidP="00733977">
      <w:pPr>
        <w:pStyle w:val="ListParagraph"/>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ajorHAnsi" w:eastAsia="Times New Roman" w:hAnsiTheme="majorHAnsi"/>
          <w:color w:val="auto"/>
          <w:szCs w:val="20"/>
          <w:bdr w:val="none" w:sz="0" w:space="0" w:color="auto"/>
          <w:lang w:val="fr-FR"/>
        </w:rPr>
      </w:pPr>
    </w:p>
    <w:p w14:paraId="3817D939" w14:textId="77777777" w:rsidR="00A002CB" w:rsidRPr="00545FAE" w:rsidRDefault="00EF38CA" w:rsidP="00A002C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asciiTheme="majorHAnsi" w:eastAsia="Times New Roman" w:hAnsiTheme="majorHAnsi"/>
          <w:color w:val="auto"/>
          <w:szCs w:val="20"/>
          <w:bdr w:val="none" w:sz="0" w:space="0" w:color="auto"/>
          <w:lang w:val="fr-FR"/>
        </w:rPr>
      </w:pPr>
      <w:r w:rsidRPr="00545FAE">
        <w:rPr>
          <w:rFonts w:asciiTheme="majorHAnsi" w:hAnsiTheme="majorHAnsi"/>
          <w:szCs w:val="20"/>
          <w:lang w:val="fr-FR"/>
        </w:rPr>
        <w:t xml:space="preserve">Mettre en place les mesures nécessaires à la réalisation d’un diagnostic efficace sur la situation de risque subie par M. </w:t>
      </w:r>
      <w:r w:rsidR="00A002CB" w:rsidRPr="00545FAE">
        <w:rPr>
          <w:rFonts w:asciiTheme="majorHAnsi" w:hAnsiTheme="majorHAnsi"/>
          <w:szCs w:val="20"/>
          <w:lang w:val="fr-FR"/>
        </w:rPr>
        <w:t xml:space="preserve">Baptiste Willer </w:t>
      </w:r>
      <w:r w:rsidRPr="00545FAE">
        <w:rPr>
          <w:rFonts w:asciiTheme="majorHAnsi" w:hAnsiTheme="majorHAnsi"/>
          <w:szCs w:val="20"/>
          <w:lang w:val="fr-FR"/>
        </w:rPr>
        <w:t xml:space="preserve">et sa famille directe et, le cas échéant, </w:t>
      </w:r>
      <w:r w:rsidR="0027158A" w:rsidRPr="00545FAE">
        <w:rPr>
          <w:rFonts w:asciiTheme="majorHAnsi" w:hAnsiTheme="majorHAnsi"/>
          <w:szCs w:val="20"/>
          <w:lang w:val="fr-FR"/>
        </w:rPr>
        <w:t>adopter les mesures de protection pertinentes en concertation avec les victimes</w:t>
      </w:r>
      <w:r w:rsidR="00B650D1" w:rsidRPr="00545FAE">
        <w:rPr>
          <w:rFonts w:asciiTheme="majorHAnsi" w:hAnsiTheme="majorHAnsi"/>
          <w:szCs w:val="20"/>
          <w:lang w:val="fr-FR"/>
        </w:rPr>
        <w:t>.</w:t>
      </w:r>
    </w:p>
    <w:p w14:paraId="05F53847" w14:textId="77777777" w:rsidR="00A002CB" w:rsidRPr="00545FAE" w:rsidRDefault="00A002CB" w:rsidP="00A002CB">
      <w:pPr>
        <w:pStyle w:val="ListParagraph"/>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ajorHAnsi" w:eastAsia="Times New Roman" w:hAnsiTheme="majorHAnsi"/>
          <w:color w:val="auto"/>
          <w:szCs w:val="20"/>
          <w:bdr w:val="none" w:sz="0" w:space="0" w:color="auto"/>
          <w:lang w:val="fr-FR"/>
        </w:rPr>
      </w:pPr>
    </w:p>
    <w:p w14:paraId="2B7CA3BB" w14:textId="77777777" w:rsidR="00B650D1" w:rsidRPr="00545FAE" w:rsidRDefault="00832D55" w:rsidP="002B1C1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asciiTheme="majorHAnsi" w:eastAsia="Times New Roman" w:hAnsiTheme="majorHAnsi"/>
          <w:color w:val="auto"/>
          <w:szCs w:val="20"/>
          <w:bdr w:val="none" w:sz="0" w:space="0" w:color="auto"/>
          <w:lang w:val="fr-FR"/>
        </w:rPr>
      </w:pPr>
      <w:r w:rsidRPr="00545FAE">
        <w:rPr>
          <w:rFonts w:asciiTheme="majorHAnsi" w:hAnsiTheme="majorHAnsi"/>
          <w:szCs w:val="20"/>
          <w:lang w:val="fr-FR"/>
        </w:rPr>
        <w:t xml:space="preserve">Assurer les conditions de sécurité nécessaires pour faciliter, s’ils le souhaitent, le retour délibéré, digne et sûr de M. </w:t>
      </w:r>
      <w:r w:rsidR="00B650D1" w:rsidRPr="00545FAE">
        <w:rPr>
          <w:rFonts w:asciiTheme="majorHAnsi" w:hAnsiTheme="majorHAnsi"/>
          <w:szCs w:val="20"/>
          <w:lang w:val="fr-FR"/>
        </w:rPr>
        <w:t xml:space="preserve">Baptiste Willer, </w:t>
      </w:r>
      <w:r w:rsidRPr="00545FAE">
        <w:rPr>
          <w:rFonts w:asciiTheme="majorHAnsi" w:hAnsiTheme="majorHAnsi"/>
          <w:szCs w:val="20"/>
          <w:lang w:val="fr-FR"/>
        </w:rPr>
        <w:t xml:space="preserve">son épouse, Mme </w:t>
      </w:r>
      <w:r w:rsidR="00B650D1" w:rsidRPr="00545FAE">
        <w:rPr>
          <w:rFonts w:asciiTheme="majorHAnsi" w:hAnsiTheme="majorHAnsi"/>
          <w:szCs w:val="20"/>
          <w:lang w:val="fr-FR"/>
        </w:rPr>
        <w:t>Noëlzina Baptiste</w:t>
      </w:r>
      <w:r w:rsidRPr="00545FAE">
        <w:rPr>
          <w:rFonts w:asciiTheme="majorHAnsi" w:hAnsiTheme="majorHAnsi"/>
          <w:szCs w:val="20"/>
          <w:lang w:val="fr-FR"/>
        </w:rPr>
        <w:t>, et de leurs trois enfants,</w:t>
      </w:r>
      <w:r w:rsidR="00B650D1" w:rsidRPr="00545FAE">
        <w:rPr>
          <w:rFonts w:asciiTheme="majorHAnsi" w:hAnsiTheme="majorHAnsi"/>
          <w:szCs w:val="20"/>
          <w:lang w:val="fr-FR"/>
        </w:rPr>
        <w:t xml:space="preserve"> Baptiste Costaguinov, Baptiste Wilderson </w:t>
      </w:r>
      <w:r w:rsidRPr="00545FAE">
        <w:rPr>
          <w:rFonts w:asciiTheme="majorHAnsi" w:hAnsiTheme="majorHAnsi"/>
          <w:szCs w:val="20"/>
          <w:lang w:val="fr-FR"/>
        </w:rPr>
        <w:t>et</w:t>
      </w:r>
      <w:r w:rsidR="00B650D1" w:rsidRPr="00545FAE">
        <w:rPr>
          <w:rFonts w:asciiTheme="majorHAnsi" w:hAnsiTheme="majorHAnsi"/>
          <w:szCs w:val="20"/>
          <w:lang w:val="fr-FR"/>
        </w:rPr>
        <w:t xml:space="preserve"> Baptiste Noë-Willo, </w:t>
      </w:r>
      <w:r w:rsidRPr="00545FAE">
        <w:rPr>
          <w:rFonts w:asciiTheme="majorHAnsi" w:hAnsiTheme="majorHAnsi"/>
          <w:szCs w:val="20"/>
          <w:lang w:val="fr-FR"/>
        </w:rPr>
        <w:t xml:space="preserve">dans leur lieu de résidence habituel ou leur réinstallation volontaire dans une autre région du pays, en garantissant leur pleine participation à la planification et la gestion de leur retour ou </w:t>
      </w:r>
      <w:r w:rsidR="00B55E32" w:rsidRPr="00545FAE">
        <w:rPr>
          <w:rFonts w:asciiTheme="majorHAnsi" w:hAnsiTheme="majorHAnsi"/>
          <w:szCs w:val="20"/>
          <w:lang w:val="fr-FR"/>
        </w:rPr>
        <w:t xml:space="preserve">de leur </w:t>
      </w:r>
      <w:r w:rsidRPr="00545FAE">
        <w:rPr>
          <w:rFonts w:asciiTheme="majorHAnsi" w:hAnsiTheme="majorHAnsi"/>
          <w:szCs w:val="20"/>
          <w:lang w:val="fr-FR"/>
        </w:rPr>
        <w:t>réinsertion</w:t>
      </w:r>
      <w:r w:rsidR="00B650D1" w:rsidRPr="00545FAE">
        <w:rPr>
          <w:rFonts w:asciiTheme="majorHAnsi" w:hAnsiTheme="majorHAnsi"/>
          <w:szCs w:val="20"/>
          <w:lang w:val="fr-FR"/>
        </w:rPr>
        <w:t>.</w:t>
      </w:r>
    </w:p>
    <w:p w14:paraId="67A20FA7" w14:textId="77777777" w:rsidR="00B650D1" w:rsidRPr="00545FAE" w:rsidRDefault="00B650D1" w:rsidP="00B650D1">
      <w:pPr>
        <w:pStyle w:val="ListParagraph"/>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ajorHAnsi" w:eastAsia="Times New Roman" w:hAnsiTheme="majorHAnsi"/>
          <w:color w:val="auto"/>
          <w:szCs w:val="20"/>
          <w:bdr w:val="none" w:sz="0" w:space="0" w:color="auto"/>
          <w:lang w:val="fr-FR"/>
        </w:rPr>
      </w:pPr>
    </w:p>
    <w:p w14:paraId="4F3F67E3" w14:textId="77777777" w:rsidR="002B1C1E" w:rsidRPr="00545FAE" w:rsidRDefault="007F212F" w:rsidP="002B1C1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asciiTheme="majorHAnsi" w:eastAsia="Times New Roman" w:hAnsiTheme="majorHAnsi"/>
          <w:color w:val="auto"/>
          <w:szCs w:val="20"/>
          <w:bdr w:val="none" w:sz="0" w:space="0" w:color="auto"/>
          <w:lang w:val="fr-FR"/>
        </w:rPr>
      </w:pPr>
      <w:r w:rsidRPr="0046313F">
        <w:rPr>
          <w:rFonts w:asciiTheme="majorHAnsi" w:eastAsia="Times New Roman" w:hAnsiTheme="majorHAnsi" w:cs="Tahoma"/>
          <w:color w:val="auto"/>
          <w:szCs w:val="20"/>
          <w:bdr w:val="none" w:sz="0" w:space="0" w:color="auto"/>
          <w:lang w:val="fr-FR"/>
        </w:rPr>
        <w:t>E</w:t>
      </w:r>
      <w:r w:rsidR="00B55E32" w:rsidRPr="0046313F">
        <w:rPr>
          <w:rFonts w:asciiTheme="majorHAnsi" w:eastAsia="Times New Roman" w:hAnsiTheme="majorHAnsi" w:cs="Tahoma"/>
          <w:color w:val="auto"/>
          <w:szCs w:val="20"/>
          <w:bdr w:val="none" w:sz="0" w:space="0" w:color="auto"/>
          <w:lang w:val="fr-FR"/>
        </w:rPr>
        <w:t>ntreprendre</w:t>
      </w:r>
      <w:r w:rsidRPr="0046313F">
        <w:rPr>
          <w:rFonts w:asciiTheme="majorHAnsi" w:eastAsia="Times New Roman" w:hAnsiTheme="majorHAnsi" w:cs="Tahoma"/>
          <w:color w:val="auto"/>
          <w:szCs w:val="20"/>
          <w:bdr w:val="none" w:sz="0" w:space="0" w:color="auto"/>
          <w:lang w:val="fr-FR"/>
        </w:rPr>
        <w:t xml:space="preserve"> </w:t>
      </w:r>
      <w:r w:rsidR="00B55E32" w:rsidRPr="0046313F">
        <w:rPr>
          <w:rFonts w:asciiTheme="majorHAnsi" w:eastAsia="Times New Roman" w:hAnsiTheme="majorHAnsi" w:cs="Tahoma"/>
          <w:color w:val="auto"/>
          <w:szCs w:val="20"/>
          <w:bdr w:val="none" w:sz="0" w:space="0" w:color="auto"/>
          <w:lang w:val="fr-FR"/>
        </w:rPr>
        <w:t>une enquête pénale</w:t>
      </w:r>
      <w:r w:rsidR="00006896" w:rsidRPr="0046313F">
        <w:rPr>
          <w:rFonts w:asciiTheme="majorHAnsi" w:eastAsia="Times New Roman" w:hAnsiTheme="majorHAnsi" w:cs="Tahoma"/>
          <w:color w:val="auto"/>
          <w:szCs w:val="20"/>
          <w:bdr w:val="none" w:sz="0" w:space="0" w:color="auto"/>
          <w:lang w:val="fr-FR"/>
        </w:rPr>
        <w:t xml:space="preserve"> </w:t>
      </w:r>
      <w:r w:rsidR="00B55E32" w:rsidRPr="0046313F">
        <w:rPr>
          <w:rFonts w:asciiTheme="majorHAnsi" w:eastAsia="Times New Roman" w:hAnsiTheme="majorHAnsi" w:cs="Tahoma"/>
          <w:color w:val="auto"/>
          <w:szCs w:val="20"/>
          <w:bdr w:val="none" w:sz="0" w:space="0" w:color="auto"/>
          <w:lang w:val="fr-FR"/>
        </w:rPr>
        <w:t>exhaustive</w:t>
      </w:r>
      <w:r w:rsidRPr="0046313F">
        <w:rPr>
          <w:rFonts w:asciiTheme="majorHAnsi" w:eastAsia="Times New Roman" w:hAnsiTheme="majorHAnsi" w:cs="Tahoma"/>
          <w:color w:val="auto"/>
          <w:szCs w:val="20"/>
          <w:bdr w:val="none" w:sz="0" w:space="0" w:color="auto"/>
          <w:lang w:val="fr-FR"/>
        </w:rPr>
        <w:t>,</w:t>
      </w:r>
      <w:r w:rsidRPr="00545FAE">
        <w:rPr>
          <w:rFonts w:asciiTheme="majorHAnsi" w:eastAsia="Times New Roman" w:hAnsiTheme="majorHAnsi" w:cs="Tahoma"/>
          <w:color w:val="auto"/>
          <w:szCs w:val="20"/>
          <w:bdr w:val="none" w:sz="0" w:space="0" w:color="auto"/>
          <w:lang w:val="fr-FR"/>
        </w:rPr>
        <w:t xml:space="preserve"> </w:t>
      </w:r>
      <w:r w:rsidR="00B55E32" w:rsidRPr="00545FAE">
        <w:rPr>
          <w:rFonts w:asciiTheme="majorHAnsi" w:eastAsia="Times New Roman" w:hAnsiTheme="majorHAnsi" w:cs="Tahoma"/>
          <w:color w:val="auto"/>
          <w:szCs w:val="20"/>
          <w:bdr w:val="none" w:sz="0" w:space="0" w:color="auto"/>
          <w:lang w:val="fr-FR"/>
        </w:rPr>
        <w:t>avec diligence et efficacité et dans un délai raisonnable</w:t>
      </w:r>
      <w:r w:rsidR="001937DA" w:rsidRPr="00545FAE">
        <w:rPr>
          <w:rFonts w:asciiTheme="majorHAnsi" w:eastAsia="Times New Roman" w:hAnsiTheme="majorHAnsi" w:cs="Tahoma"/>
          <w:color w:val="auto"/>
          <w:szCs w:val="20"/>
          <w:bdr w:val="none" w:sz="0" w:space="0" w:color="auto"/>
          <w:lang w:val="fr-FR"/>
        </w:rPr>
        <w:t>,</w:t>
      </w:r>
      <w:r w:rsidR="00B55E32" w:rsidRPr="00545FAE">
        <w:rPr>
          <w:rFonts w:asciiTheme="majorHAnsi" w:eastAsia="Times New Roman" w:hAnsiTheme="majorHAnsi" w:cs="Tahoma"/>
          <w:color w:val="auto"/>
          <w:szCs w:val="20"/>
          <w:bdr w:val="none" w:sz="0" w:space="0" w:color="auto"/>
          <w:lang w:val="fr-FR"/>
        </w:rPr>
        <w:t xml:space="preserve"> afin de faire </w:t>
      </w:r>
      <w:r w:rsidR="001C3F16" w:rsidRPr="00545FAE">
        <w:rPr>
          <w:rFonts w:asciiTheme="majorHAnsi" w:eastAsia="Times New Roman" w:hAnsiTheme="majorHAnsi" w:cs="Tahoma"/>
          <w:color w:val="auto"/>
          <w:szCs w:val="20"/>
          <w:bdr w:val="none" w:sz="0" w:space="0" w:color="auto"/>
          <w:lang w:val="fr-FR"/>
        </w:rPr>
        <w:t xml:space="preserve">pleinement </w:t>
      </w:r>
      <w:r w:rsidR="00B55E32" w:rsidRPr="00545FAE">
        <w:rPr>
          <w:rFonts w:asciiTheme="majorHAnsi" w:eastAsia="Times New Roman" w:hAnsiTheme="majorHAnsi" w:cs="Tahoma"/>
          <w:color w:val="auto"/>
          <w:szCs w:val="20"/>
          <w:bdr w:val="none" w:sz="0" w:space="0" w:color="auto"/>
          <w:lang w:val="fr-FR"/>
        </w:rPr>
        <w:t>la lumière sur les faits</w:t>
      </w:r>
      <w:r w:rsidR="001C3F16" w:rsidRPr="00545FAE">
        <w:rPr>
          <w:rFonts w:asciiTheme="majorHAnsi" w:eastAsia="Times New Roman" w:hAnsiTheme="majorHAnsi" w:cs="Tahoma"/>
          <w:color w:val="auto"/>
          <w:szCs w:val="20"/>
          <w:bdr w:val="none" w:sz="0" w:space="0" w:color="auto"/>
          <w:lang w:val="fr-FR"/>
        </w:rPr>
        <w:t xml:space="preserve">, </w:t>
      </w:r>
      <w:r w:rsidR="00006896" w:rsidRPr="00545FAE">
        <w:rPr>
          <w:rFonts w:asciiTheme="majorHAnsi" w:eastAsia="Times New Roman" w:hAnsiTheme="majorHAnsi" w:cs="Tahoma"/>
          <w:color w:val="auto"/>
          <w:szCs w:val="20"/>
          <w:bdr w:val="none" w:sz="0" w:space="0" w:color="auto"/>
          <w:lang w:val="fr-FR"/>
        </w:rPr>
        <w:t>d</w:t>
      </w:r>
      <w:r w:rsidR="001C3F16" w:rsidRPr="00545FAE">
        <w:rPr>
          <w:rFonts w:asciiTheme="majorHAnsi" w:eastAsia="Times New Roman" w:hAnsiTheme="majorHAnsi" w:cs="Tahoma"/>
          <w:color w:val="auto"/>
          <w:szCs w:val="20"/>
          <w:bdr w:val="none" w:sz="0" w:space="0" w:color="auto"/>
          <w:lang w:val="fr-FR"/>
        </w:rPr>
        <w:t>’id</w:t>
      </w:r>
      <w:r w:rsidR="00006896" w:rsidRPr="00545FAE">
        <w:rPr>
          <w:rFonts w:asciiTheme="majorHAnsi" w:eastAsia="Times New Roman" w:hAnsiTheme="majorHAnsi" w:cs="Tahoma"/>
          <w:color w:val="auto"/>
          <w:szCs w:val="20"/>
          <w:bdr w:val="none" w:sz="0" w:space="0" w:color="auto"/>
          <w:lang w:val="fr-FR"/>
        </w:rPr>
        <w:t>entifi</w:t>
      </w:r>
      <w:r w:rsidR="001C3F16" w:rsidRPr="00545FAE">
        <w:rPr>
          <w:rFonts w:asciiTheme="majorHAnsi" w:eastAsia="Times New Roman" w:hAnsiTheme="majorHAnsi" w:cs="Tahoma"/>
          <w:color w:val="auto"/>
          <w:szCs w:val="20"/>
          <w:bdr w:val="none" w:sz="0" w:space="0" w:color="auto"/>
          <w:lang w:val="fr-FR"/>
        </w:rPr>
        <w:t>er toutes les responsabilités et d’imposer les sanctions correspondantes aux violations des droits humains reconnu</w:t>
      </w:r>
      <w:r w:rsidR="001937DA" w:rsidRPr="00545FAE">
        <w:rPr>
          <w:rFonts w:asciiTheme="majorHAnsi" w:eastAsia="Times New Roman" w:hAnsiTheme="majorHAnsi" w:cs="Tahoma"/>
          <w:color w:val="auto"/>
          <w:szCs w:val="20"/>
          <w:bdr w:val="none" w:sz="0" w:space="0" w:color="auto"/>
          <w:lang w:val="fr-FR"/>
        </w:rPr>
        <w:t>e</w:t>
      </w:r>
      <w:r w:rsidR="001C3F16" w:rsidRPr="00545FAE">
        <w:rPr>
          <w:rFonts w:asciiTheme="majorHAnsi" w:eastAsia="Times New Roman" w:hAnsiTheme="majorHAnsi" w:cs="Tahoma"/>
          <w:color w:val="auto"/>
          <w:szCs w:val="20"/>
          <w:bdr w:val="none" w:sz="0" w:space="0" w:color="auto"/>
          <w:lang w:val="fr-FR"/>
        </w:rPr>
        <w:t>s par le présent rapport</w:t>
      </w:r>
      <w:r w:rsidR="00006896" w:rsidRPr="00545FAE">
        <w:rPr>
          <w:rFonts w:asciiTheme="majorHAnsi" w:eastAsia="Times New Roman" w:hAnsiTheme="majorHAnsi" w:cs="Tahoma"/>
          <w:color w:val="auto"/>
          <w:szCs w:val="20"/>
          <w:bdr w:val="none" w:sz="0" w:space="0" w:color="auto"/>
          <w:lang w:val="fr-FR"/>
        </w:rPr>
        <w:t xml:space="preserve">. </w:t>
      </w:r>
    </w:p>
    <w:p w14:paraId="4E8150B9" w14:textId="77777777" w:rsidR="002B1C1E" w:rsidRPr="00545FAE" w:rsidRDefault="002B1C1E" w:rsidP="002B1C1E">
      <w:pPr>
        <w:pStyle w:val="ListParagraph"/>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ajorHAnsi" w:eastAsia="Times New Roman" w:hAnsiTheme="majorHAnsi"/>
          <w:color w:val="auto"/>
          <w:szCs w:val="20"/>
          <w:bdr w:val="none" w:sz="0" w:space="0" w:color="auto"/>
          <w:lang w:val="fr-FR"/>
        </w:rPr>
      </w:pPr>
    </w:p>
    <w:p w14:paraId="52029A34" w14:textId="77777777" w:rsidR="00401C6D" w:rsidRPr="00DD4A51" w:rsidRDefault="00A0514B" w:rsidP="00401C6D">
      <w:pPr>
        <w:pStyle w:val="ListParagraph"/>
        <w:numPr>
          <w:ilvl w:val="0"/>
          <w:numId w:val="55"/>
        </w:numPr>
        <w:ind w:left="0" w:firstLine="720"/>
        <w:rPr>
          <w:rFonts w:asciiTheme="majorHAnsi" w:hAnsiTheme="majorHAnsi"/>
          <w:szCs w:val="20"/>
          <w:lang w:val="fr-FR"/>
        </w:rPr>
      </w:pPr>
      <w:r w:rsidRPr="00545FAE">
        <w:rPr>
          <w:rFonts w:asciiTheme="majorHAnsi" w:hAnsiTheme="majorHAnsi"/>
          <w:color w:val="auto"/>
          <w:szCs w:val="20"/>
          <w:lang w:val="fr-FR"/>
        </w:rPr>
        <w:t>Mettre en place les mesures nécessaires pour éviter que</w:t>
      </w:r>
      <w:r w:rsidR="001C2866" w:rsidRPr="00545FAE">
        <w:rPr>
          <w:rFonts w:asciiTheme="majorHAnsi" w:hAnsiTheme="majorHAnsi"/>
          <w:color w:val="auto"/>
          <w:szCs w:val="20"/>
          <w:lang w:val="fr-FR"/>
        </w:rPr>
        <w:t xml:space="preserve"> ne se répètent</w:t>
      </w:r>
      <w:r w:rsidRPr="00545FAE">
        <w:rPr>
          <w:rFonts w:asciiTheme="majorHAnsi" w:hAnsiTheme="majorHAnsi"/>
          <w:color w:val="auto"/>
          <w:szCs w:val="20"/>
          <w:lang w:val="fr-FR"/>
        </w:rPr>
        <w:t xml:space="preserve"> les violations des droits humains mentionnées dans ce rapport. En particulie</w:t>
      </w:r>
      <w:r w:rsidR="00401C6D" w:rsidRPr="00545FAE">
        <w:rPr>
          <w:rFonts w:asciiTheme="majorHAnsi" w:hAnsiTheme="majorHAnsi"/>
          <w:color w:val="auto"/>
          <w:szCs w:val="20"/>
          <w:lang w:val="fr-FR"/>
        </w:rPr>
        <w:t xml:space="preserve">r, </w:t>
      </w:r>
      <w:r w:rsidRPr="00545FAE">
        <w:rPr>
          <w:rFonts w:asciiTheme="majorHAnsi" w:hAnsiTheme="majorHAnsi"/>
          <w:color w:val="auto"/>
          <w:szCs w:val="20"/>
          <w:lang w:val="fr-FR"/>
        </w:rPr>
        <w:t xml:space="preserve">l’État est tenu de disposer d’un programme de protection destiné aux personnes </w:t>
      </w:r>
      <w:r w:rsidR="002603D6" w:rsidRPr="00545FAE">
        <w:rPr>
          <w:rFonts w:asciiTheme="majorHAnsi" w:hAnsiTheme="majorHAnsi"/>
          <w:color w:val="auto"/>
          <w:szCs w:val="20"/>
          <w:lang w:val="fr-FR"/>
        </w:rPr>
        <w:t xml:space="preserve">se trouvant </w:t>
      </w:r>
      <w:r w:rsidRPr="00545FAE">
        <w:rPr>
          <w:rFonts w:asciiTheme="majorHAnsi" w:hAnsiTheme="majorHAnsi"/>
          <w:color w:val="auto"/>
          <w:szCs w:val="20"/>
          <w:lang w:val="fr-FR"/>
        </w:rPr>
        <w:t>en situation de risque à cause de la criminalité organisée. Dans le cadre de ce programme, il sera impératif d’effectuer une analyse de risque afin de déterminer, conformément aux normes internationales applicables, les mesures de protection appropriées et efficaces à instaurer face aux sources de risque, tout en répondant aux besoins spécifiques des victimes en matière de protection. De plus</w:t>
      </w:r>
      <w:r w:rsidR="00CC0303" w:rsidRPr="00545FAE">
        <w:rPr>
          <w:rFonts w:asciiTheme="majorHAnsi" w:hAnsiTheme="majorHAnsi"/>
          <w:color w:val="auto"/>
          <w:szCs w:val="20"/>
          <w:lang w:val="fr-FR"/>
        </w:rPr>
        <w:t xml:space="preserve">, le programme devra assurer une bonne </w:t>
      </w:r>
      <w:r w:rsidRPr="00545FAE">
        <w:rPr>
          <w:rFonts w:asciiTheme="majorHAnsi" w:hAnsiTheme="majorHAnsi"/>
          <w:color w:val="auto"/>
          <w:szCs w:val="20"/>
          <w:lang w:val="fr-FR"/>
        </w:rPr>
        <w:t>coordination</w:t>
      </w:r>
      <w:r w:rsidR="00CC0303" w:rsidRPr="00545FAE">
        <w:rPr>
          <w:rFonts w:asciiTheme="majorHAnsi" w:hAnsiTheme="majorHAnsi"/>
          <w:color w:val="auto"/>
          <w:szCs w:val="20"/>
          <w:lang w:val="fr-FR"/>
        </w:rPr>
        <w:t xml:space="preserve"> institutionnelle, l’objectif étant de fournir</w:t>
      </w:r>
      <w:r w:rsidR="002603D6" w:rsidRPr="00545FAE">
        <w:rPr>
          <w:rFonts w:asciiTheme="majorHAnsi" w:hAnsiTheme="majorHAnsi"/>
          <w:color w:val="auto"/>
          <w:szCs w:val="20"/>
          <w:lang w:val="fr-FR"/>
        </w:rPr>
        <w:t>,</w:t>
      </w:r>
      <w:r w:rsidR="00CC0303" w:rsidRPr="00545FAE">
        <w:rPr>
          <w:rFonts w:asciiTheme="majorHAnsi" w:hAnsiTheme="majorHAnsi"/>
          <w:color w:val="auto"/>
          <w:szCs w:val="20"/>
          <w:lang w:val="fr-FR"/>
        </w:rPr>
        <w:t xml:space="preserve"> </w:t>
      </w:r>
      <w:r w:rsidR="002603D6" w:rsidRPr="00545FAE">
        <w:rPr>
          <w:rFonts w:asciiTheme="majorHAnsi" w:hAnsiTheme="majorHAnsi"/>
          <w:color w:val="auto"/>
          <w:szCs w:val="20"/>
          <w:lang w:val="fr-FR"/>
        </w:rPr>
        <w:t xml:space="preserve">à l’initiative de l’État, une protection adéquate </w:t>
      </w:r>
      <w:r w:rsidR="00CC0303" w:rsidRPr="00545FAE">
        <w:rPr>
          <w:rFonts w:asciiTheme="majorHAnsi" w:hAnsiTheme="majorHAnsi"/>
          <w:color w:val="auto"/>
          <w:szCs w:val="20"/>
          <w:lang w:val="fr-FR"/>
        </w:rPr>
        <w:t>face aux situations de risque réel et imminent pour la vie et l’intégrité de la personne</w:t>
      </w:r>
      <w:r w:rsidR="00B650D1" w:rsidRPr="00545FAE">
        <w:rPr>
          <w:rFonts w:asciiTheme="majorHAnsi" w:hAnsiTheme="majorHAnsi"/>
          <w:color w:val="auto"/>
          <w:szCs w:val="20"/>
          <w:lang w:val="fr-FR"/>
        </w:rPr>
        <w:t>.</w:t>
      </w:r>
    </w:p>
    <w:p w14:paraId="48E2A44B" w14:textId="77777777" w:rsidR="00DD4A51" w:rsidRDefault="00DD4A51" w:rsidP="00DD4A51">
      <w:pPr>
        <w:pStyle w:val="ListParagraph"/>
        <w:numPr>
          <w:ilvl w:val="0"/>
          <w:numId w:val="0"/>
        </w:numPr>
        <w:rPr>
          <w:rFonts w:asciiTheme="majorHAnsi" w:hAnsiTheme="majorHAnsi"/>
          <w:szCs w:val="20"/>
          <w:lang w:val="fr-FR"/>
        </w:rPr>
      </w:pPr>
    </w:p>
    <w:p w14:paraId="39C59E33" w14:textId="77777777" w:rsidR="00DD4A51" w:rsidRDefault="00DD4A51" w:rsidP="00DD4A51">
      <w:pPr>
        <w:pStyle w:val="ListParagraph"/>
        <w:numPr>
          <w:ilvl w:val="0"/>
          <w:numId w:val="0"/>
        </w:numPr>
        <w:rPr>
          <w:rFonts w:asciiTheme="majorHAnsi" w:hAnsiTheme="majorHAnsi"/>
          <w:szCs w:val="20"/>
          <w:lang w:val="fr-FR"/>
        </w:rPr>
      </w:pPr>
    </w:p>
    <w:p w14:paraId="6D52D2E8" w14:textId="77777777" w:rsidR="00DD4A51" w:rsidRPr="00DD4A51" w:rsidRDefault="00DD4A51" w:rsidP="00DD4A51">
      <w:pPr>
        <w:pStyle w:val="ListParagraph"/>
        <w:numPr>
          <w:ilvl w:val="0"/>
          <w:numId w:val="0"/>
        </w:numPr>
        <w:rPr>
          <w:rFonts w:asciiTheme="majorHAnsi" w:hAnsiTheme="majorHAnsi"/>
          <w:color w:val="auto"/>
          <w:szCs w:val="20"/>
          <w:lang w:val="fr-FR"/>
        </w:rPr>
      </w:pPr>
    </w:p>
    <w:p w14:paraId="1D71F9F5" w14:textId="77777777" w:rsidR="00DD4A51" w:rsidRPr="00DD4A51" w:rsidRDefault="00DD4A51" w:rsidP="00DD4A51">
      <w:pPr>
        <w:jc w:val="both"/>
        <w:rPr>
          <w:rFonts w:ascii="Calibri" w:hAnsi="Calibri" w:cs="Calibri"/>
          <w:sz w:val="22"/>
          <w:szCs w:val="22"/>
          <w:lang w:val="fr-FR"/>
        </w:rPr>
      </w:pPr>
      <w:r w:rsidRPr="00DD4A51">
        <w:rPr>
          <w:rFonts w:ascii="Calibri" w:hAnsi="Calibri" w:cs="Calibri"/>
          <w:sz w:val="22"/>
          <w:szCs w:val="22"/>
          <w:lang w:val="fr-FR"/>
        </w:rPr>
        <w:lastRenderedPageBreak/>
        <w:t>Approuvé par la Commission Interaméricaine des Droits de l'Homme dans la ville de Quito de l’Équateur, le 9 novembre 2019. (Signé): Esmeralda E. Arosemena Bernal de Troitiño, Président; Joel Hernández, Premier Vice-Président; Antonia Urrejola, Deuxième Vice-Présidente; Margarette May Macaulay, Luis Ernesto Vargas Silva et Flávia Piovesan, Membres de la Commission.</w:t>
      </w:r>
    </w:p>
    <w:p w14:paraId="388EE03B" w14:textId="77777777" w:rsidR="00DD4A51" w:rsidRPr="00DD4A51" w:rsidRDefault="00DD4A51" w:rsidP="00DD4A51">
      <w:pPr>
        <w:pStyle w:val="ListParagraph"/>
        <w:numPr>
          <w:ilvl w:val="0"/>
          <w:numId w:val="0"/>
        </w:numPr>
        <w:rPr>
          <w:rFonts w:asciiTheme="majorHAnsi" w:hAnsiTheme="majorHAnsi"/>
          <w:color w:val="auto"/>
          <w:szCs w:val="20"/>
          <w:lang w:val="fr-FR"/>
        </w:rPr>
      </w:pPr>
    </w:p>
    <w:p w14:paraId="5C3D0210" w14:textId="77777777" w:rsidR="00DD4A51" w:rsidRPr="00DD4A51" w:rsidRDefault="00DD4A51" w:rsidP="00DD4A51">
      <w:pPr>
        <w:jc w:val="both"/>
        <w:rPr>
          <w:rFonts w:ascii="Calibri" w:hAnsi="Calibri" w:cs="Calibri"/>
          <w:sz w:val="22"/>
          <w:szCs w:val="22"/>
          <w:lang w:val="fr-FR"/>
        </w:rPr>
      </w:pPr>
      <w:r w:rsidRPr="00DD4A51">
        <w:rPr>
          <w:rFonts w:ascii="Calibri" w:hAnsi="Calibri" w:cs="Calibri"/>
          <w:sz w:val="22"/>
          <w:szCs w:val="22"/>
          <w:lang w:val="fr-FR"/>
        </w:rPr>
        <w:t>Le soussigné, Paulo Abrão, Secrétaire Exécutif, conformément à l'article 49 du Règlement de la Commission, certifie qu'il s'agit d'une copie conforme de l'original déposé dans les dossiers du Secrétariat de la CIDH.</w:t>
      </w:r>
    </w:p>
    <w:p w14:paraId="2B84F65B" w14:textId="77777777" w:rsidR="00DD4A51" w:rsidRDefault="00DD4A51" w:rsidP="00DD4A51">
      <w:pPr>
        <w:pStyle w:val="ListParagraph"/>
        <w:numPr>
          <w:ilvl w:val="0"/>
          <w:numId w:val="0"/>
        </w:numPr>
        <w:rPr>
          <w:rFonts w:asciiTheme="majorHAnsi" w:hAnsiTheme="majorHAnsi"/>
          <w:color w:val="auto"/>
          <w:szCs w:val="20"/>
          <w:lang w:val="fr-FR"/>
        </w:rPr>
      </w:pPr>
    </w:p>
    <w:p w14:paraId="26EBD308" w14:textId="77777777" w:rsidR="00DD4A51" w:rsidRDefault="00DD4A51" w:rsidP="00DD4A51">
      <w:pPr>
        <w:pStyle w:val="ListParagraph"/>
        <w:numPr>
          <w:ilvl w:val="0"/>
          <w:numId w:val="0"/>
        </w:numPr>
        <w:rPr>
          <w:rFonts w:asciiTheme="majorHAnsi" w:hAnsiTheme="majorHAnsi"/>
          <w:color w:val="auto"/>
          <w:szCs w:val="20"/>
          <w:lang w:val="fr-FR"/>
        </w:rPr>
      </w:pPr>
      <w:r>
        <w:rPr>
          <w:rFonts w:asciiTheme="majorHAnsi" w:hAnsiTheme="majorHAnsi"/>
          <w:color w:val="auto"/>
          <w:szCs w:val="20"/>
          <w:lang w:val="fr-FR"/>
        </w:rPr>
        <w:tab/>
      </w:r>
      <w:r>
        <w:rPr>
          <w:rFonts w:asciiTheme="majorHAnsi" w:hAnsiTheme="majorHAnsi"/>
          <w:color w:val="auto"/>
          <w:szCs w:val="20"/>
          <w:lang w:val="fr-FR"/>
        </w:rPr>
        <w:tab/>
      </w:r>
      <w:r>
        <w:rPr>
          <w:rFonts w:asciiTheme="majorHAnsi" w:hAnsiTheme="majorHAnsi"/>
          <w:color w:val="auto"/>
          <w:szCs w:val="20"/>
          <w:lang w:val="fr-FR"/>
        </w:rPr>
        <w:tab/>
      </w:r>
      <w:r>
        <w:rPr>
          <w:rFonts w:asciiTheme="majorHAnsi" w:hAnsiTheme="majorHAnsi"/>
          <w:color w:val="auto"/>
          <w:szCs w:val="20"/>
          <w:lang w:val="fr-FR"/>
        </w:rPr>
        <w:tab/>
      </w:r>
      <w:r>
        <w:rPr>
          <w:rFonts w:asciiTheme="majorHAnsi" w:hAnsiTheme="majorHAnsi"/>
          <w:color w:val="auto"/>
          <w:szCs w:val="20"/>
          <w:lang w:val="fr-FR"/>
        </w:rPr>
        <w:tab/>
      </w:r>
      <w:r>
        <w:rPr>
          <w:rFonts w:asciiTheme="majorHAnsi" w:hAnsiTheme="majorHAnsi"/>
          <w:color w:val="auto"/>
          <w:szCs w:val="20"/>
          <w:lang w:val="fr-FR"/>
        </w:rPr>
        <w:tab/>
      </w:r>
      <w:r>
        <w:rPr>
          <w:rFonts w:asciiTheme="majorHAnsi" w:hAnsiTheme="majorHAnsi"/>
          <w:color w:val="auto"/>
          <w:szCs w:val="20"/>
          <w:lang w:val="fr-FR"/>
        </w:rPr>
        <w:tab/>
      </w:r>
      <w:r>
        <w:rPr>
          <w:rFonts w:asciiTheme="majorHAnsi" w:hAnsiTheme="majorHAnsi"/>
          <w:color w:val="auto"/>
          <w:szCs w:val="20"/>
          <w:lang w:val="fr-FR"/>
        </w:rPr>
        <w:tab/>
      </w:r>
      <w:r>
        <w:rPr>
          <w:rFonts w:asciiTheme="majorHAnsi" w:hAnsiTheme="majorHAnsi"/>
          <w:color w:val="auto"/>
          <w:szCs w:val="20"/>
          <w:lang w:val="fr-FR"/>
        </w:rPr>
        <w:tab/>
      </w:r>
      <w:r>
        <w:rPr>
          <w:rFonts w:asciiTheme="majorHAnsi" w:hAnsiTheme="majorHAnsi"/>
          <w:color w:val="auto"/>
          <w:szCs w:val="20"/>
          <w:lang w:val="fr-FR"/>
        </w:rPr>
        <w:tab/>
      </w:r>
      <w:r>
        <w:rPr>
          <w:rFonts w:asciiTheme="majorHAnsi" w:hAnsiTheme="majorHAnsi"/>
          <w:color w:val="auto"/>
          <w:szCs w:val="20"/>
          <w:lang w:val="fr-FR"/>
        </w:rPr>
        <w:tab/>
      </w:r>
    </w:p>
    <w:p w14:paraId="400BA8CE" w14:textId="77777777" w:rsidR="00DD4A51" w:rsidRDefault="00DD4A51" w:rsidP="00DD4A51">
      <w:pPr>
        <w:pStyle w:val="ListParagraph"/>
        <w:numPr>
          <w:ilvl w:val="0"/>
          <w:numId w:val="0"/>
        </w:numPr>
        <w:rPr>
          <w:rFonts w:ascii="Calibri" w:hAnsi="Calibri" w:cs="Calibri"/>
          <w:color w:val="auto"/>
          <w:sz w:val="22"/>
          <w:szCs w:val="22"/>
          <w:lang w:val="fr-FR"/>
        </w:rPr>
      </w:pPr>
      <w:r>
        <w:rPr>
          <w:rFonts w:asciiTheme="majorHAnsi" w:hAnsiTheme="majorHAnsi"/>
          <w:color w:val="auto"/>
          <w:szCs w:val="20"/>
          <w:lang w:val="fr-FR"/>
        </w:rPr>
        <w:tab/>
      </w:r>
      <w:r>
        <w:rPr>
          <w:rFonts w:asciiTheme="majorHAnsi" w:hAnsiTheme="majorHAnsi"/>
          <w:color w:val="auto"/>
          <w:szCs w:val="20"/>
          <w:lang w:val="fr-FR"/>
        </w:rPr>
        <w:tab/>
      </w:r>
      <w:r>
        <w:rPr>
          <w:rFonts w:asciiTheme="majorHAnsi" w:hAnsiTheme="majorHAnsi"/>
          <w:color w:val="auto"/>
          <w:szCs w:val="20"/>
          <w:lang w:val="fr-FR"/>
        </w:rPr>
        <w:tab/>
      </w:r>
      <w:r>
        <w:rPr>
          <w:rFonts w:asciiTheme="majorHAnsi" w:hAnsiTheme="majorHAnsi"/>
          <w:color w:val="auto"/>
          <w:szCs w:val="20"/>
          <w:lang w:val="fr-FR"/>
        </w:rPr>
        <w:tab/>
      </w:r>
      <w:r>
        <w:rPr>
          <w:rFonts w:asciiTheme="majorHAnsi" w:hAnsiTheme="majorHAnsi"/>
          <w:color w:val="auto"/>
          <w:szCs w:val="20"/>
          <w:lang w:val="fr-FR"/>
        </w:rPr>
        <w:tab/>
      </w:r>
      <w:r>
        <w:rPr>
          <w:rFonts w:asciiTheme="majorHAnsi" w:hAnsiTheme="majorHAnsi"/>
          <w:color w:val="auto"/>
          <w:szCs w:val="20"/>
          <w:lang w:val="fr-FR"/>
        </w:rPr>
        <w:tab/>
      </w:r>
      <w:r>
        <w:rPr>
          <w:rFonts w:asciiTheme="majorHAnsi" w:hAnsiTheme="majorHAnsi"/>
          <w:color w:val="auto"/>
          <w:szCs w:val="20"/>
          <w:lang w:val="fr-FR"/>
        </w:rPr>
        <w:tab/>
      </w:r>
      <w:r>
        <w:rPr>
          <w:rFonts w:asciiTheme="majorHAnsi" w:hAnsiTheme="majorHAnsi"/>
          <w:color w:val="auto"/>
          <w:szCs w:val="20"/>
          <w:lang w:val="fr-FR"/>
        </w:rPr>
        <w:tab/>
      </w:r>
      <w:r>
        <w:rPr>
          <w:rFonts w:asciiTheme="majorHAnsi" w:hAnsiTheme="majorHAnsi"/>
          <w:color w:val="auto"/>
          <w:szCs w:val="20"/>
          <w:lang w:val="fr-FR"/>
        </w:rPr>
        <w:tab/>
      </w:r>
      <w:r>
        <w:rPr>
          <w:rFonts w:asciiTheme="majorHAnsi" w:hAnsiTheme="majorHAnsi"/>
          <w:color w:val="auto"/>
          <w:szCs w:val="20"/>
          <w:lang w:val="fr-FR"/>
        </w:rPr>
        <w:tab/>
      </w:r>
      <w:r>
        <w:rPr>
          <w:rFonts w:asciiTheme="majorHAnsi" w:hAnsiTheme="majorHAnsi"/>
          <w:color w:val="auto"/>
          <w:szCs w:val="20"/>
          <w:lang w:val="fr-FR"/>
        </w:rPr>
        <w:tab/>
      </w:r>
      <w:r>
        <w:rPr>
          <w:rFonts w:asciiTheme="majorHAnsi" w:hAnsiTheme="majorHAnsi"/>
          <w:color w:val="auto"/>
          <w:szCs w:val="20"/>
          <w:lang w:val="fr-FR"/>
        </w:rPr>
        <w:tab/>
      </w:r>
      <w:r>
        <w:rPr>
          <w:rFonts w:asciiTheme="majorHAnsi" w:hAnsiTheme="majorHAnsi"/>
          <w:color w:val="auto"/>
          <w:szCs w:val="20"/>
          <w:lang w:val="fr-FR"/>
        </w:rPr>
        <w:tab/>
        <w:t xml:space="preserve">   </w:t>
      </w:r>
      <w:r w:rsidRPr="00DD4A51">
        <w:rPr>
          <w:rFonts w:ascii="Calibri" w:hAnsi="Calibri" w:cs="Calibri"/>
          <w:color w:val="auto"/>
          <w:sz w:val="22"/>
          <w:szCs w:val="22"/>
          <w:lang w:val="fr-FR"/>
        </w:rPr>
        <w:t>Paulo Abrão</w:t>
      </w:r>
    </w:p>
    <w:p w14:paraId="1A57CAF1" w14:textId="77777777" w:rsidR="00DD4A51" w:rsidRPr="00DD4A51" w:rsidRDefault="00DD4A51" w:rsidP="00DD4A51">
      <w:pPr>
        <w:pStyle w:val="ListParagraph"/>
        <w:numPr>
          <w:ilvl w:val="0"/>
          <w:numId w:val="0"/>
        </w:numPr>
        <w:rPr>
          <w:rFonts w:asciiTheme="majorHAnsi" w:hAnsiTheme="majorHAnsi"/>
          <w:color w:val="auto"/>
          <w:szCs w:val="20"/>
          <w:lang w:val="fr-FR"/>
        </w:rPr>
      </w:pPr>
      <w:r>
        <w:rPr>
          <w:rFonts w:ascii="Calibri" w:hAnsi="Calibri" w:cs="Calibri"/>
          <w:color w:val="auto"/>
          <w:sz w:val="22"/>
          <w:szCs w:val="22"/>
          <w:lang w:val="fr-FR"/>
        </w:rPr>
        <w:tab/>
      </w:r>
      <w:r>
        <w:rPr>
          <w:rFonts w:ascii="Calibri" w:hAnsi="Calibri" w:cs="Calibri"/>
          <w:color w:val="auto"/>
          <w:sz w:val="22"/>
          <w:szCs w:val="22"/>
          <w:lang w:val="fr-FR"/>
        </w:rPr>
        <w:tab/>
      </w:r>
      <w:r>
        <w:rPr>
          <w:rFonts w:ascii="Calibri" w:hAnsi="Calibri" w:cs="Calibri"/>
          <w:color w:val="auto"/>
          <w:sz w:val="22"/>
          <w:szCs w:val="22"/>
          <w:lang w:val="fr-FR"/>
        </w:rPr>
        <w:tab/>
      </w:r>
      <w:r>
        <w:rPr>
          <w:rFonts w:ascii="Calibri" w:hAnsi="Calibri" w:cs="Calibri"/>
          <w:color w:val="auto"/>
          <w:sz w:val="22"/>
          <w:szCs w:val="22"/>
          <w:lang w:val="fr-FR"/>
        </w:rPr>
        <w:tab/>
      </w:r>
      <w:r>
        <w:rPr>
          <w:rFonts w:ascii="Calibri" w:hAnsi="Calibri" w:cs="Calibri"/>
          <w:color w:val="auto"/>
          <w:sz w:val="22"/>
          <w:szCs w:val="22"/>
          <w:lang w:val="fr-FR"/>
        </w:rPr>
        <w:tab/>
      </w:r>
      <w:r>
        <w:rPr>
          <w:rFonts w:ascii="Calibri" w:hAnsi="Calibri" w:cs="Calibri"/>
          <w:color w:val="auto"/>
          <w:sz w:val="22"/>
          <w:szCs w:val="22"/>
          <w:lang w:val="fr-FR"/>
        </w:rPr>
        <w:tab/>
      </w:r>
      <w:r>
        <w:rPr>
          <w:rFonts w:ascii="Calibri" w:hAnsi="Calibri" w:cs="Calibri"/>
          <w:color w:val="auto"/>
          <w:sz w:val="22"/>
          <w:szCs w:val="22"/>
          <w:lang w:val="fr-FR"/>
        </w:rPr>
        <w:tab/>
      </w:r>
      <w:r>
        <w:rPr>
          <w:rFonts w:ascii="Calibri" w:hAnsi="Calibri" w:cs="Calibri"/>
          <w:color w:val="auto"/>
          <w:sz w:val="22"/>
          <w:szCs w:val="22"/>
          <w:lang w:val="fr-FR"/>
        </w:rPr>
        <w:tab/>
      </w:r>
      <w:r>
        <w:rPr>
          <w:rFonts w:ascii="Calibri" w:hAnsi="Calibri" w:cs="Calibri"/>
          <w:color w:val="auto"/>
          <w:sz w:val="22"/>
          <w:szCs w:val="22"/>
          <w:lang w:val="fr-FR"/>
        </w:rPr>
        <w:tab/>
      </w:r>
      <w:r>
        <w:rPr>
          <w:rFonts w:ascii="Calibri" w:hAnsi="Calibri" w:cs="Calibri"/>
          <w:color w:val="auto"/>
          <w:sz w:val="22"/>
          <w:szCs w:val="22"/>
          <w:lang w:val="fr-FR"/>
        </w:rPr>
        <w:tab/>
      </w:r>
      <w:r>
        <w:rPr>
          <w:rFonts w:ascii="Calibri" w:hAnsi="Calibri" w:cs="Calibri"/>
          <w:color w:val="auto"/>
          <w:sz w:val="22"/>
          <w:szCs w:val="22"/>
          <w:lang w:val="fr-FR"/>
        </w:rPr>
        <w:tab/>
      </w:r>
      <w:r>
        <w:rPr>
          <w:rFonts w:ascii="Calibri" w:hAnsi="Calibri" w:cs="Calibri"/>
          <w:color w:val="auto"/>
          <w:sz w:val="22"/>
          <w:szCs w:val="22"/>
          <w:lang w:val="fr-FR"/>
        </w:rPr>
        <w:tab/>
      </w:r>
      <w:r>
        <w:rPr>
          <w:rFonts w:ascii="Calibri" w:hAnsi="Calibri" w:cs="Calibri"/>
          <w:color w:val="auto"/>
          <w:sz w:val="22"/>
          <w:szCs w:val="22"/>
          <w:lang w:val="fr-FR"/>
        </w:rPr>
        <w:tab/>
      </w:r>
      <w:r w:rsidRPr="00DD4A51">
        <w:rPr>
          <w:rFonts w:ascii="Calibri" w:hAnsi="Calibri" w:cs="Calibri"/>
          <w:color w:val="auto"/>
          <w:sz w:val="22"/>
          <w:szCs w:val="22"/>
          <w:lang w:val="fr-FR"/>
        </w:rPr>
        <w:t>Secrétaire Exécutif</w:t>
      </w:r>
    </w:p>
    <w:sectPr w:rsidR="00DD4A51" w:rsidRPr="00DD4A5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254D7" w14:textId="77777777" w:rsidR="00F81091" w:rsidRDefault="00F81091">
      <w:r>
        <w:separator/>
      </w:r>
    </w:p>
  </w:endnote>
  <w:endnote w:type="continuationSeparator" w:id="0">
    <w:p w14:paraId="01B71CAB" w14:textId="77777777" w:rsidR="00F81091" w:rsidRDefault="00F81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5294112"/>
      <w:docPartObj>
        <w:docPartGallery w:val="Page Numbers (Bottom of Page)"/>
        <w:docPartUnique/>
      </w:docPartObj>
    </w:sdtPr>
    <w:sdtEndPr>
      <w:rPr>
        <w:noProof/>
        <w:sz w:val="16"/>
        <w:szCs w:val="22"/>
      </w:rPr>
    </w:sdtEndPr>
    <w:sdtContent>
      <w:p w14:paraId="35059AB2" w14:textId="77777777" w:rsidR="00A0514B" w:rsidRPr="00934A2C" w:rsidRDefault="00A0514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1109E">
          <w:rPr>
            <w:noProof/>
            <w:sz w:val="16"/>
            <w:szCs w:val="22"/>
          </w:rPr>
          <w:t>1</w:t>
        </w:r>
        <w:r w:rsidRPr="00934A2C">
          <w:rPr>
            <w:noProof/>
            <w:sz w:val="16"/>
            <w:szCs w:val="22"/>
          </w:rPr>
          <w:fldChar w:fldCharType="end"/>
        </w:r>
      </w:p>
    </w:sdtContent>
  </w:sdt>
  <w:p w14:paraId="330C7F06" w14:textId="77777777" w:rsidR="00A0514B" w:rsidRDefault="00A051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363A7" w14:textId="77777777" w:rsidR="00A0514B" w:rsidRPr="00934A2C" w:rsidRDefault="00A0514B">
    <w:pPr>
      <w:pStyle w:val="Footer"/>
      <w:jc w:val="center"/>
      <w:rPr>
        <w:sz w:val="16"/>
        <w:szCs w:val="22"/>
      </w:rPr>
    </w:pPr>
  </w:p>
  <w:p w14:paraId="10D29FC4" w14:textId="77777777" w:rsidR="00A0514B" w:rsidRDefault="00A05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4B08D8" w14:textId="77777777" w:rsidR="00F81091" w:rsidRPr="000F35ED" w:rsidRDefault="00F8109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4D851B0" w14:textId="77777777" w:rsidR="00F81091" w:rsidRPr="000F35ED" w:rsidRDefault="00F81091" w:rsidP="000F35ED">
      <w:pPr>
        <w:rPr>
          <w:rFonts w:asciiTheme="majorHAnsi" w:hAnsiTheme="majorHAnsi"/>
          <w:sz w:val="16"/>
          <w:szCs w:val="16"/>
        </w:rPr>
      </w:pPr>
      <w:r w:rsidRPr="000F35ED">
        <w:rPr>
          <w:rFonts w:asciiTheme="majorHAnsi" w:hAnsiTheme="majorHAnsi"/>
          <w:sz w:val="16"/>
          <w:szCs w:val="16"/>
        </w:rPr>
        <w:separator/>
      </w:r>
    </w:p>
    <w:p w14:paraId="79C275C5" w14:textId="77777777" w:rsidR="00F81091" w:rsidRPr="000F35ED" w:rsidRDefault="00F81091"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E60E5A0" w14:textId="77777777" w:rsidR="00F81091" w:rsidRPr="000F35ED" w:rsidRDefault="00F8109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802D778" w14:textId="77777777" w:rsidR="00A0514B" w:rsidRPr="001B665C" w:rsidRDefault="00A0514B" w:rsidP="00A03A30">
      <w:pPr>
        <w:pStyle w:val="FootnoteText"/>
        <w:rPr>
          <w:color w:val="auto"/>
          <w:lang w:val="fr-FR"/>
        </w:rPr>
      </w:pPr>
      <w:r w:rsidRPr="001B665C">
        <w:rPr>
          <w:rStyle w:val="FootnoteReference"/>
          <w:color w:val="auto"/>
        </w:rPr>
        <w:footnoteRef/>
      </w:r>
      <w:r w:rsidRPr="001B665C">
        <w:rPr>
          <w:color w:val="auto"/>
        </w:rPr>
        <w:t xml:space="preserve"> </w:t>
      </w:r>
      <w:r w:rsidRPr="001B665C">
        <w:rPr>
          <w:color w:val="auto"/>
          <w:lang w:val="fr-FR"/>
        </w:rPr>
        <w:t xml:space="preserve">CIDH. Rapport n°21/14. Pétition 525-07. Recevabilité. Baptiste Willer et Frédo Guirant. Haïti. 4 avril 2014. </w:t>
      </w:r>
      <w:r w:rsidRPr="001B665C">
        <w:rPr>
          <w:lang w:val="fr-FR"/>
        </w:rPr>
        <w:t xml:space="preserve">La CIDH a déclaré recevable la pétition de M. Baptiste Willer concernant les droits consacrés par les articles 5.1, 8.1 et 25 de la Convention américaine </w:t>
      </w:r>
      <w:r w:rsidR="000506AB" w:rsidRPr="001B665C">
        <w:rPr>
          <w:lang w:val="fr-FR"/>
        </w:rPr>
        <w:t>en rapport avec</w:t>
      </w:r>
      <w:r w:rsidRPr="001B665C">
        <w:rPr>
          <w:lang w:val="fr-FR"/>
        </w:rPr>
        <w:t xml:space="preserve"> l’article 1.1 du même instrument et de M. Frédo Guirant concernant les droits consacrés par les articles 19, 8.1 et 25 de la Convention américaine </w:t>
      </w:r>
      <w:r w:rsidR="000506AB" w:rsidRPr="001B665C">
        <w:rPr>
          <w:lang w:val="fr-FR"/>
        </w:rPr>
        <w:t>en rapport avec</w:t>
      </w:r>
      <w:r w:rsidRPr="001B665C">
        <w:rPr>
          <w:lang w:val="fr-FR"/>
        </w:rPr>
        <w:t xml:space="preserve"> l’article 1.1 du même instrument. Conformément aux indications figurant dans le rapport de recevabilité, le cadre factuel de l’affaire comprend les allégations de menaces et de tentatives d’homicide contre M. Baptiste Willer et l’assassinat de </w:t>
      </w:r>
      <w:r w:rsidR="00781758" w:rsidRPr="001B665C">
        <w:rPr>
          <w:lang w:val="fr-FR"/>
        </w:rPr>
        <w:t>M. </w:t>
      </w:r>
      <w:r w:rsidRPr="001B665C">
        <w:rPr>
          <w:lang w:val="fr-FR"/>
        </w:rPr>
        <w:t xml:space="preserve">Frédo Guirant, ainsi que l’absence d’enquête sur ces faits. </w:t>
      </w:r>
      <w:r w:rsidR="009E587B" w:rsidRPr="001B665C">
        <w:rPr>
          <w:lang w:val="fr-FR"/>
        </w:rPr>
        <w:t>La C</w:t>
      </w:r>
      <w:r w:rsidR="003E4027" w:rsidRPr="001B665C">
        <w:rPr>
          <w:lang w:val="fr-FR"/>
        </w:rPr>
        <w:t xml:space="preserve">IDH </w:t>
      </w:r>
      <w:r w:rsidRPr="001B665C">
        <w:rPr>
          <w:lang w:val="fr-FR"/>
        </w:rPr>
        <w:t xml:space="preserve">constate expressément que le dispositif du présent rapport a indiqué, par erreur, que les violations présumées avaient eu lieu le 27 février 2007 dans des circonstances qui, comme en témoignent les considérations initiales, les preuves produites dans ce rapport, la première tentative d’homicide sur M. Baptiste Willer et l’assassinat de son frère mineur, M. Frédo Guirant, se sont en réalité déroulées le 4 février 2007, point que la Commission modifie dans le présent acte. En outre, la CIDH constate que les </w:t>
      </w:r>
      <w:r w:rsidRPr="001B665C">
        <w:rPr>
          <w:color w:val="auto"/>
          <w:lang w:val="fr-FR"/>
        </w:rPr>
        <w:t xml:space="preserve">allégations relatives à la santé de M. Baptiste Willer ont été exclues du cadre factuel dans le rapport de recevabilité, car le pétitionnaire n’a pas établi l’épuisement des voies de recours respectives ou l’applicabilité de l’une des </w:t>
      </w:r>
      <w:r w:rsidR="003E4027" w:rsidRPr="001B665C">
        <w:rPr>
          <w:color w:val="auto"/>
          <w:lang w:val="fr-FR"/>
        </w:rPr>
        <w:t xml:space="preserve">exceptions </w:t>
      </w:r>
      <w:r w:rsidRPr="001B665C">
        <w:rPr>
          <w:color w:val="auto"/>
          <w:lang w:val="fr-FR"/>
        </w:rPr>
        <w:t>de l’article 46(2) de la Convention.</w:t>
      </w:r>
    </w:p>
  </w:footnote>
  <w:footnote w:id="3">
    <w:p w14:paraId="1010E50C" w14:textId="77777777" w:rsidR="00A0514B" w:rsidRPr="001B665C" w:rsidRDefault="00A0514B">
      <w:pPr>
        <w:pStyle w:val="FootnoteText"/>
        <w:rPr>
          <w:lang w:val="fr-FR"/>
        </w:rPr>
      </w:pPr>
      <w:r w:rsidRPr="001B665C">
        <w:rPr>
          <w:rStyle w:val="FootnoteReference"/>
        </w:rPr>
        <w:footnoteRef/>
      </w:r>
      <w:r w:rsidRPr="001B665C">
        <w:rPr>
          <w:lang w:val="pt-BR"/>
        </w:rPr>
        <w:t xml:space="preserve"> </w:t>
      </w:r>
      <w:r w:rsidR="0046313F" w:rsidRPr="001B665C">
        <w:rPr>
          <w:lang w:val="fr-FR"/>
        </w:rPr>
        <w:t>Annexe 1</w:t>
      </w:r>
      <w:r w:rsidRPr="001B665C">
        <w:rPr>
          <w:lang w:val="fr-FR"/>
        </w:rPr>
        <w:t>. Note adressée à la CIDH. République d’Haïti. Ministère des Affaires étrangères, JUR/07/PTM/fl-0886, Port-au-Prince, 7 août 2007.</w:t>
      </w:r>
    </w:p>
  </w:footnote>
  <w:footnote w:id="4">
    <w:p w14:paraId="732FB7A7" w14:textId="77777777" w:rsidR="00A0514B" w:rsidRPr="001B665C" w:rsidRDefault="00A0514B">
      <w:pPr>
        <w:pStyle w:val="FootnoteText"/>
        <w:rPr>
          <w:lang w:val="fr-FR"/>
        </w:rPr>
      </w:pPr>
      <w:r w:rsidRPr="001B665C">
        <w:rPr>
          <w:rStyle w:val="FootnoteReference"/>
        </w:rPr>
        <w:footnoteRef/>
      </w:r>
      <w:r w:rsidRPr="001B665C">
        <w:rPr>
          <w:lang w:val="fr-FR"/>
        </w:rPr>
        <w:t xml:space="preserve"> </w:t>
      </w:r>
      <w:r w:rsidR="0046313F" w:rsidRPr="001B665C">
        <w:rPr>
          <w:lang w:val="fr-FR"/>
        </w:rPr>
        <w:t>Annexe 1</w:t>
      </w:r>
      <w:r w:rsidRPr="001B665C">
        <w:rPr>
          <w:lang w:val="fr-FR"/>
        </w:rPr>
        <w:t>. Note adressée à la CIDH. République d’Haïti. Ministère des Affaires étrangères, JUR/07/PTM/fl-0886, Port-au-Prince, 7 août 2007.</w:t>
      </w:r>
    </w:p>
  </w:footnote>
  <w:footnote w:id="5">
    <w:p w14:paraId="08A567A6" w14:textId="77777777" w:rsidR="00A0514B" w:rsidRPr="001B665C" w:rsidRDefault="00A0514B">
      <w:pPr>
        <w:pStyle w:val="FootnoteText"/>
        <w:rPr>
          <w:lang w:val="fr-FR"/>
        </w:rPr>
      </w:pPr>
      <w:r w:rsidRPr="001B665C">
        <w:rPr>
          <w:rStyle w:val="FootnoteReference"/>
          <w:lang w:val="fr-FR"/>
        </w:rPr>
        <w:footnoteRef/>
      </w:r>
      <w:r w:rsidRPr="001B665C">
        <w:rPr>
          <w:lang w:val="fr-FR"/>
        </w:rPr>
        <w:t xml:space="preserve"> Annexe </w:t>
      </w:r>
      <w:r w:rsidR="00315180" w:rsidRPr="001B665C">
        <w:rPr>
          <w:lang w:val="fr-FR"/>
        </w:rPr>
        <w:t>2</w:t>
      </w:r>
      <w:r w:rsidRPr="001B665C">
        <w:rPr>
          <w:lang w:val="fr-FR"/>
        </w:rPr>
        <w:t xml:space="preserve">. Lettre de Baptiste Willer : orfèvre, réalisateur de vidéos, photographe, Port-au-Prince, 27 février 2007 et Annexe </w:t>
      </w:r>
      <w:r w:rsidR="00315180" w:rsidRPr="001B665C">
        <w:rPr>
          <w:lang w:val="fr-FR"/>
        </w:rPr>
        <w:t>3</w:t>
      </w:r>
      <w:r w:rsidRPr="001B665C">
        <w:rPr>
          <w:lang w:val="fr-FR"/>
        </w:rPr>
        <w:t>. Lettre de Baptiste Willer : orfèvre, réalisateur de vidéos, photographe, Port-au-Prince, 7/04/2007, toutes deux jointes comme annexes à la pétition du 20 avril 2007 et comme annexes au courrier du pétitionnaire daté du 6 février 2017.</w:t>
      </w:r>
    </w:p>
  </w:footnote>
  <w:footnote w:id="6">
    <w:p w14:paraId="4C860706" w14:textId="77777777" w:rsidR="00A0514B" w:rsidRPr="001B665C" w:rsidRDefault="00A0514B">
      <w:pPr>
        <w:pStyle w:val="FootnoteText"/>
        <w:rPr>
          <w:lang w:val="fr-FR"/>
        </w:rPr>
      </w:pPr>
      <w:r w:rsidRPr="001B665C">
        <w:rPr>
          <w:rStyle w:val="FootnoteReference"/>
          <w:lang w:val="fr-FR"/>
        </w:rPr>
        <w:footnoteRef/>
      </w:r>
      <w:r w:rsidRPr="001B665C">
        <w:rPr>
          <w:lang w:val="fr-FR"/>
        </w:rPr>
        <w:t xml:space="preserve"> Annexe </w:t>
      </w:r>
      <w:r w:rsidR="00433BC7" w:rsidRPr="001B665C">
        <w:rPr>
          <w:lang w:val="fr-FR"/>
        </w:rPr>
        <w:t>4</w:t>
      </w:r>
      <w:r w:rsidRPr="001B665C">
        <w:rPr>
          <w:lang w:val="fr-FR"/>
        </w:rPr>
        <w:t>. Ministère de la Justice. République d’Haïti. État civil. Acte de décès 053081, Registre 2, page 58, n°144. Carrefour, Haïti. Mardi 30 septembre 2014. Joint comme annexe à la note du pétitionnaire datée du 11 mai 2017.</w:t>
      </w:r>
    </w:p>
  </w:footnote>
  <w:footnote w:id="7">
    <w:p w14:paraId="4CC8421A" w14:textId="77777777" w:rsidR="00A0514B" w:rsidRPr="001B665C" w:rsidRDefault="00A0514B">
      <w:pPr>
        <w:pStyle w:val="FootnoteText"/>
        <w:rPr>
          <w:lang w:val="fr-FR"/>
        </w:rPr>
      </w:pPr>
      <w:r w:rsidRPr="001B665C">
        <w:rPr>
          <w:rStyle w:val="FootnoteReference"/>
          <w:lang w:val="fr-FR"/>
        </w:rPr>
        <w:footnoteRef/>
      </w:r>
      <w:r w:rsidRPr="001B665C">
        <w:rPr>
          <w:lang w:val="fr-FR"/>
        </w:rPr>
        <w:t xml:space="preserve"> Annexe </w:t>
      </w:r>
      <w:r w:rsidR="00BE704B" w:rsidRPr="001B665C">
        <w:rPr>
          <w:lang w:val="fr-FR"/>
        </w:rPr>
        <w:t>5.</w:t>
      </w:r>
      <w:r w:rsidRPr="001B665C">
        <w:rPr>
          <w:lang w:val="fr-FR"/>
        </w:rPr>
        <w:t xml:space="preserve"> République d’Haïti. Ministère de la Justice et de la Sécu</w:t>
      </w:r>
      <w:r w:rsidR="004E1F78" w:rsidRPr="001B665C">
        <w:rPr>
          <w:lang w:val="fr-FR"/>
        </w:rPr>
        <w:t>rité</w:t>
      </w:r>
      <w:r w:rsidRPr="001B665C">
        <w:rPr>
          <w:lang w:val="fr-FR"/>
        </w:rPr>
        <w:t xml:space="preserve"> publique. Port-au-Prince, le 7 février 2007. </w:t>
      </w:r>
      <w:r w:rsidR="00571FAA" w:rsidRPr="001B665C">
        <w:rPr>
          <w:lang w:val="fr-FR"/>
        </w:rPr>
        <w:t>Document j</w:t>
      </w:r>
      <w:r w:rsidRPr="001B665C">
        <w:rPr>
          <w:lang w:val="fr-FR"/>
        </w:rPr>
        <w:t>oint comme annexe à la pétition du 20 avril 2007 et comme annexe au courrier du pétitionnaire daté du 6 février 2017.</w:t>
      </w:r>
    </w:p>
  </w:footnote>
  <w:footnote w:id="8">
    <w:p w14:paraId="399CBFE1" w14:textId="77777777" w:rsidR="00A0514B" w:rsidRPr="001B665C" w:rsidRDefault="00A0514B">
      <w:pPr>
        <w:pStyle w:val="FootnoteText"/>
        <w:rPr>
          <w:lang w:val="fr-FR"/>
        </w:rPr>
      </w:pPr>
      <w:r w:rsidRPr="001B665C">
        <w:rPr>
          <w:rStyle w:val="FootnoteReference"/>
          <w:lang w:val="fr-FR"/>
        </w:rPr>
        <w:footnoteRef/>
      </w:r>
      <w:r w:rsidRPr="001B665C">
        <w:rPr>
          <w:lang w:val="fr-FR"/>
        </w:rPr>
        <w:t xml:space="preserve"> Annexe </w:t>
      </w:r>
      <w:r w:rsidR="00D07DA7" w:rsidRPr="001B665C">
        <w:rPr>
          <w:lang w:val="fr-FR"/>
        </w:rPr>
        <w:t>6</w:t>
      </w:r>
      <w:r w:rsidRPr="001B665C">
        <w:rPr>
          <w:lang w:val="fr-FR"/>
        </w:rPr>
        <w:t>. Certificat délivré par l’entreprise funéraire St-Jacques. Joint comme annexe à la pétition du 20 avril 2007 et comme annexe au courrier du pétitionnaire daté du 6 février 2017.</w:t>
      </w:r>
    </w:p>
  </w:footnote>
  <w:footnote w:id="9">
    <w:p w14:paraId="4D79EBCF" w14:textId="77777777" w:rsidR="00A0514B" w:rsidRPr="001B665C" w:rsidRDefault="00A0514B">
      <w:pPr>
        <w:pStyle w:val="FootnoteText"/>
        <w:rPr>
          <w:lang w:val="fr-FR"/>
        </w:rPr>
      </w:pPr>
      <w:r w:rsidRPr="001B665C">
        <w:rPr>
          <w:rStyle w:val="FootnoteReference"/>
          <w:lang w:val="fr-FR"/>
        </w:rPr>
        <w:footnoteRef/>
      </w:r>
      <w:r w:rsidRPr="001B665C">
        <w:rPr>
          <w:lang w:val="fr-FR"/>
        </w:rPr>
        <w:t xml:space="preserve"> Annexe </w:t>
      </w:r>
      <w:r w:rsidR="009D43BE" w:rsidRPr="001B665C">
        <w:rPr>
          <w:lang w:val="fr-FR"/>
        </w:rPr>
        <w:t>7</w:t>
      </w:r>
      <w:r w:rsidRPr="001B665C">
        <w:rPr>
          <w:lang w:val="fr-FR"/>
        </w:rPr>
        <w:t>. Série de photographies jointes comme annexe à la pétition du 20 avril 2007.</w:t>
      </w:r>
    </w:p>
  </w:footnote>
  <w:footnote w:id="10">
    <w:p w14:paraId="59585291" w14:textId="77777777" w:rsidR="00A0514B" w:rsidRPr="001B665C" w:rsidRDefault="00A0514B">
      <w:pPr>
        <w:pStyle w:val="FootnoteText"/>
        <w:rPr>
          <w:lang w:val="fr-FR"/>
        </w:rPr>
      </w:pPr>
      <w:r w:rsidRPr="001B665C">
        <w:rPr>
          <w:rStyle w:val="FootnoteReference"/>
          <w:lang w:val="fr-FR"/>
        </w:rPr>
        <w:footnoteRef/>
      </w:r>
      <w:r w:rsidRPr="001B665C">
        <w:rPr>
          <w:lang w:val="fr-FR"/>
        </w:rPr>
        <w:t xml:space="preserve"> </w:t>
      </w:r>
      <w:r w:rsidR="009D43BE" w:rsidRPr="001B665C">
        <w:rPr>
          <w:lang w:val="fr-FR"/>
        </w:rPr>
        <w:t>Annexe 8</w:t>
      </w:r>
      <w:r w:rsidRPr="001B665C">
        <w:rPr>
          <w:lang w:val="fr-FR"/>
        </w:rPr>
        <w:t>. Vidéo VHS, jointe comme annexe à la pétition du 20 avril 2007.</w:t>
      </w:r>
    </w:p>
  </w:footnote>
  <w:footnote w:id="11">
    <w:p w14:paraId="2C6473DF" w14:textId="77777777" w:rsidR="00A0514B" w:rsidRPr="001B665C" w:rsidRDefault="00A0514B">
      <w:pPr>
        <w:pStyle w:val="FootnoteText"/>
        <w:rPr>
          <w:lang w:val="fr-FR"/>
        </w:rPr>
      </w:pPr>
      <w:r w:rsidRPr="001B665C">
        <w:rPr>
          <w:rStyle w:val="FootnoteReference"/>
        </w:rPr>
        <w:footnoteRef/>
      </w:r>
      <w:r w:rsidRPr="001B665C">
        <w:rPr>
          <w:lang w:val="fr-FR"/>
        </w:rPr>
        <w:t xml:space="preserve"> Annexe </w:t>
      </w:r>
      <w:r w:rsidR="009D43BE" w:rsidRPr="001B665C">
        <w:rPr>
          <w:lang w:val="fr-FR"/>
        </w:rPr>
        <w:t>2</w:t>
      </w:r>
      <w:r w:rsidRPr="001B665C">
        <w:rPr>
          <w:lang w:val="fr-FR"/>
        </w:rPr>
        <w:t>. Lettre de Baptiste Willer : orfèvre, réalisateur de vidéos, photographe, Port-au-Prince, 27 Février 2007. Jointe comme annexe à la pétition du 20 avril 2007 et comme annexe au courrier du pétitionnaire daté du 6 février 2017.</w:t>
      </w:r>
    </w:p>
  </w:footnote>
  <w:footnote w:id="12">
    <w:p w14:paraId="24BDFAC5" w14:textId="77777777" w:rsidR="00A0514B" w:rsidRPr="001B665C" w:rsidRDefault="00A0514B">
      <w:pPr>
        <w:pStyle w:val="FootnoteText"/>
        <w:rPr>
          <w:lang w:val="fr-FR"/>
        </w:rPr>
      </w:pPr>
      <w:r w:rsidRPr="001B665C">
        <w:rPr>
          <w:rStyle w:val="FootnoteReference"/>
        </w:rPr>
        <w:footnoteRef/>
      </w:r>
      <w:r w:rsidRPr="001B665C">
        <w:rPr>
          <w:lang w:val="fr-FR"/>
        </w:rPr>
        <w:t xml:space="preserve"> Annexe </w:t>
      </w:r>
      <w:r w:rsidR="008A0BD3" w:rsidRPr="001B665C">
        <w:rPr>
          <w:lang w:val="fr-FR"/>
        </w:rPr>
        <w:t>2</w:t>
      </w:r>
      <w:r w:rsidRPr="001B665C">
        <w:rPr>
          <w:lang w:val="fr-FR"/>
        </w:rPr>
        <w:t xml:space="preserve">. Lettre de </w:t>
      </w:r>
      <w:r w:rsidR="00860CF3" w:rsidRPr="001B665C">
        <w:rPr>
          <w:lang w:val="fr-FR"/>
        </w:rPr>
        <w:t xml:space="preserve">M. </w:t>
      </w:r>
      <w:r w:rsidRPr="001B665C">
        <w:rPr>
          <w:lang w:val="fr-FR"/>
        </w:rPr>
        <w:t>Baptiste Willer : orfèvre, réalisateur de vidéos, photographe, Port-au-Prince, 27 février 2007. Jointe comme annexe à la pétition du 20 avril 2007 et comme annexe au courrier du pétitionnaire daté du 6 février 2017.</w:t>
      </w:r>
    </w:p>
  </w:footnote>
  <w:footnote w:id="13">
    <w:p w14:paraId="274A195B" w14:textId="77777777" w:rsidR="00A0514B" w:rsidRPr="001B665C" w:rsidRDefault="00A0514B">
      <w:pPr>
        <w:pStyle w:val="FootnoteText"/>
        <w:rPr>
          <w:lang w:val="fr-FR"/>
        </w:rPr>
      </w:pPr>
      <w:r w:rsidRPr="001B665C">
        <w:rPr>
          <w:rStyle w:val="FootnoteReference"/>
          <w:lang w:val="fr-FR"/>
        </w:rPr>
        <w:footnoteRef/>
      </w:r>
      <w:r w:rsidRPr="001B665C">
        <w:rPr>
          <w:lang w:val="fr-FR"/>
        </w:rPr>
        <w:t xml:space="preserve"> Annexe </w:t>
      </w:r>
      <w:r w:rsidR="008A0BD3" w:rsidRPr="001B665C">
        <w:rPr>
          <w:lang w:val="fr-FR"/>
        </w:rPr>
        <w:t>2</w:t>
      </w:r>
      <w:r w:rsidRPr="001B665C">
        <w:rPr>
          <w:lang w:val="fr-FR"/>
        </w:rPr>
        <w:t xml:space="preserve">. Lettre de </w:t>
      </w:r>
      <w:r w:rsidR="00860CF3" w:rsidRPr="001B665C">
        <w:rPr>
          <w:lang w:val="fr-FR"/>
        </w:rPr>
        <w:t xml:space="preserve">M. </w:t>
      </w:r>
      <w:r w:rsidRPr="001B665C">
        <w:rPr>
          <w:lang w:val="fr-FR"/>
        </w:rPr>
        <w:t>Baptiste Willer : orfèvre, réalisateur de vidéos, photographe, Port-au-Prince, 27 février 2007. Jointe comme annexe à la pétition du 20 avril 2007 et comme annexe au courrier du pétitionnaire daté du 6 février 2017.</w:t>
      </w:r>
    </w:p>
  </w:footnote>
  <w:footnote w:id="14">
    <w:p w14:paraId="60BB7DF7" w14:textId="77777777" w:rsidR="00A0514B" w:rsidRPr="001B665C" w:rsidRDefault="00A0514B" w:rsidP="002E305A">
      <w:pPr>
        <w:pStyle w:val="FootnoteText"/>
        <w:rPr>
          <w:lang w:val="fr-FR"/>
        </w:rPr>
      </w:pPr>
      <w:r w:rsidRPr="001B665C">
        <w:rPr>
          <w:rStyle w:val="FootnoteReference"/>
          <w:lang w:val="fr-FR"/>
        </w:rPr>
        <w:footnoteRef/>
      </w:r>
      <w:r w:rsidRPr="001B665C">
        <w:rPr>
          <w:lang w:val="fr-FR"/>
        </w:rPr>
        <w:t xml:space="preserve"> Annexe </w:t>
      </w:r>
      <w:r w:rsidR="008A0BD3" w:rsidRPr="001B665C">
        <w:rPr>
          <w:lang w:val="fr-FR"/>
        </w:rPr>
        <w:t>2</w:t>
      </w:r>
      <w:r w:rsidRPr="001B665C">
        <w:rPr>
          <w:lang w:val="fr-FR"/>
        </w:rPr>
        <w:t xml:space="preserve">. Lettre de </w:t>
      </w:r>
      <w:r w:rsidR="00860CF3" w:rsidRPr="001B665C">
        <w:rPr>
          <w:lang w:val="fr-FR"/>
        </w:rPr>
        <w:t xml:space="preserve">M. </w:t>
      </w:r>
      <w:r w:rsidRPr="001B665C">
        <w:rPr>
          <w:lang w:val="fr-FR"/>
        </w:rPr>
        <w:t>Baptiste Willer : orfèvre, réalisateur de vidéos, photographe, Port-au-Prince, 27 février 2007. Jointe comme annexe à la pétition du 20 avril 2007 et comme annexe au courrier du pétitionnaire daté du 6 février 2017.</w:t>
      </w:r>
    </w:p>
  </w:footnote>
  <w:footnote w:id="15">
    <w:p w14:paraId="13DC58A1" w14:textId="77777777" w:rsidR="00A0514B" w:rsidRPr="001B665C" w:rsidRDefault="00A0514B" w:rsidP="0053572B">
      <w:pPr>
        <w:pStyle w:val="FootnoteText"/>
        <w:rPr>
          <w:lang w:val="fr-FR"/>
        </w:rPr>
      </w:pPr>
      <w:r w:rsidRPr="001B665C">
        <w:rPr>
          <w:rStyle w:val="FootnoteReference"/>
          <w:lang w:val="fr-FR"/>
        </w:rPr>
        <w:footnoteRef/>
      </w:r>
      <w:r w:rsidRPr="001B665C">
        <w:rPr>
          <w:lang w:val="fr-FR"/>
        </w:rPr>
        <w:t xml:space="preserve"> Annexe </w:t>
      </w:r>
      <w:r w:rsidR="008A0BD3" w:rsidRPr="001B665C">
        <w:rPr>
          <w:lang w:val="fr-FR"/>
        </w:rPr>
        <w:t>3</w:t>
      </w:r>
      <w:r w:rsidRPr="001B665C">
        <w:rPr>
          <w:lang w:val="fr-FR"/>
        </w:rPr>
        <w:t xml:space="preserve">. Lettre de </w:t>
      </w:r>
      <w:r w:rsidR="00860CF3" w:rsidRPr="001B665C">
        <w:rPr>
          <w:lang w:val="fr-FR"/>
        </w:rPr>
        <w:t xml:space="preserve">M. </w:t>
      </w:r>
      <w:r w:rsidRPr="001B665C">
        <w:rPr>
          <w:lang w:val="fr-FR"/>
        </w:rPr>
        <w:t>Baptiste Willer : orfèvre, réalisateur de vidéos, photographe, Port-au-Prince, 07/04/2007. Jointe comme annexe à la pétition du 20 avril 2007 et comme annexe au courrier du pétitionnaire daté du 6 février 2017.</w:t>
      </w:r>
    </w:p>
  </w:footnote>
  <w:footnote w:id="16">
    <w:p w14:paraId="0740E18C" w14:textId="77777777" w:rsidR="00A0514B" w:rsidRPr="001B665C" w:rsidRDefault="00A0514B">
      <w:pPr>
        <w:pStyle w:val="FootnoteText"/>
        <w:rPr>
          <w:lang w:val="fr-FR"/>
        </w:rPr>
      </w:pPr>
      <w:r w:rsidRPr="001B665C">
        <w:rPr>
          <w:rStyle w:val="FootnoteReference"/>
          <w:lang w:val="fr-FR"/>
        </w:rPr>
        <w:footnoteRef/>
      </w:r>
      <w:r w:rsidRPr="001B665C">
        <w:rPr>
          <w:lang w:val="fr-FR"/>
        </w:rPr>
        <w:t xml:space="preserve"> Ibid. </w:t>
      </w:r>
    </w:p>
  </w:footnote>
  <w:footnote w:id="17">
    <w:p w14:paraId="5F196F28" w14:textId="77777777" w:rsidR="00A0514B" w:rsidRPr="001B665C" w:rsidRDefault="00A0514B">
      <w:pPr>
        <w:pStyle w:val="FootnoteText"/>
        <w:rPr>
          <w:lang w:val="fr-FR"/>
        </w:rPr>
      </w:pPr>
      <w:r w:rsidRPr="001B665C">
        <w:rPr>
          <w:rStyle w:val="FootnoteReference"/>
          <w:lang w:val="fr-FR"/>
        </w:rPr>
        <w:footnoteRef/>
      </w:r>
      <w:r w:rsidRPr="001B665C">
        <w:rPr>
          <w:lang w:val="fr-FR"/>
        </w:rPr>
        <w:t xml:space="preserve"> </w:t>
      </w:r>
      <w:r w:rsidR="00E37C65" w:rsidRPr="001B665C">
        <w:rPr>
          <w:lang w:val="fr-FR"/>
        </w:rPr>
        <w:t>Annexe 1</w:t>
      </w:r>
      <w:r w:rsidRPr="001B665C">
        <w:rPr>
          <w:lang w:val="fr-FR"/>
        </w:rPr>
        <w:t>. Note adressée à la CIDH. République d’Haïti. Ministère des Affaires étrangères, JUR</w:t>
      </w:r>
      <w:r w:rsidR="00571810" w:rsidRPr="001B665C">
        <w:rPr>
          <w:lang w:val="fr-FR"/>
        </w:rPr>
        <w:t>f</w:t>
      </w:r>
      <w:r w:rsidRPr="001B665C">
        <w:rPr>
          <w:lang w:val="fr-FR"/>
        </w:rPr>
        <w:t>/07/PTM/fl-0886, Port-au-Prince, 7 août 2007.</w:t>
      </w:r>
    </w:p>
  </w:footnote>
  <w:footnote w:id="18">
    <w:p w14:paraId="6DCA2D51" w14:textId="77777777" w:rsidR="00A0514B" w:rsidRPr="001B665C" w:rsidRDefault="00A0514B">
      <w:pPr>
        <w:pStyle w:val="FootnoteText"/>
        <w:rPr>
          <w:lang w:val="fr-FR"/>
        </w:rPr>
      </w:pPr>
      <w:r w:rsidRPr="001B665C">
        <w:rPr>
          <w:rStyle w:val="FootnoteReference"/>
          <w:lang w:val="fr-FR"/>
        </w:rPr>
        <w:footnoteRef/>
      </w:r>
      <w:r w:rsidRPr="001B665C">
        <w:rPr>
          <w:lang w:val="fr-FR"/>
        </w:rPr>
        <w:t xml:space="preserve"> Annexe </w:t>
      </w:r>
      <w:r w:rsidR="001B665C" w:rsidRPr="001B665C">
        <w:rPr>
          <w:lang w:val="fr-FR"/>
        </w:rPr>
        <w:t>3</w:t>
      </w:r>
      <w:r w:rsidRPr="001B665C">
        <w:rPr>
          <w:lang w:val="fr-FR"/>
        </w:rPr>
        <w:t xml:space="preserve">. Lettre de </w:t>
      </w:r>
      <w:r w:rsidR="00860CF3" w:rsidRPr="001B665C">
        <w:rPr>
          <w:lang w:val="fr-FR"/>
        </w:rPr>
        <w:t xml:space="preserve">M. </w:t>
      </w:r>
      <w:r w:rsidRPr="001B665C">
        <w:rPr>
          <w:lang w:val="fr-FR"/>
        </w:rPr>
        <w:t>Baptiste Willer : orfèvre, réalisateur de vidéos, photographe, Port-au-Prince, 07/04/2007. Jointe comme annexe à la pétition du 20 avril 2007 et comme annexe au courrier du pétitionnaire daté du 6 février 2017. Se reporter aussi à l’</w:t>
      </w:r>
      <w:r w:rsidR="001B665C" w:rsidRPr="001B665C">
        <w:rPr>
          <w:lang w:val="fr-FR"/>
        </w:rPr>
        <w:t>Annexe 9</w:t>
      </w:r>
      <w:r w:rsidRPr="001B665C">
        <w:rPr>
          <w:lang w:val="fr-FR"/>
        </w:rPr>
        <w:t xml:space="preserve">. Courriel de M. Baptiste </w:t>
      </w:r>
      <w:r w:rsidR="00732568" w:rsidRPr="001B665C">
        <w:rPr>
          <w:lang w:val="fr-FR"/>
        </w:rPr>
        <w:t xml:space="preserve">Willer </w:t>
      </w:r>
      <w:r w:rsidRPr="001B665C">
        <w:rPr>
          <w:lang w:val="fr-FR"/>
        </w:rPr>
        <w:t xml:space="preserve">à la Secrétaire exécutive de la CIDH, Mme Marie Claude Fournier, 13 août 2009, 19h26, joint comme annexe au courrier du pétitionnaire daté du 6 février 2017 ; Annexe </w:t>
      </w:r>
      <w:r w:rsidR="001B665C" w:rsidRPr="001B665C">
        <w:rPr>
          <w:lang w:val="fr-FR"/>
        </w:rPr>
        <w:t>10</w:t>
      </w:r>
      <w:r w:rsidRPr="001B665C">
        <w:rPr>
          <w:lang w:val="fr-FR"/>
        </w:rPr>
        <w:t xml:space="preserve">. Courriel de M. Baptiste </w:t>
      </w:r>
      <w:r w:rsidR="009E5BDE" w:rsidRPr="001B665C">
        <w:rPr>
          <w:lang w:val="fr-FR"/>
        </w:rPr>
        <w:t xml:space="preserve">Willer </w:t>
      </w:r>
      <w:r w:rsidRPr="001B665C">
        <w:rPr>
          <w:lang w:val="fr-FR"/>
        </w:rPr>
        <w:t xml:space="preserve">à la Secrétaire exécutive de la CIDH, Mme Marie Claude Fournier, 9 septembre 2009, 17h10, joint comme annexe au courrier du pétitionnaire daté du 6 février 2017 ; Annexe </w:t>
      </w:r>
      <w:r w:rsidR="001B665C" w:rsidRPr="001B665C">
        <w:rPr>
          <w:lang w:val="fr-FR"/>
        </w:rPr>
        <w:t>11</w:t>
      </w:r>
      <w:r w:rsidRPr="001B665C">
        <w:rPr>
          <w:lang w:val="fr-FR"/>
        </w:rPr>
        <w:t xml:space="preserve">. Courriel de </w:t>
      </w:r>
      <w:r w:rsidR="009E5BDE" w:rsidRPr="001B665C">
        <w:rPr>
          <w:lang w:val="fr-FR"/>
        </w:rPr>
        <w:t xml:space="preserve">M. </w:t>
      </w:r>
      <w:r w:rsidRPr="001B665C">
        <w:rPr>
          <w:lang w:val="fr-FR"/>
        </w:rPr>
        <w:t>Baptiste</w:t>
      </w:r>
      <w:r w:rsidR="009E5BDE" w:rsidRPr="001B665C">
        <w:rPr>
          <w:lang w:val="fr-FR"/>
        </w:rPr>
        <w:t xml:space="preserve"> Willer</w:t>
      </w:r>
      <w:r w:rsidRPr="001B665C">
        <w:rPr>
          <w:lang w:val="fr-FR"/>
        </w:rPr>
        <w:t xml:space="preserve"> à la section des plaintes de la CIDH, 20 juillet 2014, 9h25, joint comme annexe au courrier du pétitionnaire daté du 6 février 2017.</w:t>
      </w:r>
    </w:p>
  </w:footnote>
  <w:footnote w:id="19">
    <w:p w14:paraId="003969D3" w14:textId="77777777" w:rsidR="00A0514B" w:rsidRPr="001B665C" w:rsidRDefault="00A0514B">
      <w:pPr>
        <w:pStyle w:val="FootnoteText"/>
        <w:rPr>
          <w:lang w:val="fr-FR"/>
        </w:rPr>
      </w:pPr>
      <w:r w:rsidRPr="001B665C">
        <w:rPr>
          <w:rStyle w:val="FootnoteReference"/>
        </w:rPr>
        <w:footnoteRef/>
      </w:r>
      <w:r w:rsidRPr="001B665C">
        <w:rPr>
          <w:lang w:val="pt-BR"/>
        </w:rPr>
        <w:t xml:space="preserve"> </w:t>
      </w:r>
      <w:r w:rsidRPr="001B665C">
        <w:rPr>
          <w:lang w:val="fr-FR"/>
        </w:rPr>
        <w:t xml:space="preserve">Se reporter, entre autres, à l’Annexe </w:t>
      </w:r>
      <w:r w:rsidR="001B665C" w:rsidRPr="001B665C">
        <w:rPr>
          <w:lang w:val="fr-FR"/>
        </w:rPr>
        <w:t>12</w:t>
      </w:r>
      <w:r w:rsidRPr="001B665C">
        <w:rPr>
          <w:lang w:val="fr-FR"/>
        </w:rPr>
        <w:t xml:space="preserve">. Courriel de </w:t>
      </w:r>
      <w:r w:rsidR="00860CF3" w:rsidRPr="001B665C">
        <w:rPr>
          <w:lang w:val="fr-FR"/>
        </w:rPr>
        <w:t xml:space="preserve">M. </w:t>
      </w:r>
      <w:r w:rsidR="00471D1D" w:rsidRPr="001B665C">
        <w:rPr>
          <w:lang w:val="fr-FR"/>
        </w:rPr>
        <w:t>Baptiste Willer</w:t>
      </w:r>
      <w:r w:rsidR="00860CF3" w:rsidRPr="001B665C">
        <w:rPr>
          <w:lang w:val="fr-FR"/>
        </w:rPr>
        <w:t xml:space="preserve"> </w:t>
      </w:r>
      <w:r w:rsidRPr="001B665C">
        <w:rPr>
          <w:lang w:val="fr-FR"/>
        </w:rPr>
        <w:t xml:space="preserve">à la section des plaintes, 25 juin 2007, 13h58, joint comme annexe au courrier du pétitionnaire daté du 6 février 2017 ; Annexe </w:t>
      </w:r>
      <w:r w:rsidR="001B665C" w:rsidRPr="001B665C">
        <w:rPr>
          <w:lang w:val="fr-FR"/>
        </w:rPr>
        <w:t>13</w:t>
      </w:r>
      <w:r w:rsidRPr="001B665C">
        <w:rPr>
          <w:lang w:val="fr-FR"/>
        </w:rPr>
        <w:t xml:space="preserve">. Lettre de </w:t>
      </w:r>
      <w:r w:rsidR="00860CF3" w:rsidRPr="001B665C">
        <w:rPr>
          <w:lang w:val="fr-FR"/>
        </w:rPr>
        <w:t xml:space="preserve">M. </w:t>
      </w:r>
      <w:r w:rsidR="00471D1D" w:rsidRPr="001B665C">
        <w:rPr>
          <w:lang w:val="fr-FR"/>
        </w:rPr>
        <w:t>Baptiste Willer</w:t>
      </w:r>
      <w:r w:rsidR="00860CF3" w:rsidRPr="001B665C">
        <w:rPr>
          <w:lang w:val="fr-FR"/>
        </w:rPr>
        <w:t xml:space="preserve"> </w:t>
      </w:r>
      <w:r w:rsidRPr="001B665C">
        <w:rPr>
          <w:lang w:val="fr-FR"/>
        </w:rPr>
        <w:t xml:space="preserve">à la CIDH, 7 avril 2008, jointe comme annexe au courrier du pétitionnaire daté du 6 février 2017; Annexe </w:t>
      </w:r>
      <w:r w:rsidR="001B665C" w:rsidRPr="001B665C">
        <w:rPr>
          <w:lang w:val="fr-FR"/>
        </w:rPr>
        <w:t>14</w:t>
      </w:r>
      <w:r w:rsidRPr="001B665C">
        <w:rPr>
          <w:lang w:val="fr-FR"/>
        </w:rPr>
        <w:t xml:space="preserve">. Lettre de </w:t>
      </w:r>
      <w:r w:rsidR="00860CF3" w:rsidRPr="001B665C">
        <w:rPr>
          <w:lang w:val="fr-FR"/>
        </w:rPr>
        <w:t xml:space="preserve">M. </w:t>
      </w:r>
      <w:r w:rsidR="00471D1D" w:rsidRPr="001B665C">
        <w:rPr>
          <w:lang w:val="fr-FR"/>
        </w:rPr>
        <w:t>Baptiste Willer</w:t>
      </w:r>
      <w:r w:rsidR="00860CF3" w:rsidRPr="001B665C">
        <w:rPr>
          <w:lang w:val="fr-FR"/>
        </w:rPr>
        <w:t xml:space="preserve"> </w:t>
      </w:r>
      <w:r w:rsidRPr="001B665C">
        <w:rPr>
          <w:lang w:val="fr-FR"/>
        </w:rPr>
        <w:t xml:space="preserve">à la CIDH, 8 août 2009, envoyée par courriel le 9 septembre 2009 à 17h28 ; Annexe </w:t>
      </w:r>
      <w:r w:rsidR="001B665C" w:rsidRPr="001B665C">
        <w:rPr>
          <w:lang w:val="fr-FR"/>
        </w:rPr>
        <w:t>9</w:t>
      </w:r>
      <w:r w:rsidRPr="001B665C">
        <w:rPr>
          <w:lang w:val="fr-FR"/>
        </w:rPr>
        <w:t xml:space="preserve">. Courriel de </w:t>
      </w:r>
      <w:r w:rsidR="00860CF3" w:rsidRPr="001B665C">
        <w:rPr>
          <w:lang w:val="fr-FR"/>
        </w:rPr>
        <w:t xml:space="preserve">M. </w:t>
      </w:r>
      <w:r w:rsidR="00471D1D" w:rsidRPr="001B665C">
        <w:rPr>
          <w:lang w:val="fr-FR"/>
        </w:rPr>
        <w:t>Baptiste Willer</w:t>
      </w:r>
      <w:r w:rsidR="00860CF3" w:rsidRPr="001B665C">
        <w:rPr>
          <w:lang w:val="fr-FR"/>
        </w:rPr>
        <w:t xml:space="preserve"> </w:t>
      </w:r>
      <w:r w:rsidRPr="001B665C">
        <w:rPr>
          <w:lang w:val="fr-FR"/>
        </w:rPr>
        <w:t xml:space="preserve">à la Secrétaire exécutive de la CIDH, Mme Marie Claude Fournier, 13 août 2009, 19h26, joint comme annexe au courrier du pétitionnaire daté du 6 février 2017 ; Annexe </w:t>
      </w:r>
      <w:r w:rsidR="001B665C" w:rsidRPr="001B665C">
        <w:rPr>
          <w:lang w:val="fr-FR"/>
        </w:rPr>
        <w:t>15</w:t>
      </w:r>
      <w:r w:rsidRPr="001B665C">
        <w:rPr>
          <w:lang w:val="fr-FR"/>
        </w:rPr>
        <w:t>. Copie de la plainte pour menaces déposée devant le juge de paix suppléant de la commune de Carrefour, 25 octobre 2016, jointe comme annexe au courrier du pétitionnaire daté du 11 mai 2017.</w:t>
      </w:r>
    </w:p>
  </w:footnote>
  <w:footnote w:id="20">
    <w:p w14:paraId="359D7E9F" w14:textId="77777777" w:rsidR="00A0514B" w:rsidRPr="001B665C" w:rsidRDefault="00A0514B">
      <w:pPr>
        <w:pStyle w:val="FootnoteText"/>
        <w:rPr>
          <w:lang w:val="fr-FR"/>
        </w:rPr>
      </w:pPr>
      <w:r w:rsidRPr="001B665C">
        <w:rPr>
          <w:rStyle w:val="FootnoteReference"/>
          <w:lang w:val="fr-FR"/>
        </w:rPr>
        <w:footnoteRef/>
      </w:r>
      <w:r w:rsidRPr="001B665C">
        <w:rPr>
          <w:lang w:val="fr-FR"/>
        </w:rPr>
        <w:t xml:space="preserve"> Annexe </w:t>
      </w:r>
      <w:r w:rsidR="001B665C" w:rsidRPr="001B665C">
        <w:rPr>
          <w:lang w:val="fr-FR"/>
        </w:rPr>
        <w:t>3</w:t>
      </w:r>
      <w:r w:rsidRPr="001B665C">
        <w:rPr>
          <w:lang w:val="fr-FR"/>
        </w:rPr>
        <w:t xml:space="preserve">. Lettre de </w:t>
      </w:r>
      <w:r w:rsidR="00860CF3" w:rsidRPr="001B665C">
        <w:rPr>
          <w:lang w:val="fr-FR"/>
        </w:rPr>
        <w:t xml:space="preserve">M. </w:t>
      </w:r>
      <w:r w:rsidRPr="001B665C">
        <w:rPr>
          <w:lang w:val="fr-FR"/>
        </w:rPr>
        <w:t>Baptiste Willer : orfèvre, réalisateur de vidéos, photographe, Port-au-Prince, 7/04/2007. Jointe comme annexe à la pétition du 20 avril 2007 et comme annexe au courrier du pétitionnaire daté du 6 février 2017.</w:t>
      </w:r>
    </w:p>
  </w:footnote>
  <w:footnote w:id="21">
    <w:p w14:paraId="760F71BA" w14:textId="77777777" w:rsidR="00A0514B" w:rsidRPr="001B665C" w:rsidRDefault="00A0514B">
      <w:pPr>
        <w:pStyle w:val="FootnoteText"/>
        <w:rPr>
          <w:lang w:val="fr-FR"/>
        </w:rPr>
      </w:pPr>
      <w:r w:rsidRPr="001B665C">
        <w:rPr>
          <w:rStyle w:val="FootnoteReference"/>
          <w:lang w:val="fr-FR"/>
        </w:rPr>
        <w:footnoteRef/>
      </w:r>
      <w:r w:rsidRPr="001B665C">
        <w:rPr>
          <w:lang w:val="fr-FR"/>
        </w:rPr>
        <w:t xml:space="preserve"> Annexe </w:t>
      </w:r>
      <w:r w:rsidR="001B665C" w:rsidRPr="001B665C">
        <w:rPr>
          <w:lang w:val="fr-FR"/>
        </w:rPr>
        <w:t>9</w:t>
      </w:r>
      <w:r w:rsidRPr="001B665C">
        <w:rPr>
          <w:lang w:val="fr-FR"/>
        </w:rPr>
        <w:t xml:space="preserve">. Courriel de </w:t>
      </w:r>
      <w:r w:rsidR="00860CF3" w:rsidRPr="001B665C">
        <w:rPr>
          <w:lang w:val="fr-FR"/>
        </w:rPr>
        <w:t xml:space="preserve">M. </w:t>
      </w:r>
      <w:r w:rsidR="00471D1D" w:rsidRPr="001B665C">
        <w:rPr>
          <w:lang w:val="fr-FR"/>
        </w:rPr>
        <w:t>Baptiste Willer</w:t>
      </w:r>
      <w:r w:rsidR="00860CF3" w:rsidRPr="001B665C">
        <w:rPr>
          <w:lang w:val="fr-FR"/>
        </w:rPr>
        <w:t xml:space="preserve"> </w:t>
      </w:r>
      <w:r w:rsidRPr="001B665C">
        <w:rPr>
          <w:lang w:val="fr-FR"/>
        </w:rPr>
        <w:t xml:space="preserve">à la Secrétaire exécutive de la CIDH, Mme Marie Claude Fournier, 13 août 2009, 19h26 et Annexe </w:t>
      </w:r>
      <w:r w:rsidR="001B665C" w:rsidRPr="001B665C">
        <w:rPr>
          <w:lang w:val="fr-FR"/>
        </w:rPr>
        <w:t>10</w:t>
      </w:r>
      <w:r w:rsidRPr="001B665C">
        <w:rPr>
          <w:lang w:val="fr-FR"/>
        </w:rPr>
        <w:t xml:space="preserve">. Courriel de </w:t>
      </w:r>
      <w:r w:rsidR="00860CF3" w:rsidRPr="001B665C">
        <w:rPr>
          <w:lang w:val="fr-FR"/>
        </w:rPr>
        <w:t xml:space="preserve">M. </w:t>
      </w:r>
      <w:r w:rsidR="00471D1D" w:rsidRPr="001B665C">
        <w:rPr>
          <w:lang w:val="fr-FR"/>
        </w:rPr>
        <w:t>Baptiste Willer</w:t>
      </w:r>
      <w:r w:rsidR="00860CF3" w:rsidRPr="001B665C">
        <w:rPr>
          <w:lang w:val="fr-FR"/>
        </w:rPr>
        <w:t xml:space="preserve"> </w:t>
      </w:r>
      <w:r w:rsidRPr="001B665C">
        <w:rPr>
          <w:lang w:val="fr-FR"/>
        </w:rPr>
        <w:t>à la Secrétaire exécutive de la CIDH, Mme Marie Claude Fournier, 9 septembre 2009, 17h10, tous deux joints comme annexes au courrier du pétitionnaire daté du 6 février 2017.</w:t>
      </w:r>
    </w:p>
  </w:footnote>
  <w:footnote w:id="22">
    <w:p w14:paraId="498ADE3C" w14:textId="77777777" w:rsidR="00A0514B" w:rsidRPr="001B665C" w:rsidRDefault="00A0514B">
      <w:pPr>
        <w:pStyle w:val="FootnoteText"/>
        <w:rPr>
          <w:lang w:val="fr-FR"/>
        </w:rPr>
      </w:pPr>
      <w:r w:rsidRPr="001B665C">
        <w:rPr>
          <w:rStyle w:val="FootnoteReference"/>
          <w:lang w:val="fr-FR"/>
        </w:rPr>
        <w:footnoteRef/>
      </w:r>
      <w:r w:rsidRPr="001B665C">
        <w:rPr>
          <w:lang w:val="fr-FR"/>
        </w:rPr>
        <w:t xml:space="preserve"> Annexe </w:t>
      </w:r>
      <w:r w:rsidR="001B665C" w:rsidRPr="001B665C">
        <w:rPr>
          <w:lang w:val="fr-FR"/>
        </w:rPr>
        <w:t>10</w:t>
      </w:r>
      <w:r w:rsidRPr="001B665C">
        <w:rPr>
          <w:lang w:val="fr-FR"/>
        </w:rPr>
        <w:t xml:space="preserve">. Courriel de </w:t>
      </w:r>
      <w:r w:rsidR="00860CF3" w:rsidRPr="001B665C">
        <w:rPr>
          <w:lang w:val="fr-FR"/>
        </w:rPr>
        <w:t xml:space="preserve">M. </w:t>
      </w:r>
      <w:r w:rsidR="00571810" w:rsidRPr="001B665C">
        <w:rPr>
          <w:lang w:val="fr-FR"/>
        </w:rPr>
        <w:t>Baptiste Willer</w:t>
      </w:r>
      <w:r w:rsidR="00860CF3" w:rsidRPr="001B665C">
        <w:rPr>
          <w:lang w:val="fr-FR"/>
        </w:rPr>
        <w:t xml:space="preserve"> </w:t>
      </w:r>
      <w:r w:rsidRPr="001B665C">
        <w:rPr>
          <w:lang w:val="fr-FR"/>
        </w:rPr>
        <w:t xml:space="preserve">à la Secrétaire exécutive de la CIDH, Mme Marie Claude Fournier, 9 septembre 2009, 17h10 et Annexe </w:t>
      </w:r>
      <w:r w:rsidR="001B665C" w:rsidRPr="001B665C">
        <w:rPr>
          <w:lang w:val="fr-FR"/>
        </w:rPr>
        <w:t>11</w:t>
      </w:r>
      <w:r w:rsidRPr="001B665C">
        <w:rPr>
          <w:lang w:val="fr-FR"/>
        </w:rPr>
        <w:t xml:space="preserve">. Courriel de </w:t>
      </w:r>
      <w:r w:rsidR="00860CF3" w:rsidRPr="001B665C">
        <w:rPr>
          <w:lang w:val="fr-FR"/>
        </w:rPr>
        <w:t xml:space="preserve">M. </w:t>
      </w:r>
      <w:r w:rsidR="00571810" w:rsidRPr="001B665C">
        <w:rPr>
          <w:lang w:val="fr-FR"/>
        </w:rPr>
        <w:t>Baptiste Willer</w:t>
      </w:r>
      <w:r w:rsidR="00860CF3" w:rsidRPr="001B665C">
        <w:rPr>
          <w:lang w:val="fr-FR"/>
        </w:rPr>
        <w:t xml:space="preserve"> </w:t>
      </w:r>
      <w:r w:rsidRPr="001B665C">
        <w:rPr>
          <w:lang w:val="fr-FR"/>
        </w:rPr>
        <w:t>à la section des plaintes, 20 juillet 2014, 9h25, tous deux joints comme annexes au courrier du pétitionnaire daté du 6 février 2017.</w:t>
      </w:r>
    </w:p>
  </w:footnote>
  <w:footnote w:id="23">
    <w:p w14:paraId="6F7C92C3" w14:textId="77777777" w:rsidR="00A0514B" w:rsidRPr="001B665C" w:rsidRDefault="00A0514B">
      <w:pPr>
        <w:pStyle w:val="FootnoteText"/>
        <w:rPr>
          <w:lang w:val="fr-FR"/>
        </w:rPr>
      </w:pPr>
      <w:r w:rsidRPr="001B665C">
        <w:rPr>
          <w:rStyle w:val="FootnoteReference"/>
          <w:lang w:val="fr-FR"/>
        </w:rPr>
        <w:footnoteRef/>
      </w:r>
      <w:r w:rsidRPr="001B665C">
        <w:rPr>
          <w:lang w:val="fr-FR"/>
        </w:rPr>
        <w:t xml:space="preserve"> Annexe </w:t>
      </w:r>
      <w:r w:rsidR="001B665C" w:rsidRPr="001B665C">
        <w:rPr>
          <w:lang w:val="fr-FR"/>
        </w:rPr>
        <w:t>16</w:t>
      </w:r>
      <w:r w:rsidRPr="001B665C">
        <w:rPr>
          <w:lang w:val="fr-FR"/>
        </w:rPr>
        <w:t xml:space="preserve">. Courriel de </w:t>
      </w:r>
      <w:r w:rsidR="00860CF3" w:rsidRPr="001B665C">
        <w:rPr>
          <w:lang w:val="fr-FR"/>
        </w:rPr>
        <w:t xml:space="preserve">M. </w:t>
      </w:r>
      <w:r w:rsidR="00571810" w:rsidRPr="001B665C">
        <w:rPr>
          <w:lang w:val="fr-FR"/>
        </w:rPr>
        <w:t xml:space="preserve">Baptiste Willer </w:t>
      </w:r>
      <w:r w:rsidRPr="001B665C">
        <w:rPr>
          <w:lang w:val="fr-FR"/>
        </w:rPr>
        <w:t>à la section des plaintes, 3 septembre 2009, 14h45.</w:t>
      </w:r>
    </w:p>
  </w:footnote>
  <w:footnote w:id="24">
    <w:p w14:paraId="1917436B" w14:textId="77777777" w:rsidR="00A0514B" w:rsidRPr="001B665C" w:rsidRDefault="00A0514B">
      <w:pPr>
        <w:pStyle w:val="FootnoteText"/>
        <w:rPr>
          <w:lang w:val="fr-FR"/>
        </w:rPr>
      </w:pPr>
      <w:r w:rsidRPr="001B665C">
        <w:rPr>
          <w:rStyle w:val="FootnoteReference"/>
          <w:lang w:val="fr-FR"/>
        </w:rPr>
        <w:footnoteRef/>
      </w:r>
      <w:r w:rsidRPr="001B665C">
        <w:rPr>
          <w:lang w:val="fr-FR"/>
        </w:rPr>
        <w:t xml:space="preserve"> Annexe </w:t>
      </w:r>
      <w:r w:rsidR="001B665C" w:rsidRPr="001B665C">
        <w:rPr>
          <w:lang w:val="fr-FR"/>
        </w:rPr>
        <w:t>17</w:t>
      </w:r>
      <w:r w:rsidRPr="001B665C">
        <w:rPr>
          <w:lang w:val="fr-FR"/>
        </w:rPr>
        <w:t xml:space="preserve">. Courriel de </w:t>
      </w:r>
      <w:r w:rsidR="00860CF3" w:rsidRPr="001B665C">
        <w:rPr>
          <w:lang w:val="fr-FR"/>
        </w:rPr>
        <w:t xml:space="preserve">M. </w:t>
      </w:r>
      <w:r w:rsidR="00571810" w:rsidRPr="001B665C">
        <w:rPr>
          <w:lang w:val="fr-FR"/>
        </w:rPr>
        <w:t xml:space="preserve">Baptiste Willer </w:t>
      </w:r>
      <w:r w:rsidRPr="001B665C">
        <w:rPr>
          <w:lang w:val="fr-FR"/>
        </w:rPr>
        <w:t>à la section des plaintes, 24 juillet 2014, 17h40.</w:t>
      </w:r>
    </w:p>
  </w:footnote>
  <w:footnote w:id="25">
    <w:p w14:paraId="2C822E06" w14:textId="77777777" w:rsidR="00A0514B" w:rsidRPr="001B665C" w:rsidRDefault="00A0514B">
      <w:pPr>
        <w:pStyle w:val="FootnoteText"/>
        <w:rPr>
          <w:lang w:val="fr-FR"/>
        </w:rPr>
      </w:pPr>
      <w:r w:rsidRPr="001B665C">
        <w:rPr>
          <w:rStyle w:val="FootnoteReference"/>
          <w:lang w:val="fr-FR"/>
        </w:rPr>
        <w:footnoteRef/>
      </w:r>
      <w:r w:rsidRPr="001B665C">
        <w:rPr>
          <w:lang w:val="fr-FR"/>
        </w:rPr>
        <w:t xml:space="preserve"> L’article 4.1 de la Convention américaine établit ce qui suit : « Article 4. Droit à la vie 1. Toute personne a droit au respect de sa vie. Ce droit doit être protégé par la loi, et en gén</w:t>
      </w:r>
      <w:r w:rsidR="00471D1D" w:rsidRPr="001B665C">
        <w:rPr>
          <w:lang w:val="fr-FR"/>
        </w:rPr>
        <w:t>éral à partir de la conception.</w:t>
      </w:r>
      <w:r w:rsidRPr="001B665C">
        <w:rPr>
          <w:lang w:val="fr-FR"/>
        </w:rPr>
        <w:t xml:space="preserve"> Nul ne peut être privé arbitrairement de la vie. » </w:t>
      </w:r>
    </w:p>
  </w:footnote>
  <w:footnote w:id="26">
    <w:p w14:paraId="192C60F7" w14:textId="77777777" w:rsidR="00A0514B" w:rsidRPr="001B665C" w:rsidRDefault="00A0514B" w:rsidP="00941DDC">
      <w:pPr>
        <w:pStyle w:val="FootnoteText"/>
        <w:rPr>
          <w:lang w:val="fr-FR"/>
        </w:rPr>
      </w:pPr>
      <w:r w:rsidRPr="001B665C">
        <w:rPr>
          <w:rStyle w:val="FootnoteReference"/>
          <w:lang w:val="fr-FR"/>
        </w:rPr>
        <w:footnoteRef/>
      </w:r>
      <w:r w:rsidRPr="001B665C">
        <w:rPr>
          <w:lang w:val="fr-FR"/>
        </w:rPr>
        <w:t xml:space="preserve"> L’article 5.1 de la Convention américaine établit ce qui suit : « Article 5. Droit à l’intégrité de la personne 1. Toute personne a droit au respect de son intégrité physique, psychique et morale. »</w:t>
      </w:r>
    </w:p>
  </w:footnote>
  <w:footnote w:id="27">
    <w:p w14:paraId="5690B3D4" w14:textId="77777777" w:rsidR="00A0514B" w:rsidRPr="001B665C" w:rsidRDefault="00A0514B">
      <w:pPr>
        <w:pStyle w:val="FootnoteText"/>
        <w:rPr>
          <w:lang w:val="fr-FR"/>
        </w:rPr>
      </w:pPr>
      <w:r w:rsidRPr="001B665C">
        <w:rPr>
          <w:rStyle w:val="FootnoteReference"/>
          <w:lang w:val="fr-FR"/>
        </w:rPr>
        <w:footnoteRef/>
      </w:r>
      <w:r w:rsidRPr="001B665C">
        <w:rPr>
          <w:lang w:val="fr-FR"/>
        </w:rPr>
        <w:t xml:space="preserve"> L’article 19 de la Convention américaine établit ce qui suit : « Article 19. Tout enfant a droit aux mesures de protection qu'exige sa condition de mineur, de la part de sa famille, de la société et de l'État. »</w:t>
      </w:r>
    </w:p>
  </w:footnote>
  <w:footnote w:id="28">
    <w:p w14:paraId="084FAC87" w14:textId="77777777" w:rsidR="00A0514B" w:rsidRPr="001B665C" w:rsidRDefault="00A0514B" w:rsidP="009942DE">
      <w:pPr>
        <w:pStyle w:val="FootnoteText"/>
        <w:rPr>
          <w:lang w:val="fr-FR"/>
        </w:rPr>
      </w:pPr>
      <w:r w:rsidRPr="001B665C">
        <w:rPr>
          <w:rStyle w:val="FootnoteReference"/>
          <w:lang w:val="fr-FR"/>
        </w:rPr>
        <w:footnoteRef/>
      </w:r>
      <w:r w:rsidRPr="001B665C">
        <w:rPr>
          <w:lang w:val="fr-FR"/>
        </w:rPr>
        <w:t xml:space="preserve"> L’article 1.1 de la Convention américaine établit ce qui suit : « </w:t>
      </w:r>
      <w:r w:rsidRPr="001B665C">
        <w:rPr>
          <w:bCs/>
          <w:lang w:val="fr-FR"/>
        </w:rPr>
        <w:t xml:space="preserve">Article 1. </w:t>
      </w:r>
      <w:r w:rsidRPr="001B665C">
        <w:rPr>
          <w:lang w:val="fr-FR"/>
        </w:rPr>
        <w:t>Obligation de respecter les droits 1. Les États parties s'engagent à respecter les droits et libertés reconnus dans la présente Convention et à en garantir le libre et plein exercice à toute personne relevant de leur compétence, sans aucune distinction fondée sur la race, la couleur, le sexe, la langue, la religion, les opinions politiques ou autres, l'origine nationale ou sociale, la situation économique, la naissance ou toute autre condition sociale. »</w:t>
      </w:r>
    </w:p>
  </w:footnote>
  <w:footnote w:id="29">
    <w:p w14:paraId="739A68B8" w14:textId="77777777" w:rsidR="00A0514B" w:rsidRPr="001B665C" w:rsidRDefault="00A0514B">
      <w:pPr>
        <w:pStyle w:val="FootnoteText"/>
        <w:rPr>
          <w:lang w:val="fr-FR"/>
        </w:rPr>
      </w:pPr>
      <w:r w:rsidRPr="001B665C">
        <w:rPr>
          <w:rStyle w:val="FootnoteReference"/>
          <w:lang w:val="fr-FR"/>
        </w:rPr>
        <w:footnoteRef/>
      </w:r>
      <w:r w:rsidRPr="001B665C">
        <w:rPr>
          <w:lang w:val="fr-FR"/>
        </w:rPr>
        <w:t xml:space="preserve"> CIDH. </w:t>
      </w:r>
      <w:r w:rsidRPr="001B665C">
        <w:rPr>
          <w:i/>
          <w:lang w:val="fr-FR"/>
        </w:rPr>
        <w:t>Affaire des massacres d’El Mozote et lieux avoisinants contre El Salvador</w:t>
      </w:r>
      <w:r w:rsidRPr="001B665C">
        <w:rPr>
          <w:lang w:val="fr-FR"/>
        </w:rPr>
        <w:t xml:space="preserve">. Fond, réparations et dépens. Arrêt du 25 octobre 2012. Série C, n°252 (Arrêt sur l’affaire </w:t>
      </w:r>
      <w:r w:rsidRPr="001B665C">
        <w:rPr>
          <w:i/>
          <w:lang w:val="fr-FR"/>
        </w:rPr>
        <w:t>Massacres d’El Mozote et lieux avoisinants)</w:t>
      </w:r>
      <w:r w:rsidRPr="001B665C">
        <w:rPr>
          <w:lang w:val="fr-FR"/>
        </w:rPr>
        <w:t>, paragraphe 145.</w:t>
      </w:r>
    </w:p>
  </w:footnote>
  <w:footnote w:id="30">
    <w:p w14:paraId="05B04519" w14:textId="77777777" w:rsidR="00A0514B" w:rsidRPr="001B665C" w:rsidRDefault="00A0514B">
      <w:pPr>
        <w:pStyle w:val="FootnoteText"/>
        <w:rPr>
          <w:lang w:val="fr-FR"/>
        </w:rPr>
      </w:pPr>
      <w:r w:rsidRPr="001B665C">
        <w:rPr>
          <w:rStyle w:val="FootnoteReference"/>
          <w:lang w:val="fr-FR"/>
        </w:rPr>
        <w:footnoteRef/>
      </w:r>
      <w:r w:rsidRPr="001B665C">
        <w:rPr>
          <w:lang w:val="fr-FR"/>
        </w:rPr>
        <w:t xml:space="preserve"> CIDH. </w:t>
      </w:r>
      <w:r w:rsidRPr="001B665C">
        <w:rPr>
          <w:i/>
          <w:lang w:val="fr-FR"/>
        </w:rPr>
        <w:t>Affaire des massacres d’Ituango contre la Colombie</w:t>
      </w:r>
      <w:r w:rsidRPr="001B665C">
        <w:rPr>
          <w:lang w:val="fr-FR"/>
        </w:rPr>
        <w:t xml:space="preserve">. Arrêt du 1er juillet 2006. Série C, n°148 (Arrêt sur l’affaire </w:t>
      </w:r>
      <w:r w:rsidRPr="001B665C">
        <w:rPr>
          <w:i/>
          <w:lang w:val="fr-FR"/>
        </w:rPr>
        <w:t>Massacres d’Ituango)</w:t>
      </w:r>
      <w:r w:rsidRPr="001B665C">
        <w:rPr>
          <w:lang w:val="fr-FR"/>
        </w:rPr>
        <w:t>, paragraphe 131.</w:t>
      </w:r>
    </w:p>
  </w:footnote>
  <w:footnote w:id="31">
    <w:p w14:paraId="56577313" w14:textId="77777777" w:rsidR="00A0514B" w:rsidRPr="001B665C" w:rsidRDefault="00A0514B">
      <w:pPr>
        <w:pStyle w:val="FootnoteText"/>
        <w:rPr>
          <w:lang w:val="fr-FR"/>
        </w:rPr>
      </w:pPr>
      <w:r w:rsidRPr="001B665C">
        <w:rPr>
          <w:rStyle w:val="FootnoteReference"/>
        </w:rPr>
        <w:footnoteRef/>
      </w:r>
      <w:r w:rsidRPr="00DD4A51">
        <w:rPr>
          <w:lang w:val="fr-FR"/>
        </w:rPr>
        <w:t xml:space="preserve"> </w:t>
      </w:r>
      <w:r w:rsidRPr="001B665C">
        <w:rPr>
          <w:lang w:val="fr-FR"/>
        </w:rPr>
        <w:t>CIDH</w:t>
      </w:r>
      <w:r w:rsidRPr="00DD4A51">
        <w:rPr>
          <w:lang w:val="fr-FR"/>
        </w:rPr>
        <w:t xml:space="preserve">. </w:t>
      </w:r>
      <w:r w:rsidRPr="001B665C">
        <w:rPr>
          <w:i/>
          <w:lang w:val="fr-FR"/>
        </w:rPr>
        <w:t>Affaire Loayza Tamayo contre le Pérou</w:t>
      </w:r>
      <w:r w:rsidRPr="001B665C">
        <w:rPr>
          <w:lang w:val="fr-FR"/>
        </w:rPr>
        <w:t xml:space="preserve">. Fond. Arrêt du 17 septembre 1997. Série C, </w:t>
      </w:r>
      <w:r w:rsidR="004F5B0A" w:rsidRPr="001B665C">
        <w:rPr>
          <w:lang w:val="fr-FR"/>
        </w:rPr>
        <w:t>n°</w:t>
      </w:r>
      <w:r w:rsidRPr="001B665C">
        <w:rPr>
          <w:lang w:val="fr-FR"/>
        </w:rPr>
        <w:t>33, paragraphe 57.</w:t>
      </w:r>
    </w:p>
  </w:footnote>
  <w:footnote w:id="32">
    <w:p w14:paraId="73E67312" w14:textId="77777777" w:rsidR="00A0514B" w:rsidRPr="001B665C" w:rsidRDefault="00A0514B">
      <w:pPr>
        <w:pStyle w:val="FootnoteText"/>
        <w:rPr>
          <w:lang w:val="fr-FR"/>
        </w:rPr>
      </w:pPr>
      <w:r w:rsidRPr="001B665C">
        <w:rPr>
          <w:rStyle w:val="FootnoteReference"/>
          <w:lang w:val="fr-FR"/>
        </w:rPr>
        <w:footnoteRef/>
      </w:r>
      <w:r w:rsidRPr="001B665C">
        <w:rPr>
          <w:lang w:val="fr-FR"/>
        </w:rPr>
        <w:t xml:space="preserve"> CIDH. </w:t>
      </w:r>
      <w:r w:rsidRPr="001B665C">
        <w:rPr>
          <w:i/>
          <w:lang w:val="fr-FR"/>
        </w:rPr>
        <w:t>Affaire Famille Barrios contre le Venezuela</w:t>
      </w:r>
      <w:r w:rsidRPr="001B665C">
        <w:rPr>
          <w:lang w:val="fr-FR"/>
        </w:rPr>
        <w:t xml:space="preserve">. Fond, réparations et dépens. Arrêt du 24 novembre 2011. Série C, n°237, paragraphe 82. Se reporter également à l’affaire </w:t>
      </w:r>
      <w:r w:rsidRPr="001B665C">
        <w:rPr>
          <w:i/>
          <w:lang w:val="fr-FR"/>
        </w:rPr>
        <w:t>Cantoral Benavides contre le Pérou.</w:t>
      </w:r>
      <w:r w:rsidRPr="001B665C">
        <w:rPr>
          <w:lang w:val="fr-FR"/>
        </w:rPr>
        <w:t xml:space="preserve"> Fond. Arrêt du 18 août 2000. Série C, n°69, paragraphe 102.</w:t>
      </w:r>
    </w:p>
  </w:footnote>
  <w:footnote w:id="33">
    <w:p w14:paraId="6AD96B34" w14:textId="77777777" w:rsidR="00A0514B" w:rsidRPr="001B665C" w:rsidRDefault="00A0514B" w:rsidP="00F51DC1">
      <w:pPr>
        <w:pStyle w:val="FootnoteText"/>
        <w:rPr>
          <w:lang w:val="fr-FR"/>
        </w:rPr>
      </w:pPr>
      <w:r w:rsidRPr="001B665C">
        <w:rPr>
          <w:rStyle w:val="FootnoteReference"/>
          <w:lang w:val="fr-FR"/>
        </w:rPr>
        <w:footnoteRef/>
      </w:r>
      <w:r w:rsidRPr="001B665C">
        <w:rPr>
          <w:lang w:val="fr-FR"/>
        </w:rPr>
        <w:t xml:space="preserve"> CIDH. </w:t>
      </w:r>
      <w:r w:rsidRPr="001B665C">
        <w:rPr>
          <w:i/>
          <w:lang w:val="fr-FR"/>
        </w:rPr>
        <w:t>Affaire du massacre de Santo Domingo contre la Colombie.</w:t>
      </w:r>
      <w:r w:rsidRPr="001B665C">
        <w:rPr>
          <w:lang w:val="fr-FR"/>
        </w:rPr>
        <w:t xml:space="preserve"> Exceptions préliminaires, fond et réparations. Arrêt du</w:t>
      </w:r>
      <w:r w:rsidR="004F5B0A" w:rsidRPr="001B665C">
        <w:rPr>
          <w:lang w:val="fr-FR"/>
        </w:rPr>
        <w:t xml:space="preserve"> 30 </w:t>
      </w:r>
      <w:r w:rsidRPr="001B665C">
        <w:rPr>
          <w:lang w:val="fr-FR"/>
        </w:rPr>
        <w:t>nov</w:t>
      </w:r>
      <w:r w:rsidR="004F5B0A" w:rsidRPr="001B665C">
        <w:rPr>
          <w:lang w:val="fr-FR"/>
        </w:rPr>
        <w:t>embre </w:t>
      </w:r>
      <w:r w:rsidRPr="001B665C">
        <w:rPr>
          <w:lang w:val="fr-FR"/>
        </w:rPr>
        <w:t xml:space="preserve">2012. Série C, n°259 (Arrêt sur l’affaire </w:t>
      </w:r>
      <w:r w:rsidRPr="001B665C">
        <w:rPr>
          <w:i/>
          <w:lang w:val="fr-FR"/>
        </w:rPr>
        <w:t>Massacre de Santo Domingo)</w:t>
      </w:r>
      <w:r w:rsidRPr="001B665C">
        <w:rPr>
          <w:lang w:val="fr-FR"/>
        </w:rPr>
        <w:t>, paragraphe 188.</w:t>
      </w:r>
    </w:p>
  </w:footnote>
  <w:footnote w:id="34">
    <w:p w14:paraId="31F298DC" w14:textId="77777777" w:rsidR="00A0514B" w:rsidRPr="001B665C" w:rsidRDefault="00A0514B" w:rsidP="00F51DC1">
      <w:pPr>
        <w:pStyle w:val="FootnoteText"/>
        <w:rPr>
          <w:lang w:val="fr-FR"/>
        </w:rPr>
      </w:pPr>
      <w:r w:rsidRPr="001B665C">
        <w:rPr>
          <w:rStyle w:val="FootnoteReference"/>
          <w:lang w:val="fr-FR"/>
        </w:rPr>
        <w:footnoteRef/>
      </w:r>
      <w:r w:rsidRPr="001B665C">
        <w:rPr>
          <w:lang w:val="fr-FR"/>
        </w:rPr>
        <w:t xml:space="preserve"> CIDH. </w:t>
      </w:r>
      <w:r w:rsidRPr="001B665C">
        <w:rPr>
          <w:i/>
          <w:lang w:val="fr-FR"/>
        </w:rPr>
        <w:t>Affaire Luna López contre le Honduras</w:t>
      </w:r>
      <w:r w:rsidRPr="001B665C">
        <w:rPr>
          <w:lang w:val="fr-FR"/>
        </w:rPr>
        <w:t xml:space="preserve">. Fond, réparations et dépens. Arrêt du 10 octobre 2013. Série C, n°269 (Arrêt sur l’affaire </w:t>
      </w:r>
      <w:r w:rsidRPr="001B665C">
        <w:rPr>
          <w:i/>
          <w:lang w:val="fr-FR"/>
        </w:rPr>
        <w:t>Luna López</w:t>
      </w:r>
      <w:r w:rsidRPr="001B665C">
        <w:rPr>
          <w:lang w:val="fr-FR"/>
        </w:rPr>
        <w:t>), paragraphe 120.</w:t>
      </w:r>
    </w:p>
  </w:footnote>
  <w:footnote w:id="35">
    <w:p w14:paraId="42DF0A36" w14:textId="77777777" w:rsidR="00A0514B" w:rsidRPr="001B665C" w:rsidRDefault="00A0514B">
      <w:pPr>
        <w:pStyle w:val="FootnoteText"/>
        <w:rPr>
          <w:lang w:val="fr-FR"/>
        </w:rPr>
      </w:pPr>
      <w:r w:rsidRPr="001B665C">
        <w:rPr>
          <w:rStyle w:val="FootnoteReference"/>
          <w:lang w:val="fr-FR"/>
        </w:rPr>
        <w:footnoteRef/>
      </w:r>
      <w:r w:rsidRPr="001B665C">
        <w:rPr>
          <w:lang w:val="fr-FR"/>
        </w:rPr>
        <w:t xml:space="preserve"> CIDH. Arrêt sur l’affaire</w:t>
      </w:r>
      <w:r w:rsidRPr="001B665C">
        <w:rPr>
          <w:i/>
          <w:lang w:val="fr-FR"/>
        </w:rPr>
        <w:t xml:space="preserve"> Luna López</w:t>
      </w:r>
      <w:r w:rsidRPr="001B665C">
        <w:rPr>
          <w:lang w:val="fr-FR"/>
        </w:rPr>
        <w:t>, paragraphe 120</w:t>
      </w:r>
    </w:p>
  </w:footnote>
  <w:footnote w:id="36">
    <w:p w14:paraId="01978EBD" w14:textId="77777777" w:rsidR="00A0514B" w:rsidRPr="001B665C" w:rsidRDefault="00A0514B" w:rsidP="00F51DC1">
      <w:pPr>
        <w:pStyle w:val="FootnoteText"/>
        <w:rPr>
          <w:lang w:val="fr-FR"/>
        </w:rPr>
      </w:pPr>
      <w:r w:rsidRPr="001B665C">
        <w:rPr>
          <w:rStyle w:val="FootnoteReference"/>
          <w:lang w:val="fr-FR"/>
        </w:rPr>
        <w:footnoteRef/>
      </w:r>
      <w:r w:rsidRPr="001B665C">
        <w:rPr>
          <w:lang w:val="fr-FR"/>
        </w:rPr>
        <w:t xml:space="preserve"> CIDH. </w:t>
      </w:r>
      <w:r w:rsidRPr="001B665C">
        <w:rPr>
          <w:i/>
          <w:lang w:val="fr-FR"/>
        </w:rPr>
        <w:t>Affaire du massacre de Pueblo Bello contre la Colombie</w:t>
      </w:r>
      <w:r w:rsidRPr="001B665C">
        <w:rPr>
          <w:lang w:val="fr-FR"/>
        </w:rPr>
        <w:t>. Arrêt du 31 janvier 2006. Série C, n°140, paragraphe 123</w:t>
      </w:r>
      <w:r w:rsidR="004F5B0A" w:rsidRPr="001B665C">
        <w:rPr>
          <w:lang w:val="fr-FR"/>
        </w:rPr>
        <w:t> </w:t>
      </w:r>
      <w:r w:rsidRPr="001B665C">
        <w:rPr>
          <w:lang w:val="fr-FR"/>
        </w:rPr>
        <w:t xml:space="preserve">; </w:t>
      </w:r>
      <w:r w:rsidRPr="001B665C">
        <w:rPr>
          <w:i/>
          <w:lang w:val="fr-FR"/>
        </w:rPr>
        <w:t>Affaire González et autres (« champ de coton ») contre le Mexique</w:t>
      </w:r>
      <w:r w:rsidRPr="001B665C">
        <w:rPr>
          <w:lang w:val="fr-FR"/>
        </w:rPr>
        <w:t xml:space="preserve">. Exception préliminaire, fond, réparations et dépens. Arrêt du 16 novembre 2009. Série C, n°205, paragraphe 280 ; </w:t>
      </w:r>
      <w:r w:rsidRPr="001B665C">
        <w:rPr>
          <w:i/>
          <w:lang w:val="fr-FR"/>
        </w:rPr>
        <w:t>Affaire Velásquez Paiz et autres contre le Guatemala</w:t>
      </w:r>
      <w:r w:rsidRPr="001B665C">
        <w:rPr>
          <w:lang w:val="fr-FR"/>
        </w:rPr>
        <w:t xml:space="preserve">. Exceptions préliminaires, fond, réparations et dépens. Arrêt du 19 novembre 2015. Série C, n°307 (Arrêt sur l’affaire </w:t>
      </w:r>
      <w:r w:rsidRPr="001B665C">
        <w:rPr>
          <w:i/>
          <w:lang w:val="fr-FR"/>
        </w:rPr>
        <w:t>Velásquez Paiz et autres</w:t>
      </w:r>
      <w:r w:rsidRPr="001B665C">
        <w:rPr>
          <w:lang w:val="fr-FR"/>
        </w:rPr>
        <w:t>), paragraphe 109.</w:t>
      </w:r>
    </w:p>
  </w:footnote>
  <w:footnote w:id="37">
    <w:p w14:paraId="2E4BA953" w14:textId="77777777" w:rsidR="00A0514B" w:rsidRPr="001B665C" w:rsidRDefault="00A0514B">
      <w:pPr>
        <w:pStyle w:val="FootnoteText"/>
        <w:rPr>
          <w:lang w:val="fr-FR"/>
        </w:rPr>
      </w:pPr>
      <w:r w:rsidRPr="001B665C">
        <w:rPr>
          <w:rStyle w:val="FootnoteReference"/>
          <w:lang w:val="fr-FR"/>
        </w:rPr>
        <w:footnoteRef/>
      </w:r>
      <w:r w:rsidRPr="001B665C">
        <w:rPr>
          <w:lang w:val="fr-FR"/>
        </w:rPr>
        <w:t xml:space="preserve"> CIDH. Arrêt sur l’affaire </w:t>
      </w:r>
      <w:r w:rsidRPr="001B665C">
        <w:rPr>
          <w:i/>
          <w:lang w:val="fr-FR"/>
        </w:rPr>
        <w:t xml:space="preserve">Velásquez Paiz et autres, </w:t>
      </w:r>
      <w:r w:rsidRPr="001B665C">
        <w:rPr>
          <w:lang w:val="fr-FR"/>
        </w:rPr>
        <w:t>paragraphe 109</w:t>
      </w:r>
    </w:p>
  </w:footnote>
  <w:footnote w:id="38">
    <w:p w14:paraId="27ABA5A1" w14:textId="77777777" w:rsidR="00A0514B" w:rsidRPr="001B665C" w:rsidRDefault="00A0514B" w:rsidP="00462C0F">
      <w:pPr>
        <w:pStyle w:val="FootnoteText"/>
        <w:rPr>
          <w:lang w:val="fr-FR"/>
        </w:rPr>
      </w:pPr>
      <w:r w:rsidRPr="001B665C">
        <w:rPr>
          <w:rStyle w:val="FootnoteReference"/>
          <w:lang w:val="fr-FR"/>
        </w:rPr>
        <w:footnoteRef/>
      </w:r>
      <w:r w:rsidRPr="001B665C">
        <w:rPr>
          <w:lang w:val="fr-FR"/>
        </w:rPr>
        <w:t xml:space="preserve"> CIDH. Arrêt sur l’affaire </w:t>
      </w:r>
      <w:r w:rsidRPr="001B665C">
        <w:rPr>
          <w:i/>
          <w:lang w:val="fr-FR"/>
        </w:rPr>
        <w:t>Massacre de Santo Domingo</w:t>
      </w:r>
      <w:r w:rsidRPr="001B665C">
        <w:rPr>
          <w:lang w:val="fr-FR"/>
        </w:rPr>
        <w:t>, paragraphe 189.</w:t>
      </w:r>
    </w:p>
  </w:footnote>
  <w:footnote w:id="39">
    <w:p w14:paraId="7EFDD39C" w14:textId="77777777" w:rsidR="00A0514B" w:rsidRPr="001B665C" w:rsidRDefault="00A0514B" w:rsidP="00687B20">
      <w:pPr>
        <w:pStyle w:val="FootnoteText"/>
        <w:rPr>
          <w:rFonts w:ascii="Cambria" w:hAnsi="Cambria"/>
          <w:lang w:val="fr-FR"/>
        </w:rPr>
      </w:pPr>
      <w:r w:rsidRPr="001B665C">
        <w:rPr>
          <w:rStyle w:val="FootnoteReference"/>
          <w:rFonts w:ascii="Cambria" w:hAnsi="Cambria"/>
        </w:rPr>
        <w:footnoteRef/>
      </w:r>
      <w:r w:rsidRPr="001B665C">
        <w:rPr>
          <w:rFonts w:ascii="Cambria" w:hAnsi="Cambria"/>
          <w:lang w:val="es-MX"/>
        </w:rPr>
        <w:t xml:space="preserve"> </w:t>
      </w:r>
      <w:r w:rsidRPr="001B665C">
        <w:rPr>
          <w:lang w:val="fr-FR"/>
        </w:rPr>
        <w:t xml:space="preserve">CIDH. </w:t>
      </w:r>
      <w:r w:rsidRPr="001B665C">
        <w:rPr>
          <w:i/>
          <w:lang w:val="fr-FR"/>
        </w:rPr>
        <w:t>Affaire Vélez Restrepo et membres de la famille contre la Colombie.</w:t>
      </w:r>
      <w:r w:rsidRPr="001B665C">
        <w:rPr>
          <w:lang w:val="fr-FR"/>
        </w:rPr>
        <w:t xml:space="preserve"> Exception préliminaire, fond, réparations et dépens. Arrêt du 3 septembre 2012. Série C, n°248 (Arrêt sur l’affaire </w:t>
      </w:r>
      <w:r w:rsidRPr="001B665C">
        <w:rPr>
          <w:i/>
          <w:lang w:val="fr-FR"/>
        </w:rPr>
        <w:t>Vélez Restrepo et membres de la famille)</w:t>
      </w:r>
      <w:r w:rsidRPr="001B665C">
        <w:rPr>
          <w:lang w:val="fr-FR"/>
        </w:rPr>
        <w:t>, paragraphe 201.</w:t>
      </w:r>
    </w:p>
  </w:footnote>
  <w:footnote w:id="40">
    <w:p w14:paraId="6AAC001E" w14:textId="77777777" w:rsidR="00A0514B" w:rsidRPr="001B665C" w:rsidRDefault="00A0514B" w:rsidP="009B4D16">
      <w:pPr>
        <w:pStyle w:val="FootnoteText"/>
        <w:rPr>
          <w:lang w:val="fr-FR"/>
        </w:rPr>
      </w:pPr>
      <w:r w:rsidRPr="001B665C">
        <w:rPr>
          <w:rStyle w:val="FootnoteReference"/>
          <w:lang w:val="fr-FR"/>
        </w:rPr>
        <w:footnoteRef/>
      </w:r>
      <w:r w:rsidRPr="001B665C">
        <w:rPr>
          <w:lang w:val="fr-FR"/>
        </w:rPr>
        <w:t xml:space="preserve"> CIDH. Arrêt sur l’affaire </w:t>
      </w:r>
      <w:r w:rsidRPr="001B665C">
        <w:rPr>
          <w:i/>
          <w:lang w:val="fr-FR"/>
        </w:rPr>
        <w:t>Vélez Restrepo et membres de la famille</w:t>
      </w:r>
      <w:r w:rsidRPr="001B665C">
        <w:rPr>
          <w:lang w:val="fr-FR"/>
        </w:rPr>
        <w:t>, paragraphe 201.</w:t>
      </w:r>
    </w:p>
  </w:footnote>
  <w:footnote w:id="41">
    <w:p w14:paraId="638D6B78" w14:textId="77777777" w:rsidR="00A0514B" w:rsidRPr="001B665C" w:rsidRDefault="00A0514B" w:rsidP="009C09CA">
      <w:pPr>
        <w:pStyle w:val="FootnoteText"/>
        <w:rPr>
          <w:rFonts w:ascii="Cambria" w:hAnsi="Cambria"/>
          <w:lang w:val="fr-FR"/>
        </w:rPr>
      </w:pPr>
      <w:r w:rsidRPr="001B665C">
        <w:rPr>
          <w:rStyle w:val="FootnoteReference"/>
          <w:rFonts w:ascii="Cambria" w:hAnsi="Cambria"/>
          <w:lang w:val="fr-FR"/>
        </w:rPr>
        <w:footnoteRef/>
      </w:r>
      <w:r w:rsidRPr="001B665C">
        <w:rPr>
          <w:rFonts w:ascii="Cambria" w:hAnsi="Cambria"/>
          <w:lang w:val="fr-FR"/>
        </w:rPr>
        <w:t xml:space="preserve"> Se reporter, entre autres, aux documents suivants : </w:t>
      </w:r>
      <w:r w:rsidRPr="001B665C">
        <w:rPr>
          <w:lang w:val="fr-FR"/>
        </w:rPr>
        <w:t>CIDH</w:t>
      </w:r>
      <w:r w:rsidRPr="001B665C">
        <w:rPr>
          <w:rFonts w:ascii="Cambria" w:hAnsi="Cambria"/>
          <w:lang w:val="fr-FR"/>
        </w:rPr>
        <w:t xml:space="preserve">. </w:t>
      </w:r>
      <w:r w:rsidRPr="001B665C">
        <w:rPr>
          <w:rFonts w:ascii="Cambria" w:hAnsi="Cambria"/>
          <w:i/>
          <w:lang w:val="fr-FR"/>
        </w:rPr>
        <w:t>Affaire « Institut de rééducation des mineurs contre le Paraguay »</w:t>
      </w:r>
      <w:r w:rsidRPr="001B665C">
        <w:rPr>
          <w:rFonts w:ascii="Cambria" w:hAnsi="Cambria"/>
          <w:lang w:val="fr-FR"/>
        </w:rPr>
        <w:t xml:space="preserve">. </w:t>
      </w:r>
      <w:r w:rsidRPr="001B665C">
        <w:rPr>
          <w:lang w:val="fr-FR"/>
        </w:rPr>
        <w:t>Exceptions préliminaires, fond, réparations et dépens</w:t>
      </w:r>
      <w:r w:rsidRPr="001B665C">
        <w:rPr>
          <w:rFonts w:ascii="Cambria" w:hAnsi="Cambria"/>
          <w:lang w:val="fr-FR"/>
        </w:rPr>
        <w:t xml:space="preserve">. </w:t>
      </w:r>
      <w:r w:rsidRPr="001B665C">
        <w:rPr>
          <w:lang w:val="fr-FR"/>
        </w:rPr>
        <w:t xml:space="preserve">Arrêt du </w:t>
      </w:r>
      <w:r w:rsidRPr="001B665C">
        <w:rPr>
          <w:rFonts w:ascii="Cambria" w:hAnsi="Cambria"/>
          <w:lang w:val="fr-FR"/>
        </w:rPr>
        <w:t>2 septembre 2004. Série C, n°112 (</w:t>
      </w:r>
      <w:r w:rsidRPr="001B665C">
        <w:rPr>
          <w:lang w:val="fr-FR"/>
        </w:rPr>
        <w:t>Arrêt sur l’affaire</w:t>
      </w:r>
      <w:r w:rsidRPr="001B665C">
        <w:rPr>
          <w:rFonts w:ascii="Cambria" w:hAnsi="Cambria"/>
          <w:lang w:val="fr-FR"/>
        </w:rPr>
        <w:t xml:space="preserve"> </w:t>
      </w:r>
      <w:r w:rsidRPr="001B665C">
        <w:rPr>
          <w:rFonts w:ascii="Cambria" w:hAnsi="Cambria"/>
          <w:i/>
          <w:lang w:val="fr-FR"/>
        </w:rPr>
        <w:t>Institut de rééducation des mineurs</w:t>
      </w:r>
      <w:r w:rsidRPr="001B665C">
        <w:rPr>
          <w:rFonts w:ascii="Cambria" w:hAnsi="Cambria"/>
          <w:lang w:val="fr-FR"/>
        </w:rPr>
        <w:t xml:space="preserve">), </w:t>
      </w:r>
      <w:r w:rsidRPr="001B665C">
        <w:rPr>
          <w:lang w:val="fr-FR"/>
        </w:rPr>
        <w:t>paragraphe</w:t>
      </w:r>
      <w:r w:rsidRPr="001B665C">
        <w:rPr>
          <w:rFonts w:ascii="Cambria" w:hAnsi="Cambria"/>
          <w:lang w:val="fr-FR"/>
        </w:rPr>
        <w:t xml:space="preserve"> 147 ; </w:t>
      </w:r>
      <w:r w:rsidRPr="001B665C">
        <w:rPr>
          <w:rFonts w:ascii="Cambria" w:hAnsi="Cambria"/>
          <w:i/>
          <w:lang w:val="fr-FR"/>
        </w:rPr>
        <w:t>Affaire Servellón García et autres contre le Honduras</w:t>
      </w:r>
      <w:r w:rsidRPr="001B665C">
        <w:rPr>
          <w:rFonts w:ascii="Cambria" w:hAnsi="Cambria"/>
          <w:lang w:val="fr-FR"/>
        </w:rPr>
        <w:t xml:space="preserve">. Arrêt du 21 septembre 2006. Série C, n°152, </w:t>
      </w:r>
      <w:r w:rsidRPr="001B665C">
        <w:rPr>
          <w:lang w:val="fr-FR"/>
        </w:rPr>
        <w:t>paragraphe</w:t>
      </w:r>
      <w:r w:rsidRPr="001B665C">
        <w:rPr>
          <w:rFonts w:ascii="Cambria" w:hAnsi="Cambria"/>
          <w:lang w:val="fr-FR"/>
        </w:rPr>
        <w:t xml:space="preserve"> 113.</w:t>
      </w:r>
    </w:p>
  </w:footnote>
  <w:footnote w:id="42">
    <w:p w14:paraId="4360BC00" w14:textId="77777777" w:rsidR="00A0514B" w:rsidRPr="001B665C" w:rsidRDefault="00A0514B" w:rsidP="009C09CA">
      <w:pPr>
        <w:pStyle w:val="FootnoteText"/>
        <w:rPr>
          <w:rFonts w:ascii="Cambria" w:hAnsi="Cambria"/>
          <w:lang w:val="fr-FR"/>
        </w:rPr>
      </w:pPr>
      <w:r w:rsidRPr="001B665C">
        <w:rPr>
          <w:rStyle w:val="FootnoteReference"/>
          <w:rFonts w:ascii="Cambria" w:hAnsi="Cambria"/>
          <w:lang w:val="fr-FR"/>
        </w:rPr>
        <w:footnoteRef/>
      </w:r>
      <w:r w:rsidRPr="001B665C">
        <w:rPr>
          <w:rFonts w:ascii="Cambria" w:hAnsi="Cambria"/>
          <w:lang w:val="fr-FR"/>
        </w:rPr>
        <w:t xml:space="preserve"> </w:t>
      </w:r>
      <w:r w:rsidRPr="001B665C">
        <w:rPr>
          <w:lang w:val="pt-BR"/>
        </w:rPr>
        <w:t>CIDH</w:t>
      </w:r>
      <w:r w:rsidRPr="001B665C">
        <w:rPr>
          <w:rFonts w:ascii="Cambria" w:hAnsi="Cambria"/>
          <w:lang w:val="fr-FR"/>
        </w:rPr>
        <w:t xml:space="preserve">. </w:t>
      </w:r>
      <w:r w:rsidRPr="001B665C">
        <w:rPr>
          <w:rFonts w:ascii="Cambria" w:hAnsi="Cambria"/>
          <w:i/>
          <w:lang w:val="fr-FR"/>
        </w:rPr>
        <w:t>Statut juridique et droits humains de l’enfant. Avis consultatif</w:t>
      </w:r>
      <w:r w:rsidRPr="001B665C">
        <w:rPr>
          <w:rFonts w:ascii="Cambria" w:hAnsi="Cambria"/>
          <w:lang w:val="fr-FR"/>
        </w:rPr>
        <w:t xml:space="preserve"> OC-17/02 du 28 août 2002. Série A, n°17 (Avis consultatif </w:t>
      </w:r>
      <w:r w:rsidRPr="001B665C">
        <w:rPr>
          <w:rFonts w:ascii="Cambria" w:hAnsi="Cambria"/>
          <w:i/>
          <w:lang w:val="fr-FR"/>
        </w:rPr>
        <w:t>Statut juridique et droits humains de l’enfant</w:t>
      </w:r>
      <w:r w:rsidRPr="001B665C">
        <w:rPr>
          <w:rFonts w:ascii="Cambria" w:hAnsi="Cambria"/>
          <w:lang w:val="fr-FR"/>
        </w:rPr>
        <w:t xml:space="preserve">), </w:t>
      </w:r>
      <w:r w:rsidRPr="001B665C">
        <w:rPr>
          <w:lang w:val="fr-FR"/>
        </w:rPr>
        <w:t>paragraphe</w:t>
      </w:r>
      <w:r w:rsidRPr="001B665C">
        <w:rPr>
          <w:rFonts w:ascii="Cambria" w:hAnsi="Cambria"/>
          <w:lang w:val="fr-FR"/>
        </w:rPr>
        <w:t xml:space="preserve"> 24. 54.</w:t>
      </w:r>
    </w:p>
  </w:footnote>
  <w:footnote w:id="43">
    <w:p w14:paraId="71192AEE" w14:textId="77777777" w:rsidR="00A0514B" w:rsidRPr="001B665C" w:rsidRDefault="00A0514B" w:rsidP="009C09CA">
      <w:pPr>
        <w:pStyle w:val="FootnoteText"/>
        <w:rPr>
          <w:rFonts w:ascii="Cambria" w:hAnsi="Cambria"/>
          <w:lang w:val="fr-FR"/>
        </w:rPr>
      </w:pPr>
      <w:r w:rsidRPr="001B665C">
        <w:rPr>
          <w:rStyle w:val="FootnoteReference"/>
          <w:rFonts w:ascii="Cambria" w:hAnsi="Cambria"/>
          <w:lang w:val="fr-FR"/>
        </w:rPr>
        <w:footnoteRef/>
      </w:r>
      <w:r w:rsidRPr="001B665C">
        <w:rPr>
          <w:rFonts w:ascii="Cambria" w:hAnsi="Cambria"/>
          <w:lang w:val="fr-FR"/>
        </w:rPr>
        <w:t xml:space="preserve"> </w:t>
      </w:r>
      <w:r w:rsidRPr="001B665C">
        <w:rPr>
          <w:lang w:val="fr-FR"/>
        </w:rPr>
        <w:t>CIDH</w:t>
      </w:r>
      <w:r w:rsidRPr="001B665C">
        <w:rPr>
          <w:rFonts w:ascii="Cambria" w:hAnsi="Cambria"/>
          <w:lang w:val="fr-FR"/>
        </w:rPr>
        <w:t xml:space="preserve">. </w:t>
      </w:r>
      <w:r w:rsidRPr="001B665C">
        <w:rPr>
          <w:rFonts w:ascii="Cambria" w:hAnsi="Cambria"/>
          <w:i/>
          <w:lang w:val="fr-FR"/>
        </w:rPr>
        <w:t>Affaire du massacre de Las Dos Erres contre le Guatemala</w:t>
      </w:r>
      <w:r w:rsidRPr="001B665C">
        <w:rPr>
          <w:rFonts w:ascii="Cambria" w:hAnsi="Cambria"/>
          <w:lang w:val="fr-FR"/>
        </w:rPr>
        <w:t xml:space="preserve">. </w:t>
      </w:r>
      <w:r w:rsidRPr="001B665C">
        <w:rPr>
          <w:lang w:val="fr-FR"/>
        </w:rPr>
        <w:t>Exception préliminaire, fond, réparations et dépens</w:t>
      </w:r>
      <w:r w:rsidRPr="001B665C">
        <w:rPr>
          <w:rFonts w:ascii="Cambria" w:hAnsi="Cambria"/>
          <w:lang w:val="fr-FR"/>
        </w:rPr>
        <w:t xml:space="preserve">. </w:t>
      </w:r>
      <w:r w:rsidRPr="001B665C">
        <w:rPr>
          <w:lang w:val="fr-FR"/>
        </w:rPr>
        <w:t xml:space="preserve">Arrêt du </w:t>
      </w:r>
      <w:r w:rsidRPr="001B665C">
        <w:rPr>
          <w:rFonts w:ascii="Cambria" w:hAnsi="Cambria"/>
          <w:lang w:val="fr-FR"/>
        </w:rPr>
        <w:t>24 novembre 2009. Série C, n°211 (</w:t>
      </w:r>
      <w:r w:rsidRPr="001B665C">
        <w:rPr>
          <w:lang w:val="fr-FR"/>
        </w:rPr>
        <w:t>Arrêt sur l’affaire</w:t>
      </w:r>
      <w:r w:rsidRPr="001B665C">
        <w:rPr>
          <w:rFonts w:ascii="Cambria" w:hAnsi="Cambria"/>
          <w:lang w:val="fr-FR"/>
        </w:rPr>
        <w:t xml:space="preserve"> </w:t>
      </w:r>
      <w:r w:rsidRPr="001B665C">
        <w:rPr>
          <w:rFonts w:ascii="Cambria" w:hAnsi="Cambria"/>
          <w:i/>
          <w:lang w:val="fr-FR"/>
        </w:rPr>
        <w:t>Massacre de Las Dos Erres</w:t>
      </w:r>
      <w:r w:rsidRPr="001B665C">
        <w:rPr>
          <w:rFonts w:ascii="Cambria" w:hAnsi="Cambria"/>
          <w:lang w:val="fr-FR"/>
        </w:rPr>
        <w:t xml:space="preserve">), </w:t>
      </w:r>
      <w:r w:rsidRPr="001B665C">
        <w:rPr>
          <w:lang w:val="fr-FR"/>
        </w:rPr>
        <w:t>paragraphe</w:t>
      </w:r>
      <w:r w:rsidRPr="001B665C">
        <w:rPr>
          <w:rFonts w:ascii="Cambria" w:hAnsi="Cambria"/>
          <w:lang w:val="fr-FR"/>
        </w:rPr>
        <w:t xml:space="preserve"> 184.</w:t>
      </w:r>
    </w:p>
  </w:footnote>
  <w:footnote w:id="44">
    <w:p w14:paraId="6D90F1FB" w14:textId="77777777" w:rsidR="00A0514B" w:rsidRPr="001B665C" w:rsidRDefault="00A0514B" w:rsidP="009C09CA">
      <w:pPr>
        <w:pStyle w:val="FootnoteText"/>
        <w:rPr>
          <w:rFonts w:ascii="Cambria" w:hAnsi="Cambria"/>
          <w:lang w:val="fr-FR"/>
        </w:rPr>
      </w:pPr>
      <w:r w:rsidRPr="001B665C">
        <w:rPr>
          <w:rStyle w:val="FootnoteReference"/>
          <w:rFonts w:ascii="Cambria" w:hAnsi="Cambria"/>
          <w:lang w:val="fr-FR"/>
        </w:rPr>
        <w:footnoteRef/>
      </w:r>
      <w:r w:rsidRPr="001B665C">
        <w:rPr>
          <w:rFonts w:ascii="Cambria" w:hAnsi="Cambria"/>
          <w:lang w:val="fr-FR"/>
        </w:rPr>
        <w:t xml:space="preserve"> </w:t>
      </w:r>
      <w:r w:rsidRPr="001B665C">
        <w:t>CIDH</w:t>
      </w:r>
      <w:r w:rsidRPr="001B665C">
        <w:rPr>
          <w:rFonts w:ascii="Cambria" w:hAnsi="Cambria"/>
          <w:lang w:val="fr-FR"/>
        </w:rPr>
        <w:t xml:space="preserve">. Avis consultatif </w:t>
      </w:r>
      <w:r w:rsidRPr="001B665C">
        <w:rPr>
          <w:rFonts w:ascii="Cambria" w:hAnsi="Cambria"/>
          <w:i/>
          <w:lang w:val="fr-FR"/>
        </w:rPr>
        <w:t>Statut juridique et droits humains de l’enfant,</w:t>
      </w:r>
      <w:r w:rsidRPr="001B665C">
        <w:rPr>
          <w:rFonts w:ascii="Cambria" w:hAnsi="Cambria"/>
          <w:lang w:val="fr-FR"/>
        </w:rPr>
        <w:t xml:space="preserve"> </w:t>
      </w:r>
      <w:r w:rsidRPr="001B665C">
        <w:rPr>
          <w:lang w:val="fr-FR"/>
        </w:rPr>
        <w:t>paragraphe</w:t>
      </w:r>
      <w:r w:rsidRPr="001B665C">
        <w:rPr>
          <w:rFonts w:ascii="Cambria" w:hAnsi="Cambria"/>
          <w:lang w:val="fr-FR"/>
        </w:rPr>
        <w:t xml:space="preserve"> 62 ; </w:t>
      </w:r>
      <w:r w:rsidRPr="001B665C">
        <w:rPr>
          <w:lang w:val="fr-FR"/>
        </w:rPr>
        <w:t>Arrêt sur l’affaire</w:t>
      </w:r>
      <w:r w:rsidRPr="001B665C">
        <w:rPr>
          <w:rFonts w:ascii="Cambria" w:hAnsi="Cambria"/>
          <w:lang w:val="fr-FR"/>
        </w:rPr>
        <w:t xml:space="preserve"> </w:t>
      </w:r>
      <w:r w:rsidRPr="001B665C">
        <w:rPr>
          <w:rFonts w:ascii="Cambria" w:hAnsi="Cambria"/>
          <w:i/>
          <w:lang w:val="fr-FR"/>
        </w:rPr>
        <w:t xml:space="preserve">Institut de rééducation des mineurs, </w:t>
      </w:r>
      <w:r w:rsidRPr="001B665C">
        <w:rPr>
          <w:lang w:val="fr-FR"/>
        </w:rPr>
        <w:t>paragraphe</w:t>
      </w:r>
      <w:r w:rsidRPr="001B665C">
        <w:rPr>
          <w:rFonts w:ascii="Cambria" w:hAnsi="Cambria"/>
          <w:lang w:val="fr-FR"/>
        </w:rPr>
        <w:t xml:space="preserve"> 147.</w:t>
      </w:r>
    </w:p>
  </w:footnote>
  <w:footnote w:id="45">
    <w:p w14:paraId="6CA01E65" w14:textId="77777777" w:rsidR="00A0514B" w:rsidRPr="001B665C" w:rsidRDefault="00A0514B" w:rsidP="009C09CA">
      <w:pPr>
        <w:pStyle w:val="FootnoteText"/>
        <w:rPr>
          <w:rFonts w:ascii="Cambria" w:hAnsi="Cambria"/>
          <w:lang w:val="fr-FR"/>
        </w:rPr>
      </w:pPr>
      <w:r w:rsidRPr="001B665C">
        <w:rPr>
          <w:rStyle w:val="FootnoteReference"/>
          <w:rFonts w:ascii="Cambria" w:hAnsi="Cambria"/>
          <w:lang w:val="fr-FR"/>
        </w:rPr>
        <w:footnoteRef/>
      </w:r>
      <w:r w:rsidRPr="001B665C">
        <w:rPr>
          <w:rFonts w:ascii="Cambria" w:hAnsi="Cambria"/>
          <w:lang w:val="fr-FR"/>
        </w:rPr>
        <w:t xml:space="preserve"> </w:t>
      </w:r>
      <w:r w:rsidRPr="001B665C">
        <w:rPr>
          <w:lang w:val="fr-FR"/>
        </w:rPr>
        <w:t>CIDH</w:t>
      </w:r>
      <w:r w:rsidRPr="001B665C">
        <w:rPr>
          <w:rFonts w:ascii="Cambria" w:hAnsi="Cambria"/>
          <w:lang w:val="fr-FR"/>
        </w:rPr>
        <w:t xml:space="preserve">. </w:t>
      </w:r>
      <w:r w:rsidRPr="001B665C">
        <w:rPr>
          <w:lang w:val="fr-FR"/>
        </w:rPr>
        <w:t>Arrêt sur l’affaire</w:t>
      </w:r>
      <w:r w:rsidRPr="001B665C">
        <w:rPr>
          <w:rFonts w:ascii="Cambria" w:hAnsi="Cambria"/>
          <w:lang w:val="fr-FR"/>
        </w:rPr>
        <w:t xml:space="preserve"> </w:t>
      </w:r>
      <w:r w:rsidRPr="001B665C">
        <w:rPr>
          <w:rFonts w:ascii="Cambria" w:hAnsi="Cambria"/>
          <w:i/>
          <w:lang w:val="fr-FR"/>
        </w:rPr>
        <w:t>Massacres d’Ituango</w:t>
      </w:r>
      <w:r w:rsidRPr="001B665C">
        <w:rPr>
          <w:rFonts w:ascii="Cambria" w:hAnsi="Cambria"/>
          <w:lang w:val="fr-FR"/>
        </w:rPr>
        <w:t xml:space="preserve">, </w:t>
      </w:r>
      <w:r w:rsidRPr="001B665C">
        <w:rPr>
          <w:lang w:val="fr-FR"/>
        </w:rPr>
        <w:t>paragraphe</w:t>
      </w:r>
      <w:r w:rsidRPr="001B665C">
        <w:rPr>
          <w:rFonts w:ascii="Cambria" w:hAnsi="Cambria"/>
          <w:lang w:val="fr-FR"/>
        </w:rPr>
        <w:t xml:space="preserve"> 244 ; </w:t>
      </w:r>
      <w:r w:rsidRPr="001B665C">
        <w:rPr>
          <w:rFonts w:ascii="Cambria" w:hAnsi="Cambria"/>
          <w:i/>
          <w:lang w:val="fr-FR"/>
        </w:rPr>
        <w:t>Affaire du massacre de Mapiripán contre la Colombie.</w:t>
      </w:r>
      <w:r w:rsidRPr="001B665C">
        <w:rPr>
          <w:rFonts w:ascii="Cambria" w:hAnsi="Cambria"/>
          <w:lang w:val="fr-FR"/>
        </w:rPr>
        <w:t xml:space="preserve"> F</w:t>
      </w:r>
      <w:r w:rsidRPr="001B665C">
        <w:rPr>
          <w:lang w:val="fr-FR"/>
        </w:rPr>
        <w:t>ond, réparations et dépens</w:t>
      </w:r>
      <w:r w:rsidRPr="001B665C">
        <w:rPr>
          <w:rFonts w:ascii="Cambria" w:hAnsi="Cambria"/>
          <w:lang w:val="fr-FR"/>
        </w:rPr>
        <w:t xml:space="preserve">. </w:t>
      </w:r>
      <w:r w:rsidRPr="001B665C">
        <w:rPr>
          <w:lang w:val="fr-FR"/>
        </w:rPr>
        <w:t xml:space="preserve">Arrêt du </w:t>
      </w:r>
      <w:r w:rsidRPr="001B665C">
        <w:rPr>
          <w:rFonts w:ascii="Cambria" w:hAnsi="Cambria"/>
          <w:lang w:val="fr-FR"/>
        </w:rPr>
        <w:t xml:space="preserve">15 septembre 2005. Série C, n°134, </w:t>
      </w:r>
      <w:r w:rsidRPr="001B665C">
        <w:rPr>
          <w:lang w:val="fr-FR"/>
        </w:rPr>
        <w:t>paragraphe</w:t>
      </w:r>
      <w:r w:rsidRPr="001B665C">
        <w:rPr>
          <w:rFonts w:ascii="Cambria" w:hAnsi="Cambria"/>
          <w:lang w:val="fr-FR"/>
        </w:rPr>
        <w:t xml:space="preserve"> 154.</w:t>
      </w:r>
    </w:p>
  </w:footnote>
  <w:footnote w:id="46">
    <w:p w14:paraId="55BAFE67" w14:textId="77777777" w:rsidR="00A0514B" w:rsidRPr="001B665C" w:rsidRDefault="00A0514B" w:rsidP="009B4D16">
      <w:pPr>
        <w:pStyle w:val="FootnoteText"/>
        <w:rPr>
          <w:lang w:val="fr-FR"/>
        </w:rPr>
      </w:pPr>
      <w:r w:rsidRPr="001B665C">
        <w:rPr>
          <w:rStyle w:val="FootnoteReference"/>
        </w:rPr>
        <w:footnoteRef/>
      </w:r>
      <w:r w:rsidRPr="001B665C">
        <w:rPr>
          <w:lang w:val="fr-FR"/>
        </w:rPr>
        <w:t xml:space="preserve"> CIDH, </w:t>
      </w:r>
      <w:r w:rsidRPr="001B665C">
        <w:rPr>
          <w:i/>
          <w:lang w:val="fr-FR"/>
        </w:rPr>
        <w:t xml:space="preserve">Observations de la </w:t>
      </w:r>
      <w:r w:rsidR="00860CF3" w:rsidRPr="001B665C">
        <w:rPr>
          <w:i/>
          <w:lang w:val="fr-FR"/>
        </w:rPr>
        <w:t>Commission</w:t>
      </w:r>
      <w:r w:rsidRPr="001B665C">
        <w:rPr>
          <w:i/>
          <w:lang w:val="fr-FR"/>
        </w:rPr>
        <w:t xml:space="preserve"> interaméricaine des droits de l’Homme à l’issue de sa visite en Haïti en avril 2007</w:t>
      </w:r>
      <w:r w:rsidRPr="001B665C">
        <w:rPr>
          <w:lang w:val="fr-FR"/>
        </w:rPr>
        <w:t>, OEA/Ser.L/V/II.131, doc. 36, 2 mars 2008 (</w:t>
      </w:r>
      <w:r w:rsidRPr="001B665C">
        <w:rPr>
          <w:i/>
          <w:lang w:val="fr-FR"/>
        </w:rPr>
        <w:t>Observations à l’issue de la visite en Haïti en avril 2007)</w:t>
      </w:r>
      <w:r w:rsidRPr="001B665C">
        <w:rPr>
          <w:lang w:val="fr-FR"/>
        </w:rPr>
        <w:t>, paragraphe 11.</w:t>
      </w:r>
    </w:p>
  </w:footnote>
  <w:footnote w:id="47">
    <w:p w14:paraId="01BE9D0C" w14:textId="77777777" w:rsidR="00A0514B" w:rsidRPr="001B665C" w:rsidRDefault="00A0514B" w:rsidP="009B4D16">
      <w:pPr>
        <w:pStyle w:val="FootnoteText"/>
        <w:rPr>
          <w:lang w:val="fr-FR"/>
        </w:rPr>
      </w:pPr>
      <w:r w:rsidRPr="001B665C">
        <w:rPr>
          <w:rStyle w:val="FootnoteReference"/>
          <w:lang w:val="fr-FR"/>
        </w:rPr>
        <w:footnoteRef/>
      </w:r>
      <w:r w:rsidRPr="001B665C">
        <w:rPr>
          <w:lang w:val="fr-FR"/>
        </w:rPr>
        <w:t xml:space="preserve"> CIDH, </w:t>
      </w:r>
      <w:r w:rsidRPr="001B665C">
        <w:rPr>
          <w:i/>
          <w:lang w:val="fr-FR"/>
        </w:rPr>
        <w:t>Observations à l’issue de la visite en Haïti en avril 2007</w:t>
      </w:r>
      <w:r w:rsidRPr="001B665C">
        <w:rPr>
          <w:lang w:val="fr-FR"/>
        </w:rPr>
        <w:t>,</w:t>
      </w:r>
      <w:r w:rsidRPr="001B665C">
        <w:rPr>
          <w:i/>
          <w:lang w:val="fr-FR"/>
        </w:rPr>
        <w:t xml:space="preserve"> </w:t>
      </w:r>
      <w:r w:rsidRPr="001B665C">
        <w:rPr>
          <w:lang w:val="fr-FR"/>
        </w:rPr>
        <w:t>paragraphes 11-15.</w:t>
      </w:r>
    </w:p>
  </w:footnote>
  <w:footnote w:id="48">
    <w:p w14:paraId="089B90DB" w14:textId="77777777" w:rsidR="00A0514B" w:rsidRPr="001B665C" w:rsidRDefault="00A0514B" w:rsidP="009B4D16">
      <w:pPr>
        <w:pStyle w:val="FootnoteText"/>
        <w:rPr>
          <w:lang w:val="fr-FR"/>
        </w:rPr>
      </w:pPr>
      <w:r w:rsidRPr="001B665C">
        <w:rPr>
          <w:rStyle w:val="FootnoteReference"/>
          <w:lang w:val="fr-FR"/>
        </w:rPr>
        <w:footnoteRef/>
      </w:r>
      <w:r w:rsidRPr="001B665C">
        <w:rPr>
          <w:lang w:val="fr-FR"/>
        </w:rPr>
        <w:t xml:space="preserve"> CIDH, </w:t>
      </w:r>
      <w:r w:rsidRPr="001B665C">
        <w:rPr>
          <w:i/>
          <w:lang w:val="fr-FR"/>
        </w:rPr>
        <w:t>Observations à l’issue de la visite en Haïti en avril 2007</w:t>
      </w:r>
      <w:r w:rsidRPr="001B665C">
        <w:rPr>
          <w:lang w:val="fr-FR"/>
        </w:rPr>
        <w:t>,</w:t>
      </w:r>
      <w:r w:rsidRPr="001B665C">
        <w:rPr>
          <w:i/>
          <w:lang w:val="fr-FR"/>
        </w:rPr>
        <w:t xml:space="preserve"> </w:t>
      </w:r>
      <w:r w:rsidRPr="001B665C">
        <w:rPr>
          <w:lang w:val="fr-FR"/>
        </w:rPr>
        <w:t>paragraphes 16-30.</w:t>
      </w:r>
    </w:p>
  </w:footnote>
  <w:footnote w:id="49">
    <w:p w14:paraId="5310DD94" w14:textId="77777777" w:rsidR="00A0514B" w:rsidRPr="001B665C" w:rsidRDefault="00A0514B">
      <w:pPr>
        <w:pStyle w:val="FootnoteText"/>
        <w:rPr>
          <w:lang w:val="fr-FR"/>
        </w:rPr>
      </w:pPr>
      <w:r w:rsidRPr="001B665C">
        <w:rPr>
          <w:rStyle w:val="FootnoteReference"/>
          <w:lang w:val="fr-FR"/>
        </w:rPr>
        <w:footnoteRef/>
      </w:r>
      <w:r w:rsidRPr="001B665C">
        <w:rPr>
          <w:lang w:val="fr-FR"/>
        </w:rPr>
        <w:t xml:space="preserve"> CIDH, </w:t>
      </w:r>
      <w:r w:rsidRPr="001B665C">
        <w:rPr>
          <w:i/>
          <w:lang w:val="fr-FR"/>
        </w:rPr>
        <w:t>Observations à l’issue de la visite en Haïti en avril 2007</w:t>
      </w:r>
      <w:r w:rsidRPr="001B665C">
        <w:rPr>
          <w:lang w:val="fr-FR"/>
        </w:rPr>
        <w:t>,</w:t>
      </w:r>
      <w:r w:rsidRPr="001B665C">
        <w:rPr>
          <w:i/>
          <w:lang w:val="fr-FR"/>
        </w:rPr>
        <w:t xml:space="preserve"> </w:t>
      </w:r>
      <w:r w:rsidRPr="001B665C">
        <w:rPr>
          <w:lang w:val="fr-FR"/>
        </w:rPr>
        <w:t>paragraphes 9, 15.</w:t>
      </w:r>
    </w:p>
  </w:footnote>
  <w:footnote w:id="50">
    <w:p w14:paraId="49115431" w14:textId="77777777" w:rsidR="00A0514B" w:rsidRPr="001B665C" w:rsidRDefault="00A0514B" w:rsidP="000A3FA3">
      <w:pPr>
        <w:jc w:val="both"/>
        <w:rPr>
          <w:rFonts w:ascii="Cambria" w:eastAsia="Cambria" w:hAnsi="Cambria" w:cs="Cambria"/>
          <w:sz w:val="16"/>
          <w:szCs w:val="16"/>
          <w:lang w:val="fr-FR"/>
        </w:rPr>
      </w:pPr>
      <w:r w:rsidRPr="001B665C">
        <w:rPr>
          <w:rFonts w:ascii="Cambria" w:hAnsi="Cambria"/>
          <w:sz w:val="16"/>
          <w:szCs w:val="16"/>
          <w:vertAlign w:val="superscript"/>
          <w:lang w:val="fr-FR"/>
        </w:rPr>
        <w:footnoteRef/>
      </w:r>
      <w:r w:rsidRPr="001B665C">
        <w:rPr>
          <w:rFonts w:ascii="Cambria" w:eastAsia="Calibri" w:hAnsi="Cambria" w:cs="Calibri"/>
          <w:color w:val="000000"/>
          <w:sz w:val="16"/>
          <w:szCs w:val="16"/>
          <w:lang w:val="fr-FR"/>
        </w:rPr>
        <w:t xml:space="preserve"> </w:t>
      </w:r>
      <w:r w:rsidRPr="001B665C">
        <w:rPr>
          <w:rFonts w:ascii="Cambria" w:eastAsia="Cambria" w:hAnsi="Cambria" w:cs="Cambria"/>
          <w:color w:val="000000"/>
          <w:sz w:val="16"/>
          <w:szCs w:val="16"/>
          <w:lang w:val="fr-FR"/>
        </w:rPr>
        <w:t>L’article 22.1 de la Convention américaine établit ce qui suit : « Article 22. Droit de déplacement et de résidence 1. Quiconque se trouve légalement sur le territoire d'un État a le droit d'y circuler librement et d'y résider en conformité des lois régissant la matière. »</w:t>
      </w:r>
    </w:p>
  </w:footnote>
  <w:footnote w:id="51">
    <w:p w14:paraId="38D7B9C3" w14:textId="77777777" w:rsidR="00A0514B" w:rsidRPr="001B665C" w:rsidRDefault="00A0514B" w:rsidP="00A341B4">
      <w:pPr>
        <w:pStyle w:val="FootnoteText"/>
        <w:rPr>
          <w:lang w:val="fr-FR"/>
        </w:rPr>
      </w:pPr>
      <w:r w:rsidRPr="001B665C">
        <w:rPr>
          <w:rStyle w:val="FootnoteReference"/>
        </w:rPr>
        <w:footnoteRef/>
      </w:r>
      <w:r w:rsidRPr="001B665C">
        <w:rPr>
          <w:lang w:val="fr-FR"/>
        </w:rPr>
        <w:t xml:space="preserve"> CIDH. </w:t>
      </w:r>
      <w:r w:rsidRPr="001B665C">
        <w:rPr>
          <w:i/>
          <w:lang w:val="fr-FR"/>
        </w:rPr>
        <w:t>Affaire Ricardo Canese contre le Paraguay.</w:t>
      </w:r>
      <w:r w:rsidRPr="001B665C">
        <w:rPr>
          <w:lang w:val="fr-FR"/>
        </w:rPr>
        <w:t xml:space="preserve"> </w:t>
      </w:r>
      <w:r w:rsidRPr="001B665C">
        <w:rPr>
          <w:rFonts w:ascii="Cambria" w:hAnsi="Cambria"/>
          <w:lang w:val="fr-FR"/>
        </w:rPr>
        <w:t>F</w:t>
      </w:r>
      <w:r w:rsidRPr="001B665C">
        <w:rPr>
          <w:lang w:val="fr-FR"/>
        </w:rPr>
        <w:t>ond, réparations et dépens. Arrêt du 31 août 2004. Série C, n°111 (Arrêt sur l’affaire</w:t>
      </w:r>
      <w:r w:rsidRPr="001B665C">
        <w:rPr>
          <w:i/>
          <w:lang w:val="fr-FR"/>
        </w:rPr>
        <w:t xml:space="preserve"> Ricardo Canese)</w:t>
      </w:r>
      <w:r w:rsidRPr="001B665C">
        <w:rPr>
          <w:lang w:val="fr-FR"/>
        </w:rPr>
        <w:t>, paragraphe 115.</w:t>
      </w:r>
    </w:p>
  </w:footnote>
  <w:footnote w:id="52">
    <w:p w14:paraId="46FE3F23" w14:textId="77777777" w:rsidR="00A0514B" w:rsidRPr="001B665C" w:rsidRDefault="00A0514B" w:rsidP="00A341B4">
      <w:pPr>
        <w:pStyle w:val="FootnoteText"/>
        <w:rPr>
          <w:lang w:val="fr-FR"/>
        </w:rPr>
      </w:pPr>
      <w:r w:rsidRPr="001B665C">
        <w:rPr>
          <w:rStyle w:val="FootnoteReference"/>
          <w:lang w:val="fr-FR"/>
        </w:rPr>
        <w:footnoteRef/>
      </w:r>
      <w:r w:rsidRPr="001B665C">
        <w:rPr>
          <w:lang w:val="fr-FR"/>
        </w:rPr>
        <w:t xml:space="preserve"> CIDH. </w:t>
      </w:r>
      <w:r w:rsidRPr="001B665C">
        <w:rPr>
          <w:i/>
          <w:lang w:val="fr-FR"/>
        </w:rPr>
        <w:t>Affaire Valle Jaramillo et autres contre la Colombie</w:t>
      </w:r>
      <w:r w:rsidRPr="001B665C">
        <w:rPr>
          <w:lang w:val="fr-FR"/>
        </w:rPr>
        <w:t xml:space="preserve">. </w:t>
      </w:r>
      <w:r w:rsidRPr="001B665C">
        <w:rPr>
          <w:rFonts w:ascii="Cambria" w:hAnsi="Cambria"/>
          <w:lang w:val="fr-FR"/>
        </w:rPr>
        <w:t>F</w:t>
      </w:r>
      <w:r w:rsidRPr="001B665C">
        <w:rPr>
          <w:lang w:val="fr-FR"/>
        </w:rPr>
        <w:t xml:space="preserve">ond, réparations et dépens. Arrêt du 27 novembre 2008. Série C, n°192 (Arrêt sur l’affaire </w:t>
      </w:r>
      <w:r w:rsidRPr="001B665C">
        <w:rPr>
          <w:i/>
          <w:lang w:val="fr-FR"/>
        </w:rPr>
        <w:t>Valle Jaramillo</w:t>
      </w:r>
      <w:r w:rsidRPr="001B665C">
        <w:rPr>
          <w:lang w:val="fr-FR"/>
        </w:rPr>
        <w:t xml:space="preserve">), paragraphe 138 ; </w:t>
      </w:r>
      <w:r w:rsidRPr="001B665C">
        <w:rPr>
          <w:i/>
          <w:lang w:val="fr-FR"/>
        </w:rPr>
        <w:t>Affaire Fleury et autres contre Haïti</w:t>
      </w:r>
      <w:r w:rsidRPr="001B665C">
        <w:rPr>
          <w:lang w:val="fr-FR"/>
        </w:rPr>
        <w:t>. Fond et réparations. Arrêt du 23 novembre 2011. Série C, n°236, paragraphe 93.</w:t>
      </w:r>
    </w:p>
  </w:footnote>
  <w:footnote w:id="53">
    <w:p w14:paraId="22C8FEA1" w14:textId="77777777" w:rsidR="00A0514B" w:rsidRPr="001B665C" w:rsidRDefault="00A0514B" w:rsidP="00A341B4">
      <w:pPr>
        <w:pStyle w:val="FootnoteText"/>
        <w:rPr>
          <w:lang w:val="fr-FR"/>
        </w:rPr>
      </w:pPr>
      <w:r w:rsidRPr="001B665C">
        <w:rPr>
          <w:rStyle w:val="FootnoteReference"/>
          <w:lang w:val="fr-FR"/>
        </w:rPr>
        <w:footnoteRef/>
      </w:r>
      <w:r w:rsidRPr="001B665C">
        <w:rPr>
          <w:lang w:val="fr-FR"/>
        </w:rPr>
        <w:t xml:space="preserve"> CIDH. Arrêt sur l’affaire </w:t>
      </w:r>
      <w:r w:rsidRPr="001B665C">
        <w:rPr>
          <w:i/>
          <w:lang w:val="fr-FR"/>
        </w:rPr>
        <w:t>Valle Jaramillo</w:t>
      </w:r>
      <w:r w:rsidRPr="001B665C">
        <w:rPr>
          <w:lang w:val="fr-FR"/>
        </w:rPr>
        <w:t>, paragraphe 139. Se reporter aussi à l’</w:t>
      </w:r>
      <w:r w:rsidRPr="001B665C">
        <w:rPr>
          <w:i/>
          <w:lang w:val="fr-FR"/>
        </w:rPr>
        <w:t>Affaire de la communauté Moiwana contre le Surinam.</w:t>
      </w:r>
      <w:r w:rsidRPr="001B665C">
        <w:rPr>
          <w:lang w:val="fr-FR"/>
        </w:rPr>
        <w:t xml:space="preserve"> </w:t>
      </w:r>
      <w:r w:rsidRPr="001B665C">
        <w:rPr>
          <w:bCs/>
          <w:lang w:val="fr-FR"/>
        </w:rPr>
        <w:t>Exceptions préliminaires</w:t>
      </w:r>
      <w:r w:rsidRPr="001B665C">
        <w:rPr>
          <w:lang w:val="fr-FR"/>
        </w:rPr>
        <w:t xml:space="preserve">, </w:t>
      </w:r>
      <w:r w:rsidRPr="001B665C">
        <w:rPr>
          <w:rFonts w:ascii="Cambria" w:hAnsi="Cambria"/>
          <w:lang w:val="fr-FR"/>
        </w:rPr>
        <w:t>f</w:t>
      </w:r>
      <w:r w:rsidRPr="001B665C">
        <w:rPr>
          <w:lang w:val="fr-FR"/>
        </w:rPr>
        <w:t xml:space="preserve">ond, réparations et dépens. Arrêt du 15 juin 2005. Série C, n°124 (Arrêt sur l’affaire </w:t>
      </w:r>
      <w:r w:rsidRPr="001B665C">
        <w:rPr>
          <w:i/>
          <w:lang w:val="fr-FR"/>
        </w:rPr>
        <w:t>Communauté Moiwana)</w:t>
      </w:r>
      <w:r w:rsidRPr="001B665C">
        <w:rPr>
          <w:lang w:val="fr-FR"/>
        </w:rPr>
        <w:t>, paragraphes 119-120</w:t>
      </w:r>
    </w:p>
  </w:footnote>
  <w:footnote w:id="54">
    <w:p w14:paraId="13DD22F5" w14:textId="77777777" w:rsidR="00A0514B" w:rsidRPr="001B665C" w:rsidRDefault="00A0514B" w:rsidP="00A341B4">
      <w:pPr>
        <w:pStyle w:val="FootnoteText"/>
        <w:rPr>
          <w:lang w:val="fr-FR"/>
        </w:rPr>
      </w:pPr>
      <w:r w:rsidRPr="001B665C">
        <w:rPr>
          <w:rStyle w:val="FootnoteReference"/>
          <w:lang w:val="fr-FR"/>
        </w:rPr>
        <w:footnoteRef/>
      </w:r>
      <w:r w:rsidRPr="001B665C">
        <w:rPr>
          <w:lang w:val="fr-FR"/>
        </w:rPr>
        <w:t xml:space="preserve"> CIDH. Arrêt sur l’affaire </w:t>
      </w:r>
      <w:r w:rsidRPr="001B665C">
        <w:rPr>
          <w:i/>
          <w:lang w:val="fr-FR"/>
        </w:rPr>
        <w:t>Valle Jaramillo</w:t>
      </w:r>
      <w:r w:rsidRPr="001B665C">
        <w:rPr>
          <w:lang w:val="fr-FR"/>
        </w:rPr>
        <w:t>, paragraphe 139.</w:t>
      </w:r>
    </w:p>
  </w:footnote>
  <w:footnote w:id="55">
    <w:p w14:paraId="2592DAE3" w14:textId="77777777" w:rsidR="00A0514B" w:rsidRPr="001B665C" w:rsidRDefault="00A0514B">
      <w:pPr>
        <w:pStyle w:val="FootnoteText"/>
        <w:rPr>
          <w:lang w:val="fr-FR"/>
        </w:rPr>
      </w:pPr>
      <w:r w:rsidRPr="001B665C">
        <w:rPr>
          <w:rStyle w:val="FootnoteReference"/>
          <w:lang w:val="fr-FR"/>
        </w:rPr>
        <w:footnoteRef/>
      </w:r>
      <w:r w:rsidRPr="001B665C">
        <w:rPr>
          <w:lang w:val="fr-FR"/>
        </w:rPr>
        <w:t xml:space="preserve"> CIDH</w:t>
      </w:r>
      <w:r w:rsidRPr="001B665C">
        <w:rPr>
          <w:bCs/>
          <w:lang w:val="fr-FR"/>
        </w:rPr>
        <w:t xml:space="preserve">. </w:t>
      </w:r>
      <w:r w:rsidRPr="001B665C">
        <w:rPr>
          <w:bCs/>
          <w:i/>
          <w:lang w:val="fr-FR"/>
        </w:rPr>
        <w:t>Affaire du défenseur des droits de l’Homme et autres contre le Guatemala</w:t>
      </w:r>
      <w:r w:rsidRPr="001B665C">
        <w:rPr>
          <w:bCs/>
          <w:lang w:val="fr-FR"/>
        </w:rPr>
        <w:t xml:space="preserve">. Exceptions préliminaires, </w:t>
      </w:r>
      <w:r w:rsidRPr="001B665C">
        <w:rPr>
          <w:rFonts w:ascii="Cambria" w:hAnsi="Cambria"/>
          <w:lang w:val="fr-FR"/>
        </w:rPr>
        <w:t>f</w:t>
      </w:r>
      <w:r w:rsidRPr="001B665C">
        <w:rPr>
          <w:lang w:val="fr-FR"/>
        </w:rPr>
        <w:t>ond, réparations et dépens</w:t>
      </w:r>
      <w:r w:rsidRPr="001B665C">
        <w:rPr>
          <w:bCs/>
          <w:lang w:val="fr-FR"/>
        </w:rPr>
        <w:t>. Arrêt du 28 août 2014. Série C, n°283 (</w:t>
      </w:r>
      <w:r w:rsidRPr="001B665C">
        <w:rPr>
          <w:lang w:val="fr-FR"/>
        </w:rPr>
        <w:t>Arrêt sur l’affaire</w:t>
      </w:r>
      <w:r w:rsidRPr="001B665C">
        <w:rPr>
          <w:bCs/>
          <w:lang w:val="fr-FR"/>
        </w:rPr>
        <w:t xml:space="preserve"> </w:t>
      </w:r>
      <w:r w:rsidRPr="001B665C">
        <w:rPr>
          <w:bCs/>
          <w:i/>
          <w:lang w:val="fr-FR"/>
        </w:rPr>
        <w:t>Défenseur des droits de l’Homme)</w:t>
      </w:r>
      <w:r w:rsidRPr="001B665C">
        <w:rPr>
          <w:bCs/>
          <w:lang w:val="fr-FR"/>
        </w:rPr>
        <w:t xml:space="preserve">, </w:t>
      </w:r>
      <w:r w:rsidRPr="001B665C">
        <w:rPr>
          <w:lang w:val="fr-FR"/>
        </w:rPr>
        <w:t>paragraphe</w:t>
      </w:r>
      <w:r w:rsidRPr="001B665C">
        <w:rPr>
          <w:bCs/>
          <w:lang w:val="fr-FR"/>
        </w:rPr>
        <w:t xml:space="preserve"> 166 ; </w:t>
      </w:r>
      <w:r w:rsidRPr="001B665C">
        <w:rPr>
          <w:lang w:val="fr-FR"/>
        </w:rPr>
        <w:t>Arrêt sur l’affaire</w:t>
      </w:r>
      <w:r w:rsidRPr="001B665C">
        <w:rPr>
          <w:i/>
          <w:lang w:val="fr-FR"/>
        </w:rPr>
        <w:t xml:space="preserve"> Massacres d’El Mozote et lieux avoisinants</w:t>
      </w:r>
      <w:r w:rsidRPr="001B665C">
        <w:rPr>
          <w:lang w:val="fr-FR"/>
        </w:rPr>
        <w:t xml:space="preserve">, paragraphe 188 ; </w:t>
      </w:r>
      <w:r w:rsidRPr="001B665C">
        <w:rPr>
          <w:bCs/>
          <w:i/>
          <w:lang w:val="fr-FR"/>
        </w:rPr>
        <w:t>Affaire Chitay Nech et autres contre le Guatemala.</w:t>
      </w:r>
      <w:r w:rsidRPr="001B665C">
        <w:rPr>
          <w:bCs/>
          <w:lang w:val="fr-FR"/>
        </w:rPr>
        <w:t xml:space="preserve"> Exceptions préliminaires, </w:t>
      </w:r>
      <w:r w:rsidRPr="001B665C">
        <w:rPr>
          <w:rFonts w:ascii="Cambria" w:hAnsi="Cambria"/>
          <w:lang w:val="fr-FR"/>
        </w:rPr>
        <w:t>f</w:t>
      </w:r>
      <w:r w:rsidRPr="001B665C">
        <w:rPr>
          <w:lang w:val="fr-FR"/>
        </w:rPr>
        <w:t>ond, réparations et dépens</w:t>
      </w:r>
      <w:r w:rsidRPr="001B665C">
        <w:rPr>
          <w:bCs/>
          <w:lang w:val="fr-FR"/>
        </w:rPr>
        <w:t xml:space="preserve">. </w:t>
      </w:r>
      <w:r w:rsidRPr="001B665C">
        <w:rPr>
          <w:lang w:val="fr-FR"/>
        </w:rPr>
        <w:t xml:space="preserve">Arrêt du </w:t>
      </w:r>
      <w:r w:rsidRPr="001B665C">
        <w:rPr>
          <w:bCs/>
          <w:lang w:val="fr-FR"/>
        </w:rPr>
        <w:t>25 mai 2010. Série C, n°212</w:t>
      </w:r>
      <w:r w:rsidRPr="001B665C">
        <w:rPr>
          <w:lang w:val="fr-FR"/>
        </w:rPr>
        <w:t>, paragraphe 149.</w:t>
      </w:r>
    </w:p>
  </w:footnote>
  <w:footnote w:id="56">
    <w:p w14:paraId="0DE3EDB1" w14:textId="77777777" w:rsidR="00A0514B" w:rsidRPr="001B665C" w:rsidRDefault="00A0514B">
      <w:pPr>
        <w:pStyle w:val="FootnoteText"/>
        <w:rPr>
          <w:lang w:val="fr-FR"/>
        </w:rPr>
      </w:pPr>
      <w:r w:rsidRPr="001B665C">
        <w:rPr>
          <w:rStyle w:val="FootnoteReference"/>
          <w:lang w:val="fr-FR"/>
        </w:rPr>
        <w:footnoteRef/>
      </w:r>
      <w:r w:rsidRPr="001B665C">
        <w:rPr>
          <w:lang w:val="fr-FR"/>
        </w:rPr>
        <w:t xml:space="preserve"> CIDH. Arrêt sur l’affaire</w:t>
      </w:r>
      <w:r w:rsidRPr="001B665C">
        <w:rPr>
          <w:bCs/>
          <w:lang w:val="fr-FR"/>
        </w:rPr>
        <w:t xml:space="preserve"> </w:t>
      </w:r>
      <w:r w:rsidRPr="001B665C">
        <w:rPr>
          <w:bCs/>
          <w:i/>
          <w:lang w:val="fr-FR"/>
        </w:rPr>
        <w:t>Défenseur des droits de l’Homme</w:t>
      </w:r>
      <w:r w:rsidRPr="001B665C">
        <w:rPr>
          <w:bCs/>
          <w:lang w:val="fr-FR"/>
        </w:rPr>
        <w:t xml:space="preserve">, </w:t>
      </w:r>
      <w:r w:rsidRPr="001B665C">
        <w:rPr>
          <w:lang w:val="fr-FR"/>
        </w:rPr>
        <w:t>paragraphe</w:t>
      </w:r>
      <w:r w:rsidRPr="001B665C">
        <w:rPr>
          <w:bCs/>
          <w:lang w:val="fr-FR"/>
        </w:rPr>
        <w:t xml:space="preserve"> 178.</w:t>
      </w:r>
    </w:p>
  </w:footnote>
  <w:footnote w:id="57">
    <w:p w14:paraId="7C224DC1" w14:textId="77777777" w:rsidR="00A0514B" w:rsidRPr="001B665C" w:rsidRDefault="00A0514B" w:rsidP="00325178">
      <w:pPr>
        <w:pStyle w:val="FootnoteText"/>
        <w:rPr>
          <w:lang w:val="fr-FR"/>
        </w:rPr>
      </w:pPr>
      <w:r w:rsidRPr="001B665C">
        <w:rPr>
          <w:rStyle w:val="FootnoteReference"/>
        </w:rPr>
        <w:footnoteRef/>
      </w:r>
      <w:r w:rsidRPr="001B665C">
        <w:rPr>
          <w:lang w:val="fr-FR"/>
        </w:rPr>
        <w:t xml:space="preserve"> L’article 8.1 de la Convention américaine établit, le cas échéant, ce qui suit : « </w:t>
      </w:r>
      <w:r w:rsidRPr="001B665C">
        <w:rPr>
          <w:bCs/>
          <w:lang w:val="fr-FR"/>
        </w:rPr>
        <w:t xml:space="preserve">Article 8. Garanties judiciaires. </w:t>
      </w:r>
      <w:r w:rsidRPr="001B665C">
        <w:rPr>
          <w:lang w:val="fr-FR"/>
        </w:rPr>
        <w:t>1. Toute personne a droit à ce que sa cause soit entendue avec les garanties voulues, dans un délai raisonnable, par un juge ou un tribunal compétent, indépendant et impartial, établi antérieurement par la loi, qui décidera du bien-fondé de toute accusation dirigée contre elle en matière pénale, ou déterminera ses droits et obligations en matière civile ainsi que dans les domaines du travail, de la fiscalité, ou dans tout autre domaine. […] »</w:t>
      </w:r>
    </w:p>
  </w:footnote>
  <w:footnote w:id="58">
    <w:p w14:paraId="4B0DD6A1" w14:textId="77777777" w:rsidR="00A0514B" w:rsidRPr="001B665C" w:rsidRDefault="00A0514B" w:rsidP="00325178">
      <w:pPr>
        <w:pStyle w:val="FootnoteText"/>
        <w:rPr>
          <w:lang w:val="fr-FR"/>
        </w:rPr>
      </w:pPr>
      <w:r w:rsidRPr="001B665C">
        <w:rPr>
          <w:rStyle w:val="FootnoteReference"/>
        </w:rPr>
        <w:footnoteRef/>
      </w:r>
      <w:r w:rsidRPr="001B665C">
        <w:rPr>
          <w:lang w:val="es-ES"/>
        </w:rPr>
        <w:t xml:space="preserve"> </w:t>
      </w:r>
      <w:r w:rsidRPr="001B665C">
        <w:rPr>
          <w:lang w:val="fr-FR"/>
        </w:rPr>
        <w:t>L’article 25.1 de la Convention américaine établit, le cas échéant, ce qui suit : « </w:t>
      </w:r>
      <w:r w:rsidRPr="001B665C">
        <w:rPr>
          <w:bCs/>
          <w:lang w:val="fr-FR"/>
        </w:rPr>
        <w:t xml:space="preserve">Article 25. Protection judiciaire. </w:t>
      </w:r>
      <w:r w:rsidRPr="001B665C">
        <w:rPr>
          <w:lang w:val="fr-FR"/>
        </w:rPr>
        <w:t xml:space="preserve">1. Toute personne a droit à un recours simple et rapide, ou à tout autre recours effectif devant les juges et tribunaux compétents, destiné à la protéger contre tous actes violant ses droits fondamentaux reconnus par la Constitution, par la loi ou par la présente Convention, </w:t>
      </w:r>
      <w:r w:rsidR="00860CF3" w:rsidRPr="001B665C">
        <w:rPr>
          <w:lang w:val="fr-FR"/>
        </w:rPr>
        <w:t>alors</w:t>
      </w:r>
      <w:r w:rsidRPr="001B665C">
        <w:rPr>
          <w:lang w:val="fr-FR"/>
        </w:rPr>
        <w:t xml:space="preserve"> même que ces violations auraient été commises par des personnes agissant dans l'exercice de fonctions officielles ».</w:t>
      </w:r>
    </w:p>
  </w:footnote>
  <w:footnote w:id="59">
    <w:p w14:paraId="6CEFBF85" w14:textId="77777777" w:rsidR="00A0514B" w:rsidRPr="001B665C" w:rsidRDefault="00A0514B" w:rsidP="00A04245">
      <w:pPr>
        <w:pStyle w:val="FootnoteText"/>
        <w:rPr>
          <w:lang w:val="fr-FR"/>
        </w:rPr>
      </w:pPr>
      <w:r w:rsidRPr="001B665C">
        <w:rPr>
          <w:rStyle w:val="FootnoteReference"/>
        </w:rPr>
        <w:footnoteRef/>
      </w:r>
      <w:r w:rsidRPr="001B665C">
        <w:rPr>
          <w:lang w:val="es-MX"/>
        </w:rPr>
        <w:t xml:space="preserve"> </w:t>
      </w:r>
      <w:r w:rsidRPr="001B665C">
        <w:rPr>
          <w:lang w:val="fr-FR"/>
        </w:rPr>
        <w:t xml:space="preserve">CIDH. </w:t>
      </w:r>
      <w:r w:rsidRPr="001B665C">
        <w:rPr>
          <w:i/>
          <w:lang w:val="fr-FR"/>
        </w:rPr>
        <w:t>Affaire Velásquez Rodríguez contre le Honduras</w:t>
      </w:r>
      <w:r w:rsidRPr="001B665C">
        <w:rPr>
          <w:lang w:val="fr-FR"/>
        </w:rPr>
        <w:t xml:space="preserve">. Exceptions préliminaires. </w:t>
      </w:r>
      <w:r w:rsidRPr="001B665C">
        <w:rPr>
          <w:rFonts w:eastAsia="Times New Roman"/>
          <w:bCs/>
          <w:color w:val="auto"/>
          <w:lang w:val="fr-FR"/>
        </w:rPr>
        <w:t xml:space="preserve">Arrêt du </w:t>
      </w:r>
      <w:r w:rsidRPr="001B665C">
        <w:rPr>
          <w:lang w:val="fr-FR"/>
        </w:rPr>
        <w:t xml:space="preserve">26 juin 1987. Série C, n°1, paragraphe 91. Se reporter également aux documents suivants : Arrêt sur l’affaire </w:t>
      </w:r>
      <w:r w:rsidRPr="001B665C">
        <w:rPr>
          <w:i/>
          <w:lang w:val="fr-FR"/>
        </w:rPr>
        <w:t>Massacre de Las Dos Erres</w:t>
      </w:r>
      <w:r w:rsidRPr="001B665C">
        <w:rPr>
          <w:lang w:val="fr-FR"/>
        </w:rPr>
        <w:t xml:space="preserve">, paragraphe 104 ; </w:t>
      </w:r>
      <w:r w:rsidRPr="001B665C">
        <w:rPr>
          <w:bCs/>
          <w:i/>
          <w:lang w:val="fr-FR"/>
        </w:rPr>
        <w:t>Affaire Zambrano Vélez et autres contre l’Équateur.</w:t>
      </w:r>
      <w:r w:rsidRPr="001B665C">
        <w:rPr>
          <w:bCs/>
          <w:lang w:val="fr-FR"/>
        </w:rPr>
        <w:t xml:space="preserve"> Exceptions préliminaires, </w:t>
      </w:r>
      <w:r w:rsidRPr="001B665C">
        <w:rPr>
          <w:rFonts w:ascii="Cambria" w:hAnsi="Cambria"/>
          <w:lang w:val="fr-FR"/>
        </w:rPr>
        <w:t>f</w:t>
      </w:r>
      <w:r w:rsidRPr="001B665C">
        <w:rPr>
          <w:lang w:val="fr-FR"/>
        </w:rPr>
        <w:t xml:space="preserve">ond, réparations et dépens. </w:t>
      </w:r>
      <w:r w:rsidRPr="001B665C">
        <w:rPr>
          <w:rFonts w:eastAsia="Times New Roman"/>
          <w:bCs/>
          <w:color w:val="auto"/>
          <w:lang w:val="fr-FR"/>
        </w:rPr>
        <w:t xml:space="preserve">Arrêt du </w:t>
      </w:r>
      <w:r w:rsidRPr="001B665C">
        <w:rPr>
          <w:lang w:val="fr-FR"/>
        </w:rPr>
        <w:t xml:space="preserve">4 juillet 2007. Série C, n°166, paragraphe 114 ; </w:t>
      </w:r>
      <w:r w:rsidRPr="001B665C">
        <w:rPr>
          <w:i/>
          <w:lang w:val="fr-FR"/>
        </w:rPr>
        <w:t>Affaire de la prison Miguel Castro Castro contre le Pérou</w:t>
      </w:r>
      <w:r w:rsidRPr="001B665C">
        <w:rPr>
          <w:lang w:val="fr-FR"/>
        </w:rPr>
        <w:t xml:space="preserve">. </w:t>
      </w:r>
      <w:r w:rsidRPr="001B665C">
        <w:rPr>
          <w:bCs/>
          <w:lang w:val="fr-FR"/>
        </w:rPr>
        <w:t>F</w:t>
      </w:r>
      <w:r w:rsidRPr="001B665C">
        <w:rPr>
          <w:lang w:val="fr-FR"/>
        </w:rPr>
        <w:t xml:space="preserve">ond, réparations et dépens. </w:t>
      </w:r>
      <w:r w:rsidRPr="001B665C">
        <w:rPr>
          <w:rFonts w:eastAsia="Times New Roman"/>
          <w:bCs/>
          <w:color w:val="auto"/>
          <w:lang w:val="fr-FR"/>
        </w:rPr>
        <w:t xml:space="preserve">Arrêt du </w:t>
      </w:r>
      <w:r w:rsidRPr="001B665C">
        <w:rPr>
          <w:lang w:val="fr-FR"/>
        </w:rPr>
        <w:t>25 novembre 2006. Série C, n°160, paragraphe 381.</w:t>
      </w:r>
    </w:p>
  </w:footnote>
  <w:footnote w:id="60">
    <w:p w14:paraId="449333C6" w14:textId="77777777" w:rsidR="00A0514B" w:rsidRPr="001B665C" w:rsidRDefault="00A0514B" w:rsidP="00A04245">
      <w:pPr>
        <w:pStyle w:val="FootnoteText"/>
        <w:rPr>
          <w:lang w:val="fr-FR"/>
        </w:rPr>
      </w:pPr>
      <w:r w:rsidRPr="001B665C">
        <w:rPr>
          <w:rStyle w:val="FootnoteReference"/>
          <w:lang w:val="fr-FR"/>
        </w:rPr>
        <w:footnoteRef/>
      </w:r>
      <w:r w:rsidRPr="001B665C">
        <w:rPr>
          <w:lang w:val="fr-FR"/>
        </w:rPr>
        <w:t xml:space="preserve"> </w:t>
      </w:r>
      <w:r w:rsidRPr="001B665C">
        <w:rPr>
          <w:bCs/>
          <w:lang w:val="fr-FR"/>
        </w:rPr>
        <w:t xml:space="preserve">CIDH. </w:t>
      </w:r>
      <w:r w:rsidRPr="001B665C">
        <w:rPr>
          <w:bCs/>
          <w:i/>
          <w:lang w:val="fr-FR"/>
        </w:rPr>
        <w:t>Affaire García Prieto et autre contre El Salvador</w:t>
      </w:r>
      <w:r w:rsidRPr="001B665C">
        <w:rPr>
          <w:bCs/>
          <w:lang w:val="fr-FR"/>
        </w:rPr>
        <w:t xml:space="preserve">. Exceptions préliminaires, </w:t>
      </w:r>
      <w:r w:rsidRPr="001B665C">
        <w:rPr>
          <w:rFonts w:ascii="Cambria" w:hAnsi="Cambria"/>
          <w:lang w:val="fr-FR"/>
        </w:rPr>
        <w:t>f</w:t>
      </w:r>
      <w:r w:rsidRPr="001B665C">
        <w:rPr>
          <w:lang w:val="fr-FR"/>
        </w:rPr>
        <w:t>ond, réparations et dépens</w:t>
      </w:r>
      <w:r w:rsidRPr="001B665C">
        <w:rPr>
          <w:bCs/>
          <w:lang w:val="fr-FR"/>
        </w:rPr>
        <w:t xml:space="preserve">. </w:t>
      </w:r>
      <w:r w:rsidRPr="001B665C">
        <w:rPr>
          <w:rFonts w:eastAsia="Times New Roman"/>
          <w:bCs/>
          <w:color w:val="auto"/>
          <w:lang w:val="fr-FR"/>
        </w:rPr>
        <w:t xml:space="preserve">Arrêt du </w:t>
      </w:r>
      <w:r w:rsidRPr="001B665C">
        <w:rPr>
          <w:bCs/>
          <w:lang w:val="fr-FR"/>
        </w:rPr>
        <w:t xml:space="preserve">20 novembre 2007. Série C, n°168, </w:t>
      </w:r>
      <w:r w:rsidRPr="001B665C">
        <w:rPr>
          <w:lang w:val="fr-FR"/>
        </w:rPr>
        <w:t>paragraphe</w:t>
      </w:r>
      <w:r w:rsidRPr="001B665C">
        <w:rPr>
          <w:bCs/>
          <w:lang w:val="fr-FR"/>
        </w:rPr>
        <w:t xml:space="preserve"> 101.</w:t>
      </w:r>
    </w:p>
  </w:footnote>
  <w:footnote w:id="61">
    <w:p w14:paraId="5E36007B" w14:textId="77777777" w:rsidR="00A0514B" w:rsidRPr="001B665C" w:rsidRDefault="00A0514B">
      <w:pPr>
        <w:pStyle w:val="FootnoteText"/>
        <w:rPr>
          <w:lang w:val="fr-FR"/>
        </w:rPr>
      </w:pPr>
      <w:r w:rsidRPr="001B665C">
        <w:rPr>
          <w:rStyle w:val="FootnoteReference"/>
        </w:rPr>
        <w:footnoteRef/>
      </w:r>
      <w:r w:rsidRPr="001B665C">
        <w:rPr>
          <w:lang w:val="fr-FR"/>
        </w:rPr>
        <w:t xml:space="preserve"> CIDH. </w:t>
      </w:r>
      <w:r w:rsidRPr="001B665C">
        <w:rPr>
          <w:i/>
          <w:iCs/>
          <w:lang w:val="fr-FR"/>
        </w:rPr>
        <w:t xml:space="preserve">Affaire des enfants de la rue (Villagrán Morales et autres) contre le Guatemala. </w:t>
      </w:r>
      <w:r w:rsidRPr="001B665C">
        <w:rPr>
          <w:iCs/>
          <w:lang w:val="fr-FR"/>
        </w:rPr>
        <w:t xml:space="preserve">Fond. </w:t>
      </w:r>
      <w:r w:rsidRPr="001B665C">
        <w:rPr>
          <w:rFonts w:eastAsia="Times New Roman"/>
          <w:bCs/>
          <w:color w:val="auto"/>
          <w:lang w:val="fr-FR"/>
        </w:rPr>
        <w:t xml:space="preserve">Arrêt du </w:t>
      </w:r>
      <w:r w:rsidRPr="001B665C">
        <w:rPr>
          <w:iCs/>
          <w:lang w:val="fr-FR"/>
        </w:rPr>
        <w:t xml:space="preserve">19 novembre 1999. Série C, n°63, </w:t>
      </w:r>
      <w:r w:rsidRPr="001B665C">
        <w:rPr>
          <w:lang w:val="fr-FR"/>
        </w:rPr>
        <w:t>paragraphe</w:t>
      </w:r>
      <w:r w:rsidRPr="001B665C">
        <w:rPr>
          <w:iCs/>
          <w:lang w:val="fr-FR"/>
        </w:rPr>
        <w:t xml:space="preserve"> 146.</w:t>
      </w:r>
    </w:p>
  </w:footnote>
  <w:footnote w:id="62">
    <w:p w14:paraId="58BD4872" w14:textId="77777777" w:rsidR="00A0514B" w:rsidRPr="001B665C" w:rsidRDefault="00A0514B" w:rsidP="00A04245">
      <w:pPr>
        <w:pStyle w:val="FootnoteText"/>
        <w:rPr>
          <w:lang w:val="pt-BR"/>
        </w:rPr>
      </w:pPr>
      <w:r w:rsidRPr="001B665C">
        <w:rPr>
          <w:rStyle w:val="FootnoteReference"/>
          <w:lang w:val="fr-FR"/>
        </w:rPr>
        <w:footnoteRef/>
      </w:r>
      <w:r w:rsidRPr="001B665C">
        <w:rPr>
          <w:lang w:val="fr-FR"/>
        </w:rPr>
        <w:t xml:space="preserve"> </w:t>
      </w:r>
      <w:r w:rsidRPr="001B665C">
        <w:rPr>
          <w:bCs/>
          <w:lang w:val="fr-FR"/>
        </w:rPr>
        <w:t xml:space="preserve">CIDH. </w:t>
      </w:r>
      <w:r w:rsidRPr="001B665C">
        <w:rPr>
          <w:bCs/>
          <w:i/>
          <w:lang w:val="fr-FR"/>
        </w:rPr>
        <w:t>Affaire Velásquez Rodríguez contre le Honduras</w:t>
      </w:r>
      <w:r w:rsidRPr="001B665C">
        <w:rPr>
          <w:bCs/>
          <w:lang w:val="fr-FR"/>
        </w:rPr>
        <w:t xml:space="preserve">. Fond. </w:t>
      </w:r>
      <w:r w:rsidRPr="001B665C">
        <w:rPr>
          <w:rFonts w:eastAsia="Times New Roman"/>
          <w:bCs/>
          <w:color w:val="auto"/>
          <w:lang w:val="fr-FR"/>
        </w:rPr>
        <w:t xml:space="preserve">Arrêt du </w:t>
      </w:r>
      <w:r w:rsidRPr="001B665C">
        <w:rPr>
          <w:bCs/>
          <w:lang w:val="fr-FR"/>
        </w:rPr>
        <w:t xml:space="preserve">29 juillet 1988. Série C, n°4, </w:t>
      </w:r>
      <w:r w:rsidRPr="001B665C">
        <w:rPr>
          <w:lang w:val="fr-FR"/>
        </w:rPr>
        <w:t>paragraphe</w:t>
      </w:r>
      <w:r w:rsidRPr="001B665C">
        <w:rPr>
          <w:bCs/>
          <w:lang w:val="fr-FR"/>
        </w:rPr>
        <w:t xml:space="preserve"> 177.</w:t>
      </w:r>
    </w:p>
  </w:footnote>
  <w:footnote w:id="63">
    <w:p w14:paraId="70912E7A" w14:textId="77777777" w:rsidR="00A0514B" w:rsidRPr="001B665C" w:rsidRDefault="00A0514B" w:rsidP="00F1453D">
      <w:pPr>
        <w:pStyle w:val="FootnoteText"/>
        <w:rPr>
          <w:lang w:val="fr-FR"/>
        </w:rPr>
      </w:pPr>
      <w:r w:rsidRPr="001B665C">
        <w:rPr>
          <w:rStyle w:val="FootnoteReference"/>
        </w:rPr>
        <w:footnoteRef/>
      </w:r>
      <w:r w:rsidRPr="001B665C">
        <w:rPr>
          <w:lang w:val="pt-BR"/>
        </w:rPr>
        <w:t xml:space="preserve"> </w:t>
      </w:r>
      <w:r w:rsidRPr="001B665C">
        <w:rPr>
          <w:lang w:val="fr-FR"/>
        </w:rPr>
        <w:t xml:space="preserve">Nations Unies. </w:t>
      </w:r>
      <w:r w:rsidRPr="001B665C">
        <w:rPr>
          <w:rFonts w:eastAsia="Times New Roman"/>
          <w:bCs/>
          <w:i/>
          <w:color w:val="auto"/>
          <w:lang w:val="fr-FR"/>
        </w:rPr>
        <w:t>Protocole du Minnesota relatif aux enquêtes sur les homicides résultant potentiellement d'actes illégaux</w:t>
      </w:r>
      <w:r w:rsidRPr="001B665C">
        <w:rPr>
          <w:lang w:val="fr-FR"/>
        </w:rPr>
        <w:t xml:space="preserve"> (2016), </w:t>
      </w:r>
      <w:r w:rsidRPr="001B665C">
        <w:rPr>
          <w:rFonts w:eastAsia="Times New Roman"/>
          <w:bCs/>
          <w:color w:val="auto"/>
          <w:lang w:val="fr-FR"/>
        </w:rPr>
        <w:t>Haut-Commissariat des Nations Unies aux droits de l'homme</w:t>
      </w:r>
      <w:r w:rsidRPr="001B665C">
        <w:rPr>
          <w:lang w:val="fr-FR"/>
        </w:rPr>
        <w:t>, New York et Genève, 2017 (</w:t>
      </w:r>
      <w:r w:rsidRPr="001B665C">
        <w:rPr>
          <w:i/>
          <w:lang w:val="fr-FR"/>
        </w:rPr>
        <w:t>Protocole du Minnesota</w:t>
      </w:r>
      <w:r w:rsidRPr="001B665C">
        <w:rPr>
          <w:lang w:val="fr-FR"/>
        </w:rPr>
        <w:t>).</w:t>
      </w:r>
    </w:p>
  </w:footnote>
  <w:footnote w:id="64">
    <w:p w14:paraId="0CB10233" w14:textId="77777777" w:rsidR="00A0514B" w:rsidRPr="001B665C" w:rsidRDefault="00A0514B">
      <w:pPr>
        <w:pStyle w:val="FootnoteText"/>
        <w:rPr>
          <w:lang w:val="fr-FR"/>
        </w:rPr>
      </w:pPr>
      <w:r w:rsidRPr="001B665C">
        <w:rPr>
          <w:rStyle w:val="FootnoteReference"/>
          <w:lang w:val="fr-FR"/>
        </w:rPr>
        <w:footnoteRef/>
      </w:r>
      <w:r w:rsidRPr="001B665C">
        <w:rPr>
          <w:lang w:val="fr-FR"/>
        </w:rPr>
        <w:t xml:space="preserve"> </w:t>
      </w:r>
      <w:r w:rsidRPr="001B665C">
        <w:rPr>
          <w:rFonts w:eastAsia="Times New Roman"/>
          <w:bCs/>
          <w:color w:val="auto"/>
          <w:lang w:val="fr-FR"/>
        </w:rPr>
        <w:t xml:space="preserve">CIDH. </w:t>
      </w:r>
      <w:r w:rsidRPr="001B665C">
        <w:rPr>
          <w:rFonts w:eastAsia="Times New Roman"/>
          <w:bCs/>
          <w:i/>
          <w:color w:val="auto"/>
          <w:lang w:val="fr-FR"/>
        </w:rPr>
        <w:t xml:space="preserve">Affaire Ortiz Hernández et autres contre le Venezuela. </w:t>
      </w:r>
      <w:r w:rsidRPr="001B665C">
        <w:rPr>
          <w:bCs/>
          <w:lang w:val="fr-FR"/>
        </w:rPr>
        <w:t>F</w:t>
      </w:r>
      <w:r w:rsidRPr="001B665C">
        <w:rPr>
          <w:lang w:val="fr-FR"/>
        </w:rPr>
        <w:t>ond, réparations et dépens</w:t>
      </w:r>
      <w:r w:rsidRPr="001B665C">
        <w:rPr>
          <w:rFonts w:eastAsia="Times New Roman"/>
          <w:bCs/>
          <w:color w:val="auto"/>
          <w:lang w:val="fr-FR"/>
        </w:rPr>
        <w:t xml:space="preserve">. Arrêt du 22 août 2017. Série C, n°338, </w:t>
      </w:r>
      <w:r w:rsidRPr="001B665C">
        <w:rPr>
          <w:lang w:val="fr-FR"/>
        </w:rPr>
        <w:t>paragraphe</w:t>
      </w:r>
      <w:r w:rsidRPr="001B665C">
        <w:rPr>
          <w:rFonts w:eastAsia="Times New Roman"/>
          <w:bCs/>
          <w:color w:val="auto"/>
          <w:lang w:val="fr-FR"/>
        </w:rPr>
        <w:t xml:space="preserve"> 161.</w:t>
      </w:r>
    </w:p>
  </w:footnote>
  <w:footnote w:id="65">
    <w:p w14:paraId="7DAE0603" w14:textId="77777777" w:rsidR="00A0514B" w:rsidRPr="001B665C" w:rsidRDefault="00A0514B">
      <w:pPr>
        <w:pStyle w:val="FootnoteText"/>
        <w:rPr>
          <w:lang w:val="fr-FR"/>
        </w:rPr>
      </w:pPr>
      <w:r w:rsidRPr="001B665C">
        <w:rPr>
          <w:rStyle w:val="FootnoteReference"/>
          <w:lang w:val="fr-FR"/>
        </w:rPr>
        <w:footnoteRef/>
      </w:r>
      <w:r w:rsidRPr="001B665C">
        <w:rPr>
          <w:lang w:val="fr-FR"/>
        </w:rPr>
        <w:t xml:space="preserve"> Nations Unies. </w:t>
      </w:r>
      <w:r w:rsidRPr="001B665C">
        <w:rPr>
          <w:i/>
          <w:lang w:val="fr-FR"/>
        </w:rPr>
        <w:t>Protocole du Minnesota</w:t>
      </w:r>
      <w:r w:rsidRPr="001B665C">
        <w:rPr>
          <w:lang w:val="fr-FR"/>
        </w:rPr>
        <w:t>, paragraphe 25.</w:t>
      </w:r>
    </w:p>
  </w:footnote>
  <w:footnote w:id="66">
    <w:p w14:paraId="182996BB" w14:textId="77777777" w:rsidR="00A0514B" w:rsidRPr="001B665C" w:rsidRDefault="00A0514B" w:rsidP="001C1F09">
      <w:pPr>
        <w:pStyle w:val="FootnoteText"/>
        <w:rPr>
          <w:rFonts w:ascii="Cambria" w:hAnsi="Cambria"/>
          <w:lang w:val="fr-FR"/>
        </w:rPr>
      </w:pPr>
      <w:r w:rsidRPr="001B665C">
        <w:rPr>
          <w:rStyle w:val="FootnoteReference"/>
          <w:rFonts w:ascii="Cambria" w:hAnsi="Cambria"/>
          <w:lang w:val="fr-FR"/>
        </w:rPr>
        <w:footnoteRef/>
      </w:r>
      <w:r w:rsidRPr="001B665C">
        <w:rPr>
          <w:rFonts w:ascii="Cambria" w:hAnsi="Cambria"/>
          <w:lang w:val="fr-FR"/>
        </w:rPr>
        <w:t xml:space="preserve"> CIDH, </w:t>
      </w:r>
      <w:r w:rsidRPr="001B665C">
        <w:rPr>
          <w:rFonts w:ascii="Cambria" w:hAnsi="Cambria"/>
          <w:i/>
          <w:lang w:val="fr-FR"/>
        </w:rPr>
        <w:t>Deuxième rapport</w:t>
      </w:r>
      <w:r w:rsidRPr="001B665C">
        <w:rPr>
          <w:rFonts w:ascii="Cambria" w:hAnsi="Cambria"/>
          <w:lang w:val="fr-FR"/>
        </w:rPr>
        <w:t xml:space="preserve"> </w:t>
      </w:r>
      <w:r w:rsidRPr="001B665C">
        <w:rPr>
          <w:rFonts w:ascii="Cambria" w:hAnsi="Cambria"/>
          <w:i/>
          <w:lang w:val="fr-FR"/>
        </w:rPr>
        <w:t>sur la situation des défenseurs des droits de l’Homme dans les Amériques</w:t>
      </w:r>
      <w:r w:rsidRPr="001B665C">
        <w:rPr>
          <w:rFonts w:ascii="Cambria" w:hAnsi="Cambria"/>
          <w:lang w:val="fr-FR"/>
        </w:rPr>
        <w:t xml:space="preserve">, OEA/ser.L/V/II.Doc.66, 31 décembre 2011, </w:t>
      </w:r>
      <w:r w:rsidRPr="001B665C">
        <w:rPr>
          <w:lang w:val="fr-FR"/>
        </w:rPr>
        <w:t>paragraphe</w:t>
      </w:r>
      <w:r w:rsidRPr="001B665C">
        <w:rPr>
          <w:rFonts w:ascii="Cambria" w:hAnsi="Cambria"/>
          <w:lang w:val="fr-FR"/>
        </w:rPr>
        <w:t xml:space="preserve"> 45.</w:t>
      </w:r>
    </w:p>
  </w:footnote>
  <w:footnote w:id="67">
    <w:p w14:paraId="0E883E4E" w14:textId="77777777" w:rsidR="00A0514B" w:rsidRPr="001B665C" w:rsidRDefault="00A0514B" w:rsidP="0050521B">
      <w:pPr>
        <w:pStyle w:val="FootnoteText"/>
        <w:rPr>
          <w:rFonts w:ascii="Cambria" w:hAnsi="Cambria"/>
          <w:lang w:val="fr-FR"/>
        </w:rPr>
      </w:pPr>
      <w:r w:rsidRPr="001B665C">
        <w:rPr>
          <w:rStyle w:val="FootnoteReference"/>
          <w:rFonts w:ascii="Cambria" w:hAnsi="Cambria"/>
          <w:lang w:val="fr-FR"/>
        </w:rPr>
        <w:footnoteRef/>
      </w:r>
      <w:r w:rsidRPr="001B665C">
        <w:rPr>
          <w:rFonts w:ascii="Cambria" w:hAnsi="Cambria" w:cs="Arial"/>
          <w:lang w:val="fr-FR"/>
        </w:rPr>
        <w:t xml:space="preserve"> </w:t>
      </w:r>
      <w:r w:rsidRPr="001B665C">
        <w:rPr>
          <w:rFonts w:eastAsia="Times New Roman"/>
          <w:bCs/>
          <w:color w:val="auto"/>
          <w:lang w:val="fr-FR"/>
        </w:rPr>
        <w:t>CIDH</w:t>
      </w:r>
      <w:r w:rsidRPr="001B665C">
        <w:rPr>
          <w:rFonts w:ascii="Cambria" w:hAnsi="Cambria"/>
          <w:lang w:val="fr-FR"/>
        </w:rPr>
        <w:t xml:space="preserve">. Arrêt sur l’affaire </w:t>
      </w:r>
      <w:r w:rsidRPr="001B665C">
        <w:rPr>
          <w:rFonts w:ascii="Cambria" w:hAnsi="Cambria"/>
          <w:i/>
          <w:lang w:val="fr-FR"/>
        </w:rPr>
        <w:t>Communauté Moiwana</w:t>
      </w:r>
      <w:r w:rsidRPr="001B665C">
        <w:rPr>
          <w:rFonts w:ascii="Cambria" w:hAnsi="Cambria"/>
          <w:lang w:val="fr-FR"/>
        </w:rPr>
        <w:t xml:space="preserve">, </w:t>
      </w:r>
      <w:r w:rsidRPr="001B665C">
        <w:rPr>
          <w:lang w:val="fr-FR"/>
        </w:rPr>
        <w:t>paragraphe</w:t>
      </w:r>
      <w:r w:rsidRPr="001B665C">
        <w:rPr>
          <w:rFonts w:ascii="Cambria" w:hAnsi="Cambria"/>
          <w:lang w:val="fr-FR"/>
        </w:rPr>
        <w:t xml:space="preserve"> 160 ; </w:t>
      </w:r>
      <w:r w:rsidRPr="001B665C">
        <w:rPr>
          <w:rFonts w:ascii="Cambria" w:hAnsi="Cambria"/>
          <w:i/>
          <w:lang w:val="fr-FR"/>
        </w:rPr>
        <w:t>Affaire Gómez Palomino contre le Pérou</w:t>
      </w:r>
      <w:r w:rsidRPr="001B665C">
        <w:rPr>
          <w:rFonts w:ascii="Cambria" w:hAnsi="Cambria"/>
          <w:lang w:val="fr-FR"/>
        </w:rPr>
        <w:t xml:space="preserve">. </w:t>
      </w:r>
      <w:r w:rsidRPr="001B665C">
        <w:rPr>
          <w:bCs/>
          <w:lang w:val="fr-FR"/>
        </w:rPr>
        <w:t>F</w:t>
      </w:r>
      <w:r w:rsidRPr="001B665C">
        <w:rPr>
          <w:lang w:val="fr-FR"/>
        </w:rPr>
        <w:t>ond, réparations et dépens</w:t>
      </w:r>
      <w:r w:rsidRPr="001B665C">
        <w:rPr>
          <w:rFonts w:ascii="Cambria" w:hAnsi="Cambria"/>
          <w:lang w:val="fr-FR"/>
        </w:rPr>
        <w:t xml:space="preserve">. </w:t>
      </w:r>
      <w:r w:rsidRPr="001B665C">
        <w:rPr>
          <w:rFonts w:eastAsia="Times New Roman"/>
          <w:bCs/>
          <w:color w:val="auto"/>
          <w:lang w:val="fr-FR"/>
        </w:rPr>
        <w:t xml:space="preserve">Arrêt du </w:t>
      </w:r>
      <w:r w:rsidRPr="001B665C">
        <w:rPr>
          <w:rFonts w:ascii="Cambria" w:hAnsi="Cambria"/>
          <w:lang w:val="fr-FR"/>
        </w:rPr>
        <w:t xml:space="preserve">22 novembre 2005. Série C, n°136, </w:t>
      </w:r>
      <w:r w:rsidRPr="001B665C">
        <w:rPr>
          <w:lang w:val="fr-FR"/>
        </w:rPr>
        <w:t>paragraphe</w:t>
      </w:r>
      <w:r w:rsidRPr="001B665C">
        <w:rPr>
          <w:rFonts w:ascii="Cambria" w:hAnsi="Cambria"/>
          <w:lang w:val="fr-FR"/>
        </w:rPr>
        <w:t xml:space="preserve"> </w:t>
      </w:r>
      <w:r w:rsidRPr="001B665C">
        <w:rPr>
          <w:rFonts w:ascii="Cambria" w:hAnsi="Cambria" w:cs="Arial"/>
          <w:lang w:val="fr-FR"/>
        </w:rPr>
        <w:t xml:space="preserve">85 ; </w:t>
      </w:r>
      <w:r w:rsidRPr="001B665C">
        <w:rPr>
          <w:rFonts w:ascii="Cambria" w:hAnsi="Cambria"/>
          <w:i/>
          <w:lang w:val="fr-FR"/>
        </w:rPr>
        <w:t>Affaire García Asto et Ramírez Rojas contre le Pérou</w:t>
      </w:r>
      <w:r w:rsidRPr="001B665C">
        <w:rPr>
          <w:rFonts w:ascii="Cambria" w:hAnsi="Cambria"/>
          <w:lang w:val="fr-FR"/>
        </w:rPr>
        <w:t xml:space="preserve">. </w:t>
      </w:r>
      <w:r w:rsidRPr="001B665C">
        <w:rPr>
          <w:bCs/>
          <w:lang w:val="fr-FR"/>
        </w:rPr>
        <w:t>F</w:t>
      </w:r>
      <w:r w:rsidRPr="001B665C">
        <w:rPr>
          <w:lang w:val="fr-FR"/>
        </w:rPr>
        <w:t>ond, réparations et dépens</w:t>
      </w:r>
      <w:r w:rsidRPr="001B665C">
        <w:rPr>
          <w:rFonts w:ascii="Cambria" w:hAnsi="Cambria"/>
          <w:lang w:val="fr-FR"/>
        </w:rPr>
        <w:t xml:space="preserve">. </w:t>
      </w:r>
      <w:r w:rsidRPr="001B665C">
        <w:rPr>
          <w:rFonts w:eastAsia="Times New Roman"/>
          <w:bCs/>
          <w:color w:val="auto"/>
          <w:lang w:val="fr-FR"/>
        </w:rPr>
        <w:t xml:space="preserve">Arrêt du </w:t>
      </w:r>
      <w:r w:rsidRPr="001B665C">
        <w:rPr>
          <w:rFonts w:ascii="Cambria" w:hAnsi="Cambria"/>
          <w:lang w:val="fr-FR"/>
        </w:rPr>
        <w:t>25 novembre 2005. Série C, n°137</w:t>
      </w:r>
      <w:r w:rsidRPr="001B665C">
        <w:rPr>
          <w:rFonts w:ascii="Cambria" w:hAnsi="Cambria" w:cs="Arial"/>
          <w:iCs/>
          <w:lang w:val="fr-FR"/>
        </w:rPr>
        <w:t xml:space="preserve">, </w:t>
      </w:r>
      <w:r w:rsidRPr="001B665C">
        <w:rPr>
          <w:lang w:val="fr-FR"/>
        </w:rPr>
        <w:t>paragraphe</w:t>
      </w:r>
      <w:r w:rsidRPr="001B665C">
        <w:rPr>
          <w:rFonts w:ascii="Cambria" w:hAnsi="Cambria" w:cs="Arial"/>
          <w:iCs/>
          <w:lang w:val="fr-FR"/>
        </w:rPr>
        <w:t xml:space="preserve"> 166. </w:t>
      </w:r>
    </w:p>
  </w:footnote>
  <w:footnote w:id="68">
    <w:p w14:paraId="1BCAFCEC" w14:textId="77777777" w:rsidR="00A0514B" w:rsidRPr="001B665C" w:rsidRDefault="00A0514B" w:rsidP="0050521B">
      <w:pPr>
        <w:pStyle w:val="FootnoteText"/>
        <w:rPr>
          <w:rFonts w:ascii="Cambria" w:hAnsi="Cambria"/>
          <w:lang w:val="fr-FR"/>
        </w:rPr>
      </w:pPr>
      <w:r w:rsidRPr="001B665C">
        <w:rPr>
          <w:rStyle w:val="FootnoteReference"/>
          <w:rFonts w:ascii="Cambria" w:hAnsi="Cambria"/>
          <w:lang w:val="fr-FR"/>
        </w:rPr>
        <w:footnoteRef/>
      </w:r>
      <w:r w:rsidRPr="001B665C">
        <w:rPr>
          <w:rFonts w:ascii="Cambria" w:hAnsi="Cambria"/>
          <w:lang w:val="fr-FR"/>
        </w:rPr>
        <w:t xml:space="preserve"> </w:t>
      </w:r>
      <w:r w:rsidRPr="001B665C">
        <w:rPr>
          <w:rFonts w:eastAsia="Times New Roman"/>
          <w:bCs/>
          <w:color w:val="auto"/>
          <w:lang w:val="fr-FR"/>
        </w:rPr>
        <w:t>CIDH</w:t>
      </w:r>
      <w:r w:rsidRPr="001B665C">
        <w:rPr>
          <w:rFonts w:ascii="Cambria" w:hAnsi="Cambria"/>
          <w:lang w:val="fr-FR"/>
        </w:rPr>
        <w:t xml:space="preserve">. Arrêt sur l’affaire </w:t>
      </w:r>
      <w:r w:rsidRPr="001B665C">
        <w:rPr>
          <w:rFonts w:ascii="Cambria" w:hAnsi="Cambria"/>
          <w:i/>
          <w:lang w:val="fr-FR"/>
        </w:rPr>
        <w:t>Ricardo Canese</w:t>
      </w:r>
      <w:r w:rsidRPr="001B665C">
        <w:rPr>
          <w:rFonts w:ascii="Cambria" w:hAnsi="Cambria"/>
          <w:lang w:val="fr-FR"/>
        </w:rPr>
        <w:t xml:space="preserve">, </w:t>
      </w:r>
      <w:r w:rsidRPr="001B665C">
        <w:rPr>
          <w:lang w:val="fr-FR"/>
        </w:rPr>
        <w:t>paragraphe</w:t>
      </w:r>
      <w:r w:rsidRPr="001B665C">
        <w:rPr>
          <w:rFonts w:ascii="Cambria" w:hAnsi="Cambria" w:cs="Arial"/>
          <w:lang w:val="fr-FR"/>
        </w:rPr>
        <w:t xml:space="preserve"> 142.</w:t>
      </w:r>
    </w:p>
  </w:footnote>
  <w:footnote w:id="69">
    <w:p w14:paraId="5555A141" w14:textId="77777777" w:rsidR="00A0514B" w:rsidRPr="001B665C" w:rsidRDefault="00A0514B" w:rsidP="0050521B">
      <w:pPr>
        <w:pStyle w:val="FootnoteText"/>
        <w:rPr>
          <w:rFonts w:ascii="Cambria" w:hAnsi="Cambria"/>
          <w:lang w:val="fr-FR"/>
        </w:rPr>
      </w:pPr>
      <w:r w:rsidRPr="001B665C">
        <w:rPr>
          <w:rStyle w:val="FootnoteReference"/>
          <w:rFonts w:ascii="Cambria" w:hAnsi="Cambria"/>
          <w:lang w:val="fr-FR"/>
        </w:rPr>
        <w:footnoteRef/>
      </w:r>
      <w:r w:rsidRPr="001B665C">
        <w:rPr>
          <w:rFonts w:ascii="Cambria" w:hAnsi="Cambria" w:cs="Arial"/>
          <w:lang w:val="fr-FR"/>
        </w:rPr>
        <w:t xml:space="preserve"> </w:t>
      </w:r>
      <w:r w:rsidRPr="001B665C">
        <w:rPr>
          <w:rFonts w:eastAsia="Times New Roman"/>
          <w:bCs/>
          <w:color w:val="auto"/>
          <w:lang w:val="fr-FR"/>
        </w:rPr>
        <w:t>CIDH</w:t>
      </w:r>
      <w:r w:rsidRPr="001B665C">
        <w:rPr>
          <w:rFonts w:ascii="Cambria" w:hAnsi="Cambria"/>
          <w:lang w:val="fr-FR"/>
        </w:rPr>
        <w:t xml:space="preserve">. </w:t>
      </w:r>
      <w:r w:rsidRPr="001B665C">
        <w:rPr>
          <w:rFonts w:ascii="Cambria" w:hAnsi="Cambria"/>
          <w:i/>
          <w:lang w:val="fr-FR"/>
        </w:rPr>
        <w:t>Affaire</w:t>
      </w:r>
      <w:r w:rsidRPr="001B665C">
        <w:rPr>
          <w:rFonts w:ascii="Cambria" w:hAnsi="Cambria"/>
          <w:lang w:val="fr-FR"/>
        </w:rPr>
        <w:t xml:space="preserve"> </w:t>
      </w:r>
      <w:r w:rsidRPr="001B665C">
        <w:rPr>
          <w:rFonts w:ascii="Cambria" w:hAnsi="Cambria"/>
          <w:i/>
          <w:lang w:val="fr-FR"/>
        </w:rPr>
        <w:t>López Álvarez contre le Honduras</w:t>
      </w:r>
      <w:r w:rsidRPr="001B665C">
        <w:rPr>
          <w:rFonts w:ascii="Cambria" w:hAnsi="Cambria"/>
          <w:lang w:val="fr-FR"/>
        </w:rPr>
        <w:t xml:space="preserve">. </w:t>
      </w:r>
      <w:r w:rsidRPr="001B665C">
        <w:rPr>
          <w:bCs/>
          <w:lang w:val="fr-FR"/>
        </w:rPr>
        <w:t>F</w:t>
      </w:r>
      <w:r w:rsidRPr="001B665C">
        <w:rPr>
          <w:lang w:val="fr-FR"/>
        </w:rPr>
        <w:t>ond, réparations et dépens</w:t>
      </w:r>
      <w:r w:rsidRPr="001B665C">
        <w:rPr>
          <w:rFonts w:ascii="Cambria" w:hAnsi="Cambria"/>
          <w:lang w:val="fr-FR"/>
        </w:rPr>
        <w:t xml:space="preserve">. </w:t>
      </w:r>
      <w:r w:rsidRPr="001B665C">
        <w:rPr>
          <w:rFonts w:eastAsia="Times New Roman"/>
          <w:bCs/>
          <w:color w:val="auto"/>
          <w:lang w:val="fr-FR"/>
        </w:rPr>
        <w:t xml:space="preserve">Arrêt du </w:t>
      </w:r>
      <w:r w:rsidRPr="001B665C">
        <w:rPr>
          <w:rFonts w:ascii="Cambria" w:hAnsi="Cambria"/>
          <w:lang w:val="fr-FR"/>
        </w:rPr>
        <w:t xml:space="preserve">1er février 2006. Série C, n°141, </w:t>
      </w:r>
      <w:r w:rsidRPr="001B665C">
        <w:rPr>
          <w:lang w:val="fr-FR"/>
        </w:rPr>
        <w:t>paragraphe</w:t>
      </w:r>
      <w:r w:rsidRPr="001B665C">
        <w:rPr>
          <w:rFonts w:ascii="Cambria" w:hAnsi="Cambria" w:cs="Arial"/>
          <w:lang w:val="fr-FR"/>
        </w:rPr>
        <w:t xml:space="preserve"> 129 ; </w:t>
      </w:r>
      <w:r w:rsidRPr="001B665C">
        <w:rPr>
          <w:rFonts w:eastAsia="Times New Roman"/>
          <w:bCs/>
          <w:color w:val="auto"/>
          <w:lang w:val="fr-FR"/>
        </w:rPr>
        <w:t>CIDH</w:t>
      </w:r>
      <w:r w:rsidRPr="001B665C">
        <w:rPr>
          <w:rFonts w:ascii="Cambria" w:hAnsi="Cambria"/>
          <w:lang w:val="fr-FR"/>
        </w:rPr>
        <w:t xml:space="preserve">. </w:t>
      </w:r>
      <w:r w:rsidRPr="001B665C">
        <w:rPr>
          <w:rFonts w:ascii="Cambria" w:hAnsi="Cambria"/>
          <w:i/>
          <w:lang w:val="fr-FR"/>
        </w:rPr>
        <w:t>Affaire Acosta Calderón contre l’Équateur</w:t>
      </w:r>
      <w:r w:rsidRPr="001B665C">
        <w:rPr>
          <w:rFonts w:ascii="Cambria" w:hAnsi="Cambria"/>
          <w:lang w:val="fr-FR"/>
        </w:rPr>
        <w:t xml:space="preserve">. </w:t>
      </w:r>
      <w:r w:rsidRPr="001B665C">
        <w:rPr>
          <w:bCs/>
          <w:lang w:val="fr-FR"/>
        </w:rPr>
        <w:t>F</w:t>
      </w:r>
      <w:r w:rsidRPr="001B665C">
        <w:rPr>
          <w:lang w:val="fr-FR"/>
        </w:rPr>
        <w:t>ond, réparations et dépens</w:t>
      </w:r>
      <w:r w:rsidRPr="001B665C">
        <w:rPr>
          <w:rFonts w:ascii="Cambria" w:hAnsi="Cambria"/>
          <w:lang w:val="fr-FR"/>
        </w:rPr>
        <w:t xml:space="preserve">. </w:t>
      </w:r>
      <w:r w:rsidRPr="001B665C">
        <w:rPr>
          <w:rFonts w:eastAsia="Times New Roman"/>
          <w:bCs/>
          <w:color w:val="auto"/>
          <w:lang w:val="fr-FR"/>
        </w:rPr>
        <w:t xml:space="preserve">Arrêt du </w:t>
      </w:r>
      <w:r w:rsidRPr="001B665C">
        <w:rPr>
          <w:rFonts w:ascii="Cambria" w:hAnsi="Cambria"/>
          <w:lang w:val="fr-FR"/>
        </w:rPr>
        <w:t xml:space="preserve">24 juin 2005. Série C, n° 129, </w:t>
      </w:r>
      <w:r w:rsidRPr="001B665C">
        <w:rPr>
          <w:lang w:val="fr-FR"/>
        </w:rPr>
        <w:t>paragraphe</w:t>
      </w:r>
      <w:r w:rsidRPr="001B665C">
        <w:rPr>
          <w:rFonts w:ascii="Cambria" w:hAnsi="Cambria" w:cs="Arial"/>
          <w:lang w:val="fr-FR"/>
        </w:rPr>
        <w:t xml:space="preserve"> 104 ; et</w:t>
      </w:r>
      <w:r w:rsidRPr="001B665C">
        <w:rPr>
          <w:rFonts w:ascii="Cambria" w:hAnsi="Cambria"/>
          <w:lang w:val="fr-FR"/>
        </w:rPr>
        <w:t xml:space="preserve"> </w:t>
      </w:r>
      <w:r w:rsidRPr="001B665C">
        <w:rPr>
          <w:rFonts w:eastAsia="Times New Roman"/>
          <w:bCs/>
          <w:color w:val="auto"/>
          <w:lang w:val="fr-FR"/>
        </w:rPr>
        <w:t>CIDH</w:t>
      </w:r>
      <w:r w:rsidRPr="001B665C">
        <w:rPr>
          <w:rFonts w:ascii="Cambria" w:hAnsi="Cambria"/>
          <w:lang w:val="fr-FR"/>
        </w:rPr>
        <w:t xml:space="preserve">. </w:t>
      </w:r>
      <w:r w:rsidRPr="001B665C">
        <w:rPr>
          <w:rFonts w:ascii="Cambria" w:hAnsi="Cambria"/>
          <w:i/>
          <w:lang w:val="fr-FR"/>
        </w:rPr>
        <w:t>Affaire Tibi contre l’Équateur</w:t>
      </w:r>
      <w:r w:rsidRPr="001B665C">
        <w:rPr>
          <w:rFonts w:ascii="Cambria" w:hAnsi="Cambria"/>
          <w:lang w:val="fr-FR"/>
        </w:rPr>
        <w:t xml:space="preserve">. </w:t>
      </w:r>
      <w:r w:rsidRPr="001B665C">
        <w:rPr>
          <w:bCs/>
          <w:lang w:val="fr-FR"/>
        </w:rPr>
        <w:t xml:space="preserve">Exceptions préliminaires, </w:t>
      </w:r>
      <w:r w:rsidRPr="001B665C">
        <w:rPr>
          <w:rFonts w:ascii="Cambria" w:hAnsi="Cambria"/>
          <w:lang w:val="fr-FR"/>
        </w:rPr>
        <w:t>f</w:t>
      </w:r>
      <w:r w:rsidRPr="001B665C">
        <w:rPr>
          <w:lang w:val="fr-FR"/>
        </w:rPr>
        <w:t>ond, réparations et dépens</w:t>
      </w:r>
      <w:r w:rsidRPr="001B665C">
        <w:rPr>
          <w:rFonts w:ascii="Cambria" w:hAnsi="Cambria"/>
          <w:lang w:val="fr-FR"/>
        </w:rPr>
        <w:t xml:space="preserve">. </w:t>
      </w:r>
      <w:r w:rsidRPr="001B665C">
        <w:rPr>
          <w:rFonts w:eastAsia="Times New Roman"/>
          <w:bCs/>
          <w:color w:val="auto"/>
          <w:lang w:val="fr-FR"/>
        </w:rPr>
        <w:t xml:space="preserve">Arrêt du </w:t>
      </w:r>
      <w:r w:rsidRPr="001B665C">
        <w:rPr>
          <w:rFonts w:ascii="Cambria" w:hAnsi="Cambria"/>
          <w:lang w:val="fr-FR"/>
        </w:rPr>
        <w:t>7 septembre 2004. Série C, n°114</w:t>
      </w:r>
      <w:r w:rsidRPr="001B665C">
        <w:rPr>
          <w:rFonts w:ascii="Cambria" w:hAnsi="Cambria" w:cs="Arial"/>
          <w:lang w:val="fr-FR"/>
        </w:rPr>
        <w:t xml:space="preserve">, </w:t>
      </w:r>
      <w:r w:rsidRPr="001B665C">
        <w:rPr>
          <w:lang w:val="fr-FR"/>
        </w:rPr>
        <w:t>paragraphe</w:t>
      </w:r>
      <w:r w:rsidRPr="001B665C">
        <w:rPr>
          <w:rFonts w:ascii="Cambria" w:hAnsi="Cambria" w:cs="Arial"/>
          <w:lang w:val="fr-FR"/>
        </w:rPr>
        <w:t xml:space="preserve"> 168.</w:t>
      </w:r>
    </w:p>
  </w:footnote>
  <w:footnote w:id="70">
    <w:p w14:paraId="51182B4E" w14:textId="77777777" w:rsidR="00A0514B" w:rsidRPr="001B665C" w:rsidRDefault="00A0514B" w:rsidP="0050521B">
      <w:pPr>
        <w:pStyle w:val="FootnoteText"/>
        <w:rPr>
          <w:rFonts w:ascii="Cambria" w:hAnsi="Cambria"/>
          <w:lang w:val="fr-FR"/>
        </w:rPr>
      </w:pPr>
      <w:r w:rsidRPr="001B665C">
        <w:rPr>
          <w:rStyle w:val="FootnoteReference"/>
          <w:rFonts w:ascii="Cambria" w:hAnsi="Cambria"/>
          <w:lang w:val="fr-FR"/>
        </w:rPr>
        <w:footnoteRef/>
      </w:r>
      <w:r w:rsidRPr="001B665C">
        <w:rPr>
          <w:rFonts w:ascii="Cambria" w:hAnsi="Cambria" w:cs="Arial"/>
          <w:lang w:val="fr-FR"/>
        </w:rPr>
        <w:t xml:space="preserve"> </w:t>
      </w:r>
      <w:r w:rsidRPr="001B665C">
        <w:rPr>
          <w:rFonts w:eastAsia="Times New Roman"/>
          <w:bCs/>
          <w:color w:val="auto"/>
          <w:lang w:val="fr-FR"/>
        </w:rPr>
        <w:t>CIDH</w:t>
      </w:r>
      <w:r w:rsidRPr="001B665C">
        <w:rPr>
          <w:rFonts w:ascii="Cambria" w:hAnsi="Cambria"/>
          <w:lang w:val="fr-FR"/>
        </w:rPr>
        <w:t xml:space="preserve">. Arrêt sur l’affaire </w:t>
      </w:r>
      <w:r w:rsidRPr="001B665C">
        <w:rPr>
          <w:rFonts w:ascii="Cambria" w:hAnsi="Cambria"/>
          <w:i/>
          <w:lang w:val="fr-FR"/>
        </w:rPr>
        <w:t>Massacre de Santo Domingo</w:t>
      </w:r>
      <w:r w:rsidRPr="001B665C">
        <w:rPr>
          <w:rFonts w:ascii="Cambria" w:hAnsi="Cambria"/>
          <w:lang w:val="fr-FR"/>
        </w:rPr>
        <w:t xml:space="preserve">, </w:t>
      </w:r>
      <w:r w:rsidRPr="001B665C">
        <w:rPr>
          <w:lang w:val="fr-FR"/>
        </w:rPr>
        <w:t>paragraphe</w:t>
      </w:r>
      <w:r w:rsidRPr="001B665C">
        <w:rPr>
          <w:rFonts w:ascii="Cambria" w:hAnsi="Cambria" w:cs="Arial"/>
          <w:lang w:val="fr-FR"/>
        </w:rPr>
        <w:t xml:space="preserve"> 164.</w:t>
      </w:r>
    </w:p>
  </w:footnote>
  <w:footnote w:id="71">
    <w:p w14:paraId="2742305F" w14:textId="77777777" w:rsidR="00A0514B" w:rsidRPr="001B665C" w:rsidRDefault="00A0514B" w:rsidP="00063572">
      <w:pPr>
        <w:pStyle w:val="FootnoteText"/>
        <w:rPr>
          <w:lang w:val="fr-FR"/>
        </w:rPr>
      </w:pPr>
      <w:r w:rsidRPr="001B665C">
        <w:rPr>
          <w:rStyle w:val="FootnoteReference"/>
        </w:rPr>
        <w:footnoteRef/>
      </w:r>
      <w:r w:rsidRPr="001B665C">
        <w:rPr>
          <w:lang w:val="es-US"/>
        </w:rPr>
        <w:t xml:space="preserve"> </w:t>
      </w:r>
      <w:r w:rsidRPr="001B665C">
        <w:rPr>
          <w:lang w:val="fr-FR"/>
        </w:rPr>
        <w:t xml:space="preserve">CIDH. Arrêt sur l’affaire </w:t>
      </w:r>
      <w:r w:rsidRPr="001B665C">
        <w:rPr>
          <w:i/>
          <w:lang w:val="fr-FR"/>
        </w:rPr>
        <w:t>Massacre de Las Dos Erres</w:t>
      </w:r>
      <w:r w:rsidRPr="001B665C">
        <w:rPr>
          <w:lang w:val="fr-FR"/>
        </w:rPr>
        <w:t xml:space="preserve">, paragraphe 206. </w:t>
      </w:r>
    </w:p>
  </w:footnote>
  <w:footnote w:id="72">
    <w:p w14:paraId="3146689B" w14:textId="77777777" w:rsidR="00A0514B" w:rsidRPr="001B665C" w:rsidRDefault="00A0514B" w:rsidP="00063572">
      <w:pPr>
        <w:pStyle w:val="FootnoteText"/>
        <w:rPr>
          <w:lang w:val="fr-FR"/>
        </w:rPr>
      </w:pPr>
      <w:r w:rsidRPr="001B665C">
        <w:rPr>
          <w:rStyle w:val="FootnoteReference"/>
          <w:lang w:val="fr-FR"/>
        </w:rPr>
        <w:footnoteRef/>
      </w:r>
      <w:r w:rsidRPr="001B665C">
        <w:rPr>
          <w:lang w:val="fr-FR"/>
        </w:rPr>
        <w:t xml:space="preserve"> CIDH. Arrêt sur l’affaire </w:t>
      </w:r>
      <w:r w:rsidRPr="001B665C">
        <w:rPr>
          <w:i/>
          <w:lang w:val="fr-FR"/>
        </w:rPr>
        <w:t>Valle Jaramillo</w:t>
      </w:r>
      <w:r w:rsidRPr="001B665C">
        <w:rPr>
          <w:lang w:val="fr-FR"/>
        </w:rPr>
        <w:t xml:space="preserve">, paragraphe 102.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C5FAC" w14:textId="77777777" w:rsidR="00A0514B" w:rsidRDefault="00A0514B" w:rsidP="000C19D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6BF0DD2" w14:textId="77777777" w:rsidR="00A0514B" w:rsidRDefault="00A051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7D96C" w14:textId="77777777" w:rsidR="00A0514B" w:rsidRDefault="00A0514B" w:rsidP="00A50FCF">
    <w:pPr>
      <w:pStyle w:val="Header"/>
      <w:tabs>
        <w:tab w:val="clear" w:pos="4320"/>
        <w:tab w:val="clear" w:pos="8640"/>
      </w:tabs>
      <w:jc w:val="center"/>
      <w:rPr>
        <w:sz w:val="22"/>
        <w:szCs w:val="22"/>
      </w:rPr>
    </w:pPr>
    <w:r>
      <w:rPr>
        <w:noProof/>
        <w:sz w:val="22"/>
        <w:szCs w:val="22"/>
      </w:rPr>
      <w:drawing>
        <wp:inline distT="0" distB="0" distL="0" distR="0" wp14:anchorId="243E689D" wp14:editId="09400A3B">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6A5CDA06" w14:textId="77777777" w:rsidR="00A0514B" w:rsidRPr="00EC7D62" w:rsidRDefault="001862ED" w:rsidP="00A50FCF">
    <w:pPr>
      <w:pStyle w:val="Header"/>
      <w:tabs>
        <w:tab w:val="clear" w:pos="4320"/>
        <w:tab w:val="clear" w:pos="8640"/>
      </w:tabs>
      <w:jc w:val="center"/>
      <w:rPr>
        <w:sz w:val="22"/>
        <w:szCs w:val="22"/>
      </w:rPr>
    </w:pPr>
    <w:r>
      <w:rPr>
        <w:noProof/>
        <w:sz w:val="22"/>
        <w:szCs w:val="22"/>
        <w:bdr w:val="nil"/>
      </w:rPr>
      <w:pict w14:anchorId="78D53FF0">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D3B3FD0"/>
    <w:multiLevelType w:val="hybridMultilevel"/>
    <w:tmpl w:val="35FAFF90"/>
    <w:lvl w:ilvl="0" w:tplc="C5D8AC78">
      <w:start w:val="1"/>
      <w:numFmt w:val="decimal"/>
      <w:lvlText w:val="%1."/>
      <w:lvlJc w:val="left"/>
      <w:pPr>
        <w:ind w:left="3330" w:hanging="360"/>
      </w:pPr>
      <w:rPr>
        <w:rFonts w:ascii="Cambria" w:hAnsi="Cambria" w:hint="default"/>
        <w:b w:val="0"/>
        <w:i w:val="0"/>
        <w:sz w:val="20"/>
      </w:rPr>
    </w:lvl>
    <w:lvl w:ilvl="1" w:tplc="F5C4EC74">
      <w:start w:val="1"/>
      <w:numFmt w:val="lowerLetter"/>
      <w:lvlText w:val="%2)"/>
      <w:lvlJc w:val="left"/>
      <w:pPr>
        <w:ind w:left="2074" w:hanging="360"/>
      </w:pPr>
      <w:rPr>
        <w:rFonts w:hint="default"/>
      </w:r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6561612"/>
    <w:multiLevelType w:val="hybridMultilevel"/>
    <w:tmpl w:val="B8A29964"/>
    <w:lvl w:ilvl="0" w:tplc="58E4771E">
      <w:start w:val="1"/>
      <w:numFmt w:val="lowerRoman"/>
      <w:pStyle w:val="Heading3"/>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9BC5107"/>
    <w:multiLevelType w:val="hybridMultilevel"/>
    <w:tmpl w:val="1F6E3488"/>
    <w:lvl w:ilvl="0" w:tplc="BCE67EDA">
      <w:start w:val="1"/>
      <w:numFmt w:val="upperLetter"/>
      <w:pStyle w:val="Heading2"/>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2A0BA1"/>
    <w:multiLevelType w:val="hybridMultilevel"/>
    <w:tmpl w:val="DC4CE842"/>
    <w:lvl w:ilvl="0" w:tplc="1534EA50">
      <w:start w:val="1"/>
      <w:numFmt w:val="upperRoman"/>
      <w:pStyle w:val="Heading1"/>
      <w:lvlText w:val="%1."/>
      <w:lvlJc w:val="left"/>
      <w:pPr>
        <w:ind w:left="46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E871FA"/>
    <w:multiLevelType w:val="hybridMultilevel"/>
    <w:tmpl w:val="D3E44D62"/>
    <w:lvl w:ilvl="0" w:tplc="34248F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9D20728"/>
    <w:multiLevelType w:val="multilevel"/>
    <w:tmpl w:val="6EC2A9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15:restartNumberingAfterBreak="0">
    <w:nsid w:val="5A681F10"/>
    <w:multiLevelType w:val="hybridMultilevel"/>
    <w:tmpl w:val="A8D6BFA0"/>
    <w:lvl w:ilvl="0" w:tplc="E20A29CA">
      <w:start w:val="1"/>
      <w:numFmt w:val="decimal"/>
      <w:lvlText w:val="%1."/>
      <w:lvlJc w:val="left"/>
      <w:pPr>
        <w:ind w:left="1425" w:hanging="705"/>
      </w:pPr>
      <w:rPr>
        <w:rFonts w:hint="default"/>
        <w:sz w:val="20"/>
        <w:szCs w:val="20"/>
        <w:lang w:val="es-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D7D4B9D"/>
    <w:multiLevelType w:val="hybridMultilevel"/>
    <w:tmpl w:val="82EE7E6E"/>
    <w:lvl w:ilvl="0" w:tplc="9E0CAF0C">
      <w:start w:val="1"/>
      <w:numFmt w:val="decimal"/>
      <w:lvlText w:val="%1."/>
      <w:lvlJc w:val="left"/>
      <w:pPr>
        <w:ind w:left="1080" w:hanging="360"/>
      </w:pPr>
      <w:rPr>
        <w:rFonts w:ascii="Cambria" w:hAnsi="Cambria"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50C2010"/>
    <w:multiLevelType w:val="hybridMultilevel"/>
    <w:tmpl w:val="E0223D7C"/>
    <w:lvl w:ilvl="0" w:tplc="0F9AC49C">
      <w:start w:val="1"/>
      <w:numFmt w:val="decimal"/>
      <w:pStyle w:val="ListParagraph"/>
      <w:lvlText w:val="%1."/>
      <w:lvlJc w:val="left"/>
      <w:pPr>
        <w:ind w:left="7740" w:hanging="360"/>
      </w:pPr>
      <w:rPr>
        <w:rFonts w:ascii="Cambria" w:hAnsi="Cambria" w:hint="default"/>
        <w:b w:val="0"/>
        <w:i w:val="0"/>
        <w:sz w:val="20"/>
        <w:lang w:val="es-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6"/>
  </w:num>
  <w:num w:numId="4">
    <w:abstractNumId w:val="22"/>
  </w:num>
  <w:num w:numId="5">
    <w:abstractNumId w:val="50"/>
  </w:num>
  <w:num w:numId="6">
    <w:abstractNumId w:val="28"/>
  </w:num>
  <w:num w:numId="7">
    <w:abstractNumId w:val="7"/>
  </w:num>
  <w:num w:numId="8">
    <w:abstractNumId w:val="18"/>
  </w:num>
  <w:num w:numId="9">
    <w:abstractNumId w:val="43"/>
  </w:num>
  <w:num w:numId="10">
    <w:abstractNumId w:val="0"/>
  </w:num>
  <w:num w:numId="11">
    <w:abstractNumId w:val="38"/>
  </w:num>
  <w:num w:numId="12">
    <w:abstractNumId w:val="39"/>
  </w:num>
  <w:num w:numId="13">
    <w:abstractNumId w:val="46"/>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9"/>
  </w:num>
  <w:num w:numId="26">
    <w:abstractNumId w:val="20"/>
  </w:num>
  <w:num w:numId="27">
    <w:abstractNumId w:val="23"/>
  </w:num>
  <w:num w:numId="28">
    <w:abstractNumId w:val="24"/>
  </w:num>
  <w:num w:numId="29">
    <w:abstractNumId w:val="25"/>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40"/>
  </w:num>
  <w:num w:numId="40">
    <w:abstractNumId w:val="41"/>
  </w:num>
  <w:num w:numId="41">
    <w:abstractNumId w:val="49"/>
  </w:num>
  <w:num w:numId="42">
    <w:abstractNumId w:val="51"/>
  </w:num>
  <w:num w:numId="43">
    <w:abstractNumId w:val="52"/>
  </w:num>
  <w:num w:numId="44">
    <w:abstractNumId w:val="53"/>
  </w:num>
  <w:num w:numId="45">
    <w:abstractNumId w:val="55"/>
  </w:num>
  <w:num w:numId="46">
    <w:abstractNumId w:val="57"/>
  </w:num>
  <w:num w:numId="47">
    <w:abstractNumId w:val="58"/>
  </w:num>
  <w:num w:numId="48">
    <w:abstractNumId w:val="59"/>
  </w:num>
  <w:num w:numId="49">
    <w:abstractNumId w:val="60"/>
  </w:num>
  <w:num w:numId="50">
    <w:abstractNumId w:val="61"/>
  </w:num>
  <w:num w:numId="51">
    <w:abstractNumId w:val="21"/>
  </w:num>
  <w:num w:numId="52">
    <w:abstractNumId w:val="42"/>
  </w:num>
  <w:num w:numId="53">
    <w:abstractNumId w:val="47"/>
  </w:num>
  <w:num w:numId="54">
    <w:abstractNumId w:val="26"/>
  </w:num>
  <w:num w:numId="55">
    <w:abstractNumId w:val="45"/>
  </w:num>
  <w:num w:numId="56">
    <w:abstractNumId w:val="54"/>
  </w:num>
  <w:num w:numId="57">
    <w:abstractNumId w:val="17"/>
  </w:num>
  <w:num w:numId="58">
    <w:abstractNumId w:val="6"/>
  </w:num>
  <w:num w:numId="59">
    <w:abstractNumId w:val="17"/>
    <w:lvlOverride w:ilvl="0">
      <w:startOverride w:val="1"/>
    </w:lvlOverride>
  </w:num>
  <w:num w:numId="60">
    <w:abstractNumId w:val="17"/>
    <w:lvlOverride w:ilvl="0">
      <w:startOverride w:val="1"/>
    </w:lvlOverride>
  </w:num>
  <w:num w:numId="61">
    <w:abstractNumId w:val="54"/>
    <w:lvlOverride w:ilvl="0">
      <w:startOverride w:val="1"/>
    </w:lvlOverride>
  </w:num>
  <w:num w:numId="62">
    <w:abstractNumId w:val="54"/>
    <w:lvlOverride w:ilvl="0">
      <w:startOverride w:val="1"/>
    </w:lvlOverride>
  </w:num>
  <w:num w:numId="63">
    <w:abstractNumId w:val="54"/>
    <w:lvlOverride w:ilvl="0">
      <w:startOverride w:val="1"/>
    </w:lvlOverride>
  </w:num>
  <w:num w:numId="64">
    <w:abstractNumId w:val="48"/>
  </w:num>
  <w:num w:numId="65">
    <w:abstractNumId w:val="54"/>
    <w:lvlOverride w:ilvl="0">
      <w:startOverride w:val="1"/>
    </w:lvlOverride>
  </w:num>
  <w:num w:numId="66">
    <w:abstractNumId w:val="54"/>
    <w:lvlOverride w:ilvl="0">
      <w:startOverride w:val="1"/>
    </w:lvlOverride>
  </w:num>
  <w:num w:numId="67">
    <w:abstractNumId w:val="44"/>
  </w:num>
  <w:num w:numId="68">
    <w:abstractNumId w:val="54"/>
    <w:lvlOverride w:ilvl="0">
      <w:startOverride w:val="1"/>
    </w:lvlOverride>
  </w:num>
  <w:num w:numId="69">
    <w:abstractNumId w:val="54"/>
    <w:lvlOverride w:ilvl="0">
      <w:startOverride w:val="1"/>
    </w:lvlOverride>
  </w:num>
  <w:num w:numId="70">
    <w:abstractNumId w:val="6"/>
    <w:lvlOverride w:ilvl="0">
      <w:startOverride w:val="1"/>
    </w:lvlOverride>
  </w:num>
  <w:num w:numId="71">
    <w:abstractNumId w:val="6"/>
    <w:lvlOverride w:ilvl="0">
      <w:startOverride w:val="1"/>
    </w:lvlOverride>
  </w:num>
  <w:num w:numId="72">
    <w:abstractNumId w:val="37"/>
  </w:num>
  <w:num w:numId="73">
    <w:abstractNumId w:val="3"/>
  </w:num>
  <w:num w:numId="74">
    <w:abstractNumId w:val="17"/>
    <w:lvlOverride w:ilvl="0">
      <w:startOverride w:val="1"/>
    </w:lvlOverride>
  </w:num>
  <w:num w:numId="75">
    <w:abstractNumId w:val="5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defaultTabStop w:val="360"/>
  <w:hyphenationZone w:val="425"/>
  <w:characterSpacingControl w:val="doNotCompress"/>
  <w:hdrShapeDefaults>
    <o:shapedefaults v:ext="edit" spidmax="8194"/>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0F3A"/>
    <w:rsid w:val="000016CD"/>
    <w:rsid w:val="00001B40"/>
    <w:rsid w:val="0000378F"/>
    <w:rsid w:val="00004A39"/>
    <w:rsid w:val="0000501E"/>
    <w:rsid w:val="00006896"/>
    <w:rsid w:val="00006DD2"/>
    <w:rsid w:val="00006E1F"/>
    <w:rsid w:val="000070D7"/>
    <w:rsid w:val="000070FF"/>
    <w:rsid w:val="00007604"/>
    <w:rsid w:val="0001180B"/>
    <w:rsid w:val="000126E7"/>
    <w:rsid w:val="00014999"/>
    <w:rsid w:val="00015540"/>
    <w:rsid w:val="000158FD"/>
    <w:rsid w:val="00015A35"/>
    <w:rsid w:val="000161EF"/>
    <w:rsid w:val="00016CF5"/>
    <w:rsid w:val="0001788C"/>
    <w:rsid w:val="0002223E"/>
    <w:rsid w:val="000225D8"/>
    <w:rsid w:val="00022C1D"/>
    <w:rsid w:val="000255DD"/>
    <w:rsid w:val="00025C7A"/>
    <w:rsid w:val="00025DD7"/>
    <w:rsid w:val="0002747A"/>
    <w:rsid w:val="00027656"/>
    <w:rsid w:val="00031C94"/>
    <w:rsid w:val="00031E4C"/>
    <w:rsid w:val="00032034"/>
    <w:rsid w:val="0003211E"/>
    <w:rsid w:val="000342ED"/>
    <w:rsid w:val="00034A67"/>
    <w:rsid w:val="00034B75"/>
    <w:rsid w:val="000350D0"/>
    <w:rsid w:val="00035205"/>
    <w:rsid w:val="0003553F"/>
    <w:rsid w:val="00037188"/>
    <w:rsid w:val="00037C6D"/>
    <w:rsid w:val="00040C3A"/>
    <w:rsid w:val="000411B9"/>
    <w:rsid w:val="00042141"/>
    <w:rsid w:val="000428DF"/>
    <w:rsid w:val="00044205"/>
    <w:rsid w:val="0004441E"/>
    <w:rsid w:val="00045FCB"/>
    <w:rsid w:val="0004637B"/>
    <w:rsid w:val="00047EA6"/>
    <w:rsid w:val="000506AB"/>
    <w:rsid w:val="00050BB2"/>
    <w:rsid w:val="00050EC3"/>
    <w:rsid w:val="0005136A"/>
    <w:rsid w:val="00053662"/>
    <w:rsid w:val="000539FE"/>
    <w:rsid w:val="000547E2"/>
    <w:rsid w:val="00055391"/>
    <w:rsid w:val="0005563B"/>
    <w:rsid w:val="000565AE"/>
    <w:rsid w:val="00056F86"/>
    <w:rsid w:val="00057F20"/>
    <w:rsid w:val="000624EB"/>
    <w:rsid w:val="00063572"/>
    <w:rsid w:val="0006466A"/>
    <w:rsid w:val="000651AF"/>
    <w:rsid w:val="00066EA5"/>
    <w:rsid w:val="00067A5D"/>
    <w:rsid w:val="00067FE5"/>
    <w:rsid w:val="0007021D"/>
    <w:rsid w:val="000712C5"/>
    <w:rsid w:val="000716C5"/>
    <w:rsid w:val="000723CE"/>
    <w:rsid w:val="000725CF"/>
    <w:rsid w:val="00072D26"/>
    <w:rsid w:val="00073869"/>
    <w:rsid w:val="00075A22"/>
    <w:rsid w:val="00075E23"/>
    <w:rsid w:val="00077649"/>
    <w:rsid w:val="0008061F"/>
    <w:rsid w:val="0008107E"/>
    <w:rsid w:val="00081481"/>
    <w:rsid w:val="000825B7"/>
    <w:rsid w:val="00082795"/>
    <w:rsid w:val="00082E57"/>
    <w:rsid w:val="0008347A"/>
    <w:rsid w:val="0008415E"/>
    <w:rsid w:val="00084521"/>
    <w:rsid w:val="00084A09"/>
    <w:rsid w:val="0008509D"/>
    <w:rsid w:val="00086101"/>
    <w:rsid w:val="00086510"/>
    <w:rsid w:val="00086EE9"/>
    <w:rsid w:val="0008768F"/>
    <w:rsid w:val="00087ACD"/>
    <w:rsid w:val="00090343"/>
    <w:rsid w:val="000904A5"/>
    <w:rsid w:val="00091F6C"/>
    <w:rsid w:val="00092076"/>
    <w:rsid w:val="0009344A"/>
    <w:rsid w:val="00094327"/>
    <w:rsid w:val="00095DEB"/>
    <w:rsid w:val="00096C0B"/>
    <w:rsid w:val="000A059A"/>
    <w:rsid w:val="000A0DEC"/>
    <w:rsid w:val="000A1E62"/>
    <w:rsid w:val="000A2400"/>
    <w:rsid w:val="000A392E"/>
    <w:rsid w:val="000A3DBA"/>
    <w:rsid w:val="000A3FA3"/>
    <w:rsid w:val="000A524C"/>
    <w:rsid w:val="000A575F"/>
    <w:rsid w:val="000A576A"/>
    <w:rsid w:val="000A7746"/>
    <w:rsid w:val="000B0C39"/>
    <w:rsid w:val="000B1B03"/>
    <w:rsid w:val="000B2272"/>
    <w:rsid w:val="000B2EF6"/>
    <w:rsid w:val="000B4102"/>
    <w:rsid w:val="000B499E"/>
    <w:rsid w:val="000B6CDB"/>
    <w:rsid w:val="000B7017"/>
    <w:rsid w:val="000B77AA"/>
    <w:rsid w:val="000C1822"/>
    <w:rsid w:val="000C19D9"/>
    <w:rsid w:val="000C1E49"/>
    <w:rsid w:val="000C20E4"/>
    <w:rsid w:val="000C333F"/>
    <w:rsid w:val="000C5200"/>
    <w:rsid w:val="000C558C"/>
    <w:rsid w:val="000C5A25"/>
    <w:rsid w:val="000C7D8F"/>
    <w:rsid w:val="000C7DF0"/>
    <w:rsid w:val="000D06D9"/>
    <w:rsid w:val="000D09C4"/>
    <w:rsid w:val="000D10DB"/>
    <w:rsid w:val="000D27C5"/>
    <w:rsid w:val="000D2E67"/>
    <w:rsid w:val="000D5A42"/>
    <w:rsid w:val="000D5AF2"/>
    <w:rsid w:val="000E0448"/>
    <w:rsid w:val="000E11AF"/>
    <w:rsid w:val="000E2999"/>
    <w:rsid w:val="000E3E1C"/>
    <w:rsid w:val="000E3E49"/>
    <w:rsid w:val="000E4B76"/>
    <w:rsid w:val="000E501E"/>
    <w:rsid w:val="000E58EE"/>
    <w:rsid w:val="000E5A4E"/>
    <w:rsid w:val="000E5EB5"/>
    <w:rsid w:val="000E795C"/>
    <w:rsid w:val="000E7E90"/>
    <w:rsid w:val="000F0A1E"/>
    <w:rsid w:val="000F35ED"/>
    <w:rsid w:val="000F50C1"/>
    <w:rsid w:val="00100267"/>
    <w:rsid w:val="001019B8"/>
    <w:rsid w:val="00103A6C"/>
    <w:rsid w:val="00104229"/>
    <w:rsid w:val="0010504C"/>
    <w:rsid w:val="001054B2"/>
    <w:rsid w:val="001054BA"/>
    <w:rsid w:val="00105C1C"/>
    <w:rsid w:val="001063A4"/>
    <w:rsid w:val="001066E3"/>
    <w:rsid w:val="00106B7B"/>
    <w:rsid w:val="00106C7A"/>
    <w:rsid w:val="00107131"/>
    <w:rsid w:val="0010736F"/>
    <w:rsid w:val="0011094A"/>
    <w:rsid w:val="001135D5"/>
    <w:rsid w:val="0011380E"/>
    <w:rsid w:val="00113F73"/>
    <w:rsid w:val="001142B0"/>
    <w:rsid w:val="0011698F"/>
    <w:rsid w:val="00116D66"/>
    <w:rsid w:val="00120060"/>
    <w:rsid w:val="0012113D"/>
    <w:rsid w:val="00121CC2"/>
    <w:rsid w:val="00121D63"/>
    <w:rsid w:val="0012289E"/>
    <w:rsid w:val="001232DB"/>
    <w:rsid w:val="0012358E"/>
    <w:rsid w:val="00123FD6"/>
    <w:rsid w:val="00124409"/>
    <w:rsid w:val="00124CB9"/>
    <w:rsid w:val="00125FB6"/>
    <w:rsid w:val="00127074"/>
    <w:rsid w:val="00127E48"/>
    <w:rsid w:val="00130A8A"/>
    <w:rsid w:val="00131FD6"/>
    <w:rsid w:val="00132978"/>
    <w:rsid w:val="00132CEB"/>
    <w:rsid w:val="001334CA"/>
    <w:rsid w:val="00133E2A"/>
    <w:rsid w:val="00133EE5"/>
    <w:rsid w:val="001349CC"/>
    <w:rsid w:val="00135333"/>
    <w:rsid w:val="0013566E"/>
    <w:rsid w:val="00135F4A"/>
    <w:rsid w:val="0013667D"/>
    <w:rsid w:val="00136BB7"/>
    <w:rsid w:val="0014006E"/>
    <w:rsid w:val="0014242B"/>
    <w:rsid w:val="00142A18"/>
    <w:rsid w:val="00143165"/>
    <w:rsid w:val="00144470"/>
    <w:rsid w:val="00144BE6"/>
    <w:rsid w:val="001461A1"/>
    <w:rsid w:val="00147B76"/>
    <w:rsid w:val="00150DF5"/>
    <w:rsid w:val="00151C85"/>
    <w:rsid w:val="001521CC"/>
    <w:rsid w:val="00152CDF"/>
    <w:rsid w:val="00154864"/>
    <w:rsid w:val="00156155"/>
    <w:rsid w:val="001564E1"/>
    <w:rsid w:val="00157AE7"/>
    <w:rsid w:val="0016088B"/>
    <w:rsid w:val="00161769"/>
    <w:rsid w:val="00162332"/>
    <w:rsid w:val="00162560"/>
    <w:rsid w:val="001632E2"/>
    <w:rsid w:val="00165529"/>
    <w:rsid w:val="001656E4"/>
    <w:rsid w:val="00165D91"/>
    <w:rsid w:val="00166189"/>
    <w:rsid w:val="001661B8"/>
    <w:rsid w:val="00167230"/>
    <w:rsid w:val="00167586"/>
    <w:rsid w:val="00167601"/>
    <w:rsid w:val="00167A34"/>
    <w:rsid w:val="00167CA8"/>
    <w:rsid w:val="0017056A"/>
    <w:rsid w:val="00170924"/>
    <w:rsid w:val="00170B1F"/>
    <w:rsid w:val="001714AD"/>
    <w:rsid w:val="001717BA"/>
    <w:rsid w:val="00172149"/>
    <w:rsid w:val="0017252D"/>
    <w:rsid w:val="0017268B"/>
    <w:rsid w:val="00172F6D"/>
    <w:rsid w:val="00174525"/>
    <w:rsid w:val="00174C6B"/>
    <w:rsid w:val="00175769"/>
    <w:rsid w:val="00181ACA"/>
    <w:rsid w:val="00181E1E"/>
    <w:rsid w:val="00181F34"/>
    <w:rsid w:val="001826CD"/>
    <w:rsid w:val="00182C08"/>
    <w:rsid w:val="00182DBA"/>
    <w:rsid w:val="001832CD"/>
    <w:rsid w:val="001845F4"/>
    <w:rsid w:val="00184EB5"/>
    <w:rsid w:val="001859F3"/>
    <w:rsid w:val="00185BA5"/>
    <w:rsid w:val="001862ED"/>
    <w:rsid w:val="00186414"/>
    <w:rsid w:val="001873A1"/>
    <w:rsid w:val="001878C7"/>
    <w:rsid w:val="001937DA"/>
    <w:rsid w:val="00194270"/>
    <w:rsid w:val="0019672B"/>
    <w:rsid w:val="001A0879"/>
    <w:rsid w:val="001A0C24"/>
    <w:rsid w:val="001A1250"/>
    <w:rsid w:val="001A1C0A"/>
    <w:rsid w:val="001A1EC6"/>
    <w:rsid w:val="001A4D23"/>
    <w:rsid w:val="001A4FC2"/>
    <w:rsid w:val="001A763F"/>
    <w:rsid w:val="001A7870"/>
    <w:rsid w:val="001A7E53"/>
    <w:rsid w:val="001A7EA4"/>
    <w:rsid w:val="001B0717"/>
    <w:rsid w:val="001B0C66"/>
    <w:rsid w:val="001B0DF9"/>
    <w:rsid w:val="001B2E2F"/>
    <w:rsid w:val="001B6282"/>
    <w:rsid w:val="001B665C"/>
    <w:rsid w:val="001B6C99"/>
    <w:rsid w:val="001C08FD"/>
    <w:rsid w:val="001C103F"/>
    <w:rsid w:val="001C12D2"/>
    <w:rsid w:val="001C1B41"/>
    <w:rsid w:val="001C1F09"/>
    <w:rsid w:val="001C2866"/>
    <w:rsid w:val="001C38C0"/>
    <w:rsid w:val="001C3F16"/>
    <w:rsid w:val="001C4345"/>
    <w:rsid w:val="001C5852"/>
    <w:rsid w:val="001C7AA3"/>
    <w:rsid w:val="001D098F"/>
    <w:rsid w:val="001D10EF"/>
    <w:rsid w:val="001D18C7"/>
    <w:rsid w:val="001D24AB"/>
    <w:rsid w:val="001D26AE"/>
    <w:rsid w:val="001D2AA2"/>
    <w:rsid w:val="001D3061"/>
    <w:rsid w:val="001D4434"/>
    <w:rsid w:val="001D65EF"/>
    <w:rsid w:val="001D7534"/>
    <w:rsid w:val="001D75CE"/>
    <w:rsid w:val="001D7931"/>
    <w:rsid w:val="001D79BA"/>
    <w:rsid w:val="001E0C83"/>
    <w:rsid w:val="001E15B6"/>
    <w:rsid w:val="001E28D7"/>
    <w:rsid w:val="001E5640"/>
    <w:rsid w:val="001E6479"/>
    <w:rsid w:val="001E727E"/>
    <w:rsid w:val="001E78F1"/>
    <w:rsid w:val="001F0253"/>
    <w:rsid w:val="001F0A5B"/>
    <w:rsid w:val="001F20AE"/>
    <w:rsid w:val="001F2565"/>
    <w:rsid w:val="001F2FDF"/>
    <w:rsid w:val="001F3F6A"/>
    <w:rsid w:val="001F3FBB"/>
    <w:rsid w:val="001F461D"/>
    <w:rsid w:val="001F4C97"/>
    <w:rsid w:val="001F7243"/>
    <w:rsid w:val="00201390"/>
    <w:rsid w:val="002049C4"/>
    <w:rsid w:val="00204B61"/>
    <w:rsid w:val="00205038"/>
    <w:rsid w:val="002055FA"/>
    <w:rsid w:val="00207816"/>
    <w:rsid w:val="002100C1"/>
    <w:rsid w:val="00210DF7"/>
    <w:rsid w:val="002121C4"/>
    <w:rsid w:val="002126BF"/>
    <w:rsid w:val="002133A8"/>
    <w:rsid w:val="00213710"/>
    <w:rsid w:val="00213EFE"/>
    <w:rsid w:val="0021451E"/>
    <w:rsid w:val="00214927"/>
    <w:rsid w:val="002169C4"/>
    <w:rsid w:val="002202A0"/>
    <w:rsid w:val="002202CE"/>
    <w:rsid w:val="0022071C"/>
    <w:rsid w:val="0022079F"/>
    <w:rsid w:val="00221D8B"/>
    <w:rsid w:val="0022273F"/>
    <w:rsid w:val="00222DD8"/>
    <w:rsid w:val="002231E2"/>
    <w:rsid w:val="002235ED"/>
    <w:rsid w:val="002250A3"/>
    <w:rsid w:val="0022562D"/>
    <w:rsid w:val="00227D8E"/>
    <w:rsid w:val="00230A7E"/>
    <w:rsid w:val="00230EC7"/>
    <w:rsid w:val="00231DB6"/>
    <w:rsid w:val="00231E47"/>
    <w:rsid w:val="0023231D"/>
    <w:rsid w:val="00233209"/>
    <w:rsid w:val="002332D5"/>
    <w:rsid w:val="00233CCC"/>
    <w:rsid w:val="0023422A"/>
    <w:rsid w:val="002345F8"/>
    <w:rsid w:val="00235217"/>
    <w:rsid w:val="00235BF2"/>
    <w:rsid w:val="00237482"/>
    <w:rsid w:val="00245CCA"/>
    <w:rsid w:val="00245FAA"/>
    <w:rsid w:val="00246D1F"/>
    <w:rsid w:val="00247403"/>
    <w:rsid w:val="00247542"/>
    <w:rsid w:val="00247CA0"/>
    <w:rsid w:val="00252696"/>
    <w:rsid w:val="00254D6A"/>
    <w:rsid w:val="00256B6C"/>
    <w:rsid w:val="0025792B"/>
    <w:rsid w:val="00257B8D"/>
    <w:rsid w:val="002603D6"/>
    <w:rsid w:val="00260893"/>
    <w:rsid w:val="00260974"/>
    <w:rsid w:val="00261BA0"/>
    <w:rsid w:val="00263389"/>
    <w:rsid w:val="00263E99"/>
    <w:rsid w:val="002648D8"/>
    <w:rsid w:val="002649D0"/>
    <w:rsid w:val="00266B61"/>
    <w:rsid w:val="0026712A"/>
    <w:rsid w:val="00267867"/>
    <w:rsid w:val="00267C68"/>
    <w:rsid w:val="002704DB"/>
    <w:rsid w:val="0027158A"/>
    <w:rsid w:val="00272A79"/>
    <w:rsid w:val="00272E75"/>
    <w:rsid w:val="00273096"/>
    <w:rsid w:val="0027487D"/>
    <w:rsid w:val="00276BD5"/>
    <w:rsid w:val="00276DF8"/>
    <w:rsid w:val="00276FB1"/>
    <w:rsid w:val="00277E90"/>
    <w:rsid w:val="00277EF9"/>
    <w:rsid w:val="00277F7E"/>
    <w:rsid w:val="0028009B"/>
    <w:rsid w:val="002802D4"/>
    <w:rsid w:val="002804A2"/>
    <w:rsid w:val="0028087A"/>
    <w:rsid w:val="00281153"/>
    <w:rsid w:val="00281DD8"/>
    <w:rsid w:val="002824D1"/>
    <w:rsid w:val="002827DD"/>
    <w:rsid w:val="00282B1F"/>
    <w:rsid w:val="00283C77"/>
    <w:rsid w:val="002856B4"/>
    <w:rsid w:val="002863A8"/>
    <w:rsid w:val="002863DD"/>
    <w:rsid w:val="00286791"/>
    <w:rsid w:val="00286DBB"/>
    <w:rsid w:val="002870AA"/>
    <w:rsid w:val="002874FD"/>
    <w:rsid w:val="00290175"/>
    <w:rsid w:val="002905F7"/>
    <w:rsid w:val="0029089F"/>
    <w:rsid w:val="00290D11"/>
    <w:rsid w:val="002916A2"/>
    <w:rsid w:val="002921E5"/>
    <w:rsid w:val="002924F0"/>
    <w:rsid w:val="00293BE3"/>
    <w:rsid w:val="00293EB1"/>
    <w:rsid w:val="00295251"/>
    <w:rsid w:val="0029554E"/>
    <w:rsid w:val="0029609F"/>
    <w:rsid w:val="00296B96"/>
    <w:rsid w:val="00297BB5"/>
    <w:rsid w:val="002A019D"/>
    <w:rsid w:val="002A0AAE"/>
    <w:rsid w:val="002A0F2E"/>
    <w:rsid w:val="002A17DF"/>
    <w:rsid w:val="002A1F20"/>
    <w:rsid w:val="002A4B18"/>
    <w:rsid w:val="002A5820"/>
    <w:rsid w:val="002A6670"/>
    <w:rsid w:val="002A7A30"/>
    <w:rsid w:val="002B02E2"/>
    <w:rsid w:val="002B1BF0"/>
    <w:rsid w:val="002B1C1E"/>
    <w:rsid w:val="002B1EEA"/>
    <w:rsid w:val="002B2030"/>
    <w:rsid w:val="002B2354"/>
    <w:rsid w:val="002B24AA"/>
    <w:rsid w:val="002B3220"/>
    <w:rsid w:val="002B569A"/>
    <w:rsid w:val="002B7501"/>
    <w:rsid w:val="002C0E7B"/>
    <w:rsid w:val="002C166F"/>
    <w:rsid w:val="002C2C34"/>
    <w:rsid w:val="002C3060"/>
    <w:rsid w:val="002C3FE1"/>
    <w:rsid w:val="002C41F6"/>
    <w:rsid w:val="002C5731"/>
    <w:rsid w:val="002C5953"/>
    <w:rsid w:val="002C6A12"/>
    <w:rsid w:val="002C74C2"/>
    <w:rsid w:val="002C7C85"/>
    <w:rsid w:val="002D1109"/>
    <w:rsid w:val="002D2271"/>
    <w:rsid w:val="002D2B26"/>
    <w:rsid w:val="002D3697"/>
    <w:rsid w:val="002D45B6"/>
    <w:rsid w:val="002D4886"/>
    <w:rsid w:val="002D58E6"/>
    <w:rsid w:val="002D590D"/>
    <w:rsid w:val="002D5C27"/>
    <w:rsid w:val="002D7380"/>
    <w:rsid w:val="002D758E"/>
    <w:rsid w:val="002D7742"/>
    <w:rsid w:val="002D7EA2"/>
    <w:rsid w:val="002E0676"/>
    <w:rsid w:val="002E06DD"/>
    <w:rsid w:val="002E187C"/>
    <w:rsid w:val="002E305A"/>
    <w:rsid w:val="002E33FC"/>
    <w:rsid w:val="002E3FA8"/>
    <w:rsid w:val="002E402A"/>
    <w:rsid w:val="002E4AEA"/>
    <w:rsid w:val="002E5664"/>
    <w:rsid w:val="002E5FB5"/>
    <w:rsid w:val="002E6D1C"/>
    <w:rsid w:val="002E79DB"/>
    <w:rsid w:val="002F0115"/>
    <w:rsid w:val="002F02A2"/>
    <w:rsid w:val="002F0BE4"/>
    <w:rsid w:val="002F1EDE"/>
    <w:rsid w:val="002F2A3F"/>
    <w:rsid w:val="002F2FCF"/>
    <w:rsid w:val="002F3AF1"/>
    <w:rsid w:val="002F467E"/>
    <w:rsid w:val="002F5303"/>
    <w:rsid w:val="002F5F67"/>
    <w:rsid w:val="002F75D1"/>
    <w:rsid w:val="002F7B69"/>
    <w:rsid w:val="00302733"/>
    <w:rsid w:val="00302C4F"/>
    <w:rsid w:val="00303452"/>
    <w:rsid w:val="00303D52"/>
    <w:rsid w:val="00304FB7"/>
    <w:rsid w:val="0030606F"/>
    <w:rsid w:val="00307ABC"/>
    <w:rsid w:val="00307F8D"/>
    <w:rsid w:val="003100D6"/>
    <w:rsid w:val="0031018B"/>
    <w:rsid w:val="0031109E"/>
    <w:rsid w:val="0031160D"/>
    <w:rsid w:val="00311990"/>
    <w:rsid w:val="00311C36"/>
    <w:rsid w:val="00314078"/>
    <w:rsid w:val="0031474F"/>
    <w:rsid w:val="00314D74"/>
    <w:rsid w:val="00315180"/>
    <w:rsid w:val="0031535D"/>
    <w:rsid w:val="003161A8"/>
    <w:rsid w:val="003168EE"/>
    <w:rsid w:val="003176D2"/>
    <w:rsid w:val="00317AC1"/>
    <w:rsid w:val="00320700"/>
    <w:rsid w:val="003207E7"/>
    <w:rsid w:val="003209E6"/>
    <w:rsid w:val="003225B4"/>
    <w:rsid w:val="00322B86"/>
    <w:rsid w:val="00322CFB"/>
    <w:rsid w:val="00322EBB"/>
    <w:rsid w:val="0032317F"/>
    <w:rsid w:val="003237E1"/>
    <w:rsid w:val="003242FB"/>
    <w:rsid w:val="00325178"/>
    <w:rsid w:val="003267D7"/>
    <w:rsid w:val="0032742E"/>
    <w:rsid w:val="0032793C"/>
    <w:rsid w:val="00327A3F"/>
    <w:rsid w:val="00330021"/>
    <w:rsid w:val="0033028D"/>
    <w:rsid w:val="0033169F"/>
    <w:rsid w:val="00331CBA"/>
    <w:rsid w:val="00332493"/>
    <w:rsid w:val="00332516"/>
    <w:rsid w:val="0033265C"/>
    <w:rsid w:val="00332A28"/>
    <w:rsid w:val="00333C83"/>
    <w:rsid w:val="00334428"/>
    <w:rsid w:val="00335A7B"/>
    <w:rsid w:val="00335E6B"/>
    <w:rsid w:val="003362C3"/>
    <w:rsid w:val="003370DC"/>
    <w:rsid w:val="003370ED"/>
    <w:rsid w:val="00341670"/>
    <w:rsid w:val="003421CA"/>
    <w:rsid w:val="00345653"/>
    <w:rsid w:val="00345EF7"/>
    <w:rsid w:val="0034633E"/>
    <w:rsid w:val="00346597"/>
    <w:rsid w:val="003466AD"/>
    <w:rsid w:val="00346764"/>
    <w:rsid w:val="00346C95"/>
    <w:rsid w:val="00347477"/>
    <w:rsid w:val="00347750"/>
    <w:rsid w:val="00350D39"/>
    <w:rsid w:val="003516EE"/>
    <w:rsid w:val="00351B3D"/>
    <w:rsid w:val="00351C25"/>
    <w:rsid w:val="003521E2"/>
    <w:rsid w:val="0035435A"/>
    <w:rsid w:val="00355ECD"/>
    <w:rsid w:val="00356185"/>
    <w:rsid w:val="00356C6A"/>
    <w:rsid w:val="003573A6"/>
    <w:rsid w:val="0035775B"/>
    <w:rsid w:val="00357DB0"/>
    <w:rsid w:val="00360380"/>
    <w:rsid w:val="00361415"/>
    <w:rsid w:val="00361608"/>
    <w:rsid w:val="00362A1D"/>
    <w:rsid w:val="003636FF"/>
    <w:rsid w:val="00363EA4"/>
    <w:rsid w:val="003641DB"/>
    <w:rsid w:val="00364642"/>
    <w:rsid w:val="003649BF"/>
    <w:rsid w:val="00364F3E"/>
    <w:rsid w:val="00365843"/>
    <w:rsid w:val="00365872"/>
    <w:rsid w:val="00365B7F"/>
    <w:rsid w:val="0036663C"/>
    <w:rsid w:val="00366EE7"/>
    <w:rsid w:val="00372D08"/>
    <w:rsid w:val="003730A0"/>
    <w:rsid w:val="00373C26"/>
    <w:rsid w:val="00374291"/>
    <w:rsid w:val="00374E6D"/>
    <w:rsid w:val="0037519E"/>
    <w:rsid w:val="003757E4"/>
    <w:rsid w:val="00376AA0"/>
    <w:rsid w:val="00377700"/>
    <w:rsid w:val="00381AB3"/>
    <w:rsid w:val="00381DFA"/>
    <w:rsid w:val="003839E1"/>
    <w:rsid w:val="00383E97"/>
    <w:rsid w:val="00385747"/>
    <w:rsid w:val="003859F2"/>
    <w:rsid w:val="00386CF0"/>
    <w:rsid w:val="003874BD"/>
    <w:rsid w:val="00387537"/>
    <w:rsid w:val="0038770E"/>
    <w:rsid w:val="00387BA5"/>
    <w:rsid w:val="003916EC"/>
    <w:rsid w:val="00391A6F"/>
    <w:rsid w:val="00391C6A"/>
    <w:rsid w:val="00391E2A"/>
    <w:rsid w:val="00392474"/>
    <w:rsid w:val="003924B6"/>
    <w:rsid w:val="003925CE"/>
    <w:rsid w:val="003928DC"/>
    <w:rsid w:val="003934E9"/>
    <w:rsid w:val="00393A5A"/>
    <w:rsid w:val="00395842"/>
    <w:rsid w:val="003958BF"/>
    <w:rsid w:val="00397A97"/>
    <w:rsid w:val="00397DA6"/>
    <w:rsid w:val="003A0768"/>
    <w:rsid w:val="003A0A9B"/>
    <w:rsid w:val="003A13AE"/>
    <w:rsid w:val="003A43FD"/>
    <w:rsid w:val="003A4F10"/>
    <w:rsid w:val="003A6D8F"/>
    <w:rsid w:val="003A7D23"/>
    <w:rsid w:val="003B0CEB"/>
    <w:rsid w:val="003B184A"/>
    <w:rsid w:val="003B1C01"/>
    <w:rsid w:val="003B1E84"/>
    <w:rsid w:val="003B47BB"/>
    <w:rsid w:val="003B58FC"/>
    <w:rsid w:val="003C17A8"/>
    <w:rsid w:val="003C185C"/>
    <w:rsid w:val="003C1B88"/>
    <w:rsid w:val="003C3025"/>
    <w:rsid w:val="003C314C"/>
    <w:rsid w:val="003C35B3"/>
    <w:rsid w:val="003C4647"/>
    <w:rsid w:val="003C5636"/>
    <w:rsid w:val="003C563D"/>
    <w:rsid w:val="003C5975"/>
    <w:rsid w:val="003C676B"/>
    <w:rsid w:val="003C73CF"/>
    <w:rsid w:val="003C7D8F"/>
    <w:rsid w:val="003D0953"/>
    <w:rsid w:val="003D0AE0"/>
    <w:rsid w:val="003D0DA0"/>
    <w:rsid w:val="003D16D2"/>
    <w:rsid w:val="003D1E11"/>
    <w:rsid w:val="003D1F6B"/>
    <w:rsid w:val="003D2000"/>
    <w:rsid w:val="003D31C7"/>
    <w:rsid w:val="003D3BC2"/>
    <w:rsid w:val="003D5DCD"/>
    <w:rsid w:val="003D67C7"/>
    <w:rsid w:val="003D7C03"/>
    <w:rsid w:val="003E063C"/>
    <w:rsid w:val="003E0BC1"/>
    <w:rsid w:val="003E0E01"/>
    <w:rsid w:val="003E4027"/>
    <w:rsid w:val="003E432F"/>
    <w:rsid w:val="003E6CA1"/>
    <w:rsid w:val="003E735D"/>
    <w:rsid w:val="003E7B5D"/>
    <w:rsid w:val="003E7C7B"/>
    <w:rsid w:val="003F04B8"/>
    <w:rsid w:val="003F2D64"/>
    <w:rsid w:val="003F2DB9"/>
    <w:rsid w:val="003F330D"/>
    <w:rsid w:val="003F48D5"/>
    <w:rsid w:val="003F4F55"/>
    <w:rsid w:val="003F50BF"/>
    <w:rsid w:val="003F7120"/>
    <w:rsid w:val="003F77CC"/>
    <w:rsid w:val="003F7F64"/>
    <w:rsid w:val="00401218"/>
    <w:rsid w:val="00401C6D"/>
    <w:rsid w:val="00402125"/>
    <w:rsid w:val="004028E4"/>
    <w:rsid w:val="004031A0"/>
    <w:rsid w:val="004036F6"/>
    <w:rsid w:val="004037C7"/>
    <w:rsid w:val="004052B9"/>
    <w:rsid w:val="00405E62"/>
    <w:rsid w:val="0040602C"/>
    <w:rsid w:val="00406258"/>
    <w:rsid w:val="00406A0F"/>
    <w:rsid w:val="00406B17"/>
    <w:rsid w:val="0040737A"/>
    <w:rsid w:val="00407620"/>
    <w:rsid w:val="00407BCD"/>
    <w:rsid w:val="00410202"/>
    <w:rsid w:val="00410A1A"/>
    <w:rsid w:val="00410DB9"/>
    <w:rsid w:val="00411636"/>
    <w:rsid w:val="00412E4C"/>
    <w:rsid w:val="00412E84"/>
    <w:rsid w:val="00413770"/>
    <w:rsid w:val="00414B3C"/>
    <w:rsid w:val="00415DE1"/>
    <w:rsid w:val="004165C2"/>
    <w:rsid w:val="00416931"/>
    <w:rsid w:val="0041705C"/>
    <w:rsid w:val="00420799"/>
    <w:rsid w:val="00421C73"/>
    <w:rsid w:val="00423AE1"/>
    <w:rsid w:val="00426114"/>
    <w:rsid w:val="004266BA"/>
    <w:rsid w:val="0042749E"/>
    <w:rsid w:val="00431568"/>
    <w:rsid w:val="00431AE0"/>
    <w:rsid w:val="00432515"/>
    <w:rsid w:val="00432964"/>
    <w:rsid w:val="00432BAF"/>
    <w:rsid w:val="00433B91"/>
    <w:rsid w:val="00433BC7"/>
    <w:rsid w:val="00433C4C"/>
    <w:rsid w:val="00434D83"/>
    <w:rsid w:val="00434DA4"/>
    <w:rsid w:val="00435BE5"/>
    <w:rsid w:val="00435F55"/>
    <w:rsid w:val="00436570"/>
    <w:rsid w:val="00436E30"/>
    <w:rsid w:val="00437020"/>
    <w:rsid w:val="00437655"/>
    <w:rsid w:val="004405D3"/>
    <w:rsid w:val="00441E8E"/>
    <w:rsid w:val="00441ECB"/>
    <w:rsid w:val="004420A1"/>
    <w:rsid w:val="00442F73"/>
    <w:rsid w:val="00444E69"/>
    <w:rsid w:val="004453D2"/>
    <w:rsid w:val="00445D4B"/>
    <w:rsid w:val="004466D0"/>
    <w:rsid w:val="004514C0"/>
    <w:rsid w:val="00451E47"/>
    <w:rsid w:val="0045328C"/>
    <w:rsid w:val="00453C2C"/>
    <w:rsid w:val="00454A61"/>
    <w:rsid w:val="0045550A"/>
    <w:rsid w:val="0045647B"/>
    <w:rsid w:val="004573BD"/>
    <w:rsid w:val="004574B0"/>
    <w:rsid w:val="00457AEC"/>
    <w:rsid w:val="00460064"/>
    <w:rsid w:val="0046035D"/>
    <w:rsid w:val="00460A2C"/>
    <w:rsid w:val="004623B0"/>
    <w:rsid w:val="00462C0F"/>
    <w:rsid w:val="0046313F"/>
    <w:rsid w:val="00464493"/>
    <w:rsid w:val="004657EC"/>
    <w:rsid w:val="00465843"/>
    <w:rsid w:val="00466819"/>
    <w:rsid w:val="00466A7E"/>
    <w:rsid w:val="00466E61"/>
    <w:rsid w:val="0046749F"/>
    <w:rsid w:val="00467B7E"/>
    <w:rsid w:val="00467D73"/>
    <w:rsid w:val="0047010B"/>
    <w:rsid w:val="004711AD"/>
    <w:rsid w:val="004713B2"/>
    <w:rsid w:val="00471618"/>
    <w:rsid w:val="00471A5E"/>
    <w:rsid w:val="00471D1D"/>
    <w:rsid w:val="00472708"/>
    <w:rsid w:val="0047291C"/>
    <w:rsid w:val="00472B68"/>
    <w:rsid w:val="00473DA5"/>
    <w:rsid w:val="00474DAF"/>
    <w:rsid w:val="0047526A"/>
    <w:rsid w:val="004755F6"/>
    <w:rsid w:val="0047577F"/>
    <w:rsid w:val="0047612E"/>
    <w:rsid w:val="00476EE0"/>
    <w:rsid w:val="00477592"/>
    <w:rsid w:val="00477B9B"/>
    <w:rsid w:val="0048062F"/>
    <w:rsid w:val="004817A3"/>
    <w:rsid w:val="0048203B"/>
    <w:rsid w:val="00482288"/>
    <w:rsid w:val="00482EC8"/>
    <w:rsid w:val="00483513"/>
    <w:rsid w:val="0048362D"/>
    <w:rsid w:val="00484AB4"/>
    <w:rsid w:val="0048560E"/>
    <w:rsid w:val="00486F1C"/>
    <w:rsid w:val="004872FE"/>
    <w:rsid w:val="00490494"/>
    <w:rsid w:val="00491710"/>
    <w:rsid w:val="00491FFE"/>
    <w:rsid w:val="004927F2"/>
    <w:rsid w:val="00492AE8"/>
    <w:rsid w:val="004936A9"/>
    <w:rsid w:val="00493CBF"/>
    <w:rsid w:val="0049419D"/>
    <w:rsid w:val="00495CB1"/>
    <w:rsid w:val="00496604"/>
    <w:rsid w:val="00496E03"/>
    <w:rsid w:val="0049778D"/>
    <w:rsid w:val="00497D23"/>
    <w:rsid w:val="004A0D15"/>
    <w:rsid w:val="004A146C"/>
    <w:rsid w:val="004A1990"/>
    <w:rsid w:val="004A1DCE"/>
    <w:rsid w:val="004A3AA1"/>
    <w:rsid w:val="004A3D4F"/>
    <w:rsid w:val="004A452B"/>
    <w:rsid w:val="004A49AC"/>
    <w:rsid w:val="004A5186"/>
    <w:rsid w:val="004A530F"/>
    <w:rsid w:val="004A6951"/>
    <w:rsid w:val="004A696A"/>
    <w:rsid w:val="004A6A8B"/>
    <w:rsid w:val="004A7E8F"/>
    <w:rsid w:val="004A7F6E"/>
    <w:rsid w:val="004B03E6"/>
    <w:rsid w:val="004B0B22"/>
    <w:rsid w:val="004B16C3"/>
    <w:rsid w:val="004B1819"/>
    <w:rsid w:val="004B1DC0"/>
    <w:rsid w:val="004B2E49"/>
    <w:rsid w:val="004B457D"/>
    <w:rsid w:val="004B4B5E"/>
    <w:rsid w:val="004B5223"/>
    <w:rsid w:val="004B545D"/>
    <w:rsid w:val="004B5991"/>
    <w:rsid w:val="004B6C49"/>
    <w:rsid w:val="004B70BB"/>
    <w:rsid w:val="004C0DB0"/>
    <w:rsid w:val="004C109B"/>
    <w:rsid w:val="004C17DC"/>
    <w:rsid w:val="004C1C07"/>
    <w:rsid w:val="004C1CAB"/>
    <w:rsid w:val="004C20D2"/>
    <w:rsid w:val="004C2477"/>
    <w:rsid w:val="004C2B9A"/>
    <w:rsid w:val="004C3C03"/>
    <w:rsid w:val="004C4B62"/>
    <w:rsid w:val="004C5063"/>
    <w:rsid w:val="004C54C9"/>
    <w:rsid w:val="004C6F02"/>
    <w:rsid w:val="004C73DD"/>
    <w:rsid w:val="004C790D"/>
    <w:rsid w:val="004C7C22"/>
    <w:rsid w:val="004D0EB1"/>
    <w:rsid w:val="004D14AD"/>
    <w:rsid w:val="004D1586"/>
    <w:rsid w:val="004D195F"/>
    <w:rsid w:val="004D2437"/>
    <w:rsid w:val="004D2720"/>
    <w:rsid w:val="004D2C0C"/>
    <w:rsid w:val="004D2CE9"/>
    <w:rsid w:val="004D35EB"/>
    <w:rsid w:val="004D4788"/>
    <w:rsid w:val="004D4F15"/>
    <w:rsid w:val="004D50BF"/>
    <w:rsid w:val="004D6025"/>
    <w:rsid w:val="004D634E"/>
    <w:rsid w:val="004D6618"/>
    <w:rsid w:val="004D6CC4"/>
    <w:rsid w:val="004D6F70"/>
    <w:rsid w:val="004D7791"/>
    <w:rsid w:val="004E13C2"/>
    <w:rsid w:val="004E165B"/>
    <w:rsid w:val="004E1F78"/>
    <w:rsid w:val="004E2649"/>
    <w:rsid w:val="004E2A19"/>
    <w:rsid w:val="004E3046"/>
    <w:rsid w:val="004E38F6"/>
    <w:rsid w:val="004E4909"/>
    <w:rsid w:val="004E5FB0"/>
    <w:rsid w:val="004E6EDE"/>
    <w:rsid w:val="004E6F1D"/>
    <w:rsid w:val="004F0360"/>
    <w:rsid w:val="004F0449"/>
    <w:rsid w:val="004F0CF7"/>
    <w:rsid w:val="004F2F0D"/>
    <w:rsid w:val="004F34AE"/>
    <w:rsid w:val="004F3FB8"/>
    <w:rsid w:val="004F41EF"/>
    <w:rsid w:val="004F47A6"/>
    <w:rsid w:val="004F520C"/>
    <w:rsid w:val="004F5719"/>
    <w:rsid w:val="004F5B0A"/>
    <w:rsid w:val="004F627D"/>
    <w:rsid w:val="004F6366"/>
    <w:rsid w:val="004F6C5C"/>
    <w:rsid w:val="004F73BD"/>
    <w:rsid w:val="004F7545"/>
    <w:rsid w:val="004F79E5"/>
    <w:rsid w:val="00500B94"/>
    <w:rsid w:val="00501399"/>
    <w:rsid w:val="005014D4"/>
    <w:rsid w:val="00501577"/>
    <w:rsid w:val="00501AA9"/>
    <w:rsid w:val="00501D31"/>
    <w:rsid w:val="00501F4C"/>
    <w:rsid w:val="005021D0"/>
    <w:rsid w:val="005032BD"/>
    <w:rsid w:val="00503918"/>
    <w:rsid w:val="005050A9"/>
    <w:rsid w:val="0050521B"/>
    <w:rsid w:val="00506073"/>
    <w:rsid w:val="00506323"/>
    <w:rsid w:val="0050633D"/>
    <w:rsid w:val="00506575"/>
    <w:rsid w:val="00507171"/>
    <w:rsid w:val="00507678"/>
    <w:rsid w:val="00507BC4"/>
    <w:rsid w:val="005102B8"/>
    <w:rsid w:val="0051063A"/>
    <w:rsid w:val="005128E4"/>
    <w:rsid w:val="005133DB"/>
    <w:rsid w:val="00513D84"/>
    <w:rsid w:val="00514D38"/>
    <w:rsid w:val="00516079"/>
    <w:rsid w:val="00516521"/>
    <w:rsid w:val="0051697A"/>
    <w:rsid w:val="00520DCD"/>
    <w:rsid w:val="0052136E"/>
    <w:rsid w:val="00522169"/>
    <w:rsid w:val="00522A58"/>
    <w:rsid w:val="00523632"/>
    <w:rsid w:val="005243B2"/>
    <w:rsid w:val="005247D6"/>
    <w:rsid w:val="00524C31"/>
    <w:rsid w:val="00525560"/>
    <w:rsid w:val="0052674A"/>
    <w:rsid w:val="00526D00"/>
    <w:rsid w:val="00526D89"/>
    <w:rsid w:val="00527675"/>
    <w:rsid w:val="00527E08"/>
    <w:rsid w:val="005300A3"/>
    <w:rsid w:val="005324B1"/>
    <w:rsid w:val="005346EF"/>
    <w:rsid w:val="00534F60"/>
    <w:rsid w:val="00535212"/>
    <w:rsid w:val="005354F3"/>
    <w:rsid w:val="0053572B"/>
    <w:rsid w:val="00535B49"/>
    <w:rsid w:val="0053648D"/>
    <w:rsid w:val="00536923"/>
    <w:rsid w:val="00537241"/>
    <w:rsid w:val="00540BCE"/>
    <w:rsid w:val="00540DCD"/>
    <w:rsid w:val="00542D94"/>
    <w:rsid w:val="005430CE"/>
    <w:rsid w:val="00544C49"/>
    <w:rsid w:val="0054530D"/>
    <w:rsid w:val="00545BCF"/>
    <w:rsid w:val="00545FAE"/>
    <w:rsid w:val="00547184"/>
    <w:rsid w:val="005504F4"/>
    <w:rsid w:val="00550C72"/>
    <w:rsid w:val="005516A1"/>
    <w:rsid w:val="00551843"/>
    <w:rsid w:val="00553064"/>
    <w:rsid w:val="00553262"/>
    <w:rsid w:val="00553C5E"/>
    <w:rsid w:val="00553FB3"/>
    <w:rsid w:val="00555082"/>
    <w:rsid w:val="00556C50"/>
    <w:rsid w:val="00557B97"/>
    <w:rsid w:val="005605E2"/>
    <w:rsid w:val="00563625"/>
    <w:rsid w:val="00563F2E"/>
    <w:rsid w:val="0056423D"/>
    <w:rsid w:val="00564276"/>
    <w:rsid w:val="00565104"/>
    <w:rsid w:val="00565744"/>
    <w:rsid w:val="00566535"/>
    <w:rsid w:val="00566A44"/>
    <w:rsid w:val="0056774D"/>
    <w:rsid w:val="0057011C"/>
    <w:rsid w:val="00570949"/>
    <w:rsid w:val="00570957"/>
    <w:rsid w:val="00570962"/>
    <w:rsid w:val="005709A4"/>
    <w:rsid w:val="00570AD5"/>
    <w:rsid w:val="00571810"/>
    <w:rsid w:val="00571FAA"/>
    <w:rsid w:val="005725B2"/>
    <w:rsid w:val="0057365F"/>
    <w:rsid w:val="0057402A"/>
    <w:rsid w:val="00574E2C"/>
    <w:rsid w:val="00576266"/>
    <w:rsid w:val="00576F19"/>
    <w:rsid w:val="005771D0"/>
    <w:rsid w:val="0057762E"/>
    <w:rsid w:val="00580B2D"/>
    <w:rsid w:val="005832E2"/>
    <w:rsid w:val="0058449C"/>
    <w:rsid w:val="00585393"/>
    <w:rsid w:val="00585484"/>
    <w:rsid w:val="00585515"/>
    <w:rsid w:val="00586AD2"/>
    <w:rsid w:val="005876F0"/>
    <w:rsid w:val="005904EB"/>
    <w:rsid w:val="00590B5F"/>
    <w:rsid w:val="0059123B"/>
    <w:rsid w:val="0059191A"/>
    <w:rsid w:val="005921FF"/>
    <w:rsid w:val="0059253B"/>
    <w:rsid w:val="005937F1"/>
    <w:rsid w:val="00595125"/>
    <w:rsid w:val="00595C1D"/>
    <w:rsid w:val="005972C7"/>
    <w:rsid w:val="00597523"/>
    <w:rsid w:val="00597A88"/>
    <w:rsid w:val="005A2700"/>
    <w:rsid w:val="005A4472"/>
    <w:rsid w:val="005A46E5"/>
    <w:rsid w:val="005A473A"/>
    <w:rsid w:val="005A4F44"/>
    <w:rsid w:val="005A5070"/>
    <w:rsid w:val="005A5283"/>
    <w:rsid w:val="005A57CB"/>
    <w:rsid w:val="005A5D82"/>
    <w:rsid w:val="005A6D0E"/>
    <w:rsid w:val="005A6F19"/>
    <w:rsid w:val="005A71D3"/>
    <w:rsid w:val="005A72AE"/>
    <w:rsid w:val="005A78EE"/>
    <w:rsid w:val="005B0F68"/>
    <w:rsid w:val="005B1F83"/>
    <w:rsid w:val="005B239D"/>
    <w:rsid w:val="005B50E0"/>
    <w:rsid w:val="005B52B0"/>
    <w:rsid w:val="005B5643"/>
    <w:rsid w:val="005B5A35"/>
    <w:rsid w:val="005B6806"/>
    <w:rsid w:val="005B7964"/>
    <w:rsid w:val="005B7AB2"/>
    <w:rsid w:val="005B7C8F"/>
    <w:rsid w:val="005C0460"/>
    <w:rsid w:val="005C06E2"/>
    <w:rsid w:val="005C0CB2"/>
    <w:rsid w:val="005C1938"/>
    <w:rsid w:val="005C1942"/>
    <w:rsid w:val="005C2304"/>
    <w:rsid w:val="005C357E"/>
    <w:rsid w:val="005C4225"/>
    <w:rsid w:val="005C4CA5"/>
    <w:rsid w:val="005C5C9B"/>
    <w:rsid w:val="005C6DBE"/>
    <w:rsid w:val="005C7F72"/>
    <w:rsid w:val="005D0DB1"/>
    <w:rsid w:val="005D234F"/>
    <w:rsid w:val="005D24AC"/>
    <w:rsid w:val="005D3DE1"/>
    <w:rsid w:val="005D4F52"/>
    <w:rsid w:val="005D6227"/>
    <w:rsid w:val="005E1459"/>
    <w:rsid w:val="005E1957"/>
    <w:rsid w:val="005E204B"/>
    <w:rsid w:val="005E2960"/>
    <w:rsid w:val="005E2A02"/>
    <w:rsid w:val="005E460E"/>
    <w:rsid w:val="005E57A9"/>
    <w:rsid w:val="005E589E"/>
    <w:rsid w:val="005E58CF"/>
    <w:rsid w:val="005E592A"/>
    <w:rsid w:val="005E59FF"/>
    <w:rsid w:val="005E6E58"/>
    <w:rsid w:val="005E7A54"/>
    <w:rsid w:val="005E7CD1"/>
    <w:rsid w:val="005E7CF5"/>
    <w:rsid w:val="005F025B"/>
    <w:rsid w:val="005F0DAD"/>
    <w:rsid w:val="005F0F33"/>
    <w:rsid w:val="005F2D44"/>
    <w:rsid w:val="005F309E"/>
    <w:rsid w:val="005F3160"/>
    <w:rsid w:val="005F3C51"/>
    <w:rsid w:val="005F3D64"/>
    <w:rsid w:val="005F46C8"/>
    <w:rsid w:val="005F46DF"/>
    <w:rsid w:val="005F659B"/>
    <w:rsid w:val="005F67BD"/>
    <w:rsid w:val="005F79D9"/>
    <w:rsid w:val="00600692"/>
    <w:rsid w:val="0060077E"/>
    <w:rsid w:val="00600DEB"/>
    <w:rsid w:val="006017D8"/>
    <w:rsid w:val="0060256A"/>
    <w:rsid w:val="00602751"/>
    <w:rsid w:val="00603A05"/>
    <w:rsid w:val="00606C21"/>
    <w:rsid w:val="0061034E"/>
    <w:rsid w:val="006104B0"/>
    <w:rsid w:val="006115F8"/>
    <w:rsid w:val="00612431"/>
    <w:rsid w:val="006125C3"/>
    <w:rsid w:val="006130E1"/>
    <w:rsid w:val="00613DAD"/>
    <w:rsid w:val="0061510B"/>
    <w:rsid w:val="0061577F"/>
    <w:rsid w:val="006159F8"/>
    <w:rsid w:val="00615FBF"/>
    <w:rsid w:val="00616337"/>
    <w:rsid w:val="00616C25"/>
    <w:rsid w:val="0062003C"/>
    <w:rsid w:val="00621451"/>
    <w:rsid w:val="00621AA4"/>
    <w:rsid w:val="00622105"/>
    <w:rsid w:val="00622C92"/>
    <w:rsid w:val="00623729"/>
    <w:rsid w:val="00623E59"/>
    <w:rsid w:val="006243D8"/>
    <w:rsid w:val="00624DD2"/>
    <w:rsid w:val="00625B1C"/>
    <w:rsid w:val="0062721A"/>
    <w:rsid w:val="00627BE5"/>
    <w:rsid w:val="00627C9F"/>
    <w:rsid w:val="006311E9"/>
    <w:rsid w:val="00632354"/>
    <w:rsid w:val="00632F9E"/>
    <w:rsid w:val="00634839"/>
    <w:rsid w:val="00634C47"/>
    <w:rsid w:val="006351E1"/>
    <w:rsid w:val="006351ED"/>
    <w:rsid w:val="006353B9"/>
    <w:rsid w:val="00635DF5"/>
    <w:rsid w:val="00636377"/>
    <w:rsid w:val="006373E0"/>
    <w:rsid w:val="00637B6A"/>
    <w:rsid w:val="0064044A"/>
    <w:rsid w:val="006409C9"/>
    <w:rsid w:val="00640AEC"/>
    <w:rsid w:val="00641279"/>
    <w:rsid w:val="0064140F"/>
    <w:rsid w:val="00641BDF"/>
    <w:rsid w:val="00642332"/>
    <w:rsid w:val="00642410"/>
    <w:rsid w:val="00642810"/>
    <w:rsid w:val="0064303A"/>
    <w:rsid w:val="00643722"/>
    <w:rsid w:val="00644A53"/>
    <w:rsid w:val="00645038"/>
    <w:rsid w:val="00645117"/>
    <w:rsid w:val="00645348"/>
    <w:rsid w:val="00645AC3"/>
    <w:rsid w:val="0064637C"/>
    <w:rsid w:val="00646F40"/>
    <w:rsid w:val="00650776"/>
    <w:rsid w:val="00652333"/>
    <w:rsid w:val="00652725"/>
    <w:rsid w:val="00652EB0"/>
    <w:rsid w:val="006549DA"/>
    <w:rsid w:val="0065504C"/>
    <w:rsid w:val="00655315"/>
    <w:rsid w:val="00655B8E"/>
    <w:rsid w:val="006571E6"/>
    <w:rsid w:val="00657D92"/>
    <w:rsid w:val="006600BE"/>
    <w:rsid w:val="00660D33"/>
    <w:rsid w:val="00660F94"/>
    <w:rsid w:val="006618B7"/>
    <w:rsid w:val="00661932"/>
    <w:rsid w:val="006635F2"/>
    <w:rsid w:val="0066367B"/>
    <w:rsid w:val="00663C75"/>
    <w:rsid w:val="00663F58"/>
    <w:rsid w:val="0066584F"/>
    <w:rsid w:val="00665A43"/>
    <w:rsid w:val="00666C33"/>
    <w:rsid w:val="006672CE"/>
    <w:rsid w:val="0067019D"/>
    <w:rsid w:val="006703BE"/>
    <w:rsid w:val="0067162C"/>
    <w:rsid w:val="00673128"/>
    <w:rsid w:val="006738E6"/>
    <w:rsid w:val="00673D26"/>
    <w:rsid w:val="006754EF"/>
    <w:rsid w:val="00676CAC"/>
    <w:rsid w:val="0068009E"/>
    <w:rsid w:val="006812BF"/>
    <w:rsid w:val="00681AF8"/>
    <w:rsid w:val="00681BE8"/>
    <w:rsid w:val="00682381"/>
    <w:rsid w:val="0068449B"/>
    <w:rsid w:val="006853E2"/>
    <w:rsid w:val="00686CB9"/>
    <w:rsid w:val="00687B20"/>
    <w:rsid w:val="00691EA3"/>
    <w:rsid w:val="00692219"/>
    <w:rsid w:val="00693227"/>
    <w:rsid w:val="00693549"/>
    <w:rsid w:val="00694F62"/>
    <w:rsid w:val="00695096"/>
    <w:rsid w:val="006956AB"/>
    <w:rsid w:val="006960FE"/>
    <w:rsid w:val="00697062"/>
    <w:rsid w:val="006970F2"/>
    <w:rsid w:val="00697E34"/>
    <w:rsid w:val="006A0C89"/>
    <w:rsid w:val="006A107D"/>
    <w:rsid w:val="006A17D2"/>
    <w:rsid w:val="006A2CAF"/>
    <w:rsid w:val="006A3357"/>
    <w:rsid w:val="006A4B39"/>
    <w:rsid w:val="006A5414"/>
    <w:rsid w:val="006A548C"/>
    <w:rsid w:val="006A6404"/>
    <w:rsid w:val="006A73E6"/>
    <w:rsid w:val="006A7FA0"/>
    <w:rsid w:val="006B011A"/>
    <w:rsid w:val="006B0835"/>
    <w:rsid w:val="006B1635"/>
    <w:rsid w:val="006B2D5C"/>
    <w:rsid w:val="006B3692"/>
    <w:rsid w:val="006B48F5"/>
    <w:rsid w:val="006B4D40"/>
    <w:rsid w:val="006B5E2F"/>
    <w:rsid w:val="006B603C"/>
    <w:rsid w:val="006B7759"/>
    <w:rsid w:val="006C01E7"/>
    <w:rsid w:val="006C0FEF"/>
    <w:rsid w:val="006C10DF"/>
    <w:rsid w:val="006C1A20"/>
    <w:rsid w:val="006C1AE7"/>
    <w:rsid w:val="006C286F"/>
    <w:rsid w:val="006C3717"/>
    <w:rsid w:val="006C3831"/>
    <w:rsid w:val="006C39C0"/>
    <w:rsid w:val="006C458E"/>
    <w:rsid w:val="006C4EB1"/>
    <w:rsid w:val="006C571F"/>
    <w:rsid w:val="006C589D"/>
    <w:rsid w:val="006C5C33"/>
    <w:rsid w:val="006C63E1"/>
    <w:rsid w:val="006C68F3"/>
    <w:rsid w:val="006C7E76"/>
    <w:rsid w:val="006D0099"/>
    <w:rsid w:val="006D0890"/>
    <w:rsid w:val="006D2DF8"/>
    <w:rsid w:val="006D31A6"/>
    <w:rsid w:val="006D3E4E"/>
    <w:rsid w:val="006D4977"/>
    <w:rsid w:val="006D54A1"/>
    <w:rsid w:val="006D7862"/>
    <w:rsid w:val="006D7B59"/>
    <w:rsid w:val="006E0166"/>
    <w:rsid w:val="006E047A"/>
    <w:rsid w:val="006E064B"/>
    <w:rsid w:val="006E0B0C"/>
    <w:rsid w:val="006E0FD4"/>
    <w:rsid w:val="006E1EFC"/>
    <w:rsid w:val="006E3350"/>
    <w:rsid w:val="006E5307"/>
    <w:rsid w:val="006E5F56"/>
    <w:rsid w:val="006E627F"/>
    <w:rsid w:val="006E65DD"/>
    <w:rsid w:val="006E6AF1"/>
    <w:rsid w:val="006E6C2D"/>
    <w:rsid w:val="006E7B34"/>
    <w:rsid w:val="006E7BF7"/>
    <w:rsid w:val="006E7FA3"/>
    <w:rsid w:val="006F1651"/>
    <w:rsid w:val="006F1BAD"/>
    <w:rsid w:val="006F2A76"/>
    <w:rsid w:val="006F42CD"/>
    <w:rsid w:val="006F46CB"/>
    <w:rsid w:val="006F679D"/>
    <w:rsid w:val="006F75F8"/>
    <w:rsid w:val="007006E3"/>
    <w:rsid w:val="007014EC"/>
    <w:rsid w:val="007021AD"/>
    <w:rsid w:val="00702A36"/>
    <w:rsid w:val="0070465B"/>
    <w:rsid w:val="0070685A"/>
    <w:rsid w:val="00706870"/>
    <w:rsid w:val="0070697F"/>
    <w:rsid w:val="00706B2F"/>
    <w:rsid w:val="00707226"/>
    <w:rsid w:val="00713175"/>
    <w:rsid w:val="007133C6"/>
    <w:rsid w:val="00713544"/>
    <w:rsid w:val="007139D5"/>
    <w:rsid w:val="00713B22"/>
    <w:rsid w:val="00715F91"/>
    <w:rsid w:val="007173E4"/>
    <w:rsid w:val="00717ED3"/>
    <w:rsid w:val="007218BC"/>
    <w:rsid w:val="0072199C"/>
    <w:rsid w:val="00722C9F"/>
    <w:rsid w:val="0072348E"/>
    <w:rsid w:val="0072443C"/>
    <w:rsid w:val="00724BDD"/>
    <w:rsid w:val="007253B8"/>
    <w:rsid w:val="0072640D"/>
    <w:rsid w:val="0072653D"/>
    <w:rsid w:val="00726B29"/>
    <w:rsid w:val="0073016D"/>
    <w:rsid w:val="0073083E"/>
    <w:rsid w:val="0073087D"/>
    <w:rsid w:val="007308D6"/>
    <w:rsid w:val="00732568"/>
    <w:rsid w:val="00733500"/>
    <w:rsid w:val="00733977"/>
    <w:rsid w:val="00735D83"/>
    <w:rsid w:val="0073631B"/>
    <w:rsid w:val="00736AE5"/>
    <w:rsid w:val="0073741F"/>
    <w:rsid w:val="0074176E"/>
    <w:rsid w:val="00741872"/>
    <w:rsid w:val="00742FB6"/>
    <w:rsid w:val="00747458"/>
    <w:rsid w:val="0074764E"/>
    <w:rsid w:val="00751020"/>
    <w:rsid w:val="0075138C"/>
    <w:rsid w:val="007517A3"/>
    <w:rsid w:val="00751C6A"/>
    <w:rsid w:val="007521E0"/>
    <w:rsid w:val="007533EA"/>
    <w:rsid w:val="00754B02"/>
    <w:rsid w:val="00754DEF"/>
    <w:rsid w:val="00755E42"/>
    <w:rsid w:val="00756566"/>
    <w:rsid w:val="00761179"/>
    <w:rsid w:val="0076136B"/>
    <w:rsid w:val="00762BD6"/>
    <w:rsid w:val="00762FD4"/>
    <w:rsid w:val="00763F55"/>
    <w:rsid w:val="00765217"/>
    <w:rsid w:val="0076552B"/>
    <w:rsid w:val="007656C5"/>
    <w:rsid w:val="00765EAD"/>
    <w:rsid w:val="00766285"/>
    <w:rsid w:val="0076643F"/>
    <w:rsid w:val="00766FA0"/>
    <w:rsid w:val="0076737B"/>
    <w:rsid w:val="00767565"/>
    <w:rsid w:val="00767A63"/>
    <w:rsid w:val="00770586"/>
    <w:rsid w:val="00770B32"/>
    <w:rsid w:val="00770C45"/>
    <w:rsid w:val="00771834"/>
    <w:rsid w:val="00771A6A"/>
    <w:rsid w:val="00772101"/>
    <w:rsid w:val="00773B49"/>
    <w:rsid w:val="00774416"/>
    <w:rsid w:val="0077490C"/>
    <w:rsid w:val="00774BC4"/>
    <w:rsid w:val="00776434"/>
    <w:rsid w:val="007764C8"/>
    <w:rsid w:val="00776D8A"/>
    <w:rsid w:val="00777521"/>
    <w:rsid w:val="00777795"/>
    <w:rsid w:val="00777F63"/>
    <w:rsid w:val="00780168"/>
    <w:rsid w:val="0078045D"/>
    <w:rsid w:val="00781758"/>
    <w:rsid w:val="00782E4E"/>
    <w:rsid w:val="00782EBB"/>
    <w:rsid w:val="00782F35"/>
    <w:rsid w:val="00783656"/>
    <w:rsid w:val="0078687F"/>
    <w:rsid w:val="0078786C"/>
    <w:rsid w:val="007911EE"/>
    <w:rsid w:val="00791246"/>
    <w:rsid w:val="007932D9"/>
    <w:rsid w:val="00794D73"/>
    <w:rsid w:val="00796811"/>
    <w:rsid w:val="0079687A"/>
    <w:rsid w:val="0079704C"/>
    <w:rsid w:val="007970D6"/>
    <w:rsid w:val="007976A0"/>
    <w:rsid w:val="007A29FD"/>
    <w:rsid w:val="007A3627"/>
    <w:rsid w:val="007A5817"/>
    <w:rsid w:val="007B1196"/>
    <w:rsid w:val="007B1211"/>
    <w:rsid w:val="007B136F"/>
    <w:rsid w:val="007B16D4"/>
    <w:rsid w:val="007B1FB7"/>
    <w:rsid w:val="007B312A"/>
    <w:rsid w:val="007B328D"/>
    <w:rsid w:val="007B4C02"/>
    <w:rsid w:val="007B54C9"/>
    <w:rsid w:val="007B60E9"/>
    <w:rsid w:val="007B64A5"/>
    <w:rsid w:val="007B690F"/>
    <w:rsid w:val="007B6CC3"/>
    <w:rsid w:val="007B7C0B"/>
    <w:rsid w:val="007C251C"/>
    <w:rsid w:val="007C2A3A"/>
    <w:rsid w:val="007C3334"/>
    <w:rsid w:val="007C3EB1"/>
    <w:rsid w:val="007C4858"/>
    <w:rsid w:val="007C48E4"/>
    <w:rsid w:val="007C53C1"/>
    <w:rsid w:val="007C54D6"/>
    <w:rsid w:val="007C6AC2"/>
    <w:rsid w:val="007C6B47"/>
    <w:rsid w:val="007C756A"/>
    <w:rsid w:val="007D0253"/>
    <w:rsid w:val="007D0DED"/>
    <w:rsid w:val="007D1552"/>
    <w:rsid w:val="007D2B98"/>
    <w:rsid w:val="007D3ACB"/>
    <w:rsid w:val="007D3EC5"/>
    <w:rsid w:val="007D4074"/>
    <w:rsid w:val="007D4295"/>
    <w:rsid w:val="007D455B"/>
    <w:rsid w:val="007D538F"/>
    <w:rsid w:val="007D5DC6"/>
    <w:rsid w:val="007E21BC"/>
    <w:rsid w:val="007E2605"/>
    <w:rsid w:val="007E3084"/>
    <w:rsid w:val="007E3653"/>
    <w:rsid w:val="007E3E78"/>
    <w:rsid w:val="007E4B27"/>
    <w:rsid w:val="007E5472"/>
    <w:rsid w:val="007E5490"/>
    <w:rsid w:val="007F005C"/>
    <w:rsid w:val="007F1426"/>
    <w:rsid w:val="007F158D"/>
    <w:rsid w:val="007F1D3D"/>
    <w:rsid w:val="007F212F"/>
    <w:rsid w:val="007F26C0"/>
    <w:rsid w:val="007F2ACE"/>
    <w:rsid w:val="007F2BD1"/>
    <w:rsid w:val="007F2C26"/>
    <w:rsid w:val="007F3AD0"/>
    <w:rsid w:val="007F4F54"/>
    <w:rsid w:val="007F4FAC"/>
    <w:rsid w:val="007F790B"/>
    <w:rsid w:val="007F7E9A"/>
    <w:rsid w:val="00800C74"/>
    <w:rsid w:val="008012CA"/>
    <w:rsid w:val="00801AAE"/>
    <w:rsid w:val="00803F1C"/>
    <w:rsid w:val="008048C5"/>
    <w:rsid w:val="0080539A"/>
    <w:rsid w:val="008056AC"/>
    <w:rsid w:val="0080600E"/>
    <w:rsid w:val="00811BA7"/>
    <w:rsid w:val="00812B9A"/>
    <w:rsid w:val="00813285"/>
    <w:rsid w:val="00814A31"/>
    <w:rsid w:val="00815021"/>
    <w:rsid w:val="008163CF"/>
    <w:rsid w:val="008167E0"/>
    <w:rsid w:val="008173CE"/>
    <w:rsid w:val="00817612"/>
    <w:rsid w:val="00820B4D"/>
    <w:rsid w:val="008217E6"/>
    <w:rsid w:val="008223A6"/>
    <w:rsid w:val="008229A4"/>
    <w:rsid w:val="008231C1"/>
    <w:rsid w:val="00824696"/>
    <w:rsid w:val="00824DBB"/>
    <w:rsid w:val="0082505D"/>
    <w:rsid w:val="008266A7"/>
    <w:rsid w:val="00827647"/>
    <w:rsid w:val="00827831"/>
    <w:rsid w:val="00831D2B"/>
    <w:rsid w:val="00831E8F"/>
    <w:rsid w:val="00832D55"/>
    <w:rsid w:val="008338A4"/>
    <w:rsid w:val="00837C45"/>
    <w:rsid w:val="008401DE"/>
    <w:rsid w:val="008427AF"/>
    <w:rsid w:val="00842977"/>
    <w:rsid w:val="00844730"/>
    <w:rsid w:val="00845263"/>
    <w:rsid w:val="008457C2"/>
    <w:rsid w:val="00846808"/>
    <w:rsid w:val="00846FD4"/>
    <w:rsid w:val="00847A34"/>
    <w:rsid w:val="0085064C"/>
    <w:rsid w:val="00851E5D"/>
    <w:rsid w:val="00854423"/>
    <w:rsid w:val="008575C5"/>
    <w:rsid w:val="00857A82"/>
    <w:rsid w:val="00860526"/>
    <w:rsid w:val="008605B3"/>
    <w:rsid w:val="00860CF3"/>
    <w:rsid w:val="00861D76"/>
    <w:rsid w:val="00861E23"/>
    <w:rsid w:val="00861E43"/>
    <w:rsid w:val="008622A6"/>
    <w:rsid w:val="00863A43"/>
    <w:rsid w:val="008650C8"/>
    <w:rsid w:val="00865679"/>
    <w:rsid w:val="00865B82"/>
    <w:rsid w:val="00867840"/>
    <w:rsid w:val="008714CF"/>
    <w:rsid w:val="00872E7E"/>
    <w:rsid w:val="00872F8A"/>
    <w:rsid w:val="00873594"/>
    <w:rsid w:val="00873836"/>
    <w:rsid w:val="008757BE"/>
    <w:rsid w:val="00875A2C"/>
    <w:rsid w:val="00875D87"/>
    <w:rsid w:val="0087651B"/>
    <w:rsid w:val="008772C6"/>
    <w:rsid w:val="008822D9"/>
    <w:rsid w:val="00882744"/>
    <w:rsid w:val="00883ACE"/>
    <w:rsid w:val="00884491"/>
    <w:rsid w:val="00884D49"/>
    <w:rsid w:val="0088538F"/>
    <w:rsid w:val="00885737"/>
    <w:rsid w:val="008875AC"/>
    <w:rsid w:val="00887C05"/>
    <w:rsid w:val="00887D63"/>
    <w:rsid w:val="00890650"/>
    <w:rsid w:val="00890CF7"/>
    <w:rsid w:val="00891F97"/>
    <w:rsid w:val="00894581"/>
    <w:rsid w:val="008946B2"/>
    <w:rsid w:val="00894D28"/>
    <w:rsid w:val="00894DFB"/>
    <w:rsid w:val="00894FC5"/>
    <w:rsid w:val="0089582B"/>
    <w:rsid w:val="00896B78"/>
    <w:rsid w:val="008971BF"/>
    <w:rsid w:val="00897E12"/>
    <w:rsid w:val="008A078F"/>
    <w:rsid w:val="008A0BD3"/>
    <w:rsid w:val="008A0C11"/>
    <w:rsid w:val="008A1689"/>
    <w:rsid w:val="008A2BE1"/>
    <w:rsid w:val="008A406A"/>
    <w:rsid w:val="008A5DE2"/>
    <w:rsid w:val="008A7E0F"/>
    <w:rsid w:val="008B0F96"/>
    <w:rsid w:val="008B12F5"/>
    <w:rsid w:val="008B198F"/>
    <w:rsid w:val="008B729C"/>
    <w:rsid w:val="008B7B8D"/>
    <w:rsid w:val="008C08E1"/>
    <w:rsid w:val="008C1594"/>
    <w:rsid w:val="008C3098"/>
    <w:rsid w:val="008C3521"/>
    <w:rsid w:val="008C3CBD"/>
    <w:rsid w:val="008C61E2"/>
    <w:rsid w:val="008C6F6D"/>
    <w:rsid w:val="008C7D5D"/>
    <w:rsid w:val="008C7E1A"/>
    <w:rsid w:val="008D1768"/>
    <w:rsid w:val="008D1CB6"/>
    <w:rsid w:val="008D2E5F"/>
    <w:rsid w:val="008D311C"/>
    <w:rsid w:val="008D3A37"/>
    <w:rsid w:val="008D4314"/>
    <w:rsid w:val="008D4E4E"/>
    <w:rsid w:val="008D5727"/>
    <w:rsid w:val="008D6705"/>
    <w:rsid w:val="008D768D"/>
    <w:rsid w:val="008E0BE7"/>
    <w:rsid w:val="008E2577"/>
    <w:rsid w:val="008E3759"/>
    <w:rsid w:val="008E3BC2"/>
    <w:rsid w:val="008E49A9"/>
    <w:rsid w:val="008E4D82"/>
    <w:rsid w:val="008E654D"/>
    <w:rsid w:val="008E6D7A"/>
    <w:rsid w:val="008E6DE2"/>
    <w:rsid w:val="008E745C"/>
    <w:rsid w:val="008F1670"/>
    <w:rsid w:val="008F1912"/>
    <w:rsid w:val="008F1B28"/>
    <w:rsid w:val="008F2947"/>
    <w:rsid w:val="008F2DC9"/>
    <w:rsid w:val="008F3894"/>
    <w:rsid w:val="008F5A71"/>
    <w:rsid w:val="008F604B"/>
    <w:rsid w:val="008F6598"/>
    <w:rsid w:val="008F6CE1"/>
    <w:rsid w:val="009011F2"/>
    <w:rsid w:val="0090134E"/>
    <w:rsid w:val="009014A4"/>
    <w:rsid w:val="009018CF"/>
    <w:rsid w:val="0090270B"/>
    <w:rsid w:val="00902D94"/>
    <w:rsid w:val="009041DC"/>
    <w:rsid w:val="0091078E"/>
    <w:rsid w:val="00910791"/>
    <w:rsid w:val="00910C1D"/>
    <w:rsid w:val="00912868"/>
    <w:rsid w:val="0091312C"/>
    <w:rsid w:val="00913885"/>
    <w:rsid w:val="009147F5"/>
    <w:rsid w:val="00914BEB"/>
    <w:rsid w:val="00915AB4"/>
    <w:rsid w:val="00917B5A"/>
    <w:rsid w:val="00920A58"/>
    <w:rsid w:val="00920A8C"/>
    <w:rsid w:val="0092111F"/>
    <w:rsid w:val="009225C8"/>
    <w:rsid w:val="00923EF8"/>
    <w:rsid w:val="0092529A"/>
    <w:rsid w:val="00925CC0"/>
    <w:rsid w:val="009273D8"/>
    <w:rsid w:val="00930E6E"/>
    <w:rsid w:val="00933B8C"/>
    <w:rsid w:val="00933DE4"/>
    <w:rsid w:val="00934A2C"/>
    <w:rsid w:val="00934E46"/>
    <w:rsid w:val="009355EE"/>
    <w:rsid w:val="00935B25"/>
    <w:rsid w:val="0093689E"/>
    <w:rsid w:val="009376FC"/>
    <w:rsid w:val="009410C0"/>
    <w:rsid w:val="009414FA"/>
    <w:rsid w:val="00941C6B"/>
    <w:rsid w:val="00941DDC"/>
    <w:rsid w:val="00941E39"/>
    <w:rsid w:val="009434B1"/>
    <w:rsid w:val="009437C2"/>
    <w:rsid w:val="009447BD"/>
    <w:rsid w:val="0094648E"/>
    <w:rsid w:val="0094770D"/>
    <w:rsid w:val="0094784F"/>
    <w:rsid w:val="00950994"/>
    <w:rsid w:val="00951CBC"/>
    <w:rsid w:val="00952883"/>
    <w:rsid w:val="00952BB6"/>
    <w:rsid w:val="00952E6A"/>
    <w:rsid w:val="009530A1"/>
    <w:rsid w:val="00953D0F"/>
    <w:rsid w:val="00955152"/>
    <w:rsid w:val="00955C6A"/>
    <w:rsid w:val="00955C6C"/>
    <w:rsid w:val="00955FDF"/>
    <w:rsid w:val="009568E7"/>
    <w:rsid w:val="00957C51"/>
    <w:rsid w:val="00960286"/>
    <w:rsid w:val="00960524"/>
    <w:rsid w:val="009609E8"/>
    <w:rsid w:val="00961FAB"/>
    <w:rsid w:val="00962BF7"/>
    <w:rsid w:val="00963746"/>
    <w:rsid w:val="009643DC"/>
    <w:rsid w:val="00965797"/>
    <w:rsid w:val="00965970"/>
    <w:rsid w:val="00965DDD"/>
    <w:rsid w:val="00965F76"/>
    <w:rsid w:val="00965FE0"/>
    <w:rsid w:val="009669D6"/>
    <w:rsid w:val="0096706E"/>
    <w:rsid w:val="00967A5A"/>
    <w:rsid w:val="009704CC"/>
    <w:rsid w:val="009729C3"/>
    <w:rsid w:val="0097354D"/>
    <w:rsid w:val="00975C4E"/>
    <w:rsid w:val="00976227"/>
    <w:rsid w:val="009777B3"/>
    <w:rsid w:val="00977833"/>
    <w:rsid w:val="00977B30"/>
    <w:rsid w:val="00981E6A"/>
    <w:rsid w:val="00981FBA"/>
    <w:rsid w:val="00982431"/>
    <w:rsid w:val="009833F8"/>
    <w:rsid w:val="00985AA4"/>
    <w:rsid w:val="00985BBF"/>
    <w:rsid w:val="009866C8"/>
    <w:rsid w:val="00993720"/>
    <w:rsid w:val="00993E67"/>
    <w:rsid w:val="009942DE"/>
    <w:rsid w:val="009943C0"/>
    <w:rsid w:val="00994F8D"/>
    <w:rsid w:val="009957D3"/>
    <w:rsid w:val="0099661E"/>
    <w:rsid w:val="00997BC5"/>
    <w:rsid w:val="009A0BE3"/>
    <w:rsid w:val="009A0ED6"/>
    <w:rsid w:val="009A1F62"/>
    <w:rsid w:val="009A227B"/>
    <w:rsid w:val="009A269B"/>
    <w:rsid w:val="009A4F41"/>
    <w:rsid w:val="009A504C"/>
    <w:rsid w:val="009A5138"/>
    <w:rsid w:val="009A6711"/>
    <w:rsid w:val="009B0504"/>
    <w:rsid w:val="009B1E82"/>
    <w:rsid w:val="009B28CF"/>
    <w:rsid w:val="009B34EC"/>
    <w:rsid w:val="009B34F4"/>
    <w:rsid w:val="009B381B"/>
    <w:rsid w:val="009B3A0C"/>
    <w:rsid w:val="009B4D16"/>
    <w:rsid w:val="009B56A1"/>
    <w:rsid w:val="009B5BDC"/>
    <w:rsid w:val="009B5C50"/>
    <w:rsid w:val="009B6DF1"/>
    <w:rsid w:val="009C09CA"/>
    <w:rsid w:val="009C1308"/>
    <w:rsid w:val="009C2416"/>
    <w:rsid w:val="009C265B"/>
    <w:rsid w:val="009C2E98"/>
    <w:rsid w:val="009C3434"/>
    <w:rsid w:val="009C4EAA"/>
    <w:rsid w:val="009C502D"/>
    <w:rsid w:val="009C50A4"/>
    <w:rsid w:val="009C6BFB"/>
    <w:rsid w:val="009D0D09"/>
    <w:rsid w:val="009D1378"/>
    <w:rsid w:val="009D1753"/>
    <w:rsid w:val="009D420F"/>
    <w:rsid w:val="009D42BD"/>
    <w:rsid w:val="009D43BE"/>
    <w:rsid w:val="009D44B5"/>
    <w:rsid w:val="009D6B3F"/>
    <w:rsid w:val="009D7611"/>
    <w:rsid w:val="009D76BD"/>
    <w:rsid w:val="009D7D0B"/>
    <w:rsid w:val="009E05A6"/>
    <w:rsid w:val="009E0B61"/>
    <w:rsid w:val="009E0F8D"/>
    <w:rsid w:val="009E1AC5"/>
    <w:rsid w:val="009E3433"/>
    <w:rsid w:val="009E3CB0"/>
    <w:rsid w:val="009E53DE"/>
    <w:rsid w:val="009E587B"/>
    <w:rsid w:val="009E5BDE"/>
    <w:rsid w:val="009E628F"/>
    <w:rsid w:val="009E6A9E"/>
    <w:rsid w:val="009E70B6"/>
    <w:rsid w:val="009E7197"/>
    <w:rsid w:val="009F2459"/>
    <w:rsid w:val="009F2714"/>
    <w:rsid w:val="009F2A2F"/>
    <w:rsid w:val="009F2E61"/>
    <w:rsid w:val="009F4B8D"/>
    <w:rsid w:val="009F50A0"/>
    <w:rsid w:val="009F5E04"/>
    <w:rsid w:val="009F6FB7"/>
    <w:rsid w:val="009F7182"/>
    <w:rsid w:val="009F7798"/>
    <w:rsid w:val="00A001AC"/>
    <w:rsid w:val="00A002CB"/>
    <w:rsid w:val="00A0374C"/>
    <w:rsid w:val="00A03A30"/>
    <w:rsid w:val="00A04245"/>
    <w:rsid w:val="00A0436E"/>
    <w:rsid w:val="00A043BA"/>
    <w:rsid w:val="00A0514B"/>
    <w:rsid w:val="00A064F7"/>
    <w:rsid w:val="00A0744F"/>
    <w:rsid w:val="00A10248"/>
    <w:rsid w:val="00A10466"/>
    <w:rsid w:val="00A117B8"/>
    <w:rsid w:val="00A119C4"/>
    <w:rsid w:val="00A13668"/>
    <w:rsid w:val="00A14323"/>
    <w:rsid w:val="00A14EE4"/>
    <w:rsid w:val="00A15AA4"/>
    <w:rsid w:val="00A15AC3"/>
    <w:rsid w:val="00A200A8"/>
    <w:rsid w:val="00A20587"/>
    <w:rsid w:val="00A21B05"/>
    <w:rsid w:val="00A2323F"/>
    <w:rsid w:val="00A236E6"/>
    <w:rsid w:val="00A23BD2"/>
    <w:rsid w:val="00A24040"/>
    <w:rsid w:val="00A24C82"/>
    <w:rsid w:val="00A2598E"/>
    <w:rsid w:val="00A26037"/>
    <w:rsid w:val="00A26AE4"/>
    <w:rsid w:val="00A2752D"/>
    <w:rsid w:val="00A31856"/>
    <w:rsid w:val="00A328B3"/>
    <w:rsid w:val="00A32EA9"/>
    <w:rsid w:val="00A33B1E"/>
    <w:rsid w:val="00A341B4"/>
    <w:rsid w:val="00A34AE4"/>
    <w:rsid w:val="00A36E7D"/>
    <w:rsid w:val="00A37066"/>
    <w:rsid w:val="00A3718A"/>
    <w:rsid w:val="00A4161D"/>
    <w:rsid w:val="00A4187F"/>
    <w:rsid w:val="00A41DE0"/>
    <w:rsid w:val="00A423BE"/>
    <w:rsid w:val="00A425AC"/>
    <w:rsid w:val="00A430FE"/>
    <w:rsid w:val="00A4478F"/>
    <w:rsid w:val="00A44D73"/>
    <w:rsid w:val="00A4769C"/>
    <w:rsid w:val="00A50239"/>
    <w:rsid w:val="00A502D6"/>
    <w:rsid w:val="00A506AE"/>
    <w:rsid w:val="00A50FCF"/>
    <w:rsid w:val="00A511DD"/>
    <w:rsid w:val="00A51261"/>
    <w:rsid w:val="00A52446"/>
    <w:rsid w:val="00A524F6"/>
    <w:rsid w:val="00A528D1"/>
    <w:rsid w:val="00A52D64"/>
    <w:rsid w:val="00A5312D"/>
    <w:rsid w:val="00A542FF"/>
    <w:rsid w:val="00A56290"/>
    <w:rsid w:val="00A56F26"/>
    <w:rsid w:val="00A57382"/>
    <w:rsid w:val="00A5769E"/>
    <w:rsid w:val="00A5780C"/>
    <w:rsid w:val="00A578D1"/>
    <w:rsid w:val="00A57A90"/>
    <w:rsid w:val="00A610CD"/>
    <w:rsid w:val="00A613D7"/>
    <w:rsid w:val="00A61AA2"/>
    <w:rsid w:val="00A62482"/>
    <w:rsid w:val="00A633B5"/>
    <w:rsid w:val="00A64128"/>
    <w:rsid w:val="00A648CF"/>
    <w:rsid w:val="00A65251"/>
    <w:rsid w:val="00A65B75"/>
    <w:rsid w:val="00A66293"/>
    <w:rsid w:val="00A67E8C"/>
    <w:rsid w:val="00A70E16"/>
    <w:rsid w:val="00A710FA"/>
    <w:rsid w:val="00A7212D"/>
    <w:rsid w:val="00A727B8"/>
    <w:rsid w:val="00A727FB"/>
    <w:rsid w:val="00A72B52"/>
    <w:rsid w:val="00A72DE3"/>
    <w:rsid w:val="00A74E57"/>
    <w:rsid w:val="00A74FB0"/>
    <w:rsid w:val="00A75BAB"/>
    <w:rsid w:val="00A75E63"/>
    <w:rsid w:val="00A769B7"/>
    <w:rsid w:val="00A772DE"/>
    <w:rsid w:val="00A7759C"/>
    <w:rsid w:val="00A77CC4"/>
    <w:rsid w:val="00A80FC8"/>
    <w:rsid w:val="00A814FA"/>
    <w:rsid w:val="00A8327F"/>
    <w:rsid w:val="00A867FA"/>
    <w:rsid w:val="00A926F6"/>
    <w:rsid w:val="00A928B2"/>
    <w:rsid w:val="00A92978"/>
    <w:rsid w:val="00A92E57"/>
    <w:rsid w:val="00A94D87"/>
    <w:rsid w:val="00A95266"/>
    <w:rsid w:val="00A95767"/>
    <w:rsid w:val="00A9586B"/>
    <w:rsid w:val="00A9671D"/>
    <w:rsid w:val="00A97039"/>
    <w:rsid w:val="00A97286"/>
    <w:rsid w:val="00A97656"/>
    <w:rsid w:val="00A97C70"/>
    <w:rsid w:val="00AA09A2"/>
    <w:rsid w:val="00AA0D6A"/>
    <w:rsid w:val="00AA139B"/>
    <w:rsid w:val="00AA159D"/>
    <w:rsid w:val="00AA1FF6"/>
    <w:rsid w:val="00AA211C"/>
    <w:rsid w:val="00AA409C"/>
    <w:rsid w:val="00AA40C8"/>
    <w:rsid w:val="00AA5F64"/>
    <w:rsid w:val="00AA617B"/>
    <w:rsid w:val="00AA63BE"/>
    <w:rsid w:val="00AA73BD"/>
    <w:rsid w:val="00AA7996"/>
    <w:rsid w:val="00AA7CAD"/>
    <w:rsid w:val="00AB4066"/>
    <w:rsid w:val="00AC000B"/>
    <w:rsid w:val="00AC19CB"/>
    <w:rsid w:val="00AC1E4D"/>
    <w:rsid w:val="00AC1FA5"/>
    <w:rsid w:val="00AC2C9E"/>
    <w:rsid w:val="00AC30F9"/>
    <w:rsid w:val="00AC4A6D"/>
    <w:rsid w:val="00AC4F0A"/>
    <w:rsid w:val="00AC532C"/>
    <w:rsid w:val="00AC55D4"/>
    <w:rsid w:val="00AC58A1"/>
    <w:rsid w:val="00AC659C"/>
    <w:rsid w:val="00AC7DCD"/>
    <w:rsid w:val="00AD0041"/>
    <w:rsid w:val="00AD077C"/>
    <w:rsid w:val="00AD2855"/>
    <w:rsid w:val="00AD28E6"/>
    <w:rsid w:val="00AD2BD0"/>
    <w:rsid w:val="00AD5CC9"/>
    <w:rsid w:val="00AD6004"/>
    <w:rsid w:val="00AD68B1"/>
    <w:rsid w:val="00AE0967"/>
    <w:rsid w:val="00AE0C42"/>
    <w:rsid w:val="00AE0F33"/>
    <w:rsid w:val="00AE1ECB"/>
    <w:rsid w:val="00AE258E"/>
    <w:rsid w:val="00AE40C2"/>
    <w:rsid w:val="00AE45DA"/>
    <w:rsid w:val="00AE5488"/>
    <w:rsid w:val="00AE6F91"/>
    <w:rsid w:val="00AE7353"/>
    <w:rsid w:val="00AF2987"/>
    <w:rsid w:val="00AF2F7C"/>
    <w:rsid w:val="00AF3E35"/>
    <w:rsid w:val="00AF5571"/>
    <w:rsid w:val="00AF5B30"/>
    <w:rsid w:val="00AF5B87"/>
    <w:rsid w:val="00AF5EB3"/>
    <w:rsid w:val="00AF6038"/>
    <w:rsid w:val="00AF793E"/>
    <w:rsid w:val="00AF7988"/>
    <w:rsid w:val="00B0027B"/>
    <w:rsid w:val="00B0179B"/>
    <w:rsid w:val="00B02A92"/>
    <w:rsid w:val="00B03D8F"/>
    <w:rsid w:val="00B03FB3"/>
    <w:rsid w:val="00B045DE"/>
    <w:rsid w:val="00B0502B"/>
    <w:rsid w:val="00B05650"/>
    <w:rsid w:val="00B06AA2"/>
    <w:rsid w:val="00B06AA4"/>
    <w:rsid w:val="00B06B87"/>
    <w:rsid w:val="00B07184"/>
    <w:rsid w:val="00B07341"/>
    <w:rsid w:val="00B07D5B"/>
    <w:rsid w:val="00B07FAC"/>
    <w:rsid w:val="00B10F6E"/>
    <w:rsid w:val="00B122A1"/>
    <w:rsid w:val="00B15283"/>
    <w:rsid w:val="00B15B2C"/>
    <w:rsid w:val="00B1671F"/>
    <w:rsid w:val="00B16BE9"/>
    <w:rsid w:val="00B17C73"/>
    <w:rsid w:val="00B17E1F"/>
    <w:rsid w:val="00B20A26"/>
    <w:rsid w:val="00B21762"/>
    <w:rsid w:val="00B222C9"/>
    <w:rsid w:val="00B224A7"/>
    <w:rsid w:val="00B229B4"/>
    <w:rsid w:val="00B23472"/>
    <w:rsid w:val="00B2402C"/>
    <w:rsid w:val="00B2409D"/>
    <w:rsid w:val="00B256A5"/>
    <w:rsid w:val="00B25DB9"/>
    <w:rsid w:val="00B266B7"/>
    <w:rsid w:val="00B26F78"/>
    <w:rsid w:val="00B303AF"/>
    <w:rsid w:val="00B30539"/>
    <w:rsid w:val="00B314DB"/>
    <w:rsid w:val="00B31513"/>
    <w:rsid w:val="00B320F4"/>
    <w:rsid w:val="00B32F16"/>
    <w:rsid w:val="00B33B99"/>
    <w:rsid w:val="00B34CE7"/>
    <w:rsid w:val="00B35424"/>
    <w:rsid w:val="00B361F2"/>
    <w:rsid w:val="00B36BCE"/>
    <w:rsid w:val="00B3718B"/>
    <w:rsid w:val="00B3721F"/>
    <w:rsid w:val="00B405AB"/>
    <w:rsid w:val="00B40896"/>
    <w:rsid w:val="00B40BD0"/>
    <w:rsid w:val="00B41556"/>
    <w:rsid w:val="00B422D4"/>
    <w:rsid w:val="00B42A18"/>
    <w:rsid w:val="00B42E7A"/>
    <w:rsid w:val="00B4632A"/>
    <w:rsid w:val="00B46E29"/>
    <w:rsid w:val="00B46F1C"/>
    <w:rsid w:val="00B5039D"/>
    <w:rsid w:val="00B50984"/>
    <w:rsid w:val="00B513B1"/>
    <w:rsid w:val="00B52C05"/>
    <w:rsid w:val="00B52D9C"/>
    <w:rsid w:val="00B530F1"/>
    <w:rsid w:val="00B53D21"/>
    <w:rsid w:val="00B54A0C"/>
    <w:rsid w:val="00B54C2F"/>
    <w:rsid w:val="00B54CA3"/>
    <w:rsid w:val="00B5500A"/>
    <w:rsid w:val="00B55098"/>
    <w:rsid w:val="00B55AFC"/>
    <w:rsid w:val="00B55E32"/>
    <w:rsid w:val="00B55EEE"/>
    <w:rsid w:val="00B56DDB"/>
    <w:rsid w:val="00B60253"/>
    <w:rsid w:val="00B632D6"/>
    <w:rsid w:val="00B6374A"/>
    <w:rsid w:val="00B64E77"/>
    <w:rsid w:val="00B650D1"/>
    <w:rsid w:val="00B66AB5"/>
    <w:rsid w:val="00B67999"/>
    <w:rsid w:val="00B704EE"/>
    <w:rsid w:val="00B70D71"/>
    <w:rsid w:val="00B71451"/>
    <w:rsid w:val="00B7178E"/>
    <w:rsid w:val="00B76F12"/>
    <w:rsid w:val="00B77980"/>
    <w:rsid w:val="00B77DA1"/>
    <w:rsid w:val="00B80BF8"/>
    <w:rsid w:val="00B81D9F"/>
    <w:rsid w:val="00B821DC"/>
    <w:rsid w:val="00B82FA7"/>
    <w:rsid w:val="00B83136"/>
    <w:rsid w:val="00B8327E"/>
    <w:rsid w:val="00B85700"/>
    <w:rsid w:val="00B85A01"/>
    <w:rsid w:val="00B86162"/>
    <w:rsid w:val="00B863CD"/>
    <w:rsid w:val="00B8668E"/>
    <w:rsid w:val="00B8752A"/>
    <w:rsid w:val="00B876EF"/>
    <w:rsid w:val="00B87CF5"/>
    <w:rsid w:val="00B910A6"/>
    <w:rsid w:val="00B91DB8"/>
    <w:rsid w:val="00B921B1"/>
    <w:rsid w:val="00B92BFD"/>
    <w:rsid w:val="00B92E13"/>
    <w:rsid w:val="00B92E8D"/>
    <w:rsid w:val="00B9549A"/>
    <w:rsid w:val="00B9607E"/>
    <w:rsid w:val="00B976DF"/>
    <w:rsid w:val="00B97C02"/>
    <w:rsid w:val="00BA0441"/>
    <w:rsid w:val="00BA160D"/>
    <w:rsid w:val="00BA1E76"/>
    <w:rsid w:val="00BA276C"/>
    <w:rsid w:val="00BA30BC"/>
    <w:rsid w:val="00BA461E"/>
    <w:rsid w:val="00BA47FF"/>
    <w:rsid w:val="00BA5AB9"/>
    <w:rsid w:val="00BA6C57"/>
    <w:rsid w:val="00BA71CB"/>
    <w:rsid w:val="00BA7D69"/>
    <w:rsid w:val="00BB0353"/>
    <w:rsid w:val="00BB103F"/>
    <w:rsid w:val="00BB13C6"/>
    <w:rsid w:val="00BB2264"/>
    <w:rsid w:val="00BB306F"/>
    <w:rsid w:val="00BB3ABE"/>
    <w:rsid w:val="00BB5381"/>
    <w:rsid w:val="00BB5D00"/>
    <w:rsid w:val="00BB6487"/>
    <w:rsid w:val="00BB71D6"/>
    <w:rsid w:val="00BB75FA"/>
    <w:rsid w:val="00BC0DFD"/>
    <w:rsid w:val="00BC10A9"/>
    <w:rsid w:val="00BC1180"/>
    <w:rsid w:val="00BC11E7"/>
    <w:rsid w:val="00BC4303"/>
    <w:rsid w:val="00BC504F"/>
    <w:rsid w:val="00BC5854"/>
    <w:rsid w:val="00BC5F7D"/>
    <w:rsid w:val="00BC773E"/>
    <w:rsid w:val="00BD0810"/>
    <w:rsid w:val="00BD0A7E"/>
    <w:rsid w:val="00BD2561"/>
    <w:rsid w:val="00BD2F46"/>
    <w:rsid w:val="00BD31F6"/>
    <w:rsid w:val="00BD400B"/>
    <w:rsid w:val="00BD4B89"/>
    <w:rsid w:val="00BD5103"/>
    <w:rsid w:val="00BD5DDF"/>
    <w:rsid w:val="00BD620F"/>
    <w:rsid w:val="00BE34A1"/>
    <w:rsid w:val="00BE3555"/>
    <w:rsid w:val="00BE368D"/>
    <w:rsid w:val="00BE386F"/>
    <w:rsid w:val="00BE484E"/>
    <w:rsid w:val="00BE5B4A"/>
    <w:rsid w:val="00BE704B"/>
    <w:rsid w:val="00BE70C3"/>
    <w:rsid w:val="00BE7CEE"/>
    <w:rsid w:val="00BF02CB"/>
    <w:rsid w:val="00BF11D3"/>
    <w:rsid w:val="00BF1664"/>
    <w:rsid w:val="00BF1815"/>
    <w:rsid w:val="00BF25B9"/>
    <w:rsid w:val="00BF2F79"/>
    <w:rsid w:val="00BF3092"/>
    <w:rsid w:val="00BF342F"/>
    <w:rsid w:val="00BF40F7"/>
    <w:rsid w:val="00BF43DA"/>
    <w:rsid w:val="00BF5C21"/>
    <w:rsid w:val="00BF6FD8"/>
    <w:rsid w:val="00C00BEB"/>
    <w:rsid w:val="00C00DE5"/>
    <w:rsid w:val="00C01977"/>
    <w:rsid w:val="00C01D78"/>
    <w:rsid w:val="00C03680"/>
    <w:rsid w:val="00C03863"/>
    <w:rsid w:val="00C04B2D"/>
    <w:rsid w:val="00C04F51"/>
    <w:rsid w:val="00C05161"/>
    <w:rsid w:val="00C054DF"/>
    <w:rsid w:val="00C05A45"/>
    <w:rsid w:val="00C06456"/>
    <w:rsid w:val="00C06EC9"/>
    <w:rsid w:val="00C07AA0"/>
    <w:rsid w:val="00C11DC1"/>
    <w:rsid w:val="00C13BDA"/>
    <w:rsid w:val="00C146AF"/>
    <w:rsid w:val="00C14BB5"/>
    <w:rsid w:val="00C152E5"/>
    <w:rsid w:val="00C179CA"/>
    <w:rsid w:val="00C17F8E"/>
    <w:rsid w:val="00C20581"/>
    <w:rsid w:val="00C213EE"/>
    <w:rsid w:val="00C214AE"/>
    <w:rsid w:val="00C21762"/>
    <w:rsid w:val="00C21BAD"/>
    <w:rsid w:val="00C22BCC"/>
    <w:rsid w:val="00C23E1E"/>
    <w:rsid w:val="00C24543"/>
    <w:rsid w:val="00C25459"/>
    <w:rsid w:val="00C256A2"/>
    <w:rsid w:val="00C2712E"/>
    <w:rsid w:val="00C307E6"/>
    <w:rsid w:val="00C30A8C"/>
    <w:rsid w:val="00C318CC"/>
    <w:rsid w:val="00C31C5D"/>
    <w:rsid w:val="00C3379D"/>
    <w:rsid w:val="00C343A6"/>
    <w:rsid w:val="00C34455"/>
    <w:rsid w:val="00C34D2D"/>
    <w:rsid w:val="00C36479"/>
    <w:rsid w:val="00C36798"/>
    <w:rsid w:val="00C36F4F"/>
    <w:rsid w:val="00C3709E"/>
    <w:rsid w:val="00C37478"/>
    <w:rsid w:val="00C40789"/>
    <w:rsid w:val="00C4084A"/>
    <w:rsid w:val="00C40C7C"/>
    <w:rsid w:val="00C43429"/>
    <w:rsid w:val="00C446B9"/>
    <w:rsid w:val="00C450AB"/>
    <w:rsid w:val="00C46141"/>
    <w:rsid w:val="00C462F4"/>
    <w:rsid w:val="00C469C5"/>
    <w:rsid w:val="00C46EE5"/>
    <w:rsid w:val="00C4795D"/>
    <w:rsid w:val="00C50D09"/>
    <w:rsid w:val="00C51515"/>
    <w:rsid w:val="00C51BB3"/>
    <w:rsid w:val="00C55B05"/>
    <w:rsid w:val="00C55B96"/>
    <w:rsid w:val="00C5660B"/>
    <w:rsid w:val="00C57E86"/>
    <w:rsid w:val="00C60624"/>
    <w:rsid w:val="00C606D1"/>
    <w:rsid w:val="00C6109F"/>
    <w:rsid w:val="00C61516"/>
    <w:rsid w:val="00C62A75"/>
    <w:rsid w:val="00C6315D"/>
    <w:rsid w:val="00C63ED6"/>
    <w:rsid w:val="00C64234"/>
    <w:rsid w:val="00C656E1"/>
    <w:rsid w:val="00C66B72"/>
    <w:rsid w:val="00C66E28"/>
    <w:rsid w:val="00C672D8"/>
    <w:rsid w:val="00C67768"/>
    <w:rsid w:val="00C67C81"/>
    <w:rsid w:val="00C70B4D"/>
    <w:rsid w:val="00C70E12"/>
    <w:rsid w:val="00C73C9D"/>
    <w:rsid w:val="00C75282"/>
    <w:rsid w:val="00C762A4"/>
    <w:rsid w:val="00C777DD"/>
    <w:rsid w:val="00C810D8"/>
    <w:rsid w:val="00C82428"/>
    <w:rsid w:val="00C82B97"/>
    <w:rsid w:val="00C83D8D"/>
    <w:rsid w:val="00C83F14"/>
    <w:rsid w:val="00C8474C"/>
    <w:rsid w:val="00C854C2"/>
    <w:rsid w:val="00C85ABB"/>
    <w:rsid w:val="00C85AE6"/>
    <w:rsid w:val="00C85BFD"/>
    <w:rsid w:val="00C86F13"/>
    <w:rsid w:val="00C90535"/>
    <w:rsid w:val="00C9063D"/>
    <w:rsid w:val="00C910CE"/>
    <w:rsid w:val="00C9211F"/>
    <w:rsid w:val="00C92CA3"/>
    <w:rsid w:val="00C937EF"/>
    <w:rsid w:val="00C955D3"/>
    <w:rsid w:val="00C9567A"/>
    <w:rsid w:val="00C95A8A"/>
    <w:rsid w:val="00C95CB1"/>
    <w:rsid w:val="00C97129"/>
    <w:rsid w:val="00CA13C7"/>
    <w:rsid w:val="00CA3351"/>
    <w:rsid w:val="00CA4801"/>
    <w:rsid w:val="00CA5AC0"/>
    <w:rsid w:val="00CA6701"/>
    <w:rsid w:val="00CA769D"/>
    <w:rsid w:val="00CB0F6D"/>
    <w:rsid w:val="00CB1009"/>
    <w:rsid w:val="00CB212D"/>
    <w:rsid w:val="00CB244D"/>
    <w:rsid w:val="00CB2583"/>
    <w:rsid w:val="00CB2660"/>
    <w:rsid w:val="00CB4115"/>
    <w:rsid w:val="00CB66F8"/>
    <w:rsid w:val="00CB7B1A"/>
    <w:rsid w:val="00CC0303"/>
    <w:rsid w:val="00CC08E2"/>
    <w:rsid w:val="00CC18D3"/>
    <w:rsid w:val="00CC47BB"/>
    <w:rsid w:val="00CC4B48"/>
    <w:rsid w:val="00CC573A"/>
    <w:rsid w:val="00CC5E90"/>
    <w:rsid w:val="00CC6049"/>
    <w:rsid w:val="00CC63CF"/>
    <w:rsid w:val="00CC6C2B"/>
    <w:rsid w:val="00CC7216"/>
    <w:rsid w:val="00CD046C"/>
    <w:rsid w:val="00CD05AD"/>
    <w:rsid w:val="00CD0A38"/>
    <w:rsid w:val="00CD2F3B"/>
    <w:rsid w:val="00CD37F2"/>
    <w:rsid w:val="00CD3F78"/>
    <w:rsid w:val="00CD4B36"/>
    <w:rsid w:val="00CD5B28"/>
    <w:rsid w:val="00CD7B9A"/>
    <w:rsid w:val="00CE076C"/>
    <w:rsid w:val="00CE0BAF"/>
    <w:rsid w:val="00CE17FF"/>
    <w:rsid w:val="00CE1D1D"/>
    <w:rsid w:val="00CE215C"/>
    <w:rsid w:val="00CE301A"/>
    <w:rsid w:val="00CE3A34"/>
    <w:rsid w:val="00CE5199"/>
    <w:rsid w:val="00CE66D5"/>
    <w:rsid w:val="00CE688F"/>
    <w:rsid w:val="00CE6E6A"/>
    <w:rsid w:val="00CE73B2"/>
    <w:rsid w:val="00CF1588"/>
    <w:rsid w:val="00CF282D"/>
    <w:rsid w:val="00CF3ADA"/>
    <w:rsid w:val="00CF3EFF"/>
    <w:rsid w:val="00CF5A69"/>
    <w:rsid w:val="00CF637A"/>
    <w:rsid w:val="00CF66C3"/>
    <w:rsid w:val="00D0032F"/>
    <w:rsid w:val="00D00C4D"/>
    <w:rsid w:val="00D0187E"/>
    <w:rsid w:val="00D021E0"/>
    <w:rsid w:val="00D03315"/>
    <w:rsid w:val="00D04CA5"/>
    <w:rsid w:val="00D059DE"/>
    <w:rsid w:val="00D06FA4"/>
    <w:rsid w:val="00D0752A"/>
    <w:rsid w:val="00D07806"/>
    <w:rsid w:val="00D07DA7"/>
    <w:rsid w:val="00D1086E"/>
    <w:rsid w:val="00D1181E"/>
    <w:rsid w:val="00D12193"/>
    <w:rsid w:val="00D12278"/>
    <w:rsid w:val="00D124D6"/>
    <w:rsid w:val="00D138D2"/>
    <w:rsid w:val="00D13FCE"/>
    <w:rsid w:val="00D14368"/>
    <w:rsid w:val="00D15884"/>
    <w:rsid w:val="00D161DF"/>
    <w:rsid w:val="00D16405"/>
    <w:rsid w:val="00D16950"/>
    <w:rsid w:val="00D17096"/>
    <w:rsid w:val="00D173FB"/>
    <w:rsid w:val="00D17B40"/>
    <w:rsid w:val="00D17C42"/>
    <w:rsid w:val="00D20A99"/>
    <w:rsid w:val="00D2183A"/>
    <w:rsid w:val="00D2191C"/>
    <w:rsid w:val="00D21A4E"/>
    <w:rsid w:val="00D22066"/>
    <w:rsid w:val="00D2208A"/>
    <w:rsid w:val="00D229E4"/>
    <w:rsid w:val="00D2310E"/>
    <w:rsid w:val="00D23AD2"/>
    <w:rsid w:val="00D24B55"/>
    <w:rsid w:val="00D254B3"/>
    <w:rsid w:val="00D255E8"/>
    <w:rsid w:val="00D25C04"/>
    <w:rsid w:val="00D25C77"/>
    <w:rsid w:val="00D25E90"/>
    <w:rsid w:val="00D25FC6"/>
    <w:rsid w:val="00D27DB2"/>
    <w:rsid w:val="00D306D1"/>
    <w:rsid w:val="00D32343"/>
    <w:rsid w:val="00D327BE"/>
    <w:rsid w:val="00D32D92"/>
    <w:rsid w:val="00D330D5"/>
    <w:rsid w:val="00D33E5E"/>
    <w:rsid w:val="00D34440"/>
    <w:rsid w:val="00D34786"/>
    <w:rsid w:val="00D35279"/>
    <w:rsid w:val="00D36273"/>
    <w:rsid w:val="00D36E9B"/>
    <w:rsid w:val="00D37BFC"/>
    <w:rsid w:val="00D37D8B"/>
    <w:rsid w:val="00D40055"/>
    <w:rsid w:val="00D40305"/>
    <w:rsid w:val="00D40E61"/>
    <w:rsid w:val="00D40EA9"/>
    <w:rsid w:val="00D41094"/>
    <w:rsid w:val="00D41D77"/>
    <w:rsid w:val="00D41E25"/>
    <w:rsid w:val="00D425C9"/>
    <w:rsid w:val="00D43440"/>
    <w:rsid w:val="00D43F3E"/>
    <w:rsid w:val="00D44314"/>
    <w:rsid w:val="00D45625"/>
    <w:rsid w:val="00D457A0"/>
    <w:rsid w:val="00D4581E"/>
    <w:rsid w:val="00D46B4E"/>
    <w:rsid w:val="00D46BCC"/>
    <w:rsid w:val="00D46E4F"/>
    <w:rsid w:val="00D47A8E"/>
    <w:rsid w:val="00D500B0"/>
    <w:rsid w:val="00D52D14"/>
    <w:rsid w:val="00D531BB"/>
    <w:rsid w:val="00D53A31"/>
    <w:rsid w:val="00D550E7"/>
    <w:rsid w:val="00D558B9"/>
    <w:rsid w:val="00D57E43"/>
    <w:rsid w:val="00D61B8C"/>
    <w:rsid w:val="00D63ABE"/>
    <w:rsid w:val="00D6411C"/>
    <w:rsid w:val="00D64322"/>
    <w:rsid w:val="00D64DC2"/>
    <w:rsid w:val="00D6649A"/>
    <w:rsid w:val="00D6702C"/>
    <w:rsid w:val="00D67151"/>
    <w:rsid w:val="00D67217"/>
    <w:rsid w:val="00D674F3"/>
    <w:rsid w:val="00D6752C"/>
    <w:rsid w:val="00D679C8"/>
    <w:rsid w:val="00D67E04"/>
    <w:rsid w:val="00D67E3C"/>
    <w:rsid w:val="00D67FDA"/>
    <w:rsid w:val="00D70C0A"/>
    <w:rsid w:val="00D712D3"/>
    <w:rsid w:val="00D71422"/>
    <w:rsid w:val="00D728F6"/>
    <w:rsid w:val="00D72DC6"/>
    <w:rsid w:val="00D7393F"/>
    <w:rsid w:val="00D73CDD"/>
    <w:rsid w:val="00D7457D"/>
    <w:rsid w:val="00D74720"/>
    <w:rsid w:val="00D7474D"/>
    <w:rsid w:val="00D74EC5"/>
    <w:rsid w:val="00D74F15"/>
    <w:rsid w:val="00D7558D"/>
    <w:rsid w:val="00D757C2"/>
    <w:rsid w:val="00D75FEC"/>
    <w:rsid w:val="00D7716D"/>
    <w:rsid w:val="00D777D1"/>
    <w:rsid w:val="00D80033"/>
    <w:rsid w:val="00D8093E"/>
    <w:rsid w:val="00D80C64"/>
    <w:rsid w:val="00D80DFF"/>
    <w:rsid w:val="00D812CF"/>
    <w:rsid w:val="00D81D92"/>
    <w:rsid w:val="00D81E20"/>
    <w:rsid w:val="00D81E28"/>
    <w:rsid w:val="00D830D7"/>
    <w:rsid w:val="00D83D73"/>
    <w:rsid w:val="00D8561C"/>
    <w:rsid w:val="00D85E20"/>
    <w:rsid w:val="00D9070F"/>
    <w:rsid w:val="00D90A6F"/>
    <w:rsid w:val="00D91A92"/>
    <w:rsid w:val="00D92B96"/>
    <w:rsid w:val="00D92EB5"/>
    <w:rsid w:val="00D932AD"/>
    <w:rsid w:val="00D94635"/>
    <w:rsid w:val="00D96E66"/>
    <w:rsid w:val="00D96ECC"/>
    <w:rsid w:val="00D97489"/>
    <w:rsid w:val="00DA0A50"/>
    <w:rsid w:val="00DA0D1B"/>
    <w:rsid w:val="00DA0DAC"/>
    <w:rsid w:val="00DA5038"/>
    <w:rsid w:val="00DA64F6"/>
    <w:rsid w:val="00DA6FCF"/>
    <w:rsid w:val="00DA71B8"/>
    <w:rsid w:val="00DA7B5F"/>
    <w:rsid w:val="00DB0E0E"/>
    <w:rsid w:val="00DB1B0D"/>
    <w:rsid w:val="00DB1FFE"/>
    <w:rsid w:val="00DB3681"/>
    <w:rsid w:val="00DB3968"/>
    <w:rsid w:val="00DB3B0E"/>
    <w:rsid w:val="00DB48F8"/>
    <w:rsid w:val="00DB51EA"/>
    <w:rsid w:val="00DB70FC"/>
    <w:rsid w:val="00DC0663"/>
    <w:rsid w:val="00DC11E7"/>
    <w:rsid w:val="00DC1FB4"/>
    <w:rsid w:val="00DC205B"/>
    <w:rsid w:val="00DC42C1"/>
    <w:rsid w:val="00DC667A"/>
    <w:rsid w:val="00DC6F35"/>
    <w:rsid w:val="00DC7023"/>
    <w:rsid w:val="00DC769A"/>
    <w:rsid w:val="00DD0F1A"/>
    <w:rsid w:val="00DD2930"/>
    <w:rsid w:val="00DD302D"/>
    <w:rsid w:val="00DD37E3"/>
    <w:rsid w:val="00DD3D86"/>
    <w:rsid w:val="00DD3FE1"/>
    <w:rsid w:val="00DD4A51"/>
    <w:rsid w:val="00DD5AA6"/>
    <w:rsid w:val="00DD6387"/>
    <w:rsid w:val="00DD65CE"/>
    <w:rsid w:val="00DD6C24"/>
    <w:rsid w:val="00DD6D94"/>
    <w:rsid w:val="00DD7777"/>
    <w:rsid w:val="00DD791A"/>
    <w:rsid w:val="00DE1318"/>
    <w:rsid w:val="00DE2927"/>
    <w:rsid w:val="00DE2B3D"/>
    <w:rsid w:val="00DE4662"/>
    <w:rsid w:val="00DE4700"/>
    <w:rsid w:val="00DE51A3"/>
    <w:rsid w:val="00DE56DA"/>
    <w:rsid w:val="00DE7D3D"/>
    <w:rsid w:val="00DF0506"/>
    <w:rsid w:val="00DF1EC4"/>
    <w:rsid w:val="00DF20E5"/>
    <w:rsid w:val="00DF28A1"/>
    <w:rsid w:val="00DF35D4"/>
    <w:rsid w:val="00DF47DE"/>
    <w:rsid w:val="00DF48B9"/>
    <w:rsid w:val="00DF4CDF"/>
    <w:rsid w:val="00DF5905"/>
    <w:rsid w:val="00DF6D91"/>
    <w:rsid w:val="00DF785E"/>
    <w:rsid w:val="00E00188"/>
    <w:rsid w:val="00E0059D"/>
    <w:rsid w:val="00E017D2"/>
    <w:rsid w:val="00E01887"/>
    <w:rsid w:val="00E01A94"/>
    <w:rsid w:val="00E01D2E"/>
    <w:rsid w:val="00E021C1"/>
    <w:rsid w:val="00E0340B"/>
    <w:rsid w:val="00E0362E"/>
    <w:rsid w:val="00E039AB"/>
    <w:rsid w:val="00E04A90"/>
    <w:rsid w:val="00E04B89"/>
    <w:rsid w:val="00E06B33"/>
    <w:rsid w:val="00E07F4D"/>
    <w:rsid w:val="00E11125"/>
    <w:rsid w:val="00E125F9"/>
    <w:rsid w:val="00E126B7"/>
    <w:rsid w:val="00E130E2"/>
    <w:rsid w:val="00E13A5F"/>
    <w:rsid w:val="00E1459B"/>
    <w:rsid w:val="00E14F7A"/>
    <w:rsid w:val="00E1570D"/>
    <w:rsid w:val="00E161CD"/>
    <w:rsid w:val="00E1639A"/>
    <w:rsid w:val="00E163CA"/>
    <w:rsid w:val="00E174F7"/>
    <w:rsid w:val="00E219C7"/>
    <w:rsid w:val="00E22A73"/>
    <w:rsid w:val="00E22F35"/>
    <w:rsid w:val="00E234F2"/>
    <w:rsid w:val="00E23E4F"/>
    <w:rsid w:val="00E24E28"/>
    <w:rsid w:val="00E253EE"/>
    <w:rsid w:val="00E303E8"/>
    <w:rsid w:val="00E30A8B"/>
    <w:rsid w:val="00E3322C"/>
    <w:rsid w:val="00E3344F"/>
    <w:rsid w:val="00E35A9C"/>
    <w:rsid w:val="00E37128"/>
    <w:rsid w:val="00E37C65"/>
    <w:rsid w:val="00E37F67"/>
    <w:rsid w:val="00E41A96"/>
    <w:rsid w:val="00E41C80"/>
    <w:rsid w:val="00E43099"/>
    <w:rsid w:val="00E43157"/>
    <w:rsid w:val="00E45FD6"/>
    <w:rsid w:val="00E461CE"/>
    <w:rsid w:val="00E467A3"/>
    <w:rsid w:val="00E46826"/>
    <w:rsid w:val="00E474B1"/>
    <w:rsid w:val="00E50911"/>
    <w:rsid w:val="00E50B1D"/>
    <w:rsid w:val="00E517B6"/>
    <w:rsid w:val="00E5217F"/>
    <w:rsid w:val="00E52296"/>
    <w:rsid w:val="00E534DC"/>
    <w:rsid w:val="00E5488D"/>
    <w:rsid w:val="00E54EF4"/>
    <w:rsid w:val="00E561F8"/>
    <w:rsid w:val="00E5635D"/>
    <w:rsid w:val="00E56EE0"/>
    <w:rsid w:val="00E57804"/>
    <w:rsid w:val="00E61211"/>
    <w:rsid w:val="00E61698"/>
    <w:rsid w:val="00E62912"/>
    <w:rsid w:val="00E62C3A"/>
    <w:rsid w:val="00E63266"/>
    <w:rsid w:val="00E64BDE"/>
    <w:rsid w:val="00E65588"/>
    <w:rsid w:val="00E657BC"/>
    <w:rsid w:val="00E65925"/>
    <w:rsid w:val="00E660F4"/>
    <w:rsid w:val="00E67941"/>
    <w:rsid w:val="00E67C37"/>
    <w:rsid w:val="00E7064B"/>
    <w:rsid w:val="00E720CA"/>
    <w:rsid w:val="00E72420"/>
    <w:rsid w:val="00E73707"/>
    <w:rsid w:val="00E73AFC"/>
    <w:rsid w:val="00E73F40"/>
    <w:rsid w:val="00E74D70"/>
    <w:rsid w:val="00E769CC"/>
    <w:rsid w:val="00E76F15"/>
    <w:rsid w:val="00E770DA"/>
    <w:rsid w:val="00E7725D"/>
    <w:rsid w:val="00E807EA"/>
    <w:rsid w:val="00E810C3"/>
    <w:rsid w:val="00E81D73"/>
    <w:rsid w:val="00E81D85"/>
    <w:rsid w:val="00E83360"/>
    <w:rsid w:val="00E8380A"/>
    <w:rsid w:val="00E84BDE"/>
    <w:rsid w:val="00E84CC1"/>
    <w:rsid w:val="00E84EB5"/>
    <w:rsid w:val="00E850D2"/>
    <w:rsid w:val="00E85662"/>
    <w:rsid w:val="00E856A9"/>
    <w:rsid w:val="00E85B71"/>
    <w:rsid w:val="00E85BC3"/>
    <w:rsid w:val="00E861EA"/>
    <w:rsid w:val="00E86420"/>
    <w:rsid w:val="00E8789F"/>
    <w:rsid w:val="00E87A9C"/>
    <w:rsid w:val="00E900C3"/>
    <w:rsid w:val="00E902C1"/>
    <w:rsid w:val="00E909AA"/>
    <w:rsid w:val="00E90B0D"/>
    <w:rsid w:val="00E91B40"/>
    <w:rsid w:val="00E91EAE"/>
    <w:rsid w:val="00E92486"/>
    <w:rsid w:val="00E946D0"/>
    <w:rsid w:val="00E95613"/>
    <w:rsid w:val="00E95A08"/>
    <w:rsid w:val="00E95A11"/>
    <w:rsid w:val="00E9627C"/>
    <w:rsid w:val="00E97B71"/>
    <w:rsid w:val="00EA1836"/>
    <w:rsid w:val="00EA187B"/>
    <w:rsid w:val="00EA375B"/>
    <w:rsid w:val="00EA3CA2"/>
    <w:rsid w:val="00EA3D34"/>
    <w:rsid w:val="00EA3E9E"/>
    <w:rsid w:val="00EA409F"/>
    <w:rsid w:val="00EA5466"/>
    <w:rsid w:val="00EA6831"/>
    <w:rsid w:val="00EA7418"/>
    <w:rsid w:val="00EB1AD3"/>
    <w:rsid w:val="00EB2292"/>
    <w:rsid w:val="00EB2593"/>
    <w:rsid w:val="00EB3272"/>
    <w:rsid w:val="00EB3FAD"/>
    <w:rsid w:val="00EB4315"/>
    <w:rsid w:val="00EB454D"/>
    <w:rsid w:val="00EB516A"/>
    <w:rsid w:val="00EB53F1"/>
    <w:rsid w:val="00EB640E"/>
    <w:rsid w:val="00EC033F"/>
    <w:rsid w:val="00EC1EC8"/>
    <w:rsid w:val="00EC283E"/>
    <w:rsid w:val="00EC29AD"/>
    <w:rsid w:val="00EC3B47"/>
    <w:rsid w:val="00EC417B"/>
    <w:rsid w:val="00EC501F"/>
    <w:rsid w:val="00EC5258"/>
    <w:rsid w:val="00EC66B5"/>
    <w:rsid w:val="00EC79A3"/>
    <w:rsid w:val="00ED012B"/>
    <w:rsid w:val="00ED0302"/>
    <w:rsid w:val="00ED0951"/>
    <w:rsid w:val="00ED3664"/>
    <w:rsid w:val="00ED39A8"/>
    <w:rsid w:val="00ED3B1E"/>
    <w:rsid w:val="00ED465E"/>
    <w:rsid w:val="00ED53A9"/>
    <w:rsid w:val="00ED7264"/>
    <w:rsid w:val="00ED7505"/>
    <w:rsid w:val="00ED76BE"/>
    <w:rsid w:val="00EE0840"/>
    <w:rsid w:val="00EE0A0D"/>
    <w:rsid w:val="00EE1335"/>
    <w:rsid w:val="00EE15D6"/>
    <w:rsid w:val="00EE21F5"/>
    <w:rsid w:val="00EE2B43"/>
    <w:rsid w:val="00EE3E73"/>
    <w:rsid w:val="00EE4850"/>
    <w:rsid w:val="00EE4C8F"/>
    <w:rsid w:val="00EE5290"/>
    <w:rsid w:val="00EE5377"/>
    <w:rsid w:val="00EE5A2C"/>
    <w:rsid w:val="00EE5D3F"/>
    <w:rsid w:val="00EE5FF2"/>
    <w:rsid w:val="00EE62FF"/>
    <w:rsid w:val="00EE658F"/>
    <w:rsid w:val="00EE7A86"/>
    <w:rsid w:val="00EF240C"/>
    <w:rsid w:val="00EF2A0E"/>
    <w:rsid w:val="00EF38CA"/>
    <w:rsid w:val="00EF50D7"/>
    <w:rsid w:val="00EF52FB"/>
    <w:rsid w:val="00EF5A53"/>
    <w:rsid w:val="00EF619B"/>
    <w:rsid w:val="00EF6BA7"/>
    <w:rsid w:val="00EF73DC"/>
    <w:rsid w:val="00EF74E4"/>
    <w:rsid w:val="00EF7A8F"/>
    <w:rsid w:val="00F00B55"/>
    <w:rsid w:val="00F01CFE"/>
    <w:rsid w:val="00F02AD1"/>
    <w:rsid w:val="00F02FF5"/>
    <w:rsid w:val="00F0467D"/>
    <w:rsid w:val="00F04865"/>
    <w:rsid w:val="00F05CC0"/>
    <w:rsid w:val="00F06A7C"/>
    <w:rsid w:val="00F07CE3"/>
    <w:rsid w:val="00F10089"/>
    <w:rsid w:val="00F1156A"/>
    <w:rsid w:val="00F13369"/>
    <w:rsid w:val="00F137AC"/>
    <w:rsid w:val="00F1453D"/>
    <w:rsid w:val="00F14B34"/>
    <w:rsid w:val="00F14EBD"/>
    <w:rsid w:val="00F1591B"/>
    <w:rsid w:val="00F17533"/>
    <w:rsid w:val="00F17642"/>
    <w:rsid w:val="00F17A2B"/>
    <w:rsid w:val="00F20F9B"/>
    <w:rsid w:val="00F2184B"/>
    <w:rsid w:val="00F221FC"/>
    <w:rsid w:val="00F22D06"/>
    <w:rsid w:val="00F253CC"/>
    <w:rsid w:val="00F25B60"/>
    <w:rsid w:val="00F25C37"/>
    <w:rsid w:val="00F31041"/>
    <w:rsid w:val="00F31BC4"/>
    <w:rsid w:val="00F32133"/>
    <w:rsid w:val="00F32943"/>
    <w:rsid w:val="00F331A6"/>
    <w:rsid w:val="00F339CD"/>
    <w:rsid w:val="00F33FF7"/>
    <w:rsid w:val="00F34338"/>
    <w:rsid w:val="00F35781"/>
    <w:rsid w:val="00F3625C"/>
    <w:rsid w:val="00F36D2C"/>
    <w:rsid w:val="00F37106"/>
    <w:rsid w:val="00F416F6"/>
    <w:rsid w:val="00F41F56"/>
    <w:rsid w:val="00F42983"/>
    <w:rsid w:val="00F44355"/>
    <w:rsid w:val="00F44367"/>
    <w:rsid w:val="00F44424"/>
    <w:rsid w:val="00F47B76"/>
    <w:rsid w:val="00F502FF"/>
    <w:rsid w:val="00F504F1"/>
    <w:rsid w:val="00F50B8C"/>
    <w:rsid w:val="00F519CF"/>
    <w:rsid w:val="00F51A37"/>
    <w:rsid w:val="00F51DC1"/>
    <w:rsid w:val="00F52A11"/>
    <w:rsid w:val="00F537A2"/>
    <w:rsid w:val="00F53E62"/>
    <w:rsid w:val="00F56082"/>
    <w:rsid w:val="00F566D3"/>
    <w:rsid w:val="00F56BA5"/>
    <w:rsid w:val="00F57DDC"/>
    <w:rsid w:val="00F60E22"/>
    <w:rsid w:val="00F614F9"/>
    <w:rsid w:val="00F62781"/>
    <w:rsid w:val="00F62A9F"/>
    <w:rsid w:val="00F657EC"/>
    <w:rsid w:val="00F67DA2"/>
    <w:rsid w:val="00F703A1"/>
    <w:rsid w:val="00F70D1B"/>
    <w:rsid w:val="00F7120F"/>
    <w:rsid w:val="00F715FF"/>
    <w:rsid w:val="00F71A22"/>
    <w:rsid w:val="00F722D9"/>
    <w:rsid w:val="00F72492"/>
    <w:rsid w:val="00F73104"/>
    <w:rsid w:val="00F73498"/>
    <w:rsid w:val="00F739B9"/>
    <w:rsid w:val="00F74819"/>
    <w:rsid w:val="00F749FA"/>
    <w:rsid w:val="00F74A54"/>
    <w:rsid w:val="00F7605E"/>
    <w:rsid w:val="00F762DF"/>
    <w:rsid w:val="00F805FB"/>
    <w:rsid w:val="00F8075A"/>
    <w:rsid w:val="00F81091"/>
    <w:rsid w:val="00F81395"/>
    <w:rsid w:val="00F813B1"/>
    <w:rsid w:val="00F81FFD"/>
    <w:rsid w:val="00F82323"/>
    <w:rsid w:val="00F82433"/>
    <w:rsid w:val="00F82669"/>
    <w:rsid w:val="00F83586"/>
    <w:rsid w:val="00F84881"/>
    <w:rsid w:val="00F85C8B"/>
    <w:rsid w:val="00F865DF"/>
    <w:rsid w:val="00F87309"/>
    <w:rsid w:val="00F879A7"/>
    <w:rsid w:val="00F87F8B"/>
    <w:rsid w:val="00F902EB"/>
    <w:rsid w:val="00F90561"/>
    <w:rsid w:val="00F90995"/>
    <w:rsid w:val="00F90B38"/>
    <w:rsid w:val="00F911AF"/>
    <w:rsid w:val="00F9134F"/>
    <w:rsid w:val="00F917D1"/>
    <w:rsid w:val="00F9221B"/>
    <w:rsid w:val="00F925B4"/>
    <w:rsid w:val="00F9322F"/>
    <w:rsid w:val="00F932BE"/>
    <w:rsid w:val="00F9409C"/>
    <w:rsid w:val="00F94E25"/>
    <w:rsid w:val="00F961A0"/>
    <w:rsid w:val="00F96300"/>
    <w:rsid w:val="00F964D4"/>
    <w:rsid w:val="00F9653B"/>
    <w:rsid w:val="00F965A5"/>
    <w:rsid w:val="00FA14E8"/>
    <w:rsid w:val="00FA2010"/>
    <w:rsid w:val="00FA2691"/>
    <w:rsid w:val="00FA2D7F"/>
    <w:rsid w:val="00FA3985"/>
    <w:rsid w:val="00FA4E4C"/>
    <w:rsid w:val="00FA5883"/>
    <w:rsid w:val="00FA6FBD"/>
    <w:rsid w:val="00FA77B1"/>
    <w:rsid w:val="00FB02C9"/>
    <w:rsid w:val="00FB0477"/>
    <w:rsid w:val="00FB05F3"/>
    <w:rsid w:val="00FB0D44"/>
    <w:rsid w:val="00FB13C3"/>
    <w:rsid w:val="00FB1978"/>
    <w:rsid w:val="00FB1F25"/>
    <w:rsid w:val="00FB21D4"/>
    <w:rsid w:val="00FB3DFD"/>
    <w:rsid w:val="00FB5224"/>
    <w:rsid w:val="00FB5944"/>
    <w:rsid w:val="00FB5D6B"/>
    <w:rsid w:val="00FB62CF"/>
    <w:rsid w:val="00FB6462"/>
    <w:rsid w:val="00FB6ED0"/>
    <w:rsid w:val="00FB7CB6"/>
    <w:rsid w:val="00FB7ED1"/>
    <w:rsid w:val="00FC08B3"/>
    <w:rsid w:val="00FC08BE"/>
    <w:rsid w:val="00FC0A6D"/>
    <w:rsid w:val="00FC16DC"/>
    <w:rsid w:val="00FC4EC1"/>
    <w:rsid w:val="00FC54B3"/>
    <w:rsid w:val="00FC6133"/>
    <w:rsid w:val="00FC6D5C"/>
    <w:rsid w:val="00FC724D"/>
    <w:rsid w:val="00FC7993"/>
    <w:rsid w:val="00FD0011"/>
    <w:rsid w:val="00FD0562"/>
    <w:rsid w:val="00FD1EC3"/>
    <w:rsid w:val="00FD2B4C"/>
    <w:rsid w:val="00FD3978"/>
    <w:rsid w:val="00FD3C3B"/>
    <w:rsid w:val="00FD5211"/>
    <w:rsid w:val="00FD5A99"/>
    <w:rsid w:val="00FD6354"/>
    <w:rsid w:val="00FD6954"/>
    <w:rsid w:val="00FD6A16"/>
    <w:rsid w:val="00FD7018"/>
    <w:rsid w:val="00FE07DD"/>
    <w:rsid w:val="00FE252B"/>
    <w:rsid w:val="00FE27F0"/>
    <w:rsid w:val="00FE3967"/>
    <w:rsid w:val="00FE3DEC"/>
    <w:rsid w:val="00FE596B"/>
    <w:rsid w:val="00FE65D3"/>
    <w:rsid w:val="00FE6ABD"/>
    <w:rsid w:val="00FE6B45"/>
    <w:rsid w:val="00FE788E"/>
    <w:rsid w:val="00FE7F97"/>
    <w:rsid w:val="00FF1758"/>
    <w:rsid w:val="00FF18D1"/>
    <w:rsid w:val="00FF1F17"/>
    <w:rsid w:val="00FF269E"/>
    <w:rsid w:val="00FF2FE2"/>
    <w:rsid w:val="00FF4034"/>
    <w:rsid w:val="00FF55F3"/>
    <w:rsid w:val="00FF577C"/>
    <w:rsid w:val="00FF5851"/>
    <w:rsid w:val="00FF590A"/>
    <w:rsid w:val="00FF6A6A"/>
    <w:rsid w:val="00FF7B79"/>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57D0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7F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n-US" w:eastAsia="en-US"/>
    </w:rPr>
  </w:style>
  <w:style w:type="paragraph" w:styleId="Heading1">
    <w:name w:val="heading 1"/>
    <w:basedOn w:val="ListParagraph"/>
    <w:next w:val="Normal"/>
    <w:link w:val="Heading1Char"/>
    <w:uiPriority w:val="9"/>
    <w:qFormat/>
    <w:rsid w:val="00314D74"/>
    <w:pPr>
      <w:numPr>
        <w:numId w:val="54"/>
      </w:numPr>
      <w:suppressAutoHyphens/>
      <w:outlineLvl w:val="0"/>
    </w:pPr>
    <w:rPr>
      <w:rFonts w:asciiTheme="majorHAnsi" w:hAnsiTheme="majorHAnsi"/>
      <w:b/>
      <w:szCs w:val="20"/>
      <w:lang w:val="es-ES_tradnl"/>
    </w:rPr>
  </w:style>
  <w:style w:type="paragraph" w:styleId="Heading2">
    <w:name w:val="heading 2"/>
    <w:basedOn w:val="Normal"/>
    <w:next w:val="Normal"/>
    <w:link w:val="Heading2Char"/>
    <w:qFormat/>
    <w:rsid w:val="00314D74"/>
    <w:pPr>
      <w:keepNext/>
      <w:numPr>
        <w:numId w:val="57"/>
      </w:numPr>
      <w:outlineLvl w:val="1"/>
    </w:pPr>
    <w:rPr>
      <w:rFonts w:ascii="Cambria" w:hAnsi="Cambria" w:cs="Arial"/>
      <w:b/>
      <w:bCs/>
      <w:iCs/>
      <w:sz w:val="20"/>
      <w:szCs w:val="28"/>
    </w:rPr>
  </w:style>
  <w:style w:type="paragraph" w:styleId="Heading3">
    <w:name w:val="heading 3"/>
    <w:basedOn w:val="Normal"/>
    <w:next w:val="Normal"/>
    <w:link w:val="Heading3Char"/>
    <w:qFormat/>
    <w:rsid w:val="000A7746"/>
    <w:pPr>
      <w:keepNext/>
      <w:numPr>
        <w:numId w:val="58"/>
      </w:numPr>
      <w:outlineLvl w:val="2"/>
    </w:pPr>
    <w:rPr>
      <w:rFonts w:ascii="Cambria" w:hAnsi="Cambria" w:cs="Arial"/>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uiPriority w:val="72"/>
    <w:qFormat/>
    <w:rsid w:val="00C55B05"/>
    <w:pPr>
      <w:numPr>
        <w:numId w:val="56"/>
      </w:numPr>
      <w:ind w:left="0" w:firstLine="0"/>
      <w:jc w:val="both"/>
    </w:pPr>
    <w:rPr>
      <w:rFonts w:ascii="Cambria" w:eastAsia="Cambria" w:hAnsi="Cambria" w:cs="Cambria"/>
      <w:color w:val="000000"/>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
    <w:link w:val="FootnoteTextChar"/>
    <w:qFormat/>
    <w:rsid w:val="00D85E20"/>
    <w:pPr>
      <w:jc w:val="both"/>
    </w:pPr>
    <w:rPr>
      <w:rFonts w:asciiTheme="majorHAnsi" w:eastAsia="Calibri" w:hAnsiTheme="majorHAnsi" w:cs="Calibri"/>
      <w:color w:val="000000"/>
      <w:sz w:val="16"/>
      <w:szCs w:val="16"/>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314D74"/>
    <w:rPr>
      <w:rFonts w:asciiTheme="majorHAnsi" w:eastAsia="Cambria" w:hAnsiTheme="majorHAnsi" w:cs="Cambria"/>
      <w:b/>
      <w:color w:val="000000"/>
      <w:u w:color="000000"/>
      <w:lang w:val="es-ES_tradnl"/>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link w:val="FootnoteText"/>
    <w:qFormat/>
    <w:locked/>
    <w:rsid w:val="00D85E20"/>
    <w:rPr>
      <w:rFonts w:asciiTheme="majorHAnsi" w:eastAsia="Calibri" w:hAnsiTheme="majorHAnsi" w:cs="Calibri"/>
      <w:color w:val="000000"/>
      <w:sz w:val="16"/>
      <w:szCs w:val="16"/>
      <w:u w:color="000000"/>
      <w:lang w:val="en-US"/>
    </w:rPr>
  </w:style>
  <w:style w:type="character" w:customStyle="1" w:styleId="Heading2Char">
    <w:name w:val="Heading 2 Char"/>
    <w:basedOn w:val="DefaultParagraphFont"/>
    <w:link w:val="Heading2"/>
    <w:rsid w:val="00314D74"/>
    <w:rPr>
      <w:rFonts w:ascii="Cambria" w:eastAsia="Times New Roman" w:hAnsi="Cambria" w:cs="Arial"/>
      <w:b/>
      <w:bCs/>
      <w:iCs/>
      <w:szCs w:val="28"/>
      <w:bdr w:val="none" w:sz="0" w:space="0" w:color="auto"/>
      <w:lang w:val="en-US" w:eastAsia="en-US"/>
    </w:rPr>
  </w:style>
  <w:style w:type="character" w:customStyle="1" w:styleId="Heading3Char">
    <w:name w:val="Heading 3 Char"/>
    <w:basedOn w:val="DefaultParagraphFont"/>
    <w:link w:val="Heading3"/>
    <w:rsid w:val="000A7746"/>
    <w:rPr>
      <w:rFonts w:ascii="Cambria" w:eastAsia="Times New Roman" w:hAnsi="Cambria" w:cs="Arial"/>
      <w:b/>
      <w:bCs/>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9014A4"/>
    <w:pP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4D6618"/>
    <w:pPr>
      <w:spacing w:before="200" w:after="160" w:line="240" w:lineRule="exact"/>
    </w:pPr>
    <w:rPr>
      <w:rFonts w:ascii="Verdana" w:hAnsi="Verdana"/>
      <w:sz w:val="22"/>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72"/>
    <w:locked/>
    <w:rsid w:val="00C55B05"/>
    <w:rPr>
      <w:rFonts w:ascii="Cambria" w:eastAsia="Cambria" w:hAnsi="Cambria" w:cs="Cambria"/>
      <w:color w:val="000000"/>
      <w:szCs w:val="24"/>
      <w:u w:color="000000"/>
      <w:lang w:val="en-US"/>
    </w:rPr>
  </w:style>
  <w:style w:type="paragraph" w:styleId="Quote">
    <w:name w:val="Quote"/>
    <w:basedOn w:val="Normal"/>
    <w:next w:val="Normal"/>
    <w:link w:val="QuoteChar"/>
    <w:uiPriority w:val="29"/>
    <w:qFormat/>
    <w:rsid w:val="009F2714"/>
    <w:pPr>
      <w:ind w:left="360" w:right="360"/>
      <w:jc w:val="both"/>
    </w:pPr>
    <w:rPr>
      <w:rFonts w:ascii="Cambria" w:hAnsi="Cambria"/>
      <w:iCs/>
      <w:sz w:val="18"/>
    </w:rPr>
  </w:style>
  <w:style w:type="character" w:customStyle="1" w:styleId="QuoteChar">
    <w:name w:val="Quote Char"/>
    <w:basedOn w:val="DefaultParagraphFont"/>
    <w:link w:val="Quote"/>
    <w:uiPriority w:val="29"/>
    <w:rsid w:val="009F2714"/>
    <w:rPr>
      <w:rFonts w:ascii="Cambria" w:eastAsia="Times New Roman" w:hAnsi="Cambria"/>
      <w:iCs/>
      <w:sz w:val="18"/>
      <w:szCs w:val="24"/>
      <w:bdr w:val="none" w:sz="0" w:space="0" w:color="auto"/>
      <w:lang w:val="en-US" w:eastAsia="en-US"/>
    </w:rPr>
  </w:style>
  <w:style w:type="character" w:styleId="Strong">
    <w:name w:val="Strong"/>
    <w:basedOn w:val="DefaultParagraphFont"/>
    <w:uiPriority w:val="22"/>
    <w:qFormat/>
    <w:rsid w:val="00513D84"/>
    <w:rPr>
      <w:b/>
      <w:bCs/>
    </w:rPr>
  </w:style>
  <w:style w:type="paragraph" w:styleId="NormalWeb">
    <w:name w:val="Normal (Web)"/>
    <w:basedOn w:val="Normal"/>
    <w:uiPriority w:val="99"/>
    <w:semiHidden/>
    <w:unhideWhenUsed/>
    <w:rsid w:val="0034633E"/>
  </w:style>
  <w:style w:type="character" w:customStyle="1" w:styleId="BodyTextIndentChar">
    <w:name w:val="Body Text Indent Char"/>
    <w:basedOn w:val="DefaultParagraphFont"/>
    <w:link w:val="BodyTextIndent"/>
    <w:rsid w:val="00500B94"/>
    <w:rPr>
      <w:rFonts w:eastAsia="Times New Roman"/>
      <w:color w:val="000000"/>
      <w:sz w:val="24"/>
      <w:szCs w:val="24"/>
      <w:u w:color="000000"/>
      <w:lang w:val="es-ES_tradnl"/>
    </w:rPr>
  </w:style>
  <w:style w:type="character" w:styleId="CommentReference">
    <w:name w:val="annotation reference"/>
    <w:basedOn w:val="DefaultParagraphFont"/>
    <w:uiPriority w:val="99"/>
    <w:semiHidden/>
    <w:unhideWhenUsed/>
    <w:rsid w:val="00B66AB5"/>
    <w:rPr>
      <w:sz w:val="16"/>
      <w:szCs w:val="16"/>
    </w:rPr>
  </w:style>
  <w:style w:type="paragraph" w:styleId="CommentText">
    <w:name w:val="annotation text"/>
    <w:basedOn w:val="Normal"/>
    <w:link w:val="CommentTextChar"/>
    <w:uiPriority w:val="99"/>
    <w:semiHidden/>
    <w:unhideWhenUsed/>
    <w:rsid w:val="00B66AB5"/>
    <w:rPr>
      <w:sz w:val="20"/>
      <w:szCs w:val="20"/>
    </w:rPr>
  </w:style>
  <w:style w:type="character" w:customStyle="1" w:styleId="CommentTextChar">
    <w:name w:val="Comment Text Char"/>
    <w:basedOn w:val="DefaultParagraphFont"/>
    <w:link w:val="CommentText"/>
    <w:uiPriority w:val="99"/>
    <w:semiHidden/>
    <w:rsid w:val="00B66AB5"/>
    <w:rPr>
      <w:rFonts w:eastAsia="Times New Roman"/>
      <w:bdr w:val="none" w:sz="0" w:space="0" w:color="auto"/>
      <w:lang w:val="en-US" w:eastAsia="en-US"/>
    </w:rPr>
  </w:style>
  <w:style w:type="paragraph" w:styleId="CommentSubject">
    <w:name w:val="annotation subject"/>
    <w:basedOn w:val="CommentText"/>
    <w:next w:val="CommentText"/>
    <w:link w:val="CommentSubjectChar"/>
    <w:uiPriority w:val="99"/>
    <w:semiHidden/>
    <w:unhideWhenUsed/>
    <w:rsid w:val="00B66AB5"/>
    <w:rPr>
      <w:b/>
      <w:bCs/>
    </w:rPr>
  </w:style>
  <w:style w:type="character" w:customStyle="1" w:styleId="CommentSubjectChar">
    <w:name w:val="Comment Subject Char"/>
    <w:basedOn w:val="CommentTextChar"/>
    <w:link w:val="CommentSubject"/>
    <w:uiPriority w:val="99"/>
    <w:semiHidden/>
    <w:rsid w:val="00B66AB5"/>
    <w:rPr>
      <w:rFonts w:eastAsia="Times New Roman"/>
      <w:b/>
      <w:bCs/>
      <w:bdr w:val="none" w:sz="0" w:space="0" w:color="auto"/>
      <w:lang w:val="en-US" w:eastAsia="en-US"/>
    </w:rPr>
  </w:style>
  <w:style w:type="paragraph" w:styleId="Revision">
    <w:name w:val="Revision"/>
    <w:hidden/>
    <w:uiPriority w:val="99"/>
    <w:semiHidden/>
    <w:rsid w:val="009D7D0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n-US" w:eastAsia="en-US"/>
    </w:rPr>
  </w:style>
  <w:style w:type="paragraph" w:customStyle="1" w:styleId="parrafos">
    <w:name w:val="parrafos"/>
    <w:basedOn w:val="Normal"/>
    <w:qFormat/>
    <w:rsid w:val="00F1453D"/>
    <w:pPr>
      <w:tabs>
        <w:tab w:val="left" w:pos="360"/>
      </w:tabs>
      <w:ind w:left="360" w:hanging="360"/>
      <w:jc w:val="both"/>
    </w:pPr>
    <w:rPr>
      <w:rFonts w:asciiTheme="majorHAnsi" w:eastAsia="Arial Unicode MS" w:hAnsiTheme="majorHAnsi"/>
      <w:color w:val="000000" w:themeColor="text1"/>
      <w:szCs w:val="20"/>
      <w:bdr w:val="nil"/>
      <w:lang w:val="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94162">
      <w:bodyDiv w:val="1"/>
      <w:marLeft w:val="0"/>
      <w:marRight w:val="0"/>
      <w:marTop w:val="0"/>
      <w:marBottom w:val="0"/>
      <w:divBdr>
        <w:top w:val="none" w:sz="0" w:space="0" w:color="auto"/>
        <w:left w:val="none" w:sz="0" w:space="0" w:color="auto"/>
        <w:bottom w:val="none" w:sz="0" w:space="0" w:color="auto"/>
        <w:right w:val="none" w:sz="0" w:space="0" w:color="auto"/>
      </w:divBdr>
    </w:div>
    <w:div w:id="122697461">
      <w:bodyDiv w:val="1"/>
      <w:marLeft w:val="0"/>
      <w:marRight w:val="0"/>
      <w:marTop w:val="0"/>
      <w:marBottom w:val="0"/>
      <w:divBdr>
        <w:top w:val="none" w:sz="0" w:space="0" w:color="auto"/>
        <w:left w:val="none" w:sz="0" w:space="0" w:color="auto"/>
        <w:bottom w:val="none" w:sz="0" w:space="0" w:color="auto"/>
        <w:right w:val="none" w:sz="0" w:space="0" w:color="auto"/>
      </w:divBdr>
    </w:div>
    <w:div w:id="135726993">
      <w:bodyDiv w:val="1"/>
      <w:marLeft w:val="0"/>
      <w:marRight w:val="0"/>
      <w:marTop w:val="0"/>
      <w:marBottom w:val="0"/>
      <w:divBdr>
        <w:top w:val="none" w:sz="0" w:space="0" w:color="auto"/>
        <w:left w:val="none" w:sz="0" w:space="0" w:color="auto"/>
        <w:bottom w:val="none" w:sz="0" w:space="0" w:color="auto"/>
        <w:right w:val="none" w:sz="0" w:space="0" w:color="auto"/>
      </w:divBdr>
    </w:div>
    <w:div w:id="161699800">
      <w:bodyDiv w:val="1"/>
      <w:marLeft w:val="0"/>
      <w:marRight w:val="0"/>
      <w:marTop w:val="0"/>
      <w:marBottom w:val="0"/>
      <w:divBdr>
        <w:top w:val="none" w:sz="0" w:space="0" w:color="auto"/>
        <w:left w:val="none" w:sz="0" w:space="0" w:color="auto"/>
        <w:bottom w:val="none" w:sz="0" w:space="0" w:color="auto"/>
        <w:right w:val="none" w:sz="0" w:space="0" w:color="auto"/>
      </w:divBdr>
    </w:div>
    <w:div w:id="216285644">
      <w:bodyDiv w:val="1"/>
      <w:marLeft w:val="0"/>
      <w:marRight w:val="0"/>
      <w:marTop w:val="0"/>
      <w:marBottom w:val="0"/>
      <w:divBdr>
        <w:top w:val="none" w:sz="0" w:space="0" w:color="auto"/>
        <w:left w:val="none" w:sz="0" w:space="0" w:color="auto"/>
        <w:bottom w:val="none" w:sz="0" w:space="0" w:color="auto"/>
        <w:right w:val="none" w:sz="0" w:space="0" w:color="auto"/>
      </w:divBdr>
    </w:div>
    <w:div w:id="335809216">
      <w:bodyDiv w:val="1"/>
      <w:marLeft w:val="0"/>
      <w:marRight w:val="0"/>
      <w:marTop w:val="0"/>
      <w:marBottom w:val="0"/>
      <w:divBdr>
        <w:top w:val="none" w:sz="0" w:space="0" w:color="auto"/>
        <w:left w:val="none" w:sz="0" w:space="0" w:color="auto"/>
        <w:bottom w:val="none" w:sz="0" w:space="0" w:color="auto"/>
        <w:right w:val="none" w:sz="0" w:space="0" w:color="auto"/>
      </w:divBdr>
    </w:div>
    <w:div w:id="373772720">
      <w:bodyDiv w:val="1"/>
      <w:marLeft w:val="0"/>
      <w:marRight w:val="0"/>
      <w:marTop w:val="0"/>
      <w:marBottom w:val="0"/>
      <w:divBdr>
        <w:top w:val="none" w:sz="0" w:space="0" w:color="auto"/>
        <w:left w:val="none" w:sz="0" w:space="0" w:color="auto"/>
        <w:bottom w:val="none" w:sz="0" w:space="0" w:color="auto"/>
        <w:right w:val="none" w:sz="0" w:space="0" w:color="auto"/>
      </w:divBdr>
    </w:div>
    <w:div w:id="439571371">
      <w:bodyDiv w:val="1"/>
      <w:marLeft w:val="0"/>
      <w:marRight w:val="0"/>
      <w:marTop w:val="0"/>
      <w:marBottom w:val="0"/>
      <w:divBdr>
        <w:top w:val="none" w:sz="0" w:space="0" w:color="auto"/>
        <w:left w:val="none" w:sz="0" w:space="0" w:color="auto"/>
        <w:bottom w:val="none" w:sz="0" w:space="0" w:color="auto"/>
        <w:right w:val="none" w:sz="0" w:space="0" w:color="auto"/>
      </w:divBdr>
    </w:div>
    <w:div w:id="464278730">
      <w:bodyDiv w:val="1"/>
      <w:marLeft w:val="0"/>
      <w:marRight w:val="0"/>
      <w:marTop w:val="0"/>
      <w:marBottom w:val="0"/>
      <w:divBdr>
        <w:top w:val="none" w:sz="0" w:space="0" w:color="auto"/>
        <w:left w:val="none" w:sz="0" w:space="0" w:color="auto"/>
        <w:bottom w:val="none" w:sz="0" w:space="0" w:color="auto"/>
        <w:right w:val="none" w:sz="0" w:space="0" w:color="auto"/>
      </w:divBdr>
    </w:div>
    <w:div w:id="546916731">
      <w:bodyDiv w:val="1"/>
      <w:marLeft w:val="0"/>
      <w:marRight w:val="0"/>
      <w:marTop w:val="0"/>
      <w:marBottom w:val="0"/>
      <w:divBdr>
        <w:top w:val="none" w:sz="0" w:space="0" w:color="auto"/>
        <w:left w:val="none" w:sz="0" w:space="0" w:color="auto"/>
        <w:bottom w:val="none" w:sz="0" w:space="0" w:color="auto"/>
        <w:right w:val="none" w:sz="0" w:space="0" w:color="auto"/>
      </w:divBdr>
    </w:div>
    <w:div w:id="547569904">
      <w:bodyDiv w:val="1"/>
      <w:marLeft w:val="0"/>
      <w:marRight w:val="0"/>
      <w:marTop w:val="0"/>
      <w:marBottom w:val="0"/>
      <w:divBdr>
        <w:top w:val="none" w:sz="0" w:space="0" w:color="auto"/>
        <w:left w:val="none" w:sz="0" w:space="0" w:color="auto"/>
        <w:bottom w:val="none" w:sz="0" w:space="0" w:color="auto"/>
        <w:right w:val="none" w:sz="0" w:space="0" w:color="auto"/>
      </w:divBdr>
    </w:div>
    <w:div w:id="610284828">
      <w:bodyDiv w:val="1"/>
      <w:marLeft w:val="0"/>
      <w:marRight w:val="0"/>
      <w:marTop w:val="0"/>
      <w:marBottom w:val="0"/>
      <w:divBdr>
        <w:top w:val="none" w:sz="0" w:space="0" w:color="auto"/>
        <w:left w:val="none" w:sz="0" w:space="0" w:color="auto"/>
        <w:bottom w:val="none" w:sz="0" w:space="0" w:color="auto"/>
        <w:right w:val="none" w:sz="0" w:space="0" w:color="auto"/>
      </w:divBdr>
    </w:div>
    <w:div w:id="690306415">
      <w:bodyDiv w:val="1"/>
      <w:marLeft w:val="0"/>
      <w:marRight w:val="0"/>
      <w:marTop w:val="0"/>
      <w:marBottom w:val="0"/>
      <w:divBdr>
        <w:top w:val="none" w:sz="0" w:space="0" w:color="auto"/>
        <w:left w:val="none" w:sz="0" w:space="0" w:color="auto"/>
        <w:bottom w:val="none" w:sz="0" w:space="0" w:color="auto"/>
        <w:right w:val="none" w:sz="0" w:space="0" w:color="auto"/>
      </w:divBdr>
    </w:div>
    <w:div w:id="704255512">
      <w:bodyDiv w:val="1"/>
      <w:marLeft w:val="0"/>
      <w:marRight w:val="0"/>
      <w:marTop w:val="0"/>
      <w:marBottom w:val="0"/>
      <w:divBdr>
        <w:top w:val="none" w:sz="0" w:space="0" w:color="auto"/>
        <w:left w:val="none" w:sz="0" w:space="0" w:color="auto"/>
        <w:bottom w:val="none" w:sz="0" w:space="0" w:color="auto"/>
        <w:right w:val="none" w:sz="0" w:space="0" w:color="auto"/>
      </w:divBdr>
    </w:div>
    <w:div w:id="907811258">
      <w:bodyDiv w:val="1"/>
      <w:marLeft w:val="0"/>
      <w:marRight w:val="0"/>
      <w:marTop w:val="0"/>
      <w:marBottom w:val="0"/>
      <w:divBdr>
        <w:top w:val="none" w:sz="0" w:space="0" w:color="auto"/>
        <w:left w:val="none" w:sz="0" w:space="0" w:color="auto"/>
        <w:bottom w:val="none" w:sz="0" w:space="0" w:color="auto"/>
        <w:right w:val="none" w:sz="0" w:space="0" w:color="auto"/>
      </w:divBdr>
    </w:div>
    <w:div w:id="980236894">
      <w:bodyDiv w:val="1"/>
      <w:marLeft w:val="0"/>
      <w:marRight w:val="0"/>
      <w:marTop w:val="0"/>
      <w:marBottom w:val="0"/>
      <w:divBdr>
        <w:top w:val="none" w:sz="0" w:space="0" w:color="auto"/>
        <w:left w:val="none" w:sz="0" w:space="0" w:color="auto"/>
        <w:bottom w:val="none" w:sz="0" w:space="0" w:color="auto"/>
        <w:right w:val="none" w:sz="0" w:space="0" w:color="auto"/>
      </w:divBdr>
    </w:div>
    <w:div w:id="999577467">
      <w:bodyDiv w:val="1"/>
      <w:marLeft w:val="0"/>
      <w:marRight w:val="0"/>
      <w:marTop w:val="0"/>
      <w:marBottom w:val="0"/>
      <w:divBdr>
        <w:top w:val="none" w:sz="0" w:space="0" w:color="auto"/>
        <w:left w:val="none" w:sz="0" w:space="0" w:color="auto"/>
        <w:bottom w:val="none" w:sz="0" w:space="0" w:color="auto"/>
        <w:right w:val="none" w:sz="0" w:space="0" w:color="auto"/>
      </w:divBdr>
    </w:div>
    <w:div w:id="1027410331">
      <w:bodyDiv w:val="1"/>
      <w:marLeft w:val="0"/>
      <w:marRight w:val="0"/>
      <w:marTop w:val="0"/>
      <w:marBottom w:val="0"/>
      <w:divBdr>
        <w:top w:val="none" w:sz="0" w:space="0" w:color="auto"/>
        <w:left w:val="none" w:sz="0" w:space="0" w:color="auto"/>
        <w:bottom w:val="none" w:sz="0" w:space="0" w:color="auto"/>
        <w:right w:val="none" w:sz="0" w:space="0" w:color="auto"/>
      </w:divBdr>
    </w:div>
    <w:div w:id="1035891257">
      <w:bodyDiv w:val="1"/>
      <w:marLeft w:val="0"/>
      <w:marRight w:val="0"/>
      <w:marTop w:val="0"/>
      <w:marBottom w:val="0"/>
      <w:divBdr>
        <w:top w:val="none" w:sz="0" w:space="0" w:color="auto"/>
        <w:left w:val="none" w:sz="0" w:space="0" w:color="auto"/>
        <w:bottom w:val="none" w:sz="0" w:space="0" w:color="auto"/>
        <w:right w:val="none" w:sz="0" w:space="0" w:color="auto"/>
      </w:divBdr>
    </w:div>
    <w:div w:id="1058816904">
      <w:bodyDiv w:val="1"/>
      <w:marLeft w:val="0"/>
      <w:marRight w:val="0"/>
      <w:marTop w:val="0"/>
      <w:marBottom w:val="0"/>
      <w:divBdr>
        <w:top w:val="none" w:sz="0" w:space="0" w:color="auto"/>
        <w:left w:val="none" w:sz="0" w:space="0" w:color="auto"/>
        <w:bottom w:val="none" w:sz="0" w:space="0" w:color="auto"/>
        <w:right w:val="none" w:sz="0" w:space="0" w:color="auto"/>
      </w:divBdr>
    </w:div>
    <w:div w:id="1059860746">
      <w:bodyDiv w:val="1"/>
      <w:marLeft w:val="0"/>
      <w:marRight w:val="0"/>
      <w:marTop w:val="0"/>
      <w:marBottom w:val="0"/>
      <w:divBdr>
        <w:top w:val="none" w:sz="0" w:space="0" w:color="auto"/>
        <w:left w:val="none" w:sz="0" w:space="0" w:color="auto"/>
        <w:bottom w:val="none" w:sz="0" w:space="0" w:color="auto"/>
        <w:right w:val="none" w:sz="0" w:space="0" w:color="auto"/>
      </w:divBdr>
    </w:div>
    <w:div w:id="1094278381">
      <w:bodyDiv w:val="1"/>
      <w:marLeft w:val="0"/>
      <w:marRight w:val="0"/>
      <w:marTop w:val="0"/>
      <w:marBottom w:val="0"/>
      <w:divBdr>
        <w:top w:val="none" w:sz="0" w:space="0" w:color="auto"/>
        <w:left w:val="none" w:sz="0" w:space="0" w:color="auto"/>
        <w:bottom w:val="none" w:sz="0" w:space="0" w:color="auto"/>
        <w:right w:val="none" w:sz="0" w:space="0" w:color="auto"/>
      </w:divBdr>
    </w:div>
    <w:div w:id="1132215452">
      <w:bodyDiv w:val="1"/>
      <w:marLeft w:val="0"/>
      <w:marRight w:val="0"/>
      <w:marTop w:val="0"/>
      <w:marBottom w:val="0"/>
      <w:divBdr>
        <w:top w:val="none" w:sz="0" w:space="0" w:color="auto"/>
        <w:left w:val="none" w:sz="0" w:space="0" w:color="auto"/>
        <w:bottom w:val="none" w:sz="0" w:space="0" w:color="auto"/>
        <w:right w:val="none" w:sz="0" w:space="0" w:color="auto"/>
      </w:divBdr>
    </w:div>
    <w:div w:id="1136684914">
      <w:bodyDiv w:val="1"/>
      <w:marLeft w:val="0"/>
      <w:marRight w:val="0"/>
      <w:marTop w:val="0"/>
      <w:marBottom w:val="0"/>
      <w:divBdr>
        <w:top w:val="none" w:sz="0" w:space="0" w:color="auto"/>
        <w:left w:val="none" w:sz="0" w:space="0" w:color="auto"/>
        <w:bottom w:val="none" w:sz="0" w:space="0" w:color="auto"/>
        <w:right w:val="none" w:sz="0" w:space="0" w:color="auto"/>
      </w:divBdr>
    </w:div>
    <w:div w:id="1145121876">
      <w:bodyDiv w:val="1"/>
      <w:marLeft w:val="0"/>
      <w:marRight w:val="0"/>
      <w:marTop w:val="0"/>
      <w:marBottom w:val="0"/>
      <w:divBdr>
        <w:top w:val="none" w:sz="0" w:space="0" w:color="auto"/>
        <w:left w:val="none" w:sz="0" w:space="0" w:color="auto"/>
        <w:bottom w:val="none" w:sz="0" w:space="0" w:color="auto"/>
        <w:right w:val="none" w:sz="0" w:space="0" w:color="auto"/>
      </w:divBdr>
    </w:div>
    <w:div w:id="1220938084">
      <w:bodyDiv w:val="1"/>
      <w:marLeft w:val="0"/>
      <w:marRight w:val="0"/>
      <w:marTop w:val="0"/>
      <w:marBottom w:val="0"/>
      <w:divBdr>
        <w:top w:val="none" w:sz="0" w:space="0" w:color="auto"/>
        <w:left w:val="none" w:sz="0" w:space="0" w:color="auto"/>
        <w:bottom w:val="none" w:sz="0" w:space="0" w:color="auto"/>
        <w:right w:val="none" w:sz="0" w:space="0" w:color="auto"/>
      </w:divBdr>
    </w:div>
    <w:div w:id="1237976013">
      <w:bodyDiv w:val="1"/>
      <w:marLeft w:val="0"/>
      <w:marRight w:val="0"/>
      <w:marTop w:val="0"/>
      <w:marBottom w:val="0"/>
      <w:divBdr>
        <w:top w:val="none" w:sz="0" w:space="0" w:color="auto"/>
        <w:left w:val="none" w:sz="0" w:space="0" w:color="auto"/>
        <w:bottom w:val="none" w:sz="0" w:space="0" w:color="auto"/>
        <w:right w:val="none" w:sz="0" w:space="0" w:color="auto"/>
      </w:divBdr>
    </w:div>
    <w:div w:id="1239755144">
      <w:bodyDiv w:val="1"/>
      <w:marLeft w:val="0"/>
      <w:marRight w:val="0"/>
      <w:marTop w:val="0"/>
      <w:marBottom w:val="0"/>
      <w:divBdr>
        <w:top w:val="none" w:sz="0" w:space="0" w:color="auto"/>
        <w:left w:val="none" w:sz="0" w:space="0" w:color="auto"/>
        <w:bottom w:val="none" w:sz="0" w:space="0" w:color="auto"/>
        <w:right w:val="none" w:sz="0" w:space="0" w:color="auto"/>
      </w:divBdr>
    </w:div>
    <w:div w:id="1252816693">
      <w:bodyDiv w:val="1"/>
      <w:marLeft w:val="0"/>
      <w:marRight w:val="0"/>
      <w:marTop w:val="0"/>
      <w:marBottom w:val="0"/>
      <w:divBdr>
        <w:top w:val="none" w:sz="0" w:space="0" w:color="auto"/>
        <w:left w:val="none" w:sz="0" w:space="0" w:color="auto"/>
        <w:bottom w:val="none" w:sz="0" w:space="0" w:color="auto"/>
        <w:right w:val="none" w:sz="0" w:space="0" w:color="auto"/>
      </w:divBdr>
    </w:div>
    <w:div w:id="1264262633">
      <w:bodyDiv w:val="1"/>
      <w:marLeft w:val="0"/>
      <w:marRight w:val="0"/>
      <w:marTop w:val="0"/>
      <w:marBottom w:val="0"/>
      <w:divBdr>
        <w:top w:val="none" w:sz="0" w:space="0" w:color="auto"/>
        <w:left w:val="none" w:sz="0" w:space="0" w:color="auto"/>
        <w:bottom w:val="none" w:sz="0" w:space="0" w:color="auto"/>
        <w:right w:val="none" w:sz="0" w:space="0" w:color="auto"/>
      </w:divBdr>
    </w:div>
    <w:div w:id="1350059171">
      <w:bodyDiv w:val="1"/>
      <w:marLeft w:val="0"/>
      <w:marRight w:val="0"/>
      <w:marTop w:val="0"/>
      <w:marBottom w:val="0"/>
      <w:divBdr>
        <w:top w:val="none" w:sz="0" w:space="0" w:color="auto"/>
        <w:left w:val="none" w:sz="0" w:space="0" w:color="auto"/>
        <w:bottom w:val="none" w:sz="0" w:space="0" w:color="auto"/>
        <w:right w:val="none" w:sz="0" w:space="0" w:color="auto"/>
      </w:divBdr>
    </w:div>
    <w:div w:id="1359505983">
      <w:bodyDiv w:val="1"/>
      <w:marLeft w:val="0"/>
      <w:marRight w:val="0"/>
      <w:marTop w:val="0"/>
      <w:marBottom w:val="0"/>
      <w:divBdr>
        <w:top w:val="none" w:sz="0" w:space="0" w:color="auto"/>
        <w:left w:val="none" w:sz="0" w:space="0" w:color="auto"/>
        <w:bottom w:val="none" w:sz="0" w:space="0" w:color="auto"/>
        <w:right w:val="none" w:sz="0" w:space="0" w:color="auto"/>
      </w:divBdr>
    </w:div>
    <w:div w:id="1396927392">
      <w:bodyDiv w:val="1"/>
      <w:marLeft w:val="0"/>
      <w:marRight w:val="0"/>
      <w:marTop w:val="0"/>
      <w:marBottom w:val="0"/>
      <w:divBdr>
        <w:top w:val="none" w:sz="0" w:space="0" w:color="auto"/>
        <w:left w:val="none" w:sz="0" w:space="0" w:color="auto"/>
        <w:bottom w:val="none" w:sz="0" w:space="0" w:color="auto"/>
        <w:right w:val="none" w:sz="0" w:space="0" w:color="auto"/>
      </w:divBdr>
    </w:div>
    <w:div w:id="1402558776">
      <w:bodyDiv w:val="1"/>
      <w:marLeft w:val="0"/>
      <w:marRight w:val="0"/>
      <w:marTop w:val="0"/>
      <w:marBottom w:val="0"/>
      <w:divBdr>
        <w:top w:val="none" w:sz="0" w:space="0" w:color="auto"/>
        <w:left w:val="none" w:sz="0" w:space="0" w:color="auto"/>
        <w:bottom w:val="none" w:sz="0" w:space="0" w:color="auto"/>
        <w:right w:val="none" w:sz="0" w:space="0" w:color="auto"/>
      </w:divBdr>
    </w:div>
    <w:div w:id="1406026302">
      <w:bodyDiv w:val="1"/>
      <w:marLeft w:val="0"/>
      <w:marRight w:val="0"/>
      <w:marTop w:val="0"/>
      <w:marBottom w:val="0"/>
      <w:divBdr>
        <w:top w:val="none" w:sz="0" w:space="0" w:color="auto"/>
        <w:left w:val="none" w:sz="0" w:space="0" w:color="auto"/>
        <w:bottom w:val="none" w:sz="0" w:space="0" w:color="auto"/>
        <w:right w:val="none" w:sz="0" w:space="0" w:color="auto"/>
      </w:divBdr>
    </w:div>
    <w:div w:id="1444110309">
      <w:bodyDiv w:val="1"/>
      <w:marLeft w:val="0"/>
      <w:marRight w:val="0"/>
      <w:marTop w:val="0"/>
      <w:marBottom w:val="0"/>
      <w:divBdr>
        <w:top w:val="none" w:sz="0" w:space="0" w:color="auto"/>
        <w:left w:val="none" w:sz="0" w:space="0" w:color="auto"/>
        <w:bottom w:val="none" w:sz="0" w:space="0" w:color="auto"/>
        <w:right w:val="none" w:sz="0" w:space="0" w:color="auto"/>
      </w:divBdr>
    </w:div>
    <w:div w:id="1487668440">
      <w:bodyDiv w:val="1"/>
      <w:marLeft w:val="0"/>
      <w:marRight w:val="0"/>
      <w:marTop w:val="0"/>
      <w:marBottom w:val="0"/>
      <w:divBdr>
        <w:top w:val="none" w:sz="0" w:space="0" w:color="auto"/>
        <w:left w:val="none" w:sz="0" w:space="0" w:color="auto"/>
        <w:bottom w:val="none" w:sz="0" w:space="0" w:color="auto"/>
        <w:right w:val="none" w:sz="0" w:space="0" w:color="auto"/>
      </w:divBdr>
    </w:div>
    <w:div w:id="1493107778">
      <w:bodyDiv w:val="1"/>
      <w:marLeft w:val="0"/>
      <w:marRight w:val="0"/>
      <w:marTop w:val="0"/>
      <w:marBottom w:val="0"/>
      <w:divBdr>
        <w:top w:val="none" w:sz="0" w:space="0" w:color="auto"/>
        <w:left w:val="none" w:sz="0" w:space="0" w:color="auto"/>
        <w:bottom w:val="none" w:sz="0" w:space="0" w:color="auto"/>
        <w:right w:val="none" w:sz="0" w:space="0" w:color="auto"/>
      </w:divBdr>
    </w:div>
    <w:div w:id="1541166572">
      <w:bodyDiv w:val="1"/>
      <w:marLeft w:val="0"/>
      <w:marRight w:val="0"/>
      <w:marTop w:val="0"/>
      <w:marBottom w:val="0"/>
      <w:divBdr>
        <w:top w:val="none" w:sz="0" w:space="0" w:color="auto"/>
        <w:left w:val="none" w:sz="0" w:space="0" w:color="auto"/>
        <w:bottom w:val="none" w:sz="0" w:space="0" w:color="auto"/>
        <w:right w:val="none" w:sz="0" w:space="0" w:color="auto"/>
      </w:divBdr>
    </w:div>
    <w:div w:id="1547257260">
      <w:bodyDiv w:val="1"/>
      <w:marLeft w:val="0"/>
      <w:marRight w:val="0"/>
      <w:marTop w:val="0"/>
      <w:marBottom w:val="0"/>
      <w:divBdr>
        <w:top w:val="none" w:sz="0" w:space="0" w:color="auto"/>
        <w:left w:val="none" w:sz="0" w:space="0" w:color="auto"/>
        <w:bottom w:val="none" w:sz="0" w:space="0" w:color="auto"/>
        <w:right w:val="none" w:sz="0" w:space="0" w:color="auto"/>
      </w:divBdr>
    </w:div>
    <w:div w:id="1573927406">
      <w:bodyDiv w:val="1"/>
      <w:marLeft w:val="0"/>
      <w:marRight w:val="0"/>
      <w:marTop w:val="0"/>
      <w:marBottom w:val="0"/>
      <w:divBdr>
        <w:top w:val="none" w:sz="0" w:space="0" w:color="auto"/>
        <w:left w:val="none" w:sz="0" w:space="0" w:color="auto"/>
        <w:bottom w:val="none" w:sz="0" w:space="0" w:color="auto"/>
        <w:right w:val="none" w:sz="0" w:space="0" w:color="auto"/>
      </w:divBdr>
    </w:div>
    <w:div w:id="1587808513">
      <w:bodyDiv w:val="1"/>
      <w:marLeft w:val="0"/>
      <w:marRight w:val="0"/>
      <w:marTop w:val="0"/>
      <w:marBottom w:val="0"/>
      <w:divBdr>
        <w:top w:val="none" w:sz="0" w:space="0" w:color="auto"/>
        <w:left w:val="none" w:sz="0" w:space="0" w:color="auto"/>
        <w:bottom w:val="none" w:sz="0" w:space="0" w:color="auto"/>
        <w:right w:val="none" w:sz="0" w:space="0" w:color="auto"/>
      </w:divBdr>
    </w:div>
    <w:div w:id="1650011372">
      <w:bodyDiv w:val="1"/>
      <w:marLeft w:val="0"/>
      <w:marRight w:val="0"/>
      <w:marTop w:val="0"/>
      <w:marBottom w:val="0"/>
      <w:divBdr>
        <w:top w:val="none" w:sz="0" w:space="0" w:color="auto"/>
        <w:left w:val="none" w:sz="0" w:space="0" w:color="auto"/>
        <w:bottom w:val="none" w:sz="0" w:space="0" w:color="auto"/>
        <w:right w:val="none" w:sz="0" w:space="0" w:color="auto"/>
      </w:divBdr>
    </w:div>
    <w:div w:id="1684433441">
      <w:bodyDiv w:val="1"/>
      <w:marLeft w:val="0"/>
      <w:marRight w:val="0"/>
      <w:marTop w:val="0"/>
      <w:marBottom w:val="0"/>
      <w:divBdr>
        <w:top w:val="none" w:sz="0" w:space="0" w:color="auto"/>
        <w:left w:val="none" w:sz="0" w:space="0" w:color="auto"/>
        <w:bottom w:val="none" w:sz="0" w:space="0" w:color="auto"/>
        <w:right w:val="none" w:sz="0" w:space="0" w:color="auto"/>
      </w:divBdr>
    </w:div>
    <w:div w:id="1695040111">
      <w:bodyDiv w:val="1"/>
      <w:marLeft w:val="0"/>
      <w:marRight w:val="0"/>
      <w:marTop w:val="0"/>
      <w:marBottom w:val="0"/>
      <w:divBdr>
        <w:top w:val="none" w:sz="0" w:space="0" w:color="auto"/>
        <w:left w:val="none" w:sz="0" w:space="0" w:color="auto"/>
        <w:bottom w:val="none" w:sz="0" w:space="0" w:color="auto"/>
        <w:right w:val="none" w:sz="0" w:space="0" w:color="auto"/>
      </w:divBdr>
    </w:div>
    <w:div w:id="1702852672">
      <w:bodyDiv w:val="1"/>
      <w:marLeft w:val="0"/>
      <w:marRight w:val="0"/>
      <w:marTop w:val="0"/>
      <w:marBottom w:val="0"/>
      <w:divBdr>
        <w:top w:val="none" w:sz="0" w:space="0" w:color="auto"/>
        <w:left w:val="none" w:sz="0" w:space="0" w:color="auto"/>
        <w:bottom w:val="none" w:sz="0" w:space="0" w:color="auto"/>
        <w:right w:val="none" w:sz="0" w:space="0" w:color="auto"/>
      </w:divBdr>
    </w:div>
    <w:div w:id="1703433972">
      <w:bodyDiv w:val="1"/>
      <w:marLeft w:val="0"/>
      <w:marRight w:val="0"/>
      <w:marTop w:val="0"/>
      <w:marBottom w:val="0"/>
      <w:divBdr>
        <w:top w:val="none" w:sz="0" w:space="0" w:color="auto"/>
        <w:left w:val="none" w:sz="0" w:space="0" w:color="auto"/>
        <w:bottom w:val="none" w:sz="0" w:space="0" w:color="auto"/>
        <w:right w:val="none" w:sz="0" w:space="0" w:color="auto"/>
      </w:divBdr>
    </w:div>
    <w:div w:id="1736120834">
      <w:bodyDiv w:val="1"/>
      <w:marLeft w:val="0"/>
      <w:marRight w:val="0"/>
      <w:marTop w:val="0"/>
      <w:marBottom w:val="0"/>
      <w:divBdr>
        <w:top w:val="none" w:sz="0" w:space="0" w:color="auto"/>
        <w:left w:val="none" w:sz="0" w:space="0" w:color="auto"/>
        <w:bottom w:val="none" w:sz="0" w:space="0" w:color="auto"/>
        <w:right w:val="none" w:sz="0" w:space="0" w:color="auto"/>
      </w:divBdr>
    </w:div>
    <w:div w:id="177956748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0339649">
      <w:bodyDiv w:val="1"/>
      <w:marLeft w:val="0"/>
      <w:marRight w:val="0"/>
      <w:marTop w:val="0"/>
      <w:marBottom w:val="0"/>
      <w:divBdr>
        <w:top w:val="none" w:sz="0" w:space="0" w:color="auto"/>
        <w:left w:val="none" w:sz="0" w:space="0" w:color="auto"/>
        <w:bottom w:val="none" w:sz="0" w:space="0" w:color="auto"/>
        <w:right w:val="none" w:sz="0" w:space="0" w:color="auto"/>
      </w:divBdr>
    </w:div>
    <w:div w:id="1805195177">
      <w:bodyDiv w:val="1"/>
      <w:marLeft w:val="0"/>
      <w:marRight w:val="0"/>
      <w:marTop w:val="0"/>
      <w:marBottom w:val="0"/>
      <w:divBdr>
        <w:top w:val="none" w:sz="0" w:space="0" w:color="auto"/>
        <w:left w:val="none" w:sz="0" w:space="0" w:color="auto"/>
        <w:bottom w:val="none" w:sz="0" w:space="0" w:color="auto"/>
        <w:right w:val="none" w:sz="0" w:space="0" w:color="auto"/>
      </w:divBdr>
    </w:div>
    <w:div w:id="1809204489">
      <w:bodyDiv w:val="1"/>
      <w:marLeft w:val="0"/>
      <w:marRight w:val="0"/>
      <w:marTop w:val="0"/>
      <w:marBottom w:val="0"/>
      <w:divBdr>
        <w:top w:val="none" w:sz="0" w:space="0" w:color="auto"/>
        <w:left w:val="none" w:sz="0" w:space="0" w:color="auto"/>
        <w:bottom w:val="none" w:sz="0" w:space="0" w:color="auto"/>
        <w:right w:val="none" w:sz="0" w:space="0" w:color="auto"/>
      </w:divBdr>
    </w:div>
    <w:div w:id="1839080660">
      <w:bodyDiv w:val="1"/>
      <w:marLeft w:val="0"/>
      <w:marRight w:val="0"/>
      <w:marTop w:val="0"/>
      <w:marBottom w:val="0"/>
      <w:divBdr>
        <w:top w:val="none" w:sz="0" w:space="0" w:color="auto"/>
        <w:left w:val="none" w:sz="0" w:space="0" w:color="auto"/>
        <w:bottom w:val="none" w:sz="0" w:space="0" w:color="auto"/>
        <w:right w:val="none" w:sz="0" w:space="0" w:color="auto"/>
      </w:divBdr>
    </w:div>
    <w:div w:id="1851068988">
      <w:bodyDiv w:val="1"/>
      <w:marLeft w:val="0"/>
      <w:marRight w:val="0"/>
      <w:marTop w:val="0"/>
      <w:marBottom w:val="0"/>
      <w:divBdr>
        <w:top w:val="none" w:sz="0" w:space="0" w:color="auto"/>
        <w:left w:val="none" w:sz="0" w:space="0" w:color="auto"/>
        <w:bottom w:val="none" w:sz="0" w:space="0" w:color="auto"/>
        <w:right w:val="none" w:sz="0" w:space="0" w:color="auto"/>
      </w:divBdr>
    </w:div>
    <w:div w:id="2021615241">
      <w:bodyDiv w:val="1"/>
      <w:marLeft w:val="0"/>
      <w:marRight w:val="0"/>
      <w:marTop w:val="0"/>
      <w:marBottom w:val="0"/>
      <w:divBdr>
        <w:top w:val="none" w:sz="0" w:space="0" w:color="auto"/>
        <w:left w:val="none" w:sz="0" w:space="0" w:color="auto"/>
        <w:bottom w:val="none" w:sz="0" w:space="0" w:color="auto"/>
        <w:right w:val="none" w:sz="0" w:space="0" w:color="auto"/>
      </w:divBdr>
    </w:div>
    <w:div w:id="2062748140">
      <w:bodyDiv w:val="1"/>
      <w:marLeft w:val="0"/>
      <w:marRight w:val="0"/>
      <w:marTop w:val="0"/>
      <w:marBottom w:val="0"/>
      <w:divBdr>
        <w:top w:val="none" w:sz="0" w:space="0" w:color="auto"/>
        <w:left w:val="none" w:sz="0" w:space="0" w:color="auto"/>
        <w:bottom w:val="none" w:sz="0" w:space="0" w:color="auto"/>
        <w:right w:val="none" w:sz="0" w:space="0" w:color="auto"/>
      </w:divBdr>
    </w:div>
    <w:div w:id="2111192283">
      <w:bodyDiv w:val="1"/>
      <w:marLeft w:val="0"/>
      <w:marRight w:val="0"/>
      <w:marTop w:val="0"/>
      <w:marBottom w:val="0"/>
      <w:divBdr>
        <w:top w:val="none" w:sz="0" w:space="0" w:color="auto"/>
        <w:left w:val="none" w:sz="0" w:space="0" w:color="auto"/>
        <w:bottom w:val="none" w:sz="0" w:space="0" w:color="auto"/>
        <w:right w:val="none" w:sz="0" w:space="0" w:color="auto"/>
      </w:divBdr>
    </w:div>
    <w:div w:id="2112780458">
      <w:bodyDiv w:val="1"/>
      <w:marLeft w:val="0"/>
      <w:marRight w:val="0"/>
      <w:marTop w:val="0"/>
      <w:marBottom w:val="0"/>
      <w:divBdr>
        <w:top w:val="none" w:sz="0" w:space="0" w:color="auto"/>
        <w:left w:val="none" w:sz="0" w:space="0" w:color="auto"/>
        <w:bottom w:val="none" w:sz="0" w:space="0" w:color="auto"/>
        <w:right w:val="none" w:sz="0" w:space="0" w:color="auto"/>
      </w:divBdr>
    </w:div>
    <w:div w:id="2118715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C14FB-B51D-4B32-8651-8CD532D4D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7356</Words>
  <Characters>41933</Characters>
  <Application>Microsoft Office Word</Application>
  <DocSecurity>0</DocSecurity>
  <Lines>349</Lines>
  <Paragraphs>98</Paragraphs>
  <ScaleCrop>false</ScaleCrop>
  <Company/>
  <LinksUpToDate>false</LinksUpToDate>
  <CharactersWithSpaces>49191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2020-11-03T16:18:00Z</dcterms:created>
  <dcterms:modified xsi:type="dcterms:W3CDTF">2020-11-03T16:18:00Z</dcterms:modified>
</cp:coreProperties>
</file>