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29DF" w14:textId="188D145C" w:rsidR="00CB7DD6" w:rsidRDefault="008E6F41" w:rsidP="008E6F41">
      <w:pPr>
        <w:spacing w:before="240" w:line="240" w:lineRule="auto"/>
        <w:rPr>
          <w:rFonts w:ascii="Cambria" w:eastAsia="Cambria" w:hAnsi="Cambria" w:cs="Cambria"/>
          <w:b/>
          <w:bCs/>
          <w:sz w:val="32"/>
          <w:szCs w:val="32"/>
          <w:lang w:val="en-US"/>
        </w:rPr>
      </w:pPr>
      <w:r>
        <w:rPr>
          <w:rFonts w:ascii="Cambria" w:eastAsia="Cambria" w:hAnsi="Cambria" w:cs="Cambria"/>
          <w:b/>
          <w:bCs/>
          <w:noProof/>
          <w:sz w:val="32"/>
          <w:szCs w:val="32"/>
          <w:lang w:val="en-US"/>
        </w:rPr>
        <w:drawing>
          <wp:anchor distT="0" distB="0" distL="114300" distR="114300" simplePos="0" relativeHeight="251658240" behindDoc="0" locked="0" layoutInCell="1" allowOverlap="1" wp14:anchorId="7752D041" wp14:editId="1520C68E">
            <wp:simplePos x="0" y="0"/>
            <wp:positionH relativeFrom="column">
              <wp:posOffset>-941294</wp:posOffset>
            </wp:positionH>
            <wp:positionV relativeFrom="paragraph">
              <wp:posOffset>-927847</wp:posOffset>
            </wp:positionV>
            <wp:extent cx="7853082" cy="10162861"/>
            <wp:effectExtent l="0" t="0" r="0" b="0"/>
            <wp:wrapNone/>
            <wp:docPr id="1323584723"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84723"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0276" cy="10172170"/>
                    </a:xfrm>
                    <a:prstGeom prst="rect">
                      <a:avLst/>
                    </a:prstGeom>
                  </pic:spPr>
                </pic:pic>
              </a:graphicData>
            </a:graphic>
            <wp14:sizeRelH relativeFrom="page">
              <wp14:pctWidth>0</wp14:pctWidth>
            </wp14:sizeRelH>
            <wp14:sizeRelV relativeFrom="page">
              <wp14:pctHeight>0</wp14:pctHeight>
            </wp14:sizeRelV>
          </wp:anchor>
        </w:drawing>
      </w:r>
    </w:p>
    <w:p w14:paraId="3AF1FB37" w14:textId="77777777" w:rsidR="00CB7DD6" w:rsidRDefault="00CB7DD6">
      <w:pPr>
        <w:spacing w:after="0" w:line="240" w:lineRule="auto"/>
        <w:rPr>
          <w:rFonts w:ascii="Cambria" w:eastAsia="Cambria" w:hAnsi="Cambria" w:cs="Cambria"/>
          <w:b/>
          <w:bCs/>
          <w:sz w:val="32"/>
          <w:szCs w:val="32"/>
          <w:lang w:val="en-US"/>
        </w:rPr>
      </w:pPr>
      <w:r>
        <w:rPr>
          <w:rFonts w:ascii="Cambria" w:eastAsia="Cambria" w:hAnsi="Cambria" w:cs="Cambria"/>
          <w:b/>
          <w:bCs/>
          <w:sz w:val="32"/>
          <w:szCs w:val="32"/>
          <w:lang w:val="en-US"/>
        </w:rPr>
        <w:br w:type="page"/>
      </w:r>
    </w:p>
    <w:p w14:paraId="3E8E2043" w14:textId="77777777" w:rsidR="00CB7DD6" w:rsidRDefault="00CB7DD6" w:rsidP="00CB7DD6">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6D787D6F" w14:textId="77777777" w:rsidR="00CB7DD6" w:rsidRDefault="00CB7DD6" w:rsidP="00CB7DD6">
      <w:pPr>
        <w:ind w:left="660" w:right="933"/>
        <w:jc w:val="center"/>
        <w:rPr>
          <w:rFonts w:ascii="Cambria" w:eastAsia="Cambria" w:hAnsi="Cambria" w:cs="Cambria"/>
          <w:sz w:val="32"/>
          <w:szCs w:val="32"/>
        </w:rPr>
      </w:pPr>
      <w:r>
        <w:rPr>
          <w:rFonts w:ascii="Cambria"/>
          <w:b/>
          <w:sz w:val="32"/>
        </w:rPr>
        <w:t>2022</w:t>
      </w:r>
    </w:p>
    <w:p w14:paraId="029B10D6" w14:textId="6B550C76" w:rsidR="00CB7DD6" w:rsidRPr="00CB7DD6" w:rsidRDefault="00CB7DD6" w:rsidP="00CB7DD6">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tbl>
      <w:tblPr>
        <w:tblW w:w="9705" w:type="dxa"/>
        <w:tblInd w:w="105" w:type="dxa"/>
        <w:tblLayout w:type="fixed"/>
        <w:tblCellMar>
          <w:left w:w="0" w:type="dxa"/>
          <w:right w:w="0" w:type="dxa"/>
        </w:tblCellMar>
        <w:tblLook w:val="01E0" w:firstRow="1" w:lastRow="1" w:firstColumn="1" w:lastColumn="1" w:noHBand="0" w:noVBand="0"/>
      </w:tblPr>
      <w:tblGrid>
        <w:gridCol w:w="1363"/>
        <w:gridCol w:w="7167"/>
        <w:gridCol w:w="1175"/>
      </w:tblGrid>
      <w:tr w:rsidR="00CB7DD6" w14:paraId="5A0A3B22" w14:textId="77777777" w:rsidTr="00C2604A">
        <w:trPr>
          <w:trHeight w:hRule="exact" w:val="728"/>
        </w:trPr>
        <w:tc>
          <w:tcPr>
            <w:tcW w:w="1363" w:type="dxa"/>
          </w:tcPr>
          <w:p w14:paraId="11E18E41" w14:textId="77777777" w:rsidR="00CB7DD6" w:rsidRDefault="00CB7DD6" w:rsidP="00C2604A">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V</w:t>
            </w:r>
          </w:p>
        </w:tc>
        <w:tc>
          <w:tcPr>
            <w:tcW w:w="7167" w:type="dxa"/>
          </w:tcPr>
          <w:p w14:paraId="151B030C" w14:textId="77777777" w:rsidR="00CB7DD6" w:rsidRDefault="00CB7DD6" w:rsidP="00C2604A">
            <w:pPr>
              <w:pStyle w:val="TableParagraph"/>
              <w:spacing w:before="69" w:line="241" w:lineRule="auto"/>
              <w:ind w:left="132" w:right="620"/>
              <w:rPr>
                <w:rFonts w:ascii="Cambria" w:eastAsia="Cambria" w:hAnsi="Cambria" w:cs="Cambria"/>
              </w:rPr>
            </w:pPr>
            <w:r>
              <w:rPr>
                <w:rFonts w:ascii="Cambria"/>
                <w:b/>
                <w:spacing w:val="-1"/>
              </w:rPr>
              <w:t>FOLLOW-UP</w:t>
            </w:r>
            <w:r>
              <w:rPr>
                <w:rFonts w:ascii="Cambria"/>
                <w:b/>
                <w:spacing w:val="-5"/>
              </w:rPr>
              <w:t xml:space="preserve"> </w:t>
            </w:r>
            <w:r>
              <w:rPr>
                <w:rFonts w:ascii="Cambria"/>
                <w:b/>
              </w:rPr>
              <w:t>OF</w:t>
            </w:r>
            <w:r>
              <w:rPr>
                <w:rFonts w:ascii="Cambria"/>
                <w:b/>
                <w:spacing w:val="-5"/>
              </w:rPr>
              <w:t xml:space="preserve"> </w:t>
            </w:r>
            <w:r>
              <w:rPr>
                <w:rFonts w:ascii="Cambria"/>
                <w:b/>
                <w:spacing w:val="-2"/>
              </w:rPr>
              <w:t>RECOMMENDATIONS</w:t>
            </w:r>
            <w:r>
              <w:rPr>
                <w:rFonts w:ascii="Cambria"/>
                <w:b/>
                <w:spacing w:val="-3"/>
              </w:rPr>
              <w:t xml:space="preserve"> </w:t>
            </w:r>
            <w:r>
              <w:rPr>
                <w:rFonts w:ascii="Cambria"/>
                <w:b/>
                <w:spacing w:val="-1"/>
              </w:rPr>
              <w:t>ISSUED</w:t>
            </w:r>
            <w:r>
              <w:rPr>
                <w:rFonts w:ascii="Cambria"/>
                <w:b/>
                <w:spacing w:val="-4"/>
              </w:rPr>
              <w:t xml:space="preserve"> </w:t>
            </w:r>
            <w:r>
              <w:rPr>
                <w:rFonts w:ascii="Cambria"/>
                <w:b/>
              </w:rPr>
              <w:t>BY</w:t>
            </w:r>
            <w:r>
              <w:rPr>
                <w:rFonts w:ascii="Cambria"/>
                <w:b/>
                <w:spacing w:val="-6"/>
              </w:rPr>
              <w:t xml:space="preserve"> </w:t>
            </w:r>
            <w:r>
              <w:rPr>
                <w:rFonts w:ascii="Cambria"/>
                <w:b/>
                <w:spacing w:val="-1"/>
              </w:rPr>
              <w:t>THE</w:t>
            </w:r>
            <w:r>
              <w:rPr>
                <w:rFonts w:ascii="Cambria"/>
                <w:b/>
                <w:spacing w:val="-6"/>
              </w:rPr>
              <w:t xml:space="preserve"> </w:t>
            </w:r>
            <w:r>
              <w:rPr>
                <w:rFonts w:ascii="Cambria"/>
                <w:b/>
                <w:spacing w:val="-1"/>
              </w:rPr>
              <w:t>IACHR</w:t>
            </w:r>
            <w:r>
              <w:rPr>
                <w:rFonts w:ascii="Cambria"/>
                <w:b/>
                <w:spacing w:val="49"/>
                <w:w w:val="99"/>
              </w:rPr>
              <w:t xml:space="preserve"> </w:t>
            </w:r>
            <w:r>
              <w:rPr>
                <w:rFonts w:ascii="Cambria"/>
                <w:b/>
                <w:spacing w:val="-1"/>
              </w:rPr>
              <w:t>IN</w:t>
            </w:r>
            <w:r>
              <w:rPr>
                <w:rFonts w:ascii="Cambria"/>
                <w:b/>
                <w:spacing w:val="-3"/>
              </w:rPr>
              <w:t xml:space="preserve"> </w:t>
            </w:r>
            <w:r>
              <w:rPr>
                <w:rFonts w:ascii="Cambria"/>
                <w:b/>
                <w:spacing w:val="-1"/>
              </w:rPr>
              <w:t>ITS COUNTRY</w:t>
            </w:r>
            <w:r>
              <w:rPr>
                <w:rFonts w:ascii="Cambria"/>
                <w:b/>
                <w:spacing w:val="-5"/>
              </w:rPr>
              <w:t xml:space="preserve"> </w:t>
            </w:r>
            <w:r>
              <w:rPr>
                <w:rFonts w:ascii="Cambria"/>
                <w:b/>
              </w:rPr>
              <w:t>OR</w:t>
            </w:r>
            <w:r>
              <w:rPr>
                <w:rFonts w:ascii="Cambria"/>
                <w:b/>
                <w:spacing w:val="-4"/>
              </w:rPr>
              <w:t xml:space="preserve"> </w:t>
            </w:r>
            <w:r>
              <w:rPr>
                <w:rFonts w:ascii="Cambria"/>
                <w:b/>
                <w:spacing w:val="-2"/>
              </w:rPr>
              <w:t>THEMATIC</w:t>
            </w:r>
            <w:r>
              <w:rPr>
                <w:rFonts w:ascii="Cambria"/>
                <w:b/>
                <w:spacing w:val="-3"/>
              </w:rPr>
              <w:t xml:space="preserve"> </w:t>
            </w:r>
            <w:r>
              <w:rPr>
                <w:rFonts w:ascii="Cambria"/>
                <w:b/>
                <w:spacing w:val="-1"/>
              </w:rPr>
              <w:t>REPORTS</w:t>
            </w:r>
          </w:p>
        </w:tc>
        <w:tc>
          <w:tcPr>
            <w:tcW w:w="1175" w:type="dxa"/>
          </w:tcPr>
          <w:p w14:paraId="4850AD04" w14:textId="77777777" w:rsidR="00CB7DD6" w:rsidRDefault="00CB7DD6" w:rsidP="00C2604A"/>
        </w:tc>
      </w:tr>
      <w:tr w:rsidR="00CB7DD6" w:rsidRPr="003A416F" w14:paraId="2C3FB3EF" w14:textId="77777777" w:rsidTr="00C2604A">
        <w:trPr>
          <w:gridAfter w:val="1"/>
          <w:wAfter w:w="1175" w:type="dxa"/>
          <w:trHeight w:hRule="exact" w:val="370"/>
        </w:trPr>
        <w:tc>
          <w:tcPr>
            <w:tcW w:w="1363" w:type="dxa"/>
          </w:tcPr>
          <w:p w14:paraId="69E6E7EE" w14:textId="77777777" w:rsidR="00CB7DD6" w:rsidRDefault="00CB7DD6" w:rsidP="00C2604A">
            <w:pPr>
              <w:pStyle w:val="TableParagraph"/>
              <w:spacing w:line="245" w:lineRule="exact"/>
              <w:ind w:left="775"/>
              <w:rPr>
                <w:rFonts w:ascii="Cambria" w:eastAsia="Cambria" w:hAnsi="Cambria" w:cs="Cambria"/>
              </w:rPr>
            </w:pPr>
          </w:p>
        </w:tc>
        <w:tc>
          <w:tcPr>
            <w:tcW w:w="7167" w:type="dxa"/>
          </w:tcPr>
          <w:p w14:paraId="5A5C9151" w14:textId="77777777" w:rsidR="00CB7DD6" w:rsidRPr="00016C25" w:rsidRDefault="00CB7DD6" w:rsidP="00C2604A">
            <w:pPr>
              <w:widowControl w:val="0"/>
              <w:tabs>
                <w:tab w:val="left" w:pos="769"/>
              </w:tabs>
              <w:spacing w:before="2" w:line="241" w:lineRule="auto"/>
              <w:ind w:left="139" w:right="470"/>
              <w:rPr>
                <w:rFonts w:ascii="Cambria" w:eastAsia="Cambria" w:hAnsi="Cambria" w:cs="Cambria"/>
              </w:rPr>
            </w:pPr>
            <w:r w:rsidRPr="007268F8">
              <w:rPr>
                <w:rFonts w:ascii="Cambria" w:hAnsi="Cambria"/>
                <w:spacing w:val="-1"/>
              </w:rPr>
              <w:t>México</w:t>
            </w:r>
          </w:p>
        </w:tc>
      </w:tr>
    </w:tbl>
    <w:p w14:paraId="46CBF51E" w14:textId="77777777" w:rsidR="00CB7DD6" w:rsidRDefault="00CB7DD6" w:rsidP="00001918">
      <w:pPr>
        <w:spacing w:before="240" w:line="240" w:lineRule="auto"/>
        <w:jc w:val="center"/>
        <w:rPr>
          <w:rFonts w:ascii="Cambria" w:eastAsia="Cambria" w:hAnsi="Cambria" w:cs="Cambria"/>
          <w:b/>
          <w:bCs/>
          <w:sz w:val="32"/>
          <w:szCs w:val="32"/>
          <w:lang w:val="en-US"/>
        </w:rPr>
      </w:pPr>
    </w:p>
    <w:p w14:paraId="76629229" w14:textId="77777777" w:rsidR="00CB7DD6" w:rsidRDefault="00CB7DD6">
      <w:pPr>
        <w:spacing w:after="0" w:line="240" w:lineRule="auto"/>
        <w:rPr>
          <w:rFonts w:ascii="Cambria" w:eastAsia="Cambria" w:hAnsi="Cambria" w:cs="Cambria"/>
          <w:b/>
          <w:bCs/>
          <w:sz w:val="32"/>
          <w:szCs w:val="32"/>
          <w:lang w:val="en-US"/>
        </w:rPr>
      </w:pPr>
      <w:r>
        <w:rPr>
          <w:rFonts w:ascii="Cambria" w:eastAsia="Cambria" w:hAnsi="Cambria" w:cs="Cambria"/>
          <w:b/>
          <w:bCs/>
          <w:sz w:val="32"/>
          <w:szCs w:val="32"/>
          <w:lang w:val="en-US"/>
        </w:rPr>
        <w:br w:type="page"/>
      </w:r>
    </w:p>
    <w:p w14:paraId="3738DFF1" w14:textId="19874B5B" w:rsidR="003F7C70" w:rsidRPr="00CC562A" w:rsidRDefault="003F7C70" w:rsidP="00001918">
      <w:pPr>
        <w:spacing w:before="240" w:line="240" w:lineRule="auto"/>
        <w:jc w:val="center"/>
        <w:rPr>
          <w:rFonts w:ascii="Cambria" w:eastAsia="Cambria" w:hAnsi="Cambria" w:cs="Cambria"/>
          <w:b/>
          <w:bCs/>
          <w:sz w:val="32"/>
          <w:szCs w:val="32"/>
          <w:lang w:val="en-US"/>
        </w:rPr>
      </w:pPr>
      <w:r w:rsidRPr="00CC562A">
        <w:rPr>
          <w:rFonts w:ascii="Cambria" w:eastAsia="Cambria" w:hAnsi="Cambria" w:cs="Cambria"/>
          <w:b/>
          <w:bCs/>
          <w:sz w:val="32"/>
          <w:szCs w:val="32"/>
          <w:lang w:val="en-US"/>
        </w:rPr>
        <w:lastRenderedPageBreak/>
        <w:t>C</w:t>
      </w:r>
      <w:r w:rsidR="00511002" w:rsidRPr="00CC562A">
        <w:rPr>
          <w:rFonts w:ascii="Cambria" w:eastAsia="Cambria" w:hAnsi="Cambria" w:cs="Cambria"/>
          <w:b/>
          <w:bCs/>
          <w:sz w:val="32"/>
          <w:szCs w:val="32"/>
          <w:lang w:val="en-US"/>
        </w:rPr>
        <w:t>HAPTER</w:t>
      </w:r>
      <w:r w:rsidRPr="00CC562A">
        <w:rPr>
          <w:rFonts w:ascii="Cambria" w:eastAsia="Cambria" w:hAnsi="Cambria" w:cs="Cambria"/>
          <w:b/>
          <w:bCs/>
          <w:sz w:val="32"/>
          <w:szCs w:val="32"/>
          <w:lang w:val="en-US"/>
        </w:rPr>
        <w:t xml:space="preserve"> V</w:t>
      </w:r>
    </w:p>
    <w:p w14:paraId="1BF3F632" w14:textId="508481D3" w:rsidR="003F7C70" w:rsidRPr="00CC562A" w:rsidRDefault="00511002" w:rsidP="00001918">
      <w:pPr>
        <w:spacing w:before="240" w:line="240" w:lineRule="auto"/>
        <w:jc w:val="center"/>
        <w:rPr>
          <w:rFonts w:ascii="Cambria" w:eastAsia="Cambria" w:hAnsi="Cambria" w:cs="Cambria"/>
          <w:b/>
          <w:bCs/>
          <w:sz w:val="32"/>
          <w:szCs w:val="32"/>
          <w:lang w:val="en-US"/>
        </w:rPr>
      </w:pPr>
      <w:r w:rsidRPr="00CC562A">
        <w:rPr>
          <w:rFonts w:ascii="Cambria" w:eastAsia="Cambria" w:hAnsi="Cambria" w:cs="Cambria"/>
          <w:b/>
          <w:bCs/>
          <w:sz w:val="32"/>
          <w:szCs w:val="32"/>
          <w:lang w:val="en-US"/>
        </w:rPr>
        <w:t>FOLLOW-UP OF RECOMMENDATIONS IS</w:t>
      </w:r>
      <w:r w:rsidR="00FD7076" w:rsidRPr="00CC562A">
        <w:rPr>
          <w:rFonts w:ascii="Cambria" w:eastAsia="Cambria" w:hAnsi="Cambria" w:cs="Cambria"/>
          <w:b/>
          <w:bCs/>
          <w:sz w:val="32"/>
          <w:szCs w:val="32"/>
          <w:lang w:val="en-US"/>
        </w:rPr>
        <w:t>S</w:t>
      </w:r>
      <w:r w:rsidRPr="00CC562A">
        <w:rPr>
          <w:rFonts w:ascii="Cambria" w:eastAsia="Cambria" w:hAnsi="Cambria" w:cs="Cambria"/>
          <w:b/>
          <w:bCs/>
          <w:sz w:val="32"/>
          <w:szCs w:val="32"/>
          <w:lang w:val="en-US"/>
        </w:rPr>
        <w:t xml:space="preserve">UED BY THE IACHR IN ITS </w:t>
      </w:r>
      <w:r w:rsidR="00FD7076" w:rsidRPr="00CC562A">
        <w:rPr>
          <w:rFonts w:ascii="Cambria" w:eastAsia="Cambria" w:hAnsi="Cambria" w:cs="Cambria"/>
          <w:b/>
          <w:bCs/>
          <w:sz w:val="32"/>
          <w:szCs w:val="32"/>
          <w:lang w:val="en-US"/>
        </w:rPr>
        <w:t>COUNTRY REPORTS</w:t>
      </w:r>
      <w:r w:rsidRPr="00CC562A">
        <w:rPr>
          <w:rFonts w:ascii="Cambria" w:eastAsia="Cambria" w:hAnsi="Cambria" w:cs="Cambria"/>
          <w:b/>
          <w:bCs/>
          <w:sz w:val="32"/>
          <w:szCs w:val="32"/>
          <w:lang w:val="en-US"/>
        </w:rPr>
        <w:t xml:space="preserve"> OR THEMATIC REPORTS</w:t>
      </w:r>
    </w:p>
    <w:p w14:paraId="2B4EDEE5" w14:textId="5B6AF211" w:rsidR="008463D3" w:rsidRPr="00CC562A" w:rsidRDefault="003F7C70" w:rsidP="00001918">
      <w:pPr>
        <w:tabs>
          <w:tab w:val="left" w:pos="4111"/>
        </w:tabs>
        <w:spacing w:before="240" w:line="240" w:lineRule="auto"/>
        <w:jc w:val="center"/>
        <w:rPr>
          <w:rFonts w:ascii="Cambria" w:eastAsia="Cambria" w:hAnsi="Cambria" w:cs="Cambria"/>
          <w:b/>
          <w:bCs/>
          <w:lang w:val="en-US"/>
        </w:rPr>
      </w:pPr>
      <w:r w:rsidRPr="00CC562A">
        <w:rPr>
          <w:rFonts w:ascii="Cambria" w:eastAsia="Cambria" w:hAnsi="Cambria" w:cs="Cambria"/>
          <w:b/>
          <w:bCs/>
          <w:lang w:val="en-US"/>
        </w:rPr>
        <w:t>S</w:t>
      </w:r>
      <w:r w:rsidR="00511002" w:rsidRPr="00CC562A">
        <w:rPr>
          <w:rFonts w:ascii="Cambria" w:eastAsia="Cambria" w:hAnsi="Cambria" w:cs="Cambria"/>
          <w:b/>
          <w:bCs/>
          <w:lang w:val="en-US"/>
        </w:rPr>
        <w:t xml:space="preserve">EVENTH FOLLOW-UP REPORT ON THE RECOMMENDATIONS ISSUED BY THE IACHR IN ITS REPORT ON THE </w:t>
      </w:r>
      <w:r w:rsidR="00FD7076" w:rsidRPr="00CC562A">
        <w:rPr>
          <w:rFonts w:ascii="Cambria" w:eastAsia="Cambria" w:hAnsi="Cambria" w:cs="Cambria"/>
          <w:b/>
          <w:bCs/>
          <w:lang w:val="en-US"/>
        </w:rPr>
        <w:t xml:space="preserve">SITUATION OF </w:t>
      </w:r>
      <w:r w:rsidR="00511002" w:rsidRPr="00CC562A">
        <w:rPr>
          <w:rFonts w:ascii="Cambria" w:eastAsia="Cambria" w:hAnsi="Cambria" w:cs="Cambria"/>
          <w:b/>
          <w:bCs/>
          <w:lang w:val="en-US"/>
        </w:rPr>
        <w:t>HUMAN RIGHTS IN MEXICO</w:t>
      </w:r>
      <w:r w:rsidRPr="00CC562A">
        <w:rPr>
          <w:rFonts w:ascii="Cambria" w:eastAsia="Cambria" w:hAnsi="Cambria" w:cs="Cambria"/>
          <w:b/>
          <w:bCs/>
          <w:vertAlign w:val="superscript"/>
          <w:lang w:val="en-US"/>
        </w:rPr>
        <w:footnoteReference w:id="2"/>
      </w:r>
      <w:r w:rsidR="007A03E5">
        <w:rPr>
          <w:rFonts w:ascii="Cambria" w:eastAsia="Cambria" w:hAnsi="Cambria" w:cs="Cambria"/>
          <w:b/>
          <w:bCs/>
          <w:vertAlign w:val="superscript"/>
          <w:lang w:val="en-US"/>
        </w:rPr>
        <w:t xml:space="preserve"> </w:t>
      </w:r>
      <w:r w:rsidR="007A03E5">
        <w:rPr>
          <w:rStyle w:val="FootnoteReference"/>
          <w:rFonts w:ascii="Cambria" w:eastAsia="Cambria" w:hAnsi="Cambria" w:cs="Cambria"/>
          <w:b/>
          <w:bCs/>
          <w:lang w:val="en-US"/>
        </w:rPr>
        <w:footnoteReference w:id="3"/>
      </w:r>
    </w:p>
    <w:p w14:paraId="139269C2" w14:textId="2D722938" w:rsidR="003F7C70" w:rsidRPr="00CC562A" w:rsidRDefault="003F7C70" w:rsidP="00A63873">
      <w:pPr>
        <w:pStyle w:val="Heading1"/>
        <w:numPr>
          <w:ilvl w:val="0"/>
          <w:numId w:val="1"/>
        </w:numPr>
        <w:spacing w:line="240" w:lineRule="auto"/>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INTRODUC</w:t>
      </w:r>
      <w:r w:rsidR="00511002" w:rsidRPr="00CC562A">
        <w:rPr>
          <w:rFonts w:ascii="Cambria" w:hAnsi="Cambria"/>
          <w:b/>
          <w:bCs/>
          <w:color w:val="000000" w:themeColor="text1"/>
          <w:sz w:val="22"/>
          <w:szCs w:val="22"/>
          <w:lang w:val="en-US"/>
        </w:rPr>
        <w:t>TION</w:t>
      </w:r>
    </w:p>
    <w:p w14:paraId="07CE77B8" w14:textId="33EB331C" w:rsidR="0052171B" w:rsidRPr="00CC562A" w:rsidRDefault="008D26D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purpose of this chapter is to follow up the recommendations issued in the report entitled “Situation of Human Rights in Mexico” adopted by the Inter-American Commission on Human Rights (the “Commission,” “Inter-American Commission,</w:t>
      </w:r>
      <w:r w:rsidR="002007A0"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or “IACHR”) on December 31,</w:t>
      </w:r>
      <w:r w:rsidR="003F7C70" w:rsidRPr="00CC562A">
        <w:rPr>
          <w:rFonts w:ascii="Cambria" w:eastAsia="Cambria" w:hAnsi="Cambria" w:cs="Cambria"/>
          <w:sz w:val="20"/>
          <w:szCs w:val="20"/>
          <w:lang w:val="en-US"/>
        </w:rPr>
        <w:t xml:space="preserve"> </w:t>
      </w:r>
      <w:r w:rsidR="005160F8" w:rsidRPr="00CC562A">
        <w:rPr>
          <w:rFonts w:ascii="Cambria" w:eastAsia="Cambria" w:hAnsi="Cambria" w:cs="Cambria"/>
          <w:sz w:val="20"/>
          <w:szCs w:val="20"/>
          <w:lang w:val="en-US"/>
        </w:rPr>
        <w:t>2015,</w:t>
      </w:r>
      <w:r w:rsidRPr="00CC562A">
        <w:rPr>
          <w:rFonts w:ascii="Cambria" w:eastAsia="Cambria" w:hAnsi="Cambria" w:cs="Cambria"/>
          <w:sz w:val="20"/>
          <w:szCs w:val="20"/>
          <w:lang w:val="en-US"/>
        </w:rPr>
        <w:t xml:space="preserve"> in accordance with Article 59(9) of its Rules of Procedure</w:t>
      </w:r>
      <w:r w:rsidR="003F7C7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According to that provision, in Chapter V of its Annual Report, the Commission shall follow up on measures adopted to comply with the recommendations issued in the country report. Through such monitoring, the main current human rights problems identified in the United Mexican States (“Mexico,” “Mexican State,” or “State”) are addressed.</w:t>
      </w:r>
      <w:r w:rsidR="003F7C70" w:rsidRPr="00CC562A">
        <w:rPr>
          <w:rFonts w:ascii="Cambria" w:eastAsia="Cambria" w:hAnsi="Cambria" w:cs="Cambria"/>
          <w:sz w:val="20"/>
          <w:szCs w:val="20"/>
          <w:lang w:val="en-US"/>
        </w:rPr>
        <w:t xml:space="preserve"> </w:t>
      </w:r>
      <w:r w:rsidR="00964DCA" w:rsidRPr="00CC562A">
        <w:rPr>
          <w:rFonts w:ascii="Cambria" w:eastAsia="Cambria" w:hAnsi="Cambria" w:cs="Cambria"/>
          <w:sz w:val="20"/>
          <w:szCs w:val="20"/>
          <w:lang w:val="en-US"/>
        </w:rPr>
        <w:t xml:space="preserve">These are related to citizen insecurity and militarization, disappearances, torture, access to justice and impunity, the freedom of expression situation, as well as the situation of </w:t>
      </w:r>
      <w:proofErr w:type="gramStart"/>
      <w:r w:rsidR="00964DCA" w:rsidRPr="00CC562A">
        <w:rPr>
          <w:rFonts w:ascii="Cambria" w:eastAsia="Cambria" w:hAnsi="Cambria" w:cs="Cambria"/>
          <w:sz w:val="20"/>
          <w:szCs w:val="20"/>
          <w:lang w:val="en-US"/>
        </w:rPr>
        <w:t>particular groups</w:t>
      </w:r>
      <w:proofErr w:type="gramEnd"/>
      <w:r w:rsidR="00964DCA" w:rsidRPr="00CC562A">
        <w:rPr>
          <w:rFonts w:ascii="Cambria" w:eastAsia="Cambria" w:hAnsi="Cambria" w:cs="Cambria"/>
          <w:sz w:val="20"/>
          <w:szCs w:val="20"/>
          <w:lang w:val="en-US"/>
        </w:rPr>
        <w:t xml:space="preserve"> in this context</w:t>
      </w:r>
      <w:r w:rsidR="003F7C70" w:rsidRPr="00CC562A">
        <w:rPr>
          <w:rFonts w:ascii="Cambria" w:eastAsia="Cambria" w:hAnsi="Cambria" w:cs="Cambria"/>
          <w:sz w:val="20"/>
          <w:szCs w:val="20"/>
          <w:lang w:val="en-US"/>
        </w:rPr>
        <w:t>.</w:t>
      </w:r>
    </w:p>
    <w:p w14:paraId="6674CDC4" w14:textId="480906D0" w:rsidR="003F7C70" w:rsidRPr="00CC562A" w:rsidRDefault="00964DC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At the invitation of the United Mexican States, the IACHR conducted an </w:t>
      </w:r>
      <w:r w:rsidR="00D77397" w:rsidRPr="00CC562A">
        <w:rPr>
          <w:rFonts w:ascii="Cambria" w:eastAsia="Cambria" w:hAnsi="Cambria" w:cs="Cambria"/>
          <w:i/>
          <w:iCs/>
          <w:sz w:val="20"/>
          <w:szCs w:val="20"/>
          <w:lang w:val="en-US"/>
        </w:rPr>
        <w:t>in loco</w:t>
      </w:r>
      <w:r w:rsidRPr="00CC562A">
        <w:rPr>
          <w:rFonts w:ascii="Cambria" w:eastAsia="Cambria" w:hAnsi="Cambria" w:cs="Cambria"/>
          <w:sz w:val="20"/>
          <w:szCs w:val="20"/>
          <w:lang w:val="en-US"/>
        </w:rPr>
        <w:t xml:space="preserve"> visit to the country between September 28 and October 3, </w:t>
      </w:r>
      <w:r w:rsidR="36A7A254" w:rsidRPr="00CC562A">
        <w:rPr>
          <w:rFonts w:ascii="Cambria" w:eastAsia="Cambria" w:hAnsi="Cambria" w:cs="Cambria"/>
          <w:sz w:val="20"/>
          <w:szCs w:val="20"/>
          <w:lang w:val="en-US"/>
        </w:rPr>
        <w:t xml:space="preserve">2015. </w:t>
      </w:r>
      <w:r w:rsidRPr="00CC562A">
        <w:rPr>
          <w:rFonts w:ascii="Cambria" w:eastAsia="Cambria" w:hAnsi="Cambria" w:cs="Cambria"/>
          <w:sz w:val="20"/>
          <w:szCs w:val="20"/>
          <w:lang w:val="en-US"/>
        </w:rPr>
        <w:t xml:space="preserve">The IACHR drew up the Report </w:t>
      </w:r>
      <w:proofErr w:type="gramStart"/>
      <w:r w:rsidRPr="00CC562A">
        <w:rPr>
          <w:rFonts w:ascii="Cambria" w:eastAsia="Cambria" w:hAnsi="Cambria" w:cs="Cambria"/>
          <w:sz w:val="20"/>
          <w:szCs w:val="20"/>
          <w:lang w:val="en-US"/>
        </w:rPr>
        <w:t>on the Situation of</w:t>
      </w:r>
      <w:proofErr w:type="gramEnd"/>
      <w:r w:rsidRPr="00CC562A">
        <w:rPr>
          <w:rFonts w:ascii="Cambria" w:eastAsia="Cambria" w:hAnsi="Cambria" w:cs="Cambria"/>
          <w:sz w:val="20"/>
          <w:szCs w:val="20"/>
          <w:lang w:val="en-US"/>
        </w:rPr>
        <w:t xml:space="preserve"> Huma</w:t>
      </w:r>
      <w:r w:rsidR="00861E0B" w:rsidRPr="00CC562A">
        <w:rPr>
          <w:rFonts w:ascii="Cambria" w:eastAsia="Cambria" w:hAnsi="Cambria" w:cs="Cambria"/>
          <w:sz w:val="20"/>
          <w:szCs w:val="20"/>
          <w:lang w:val="en-US"/>
        </w:rPr>
        <w:t>n</w:t>
      </w:r>
      <w:r w:rsidRPr="00CC562A">
        <w:rPr>
          <w:rFonts w:ascii="Cambria" w:eastAsia="Cambria" w:hAnsi="Cambria" w:cs="Cambria"/>
          <w:sz w:val="20"/>
          <w:szCs w:val="20"/>
          <w:lang w:val="en-US"/>
        </w:rPr>
        <w:t xml:space="preserve"> Rights in Mexico</w:t>
      </w:r>
      <w:r w:rsidR="36A7A254" w:rsidRPr="00CC562A">
        <w:rPr>
          <w:rFonts w:ascii="Cambria" w:eastAsia="Cambria" w:hAnsi="Cambria" w:cs="Cambria"/>
          <w:sz w:val="20"/>
          <w:szCs w:val="20"/>
          <w:lang w:val="en-US"/>
        </w:rPr>
        <w:t xml:space="preserve">, </w:t>
      </w:r>
      <w:r w:rsidR="007D3F58" w:rsidRPr="00CC562A">
        <w:rPr>
          <w:rFonts w:ascii="Cambria" w:eastAsia="Cambria" w:hAnsi="Cambria" w:cs="Cambria"/>
          <w:sz w:val="20"/>
          <w:szCs w:val="20"/>
          <w:lang w:val="en-US"/>
        </w:rPr>
        <w:t>with a series of recommendations to the Mexican State, based on the findings and information obtained before, during, and after the on-site visit. It was also based on investigations carried out ex officio, information provided by the State, inputs from the various mechanisms through which the IACHR has kept track of the situation in the country, as well as newspaper articles, and decisions and recommendations of specialized international organizations, among other sources, as provided in Article</w:t>
      </w:r>
      <w:r w:rsidR="36A7A254" w:rsidRPr="00CC562A">
        <w:rPr>
          <w:rFonts w:ascii="Cambria" w:eastAsia="Cambria" w:hAnsi="Cambria" w:cs="Cambria"/>
          <w:sz w:val="20"/>
          <w:szCs w:val="20"/>
          <w:lang w:val="en-US"/>
        </w:rPr>
        <w:t xml:space="preserve"> 59</w:t>
      </w:r>
      <w:r w:rsidR="007D3F58" w:rsidRPr="00CC562A">
        <w:rPr>
          <w:rFonts w:ascii="Cambria" w:eastAsia="Cambria" w:hAnsi="Cambria" w:cs="Cambria"/>
          <w:sz w:val="20"/>
          <w:szCs w:val="20"/>
          <w:lang w:val="en-US"/>
        </w:rPr>
        <w:t>(5) of its Rules of Procedure</w:t>
      </w:r>
      <w:r w:rsidR="36A7A254" w:rsidRPr="00CC562A">
        <w:rPr>
          <w:rFonts w:ascii="Cambria" w:eastAsia="Cambria" w:hAnsi="Cambria" w:cs="Cambria"/>
          <w:sz w:val="20"/>
          <w:szCs w:val="20"/>
          <w:lang w:val="en-US"/>
        </w:rPr>
        <w:t xml:space="preserve">. </w:t>
      </w:r>
    </w:p>
    <w:p w14:paraId="2A06D38A" w14:textId="7E48C126" w:rsidR="003F7C70" w:rsidRPr="00CC562A" w:rsidRDefault="007D3F5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Follow-up Reports on the Recommendations Issued in the Country Report corresponding to the years</w:t>
      </w:r>
      <w:r w:rsidR="36A7A254" w:rsidRPr="00CC562A">
        <w:rPr>
          <w:rFonts w:ascii="Cambria" w:eastAsia="Cambria" w:hAnsi="Cambria" w:cs="Cambria"/>
          <w:sz w:val="20"/>
          <w:szCs w:val="20"/>
          <w:lang w:val="en-US"/>
        </w:rPr>
        <w:t xml:space="preserve"> 2016, 2017, 2018</w:t>
      </w:r>
      <w:r w:rsidRPr="00CC562A">
        <w:rPr>
          <w:rFonts w:ascii="Cambria" w:eastAsia="Cambria" w:hAnsi="Cambria" w:cs="Cambria"/>
          <w:sz w:val="20"/>
          <w:szCs w:val="20"/>
          <w:lang w:val="en-US"/>
        </w:rPr>
        <w:t>,</w:t>
      </w:r>
      <w:r w:rsidR="36A7A254" w:rsidRPr="00CC562A">
        <w:rPr>
          <w:rFonts w:ascii="Cambria" w:eastAsia="Cambria" w:hAnsi="Cambria" w:cs="Cambria"/>
          <w:sz w:val="20"/>
          <w:szCs w:val="20"/>
          <w:lang w:val="en-US"/>
        </w:rPr>
        <w:t xml:space="preserve"> 2019, 2020</w:t>
      </w:r>
      <w:r w:rsidRPr="00CC562A">
        <w:rPr>
          <w:rFonts w:ascii="Cambria" w:eastAsia="Cambria" w:hAnsi="Cambria" w:cs="Cambria"/>
          <w:sz w:val="20"/>
          <w:szCs w:val="20"/>
          <w:lang w:val="en-US"/>
        </w:rPr>
        <w:t>, a</w:t>
      </w:r>
      <w:r w:rsidR="002007A0" w:rsidRPr="00CC562A">
        <w:rPr>
          <w:rFonts w:ascii="Cambria" w:eastAsia="Cambria" w:hAnsi="Cambria" w:cs="Cambria"/>
          <w:sz w:val="20"/>
          <w:szCs w:val="20"/>
          <w:lang w:val="en-US"/>
        </w:rPr>
        <w:t>n</w:t>
      </w:r>
      <w:r w:rsidRPr="00CC562A">
        <w:rPr>
          <w:rFonts w:ascii="Cambria" w:eastAsia="Cambria" w:hAnsi="Cambria" w:cs="Cambria"/>
          <w:sz w:val="20"/>
          <w:szCs w:val="20"/>
          <w:lang w:val="en-US"/>
        </w:rPr>
        <w:t>d</w:t>
      </w:r>
      <w:r w:rsidR="36A7A254" w:rsidRPr="00CC562A">
        <w:rPr>
          <w:rFonts w:ascii="Cambria" w:eastAsia="Cambria" w:hAnsi="Cambria" w:cs="Cambria"/>
          <w:sz w:val="20"/>
          <w:szCs w:val="20"/>
          <w:lang w:val="en-US"/>
        </w:rPr>
        <w:t xml:space="preserve"> 2021, respectiv</w:t>
      </w:r>
      <w:r w:rsidRPr="00CC562A">
        <w:rPr>
          <w:rFonts w:ascii="Cambria" w:eastAsia="Cambria" w:hAnsi="Cambria" w:cs="Cambria"/>
          <w:sz w:val="20"/>
          <w:szCs w:val="20"/>
          <w:lang w:val="en-US"/>
        </w:rPr>
        <w:t>ely, included as relevant the observations received from the Mexican State and from civil society</w:t>
      </w:r>
      <w:r w:rsidR="36A7A254" w:rsidRPr="00CC562A">
        <w:rPr>
          <w:rFonts w:ascii="Cambria" w:eastAsia="Cambria" w:hAnsi="Cambria" w:cs="Cambria"/>
          <w:sz w:val="20"/>
          <w:szCs w:val="20"/>
          <w:lang w:val="en-US"/>
        </w:rPr>
        <w:t>.</w:t>
      </w:r>
    </w:p>
    <w:p w14:paraId="62EE1352" w14:textId="545C25AB" w:rsidR="003F7C70" w:rsidRPr="00CC562A" w:rsidRDefault="007D3F5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For this report, through a communication dated September 20, </w:t>
      </w:r>
      <w:r w:rsidR="72B58DE4" w:rsidRPr="00CC562A">
        <w:rPr>
          <w:rFonts w:ascii="Cambria" w:eastAsia="Cambria" w:hAnsi="Cambria" w:cs="Cambria"/>
          <w:sz w:val="20"/>
          <w:szCs w:val="20"/>
          <w:lang w:val="en-US"/>
        </w:rPr>
        <w:t>2022</w:t>
      </w:r>
      <w:r w:rsidR="36A7A25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IACHR asked the Mexican State to submit information on compliance with the recommendations contained in the Country Report with respect to the year</w:t>
      </w:r>
      <w:r w:rsidR="002007A0" w:rsidRPr="00CC562A">
        <w:rPr>
          <w:rFonts w:ascii="Cambria" w:eastAsia="Cambria" w:hAnsi="Cambria" w:cs="Cambria"/>
          <w:sz w:val="20"/>
          <w:szCs w:val="20"/>
          <w:lang w:val="en-US"/>
        </w:rPr>
        <w:t xml:space="preserve"> </w:t>
      </w:r>
      <w:r w:rsidR="002007A0" w:rsidRPr="006956EC">
        <w:rPr>
          <w:rFonts w:ascii="Cambria" w:eastAsia="Cambria" w:hAnsi="Cambria" w:cs="Cambria"/>
          <w:sz w:val="20"/>
          <w:szCs w:val="20"/>
          <w:lang w:val="en-US"/>
        </w:rPr>
        <w:t xml:space="preserve">2022. </w:t>
      </w:r>
      <w:r w:rsidRPr="006956EC">
        <w:rPr>
          <w:rFonts w:ascii="Cambria" w:eastAsia="Cambria" w:hAnsi="Cambria" w:cs="Cambria"/>
          <w:sz w:val="20"/>
          <w:szCs w:val="20"/>
          <w:lang w:val="en-US"/>
        </w:rPr>
        <w:t>The State’s response was received on October 21,</w:t>
      </w:r>
      <w:r w:rsidR="4C42E64B" w:rsidRPr="006956EC">
        <w:rPr>
          <w:rFonts w:ascii="Cambria" w:eastAsia="Cambria" w:hAnsi="Cambria" w:cs="Cambria"/>
          <w:sz w:val="20"/>
          <w:szCs w:val="20"/>
          <w:lang w:val="en-US"/>
        </w:rPr>
        <w:t xml:space="preserve"> 202</w:t>
      </w:r>
      <w:r w:rsidR="5AFEB734" w:rsidRPr="006956EC">
        <w:rPr>
          <w:rFonts w:ascii="Cambria" w:eastAsia="Cambria" w:hAnsi="Cambria" w:cs="Cambria"/>
          <w:sz w:val="20"/>
          <w:szCs w:val="20"/>
          <w:lang w:val="en-US"/>
        </w:rPr>
        <w:t>2</w:t>
      </w:r>
      <w:r w:rsidR="003F7C70" w:rsidRPr="006956EC">
        <w:rPr>
          <w:rFonts w:ascii="Cambria" w:eastAsia="Cambria" w:hAnsi="Cambria" w:cs="Cambria"/>
          <w:sz w:val="20"/>
          <w:szCs w:val="20"/>
          <w:vertAlign w:val="superscript"/>
          <w:lang w:val="en-US"/>
        </w:rPr>
        <w:footnoteReference w:id="4"/>
      </w:r>
      <w:r w:rsidR="38D0A847" w:rsidRPr="00CC562A">
        <w:rPr>
          <w:rFonts w:ascii="Cambria" w:eastAsia="Cambria" w:hAnsi="Cambria" w:cs="Cambria"/>
          <w:sz w:val="20"/>
          <w:szCs w:val="20"/>
          <w:lang w:val="en-US"/>
        </w:rPr>
        <w:t xml:space="preserve"> </w:t>
      </w:r>
      <w:r w:rsidR="00CE0ACD" w:rsidRPr="00CC562A">
        <w:rPr>
          <w:rFonts w:ascii="Cambria" w:eastAsia="Cambria" w:hAnsi="Cambria" w:cs="Cambria"/>
          <w:sz w:val="20"/>
          <w:szCs w:val="20"/>
          <w:lang w:val="en-US"/>
        </w:rPr>
        <w:t>through Inter-American SIMORE</w:t>
      </w:r>
      <w:r w:rsidR="002007A0" w:rsidRPr="00CC562A">
        <w:rPr>
          <w:rFonts w:ascii="Cambria" w:eastAsia="Cambria" w:hAnsi="Cambria" w:cs="Cambria"/>
          <w:sz w:val="20"/>
          <w:szCs w:val="20"/>
          <w:lang w:val="en-US"/>
        </w:rPr>
        <w:t>.</w:t>
      </w:r>
      <w:r w:rsidR="38D0A847" w:rsidRPr="00CC562A">
        <w:rPr>
          <w:rFonts w:ascii="Cambria" w:eastAsia="Cambria" w:hAnsi="Cambria" w:cs="Cambria"/>
          <w:sz w:val="20"/>
          <w:szCs w:val="20"/>
          <w:lang w:val="en-US"/>
        </w:rPr>
        <w:t xml:space="preserve"> </w:t>
      </w:r>
      <w:r w:rsidR="004561C4" w:rsidRPr="00CC562A">
        <w:rPr>
          <w:rFonts w:ascii="Cambria" w:eastAsia="Cambria" w:hAnsi="Cambria" w:cs="Cambria"/>
          <w:sz w:val="20"/>
          <w:szCs w:val="20"/>
          <w:lang w:val="en-US"/>
        </w:rPr>
        <w:t xml:space="preserve">The Commission appreciates and is grateful for the information received, which was </w:t>
      </w:r>
      <w:r w:rsidR="004561C4" w:rsidRPr="00CC562A">
        <w:rPr>
          <w:rFonts w:ascii="Cambria" w:eastAsia="Cambria" w:hAnsi="Cambria" w:cs="Cambria"/>
          <w:sz w:val="20"/>
          <w:szCs w:val="20"/>
          <w:lang w:val="en-US"/>
        </w:rPr>
        <w:lastRenderedPageBreak/>
        <w:t xml:space="preserve">included as relevant in this report. The IACHR is grateful for the information provided by civil society </w:t>
      </w:r>
      <w:r w:rsidR="00CE0ACD" w:rsidRPr="00CC562A">
        <w:rPr>
          <w:rFonts w:ascii="Cambria" w:eastAsia="Cambria" w:hAnsi="Cambria" w:cs="Cambria"/>
          <w:sz w:val="20"/>
          <w:szCs w:val="20"/>
          <w:lang w:val="en-US"/>
        </w:rPr>
        <w:t>organizations</w:t>
      </w:r>
      <w:r w:rsidR="004561C4" w:rsidRPr="00CC562A">
        <w:rPr>
          <w:rFonts w:ascii="Cambria" w:eastAsia="Cambria" w:hAnsi="Cambria" w:cs="Cambria"/>
          <w:sz w:val="20"/>
          <w:szCs w:val="20"/>
          <w:lang w:val="en-US"/>
        </w:rPr>
        <w:t>.</w:t>
      </w:r>
      <w:r w:rsidR="003F7C70" w:rsidRPr="00CC562A">
        <w:rPr>
          <w:rFonts w:ascii="Cambria" w:eastAsia="Cambria" w:hAnsi="Cambria" w:cs="Cambria"/>
          <w:sz w:val="20"/>
          <w:szCs w:val="20"/>
          <w:vertAlign w:val="superscript"/>
          <w:lang w:val="en-US"/>
        </w:rPr>
        <w:footnoteReference w:id="5"/>
      </w:r>
    </w:p>
    <w:p w14:paraId="50CDA1B9" w14:textId="16B514C5" w:rsidR="003F7C70" w:rsidRPr="00CC562A" w:rsidRDefault="006367A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Furthermore, in accordance with Article</w:t>
      </w:r>
      <w:r w:rsidR="36A7A254" w:rsidRPr="00CC562A">
        <w:rPr>
          <w:rFonts w:ascii="Cambria" w:eastAsia="Cambria" w:hAnsi="Cambria" w:cs="Cambria"/>
          <w:sz w:val="20"/>
          <w:szCs w:val="20"/>
          <w:lang w:val="en-US"/>
        </w:rPr>
        <w:t xml:space="preserve"> 59</w:t>
      </w:r>
      <w:r w:rsidRPr="00CC562A">
        <w:rPr>
          <w:rFonts w:ascii="Cambria" w:eastAsia="Cambria" w:hAnsi="Cambria" w:cs="Cambria"/>
          <w:sz w:val="20"/>
          <w:szCs w:val="20"/>
          <w:lang w:val="en-US"/>
        </w:rPr>
        <w:t>(10) of its rules of Procedure, on</w:t>
      </w:r>
      <w:r w:rsidR="00A92391" w:rsidRPr="00CC562A">
        <w:rPr>
          <w:rFonts w:ascii="Cambria" w:eastAsia="Cambria" w:hAnsi="Cambria" w:cs="Cambria"/>
          <w:sz w:val="20"/>
          <w:szCs w:val="20"/>
          <w:lang w:val="en-US"/>
        </w:rPr>
        <w:t xml:space="preserve"> February 3, 2023,</w:t>
      </w:r>
      <w:r w:rsidR="36A7A25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IACHR transmitted this report to the Mexican State for its comments within a period of three weeks. </w:t>
      </w:r>
      <w:r w:rsidR="00A92391" w:rsidRPr="00CC562A">
        <w:rPr>
          <w:rFonts w:ascii="Cambria" w:eastAsia="Cambria" w:hAnsi="Cambria" w:cs="Cambria"/>
          <w:sz w:val="20"/>
          <w:szCs w:val="20"/>
          <w:lang w:val="en-US"/>
        </w:rPr>
        <w:t xml:space="preserve">On February 17, 2023, </w:t>
      </w:r>
      <w:r w:rsidRPr="00CC562A">
        <w:rPr>
          <w:rFonts w:ascii="Cambria" w:eastAsia="Cambria" w:hAnsi="Cambria" w:cs="Cambria"/>
          <w:sz w:val="20"/>
          <w:szCs w:val="20"/>
          <w:lang w:val="en-US"/>
        </w:rPr>
        <w:t xml:space="preserve">the State submitted its </w:t>
      </w:r>
      <w:r w:rsidRPr="00E52254">
        <w:rPr>
          <w:rFonts w:ascii="Cambria" w:eastAsia="Cambria" w:hAnsi="Cambria" w:cs="Cambria"/>
          <w:sz w:val="20"/>
          <w:szCs w:val="20"/>
          <w:lang w:val="en-US"/>
        </w:rPr>
        <w:t>observations</w:t>
      </w:r>
      <w:r w:rsidR="00C51D63">
        <w:rPr>
          <w:rStyle w:val="FootnoteReference"/>
          <w:rFonts w:ascii="Cambria" w:eastAsia="Cambria" w:hAnsi="Cambria" w:cs="Cambria"/>
          <w:sz w:val="20"/>
          <w:szCs w:val="20"/>
          <w:lang w:val="en-US"/>
        </w:rPr>
        <w:footnoteReference w:id="6"/>
      </w:r>
      <w:r w:rsidRPr="00E52254">
        <w:rPr>
          <w:rFonts w:ascii="Cambria" w:eastAsia="Cambria" w:hAnsi="Cambria" w:cs="Cambria"/>
          <w:sz w:val="20"/>
          <w:szCs w:val="20"/>
          <w:lang w:val="en-US"/>
        </w:rPr>
        <w:t>, the relevant parts of which were incorporated in this final version of t</w:t>
      </w:r>
      <w:r w:rsidR="002007A0" w:rsidRPr="00E52254">
        <w:rPr>
          <w:rFonts w:ascii="Cambria" w:eastAsia="Cambria" w:hAnsi="Cambria" w:cs="Cambria"/>
          <w:sz w:val="20"/>
          <w:szCs w:val="20"/>
          <w:lang w:val="en-US"/>
        </w:rPr>
        <w:t>he</w:t>
      </w:r>
      <w:r w:rsidRPr="00E52254">
        <w:rPr>
          <w:rFonts w:ascii="Cambria" w:eastAsia="Cambria" w:hAnsi="Cambria" w:cs="Cambria"/>
          <w:sz w:val="20"/>
          <w:szCs w:val="20"/>
          <w:lang w:val="en-US"/>
        </w:rPr>
        <w:t xml:space="preserve"> </w:t>
      </w:r>
      <w:r w:rsidRPr="007A3A71">
        <w:rPr>
          <w:rFonts w:ascii="Cambria" w:eastAsia="Cambria" w:hAnsi="Cambria" w:cs="Cambria"/>
          <w:sz w:val="20"/>
          <w:szCs w:val="20"/>
          <w:lang w:val="en-US"/>
        </w:rPr>
        <w:t xml:space="preserve">report approved by the </w:t>
      </w:r>
      <w:r w:rsidRPr="0014572B">
        <w:rPr>
          <w:rFonts w:ascii="Cambria" w:eastAsia="Cambria" w:hAnsi="Cambria" w:cs="Cambria"/>
          <w:sz w:val="20"/>
          <w:szCs w:val="20"/>
          <w:lang w:val="en-US"/>
        </w:rPr>
        <w:t xml:space="preserve">IACHR on </w:t>
      </w:r>
      <w:r w:rsidR="00E52254" w:rsidRPr="0014572B">
        <w:rPr>
          <w:rFonts w:ascii="Cambria" w:eastAsia="Cambria" w:hAnsi="Cambria" w:cs="Cambria"/>
          <w:sz w:val="20"/>
          <w:szCs w:val="20"/>
          <w:lang w:val="en-US"/>
        </w:rPr>
        <w:t xml:space="preserve">March </w:t>
      </w:r>
      <w:r w:rsidR="007A3A71" w:rsidRPr="0014572B">
        <w:rPr>
          <w:rFonts w:ascii="Cambria" w:eastAsia="Cambria" w:hAnsi="Cambria" w:cs="Cambria"/>
          <w:sz w:val="20"/>
          <w:szCs w:val="20"/>
          <w:lang w:val="en-US"/>
        </w:rPr>
        <w:t>7</w:t>
      </w:r>
      <w:r w:rsidR="00E52254" w:rsidRPr="0014572B">
        <w:rPr>
          <w:rFonts w:ascii="Cambria" w:eastAsia="Cambria" w:hAnsi="Cambria" w:cs="Cambria"/>
          <w:sz w:val="20"/>
          <w:szCs w:val="20"/>
          <w:lang w:val="en-US"/>
        </w:rPr>
        <w:t>, 2023</w:t>
      </w:r>
      <w:r w:rsidR="36A7A254" w:rsidRPr="0014572B">
        <w:rPr>
          <w:rFonts w:ascii="Cambria" w:eastAsia="Cambria" w:hAnsi="Cambria" w:cs="Cambria"/>
          <w:sz w:val="20"/>
          <w:szCs w:val="20"/>
          <w:lang w:val="en-US"/>
        </w:rPr>
        <w:t>.</w:t>
      </w:r>
    </w:p>
    <w:p w14:paraId="7E740F00" w14:textId="7A34E6B6" w:rsidR="00EB529C" w:rsidRPr="00CC562A" w:rsidRDefault="006367A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This follow-up report is divided into seven sections devoted to the consideration of the measures adopted by the State to comply with the Commission’s recommendations and the remaining challenges. The recommendations are evaluated in accordance with the General Guidelines on the Follow-up of IACHR recommendations and decisions,</w:t>
      </w:r>
      <w:r w:rsidR="003F7C70" w:rsidRPr="00CC562A">
        <w:rPr>
          <w:rFonts w:ascii="Cambria" w:eastAsia="Cambria" w:hAnsi="Cambria" w:cs="Cambria"/>
          <w:sz w:val="20"/>
          <w:szCs w:val="20"/>
          <w:vertAlign w:val="superscript"/>
          <w:lang w:val="en-US"/>
        </w:rPr>
        <w:footnoteReference w:id="7"/>
      </w:r>
      <w:r w:rsidR="36A7A254" w:rsidRPr="00CC562A">
        <w:rPr>
          <w:rFonts w:ascii="Cambria" w:eastAsia="Cambria" w:hAnsi="Cambria" w:cs="Cambria"/>
          <w:sz w:val="20"/>
          <w:szCs w:val="20"/>
          <w:lang w:val="en-US"/>
        </w:rPr>
        <w:t xml:space="preserve"> </w:t>
      </w:r>
      <w:r w:rsidR="005160F8" w:rsidRPr="00CC562A">
        <w:rPr>
          <w:rFonts w:ascii="Cambria" w:eastAsia="Cambria" w:hAnsi="Cambria" w:cs="Cambria"/>
          <w:sz w:val="20"/>
          <w:szCs w:val="20"/>
          <w:lang w:val="en-US"/>
        </w:rPr>
        <w:t>following the</w:t>
      </w:r>
      <w:r w:rsidRPr="00CC562A">
        <w:rPr>
          <w:rFonts w:ascii="Cambria" w:eastAsia="Cambria" w:hAnsi="Cambria" w:cs="Cambria"/>
          <w:sz w:val="20"/>
          <w:szCs w:val="20"/>
          <w:lang w:val="en-US"/>
        </w:rPr>
        <w:t xml:space="preserve"> structure used in the Commission’s report that is the subject of this follow-up. Each section addresses the recommendations made by the IACHR in the corresponding chapters</w:t>
      </w:r>
      <w:r w:rsidR="36A7A25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and analyzes the main aspects of the progress and challenges identified by the Commission </w:t>
      </w:r>
      <w:proofErr w:type="gramStart"/>
      <w:r w:rsidR="006F2C9E" w:rsidRPr="00CC562A">
        <w:rPr>
          <w:rFonts w:ascii="Cambria" w:eastAsia="Cambria" w:hAnsi="Cambria" w:cs="Cambria"/>
          <w:sz w:val="20"/>
          <w:szCs w:val="20"/>
          <w:lang w:val="en-US"/>
        </w:rPr>
        <w:t>in light of</w:t>
      </w:r>
      <w:proofErr w:type="gramEnd"/>
      <w:r w:rsidR="006F2C9E" w:rsidRPr="00CC562A">
        <w:rPr>
          <w:rFonts w:ascii="Cambria" w:eastAsia="Cambria" w:hAnsi="Cambria" w:cs="Cambria"/>
          <w:sz w:val="20"/>
          <w:szCs w:val="20"/>
          <w:lang w:val="en-US"/>
        </w:rPr>
        <w:t xml:space="preserve"> the information presented by the State and civil society organizations as well as the information garnered by the Commission during its monitoring of the overall situation of human rights in the country</w:t>
      </w:r>
      <w:r w:rsidR="36A7A254" w:rsidRPr="00CC562A">
        <w:rPr>
          <w:rFonts w:ascii="Cambria" w:eastAsia="Cambria" w:hAnsi="Cambria" w:cs="Cambria"/>
          <w:sz w:val="20"/>
          <w:szCs w:val="20"/>
          <w:lang w:val="en-US"/>
        </w:rPr>
        <w:t xml:space="preserve">. </w:t>
      </w:r>
      <w:r w:rsidR="006F2C9E" w:rsidRPr="00CC562A">
        <w:rPr>
          <w:rFonts w:ascii="Cambria" w:eastAsia="Cambria" w:hAnsi="Cambria" w:cs="Cambria"/>
          <w:sz w:val="20"/>
          <w:szCs w:val="20"/>
          <w:lang w:val="en-US"/>
        </w:rPr>
        <w:t>For that</w:t>
      </w:r>
      <w:r w:rsidR="002007A0" w:rsidRPr="00CC562A">
        <w:rPr>
          <w:rFonts w:ascii="Cambria" w:eastAsia="Cambria" w:hAnsi="Cambria" w:cs="Cambria"/>
          <w:sz w:val="20"/>
          <w:szCs w:val="20"/>
          <w:lang w:val="en-US"/>
        </w:rPr>
        <w:t xml:space="preserve"> </w:t>
      </w:r>
      <w:r w:rsidR="005160F8" w:rsidRPr="00CC562A">
        <w:rPr>
          <w:rFonts w:ascii="Cambria" w:eastAsia="Cambria" w:hAnsi="Cambria" w:cs="Cambria"/>
          <w:sz w:val="20"/>
          <w:szCs w:val="20"/>
          <w:lang w:val="en-US"/>
        </w:rPr>
        <w:t>purpose,</w:t>
      </w:r>
      <w:r w:rsidR="006F2C9E" w:rsidRPr="00CC562A">
        <w:rPr>
          <w:rFonts w:ascii="Cambria" w:eastAsia="Cambria" w:hAnsi="Cambria" w:cs="Cambria"/>
          <w:sz w:val="20"/>
          <w:szCs w:val="20"/>
          <w:lang w:val="en-US"/>
        </w:rPr>
        <w:t xml:space="preserve"> the Commission has relied on the information received from the State during public hearings, ex officio investigations, input from the petitions and cases system, applications for precautionary measures, and requests for information under Article </w:t>
      </w:r>
      <w:r w:rsidR="36A7A254" w:rsidRPr="00CC562A">
        <w:rPr>
          <w:rFonts w:ascii="Cambria" w:eastAsia="Cambria" w:hAnsi="Cambria" w:cs="Cambria"/>
          <w:sz w:val="20"/>
          <w:szCs w:val="20"/>
          <w:lang w:val="en-US"/>
        </w:rPr>
        <w:t xml:space="preserve">41 </w:t>
      </w:r>
      <w:r w:rsidR="006F2C9E" w:rsidRPr="00CC562A">
        <w:rPr>
          <w:rFonts w:ascii="Cambria" w:eastAsia="Cambria" w:hAnsi="Cambria" w:cs="Cambria"/>
          <w:sz w:val="20"/>
          <w:szCs w:val="20"/>
          <w:lang w:val="en-US"/>
        </w:rPr>
        <w:t xml:space="preserve">of the American Convention on Human Rights, in addition to information available from other public sources and decisions and recommendations of specialized international agencies, among other sources. Finally, the IACHR presents its conclusions and </w:t>
      </w:r>
      <w:r w:rsidR="00465611" w:rsidRPr="00CC562A">
        <w:rPr>
          <w:rFonts w:ascii="Cambria" w:eastAsia="Cambria" w:hAnsi="Cambria" w:cs="Cambria"/>
          <w:sz w:val="20"/>
          <w:szCs w:val="20"/>
          <w:lang w:val="en-US"/>
        </w:rPr>
        <w:t>recommendations</w:t>
      </w:r>
      <w:r w:rsidR="36A7A254" w:rsidRPr="00CC562A">
        <w:rPr>
          <w:rFonts w:ascii="Cambria" w:eastAsia="Cambria" w:hAnsi="Cambria" w:cs="Cambria"/>
          <w:sz w:val="20"/>
          <w:szCs w:val="20"/>
          <w:lang w:val="en-US"/>
        </w:rPr>
        <w:t>.</w:t>
      </w:r>
    </w:p>
    <w:p w14:paraId="29E74F9A" w14:textId="6B29B169" w:rsidR="00EB529C" w:rsidRPr="00CC562A" w:rsidRDefault="006F2C9E" w:rsidP="00A63873">
      <w:pPr>
        <w:pStyle w:val="Heading1"/>
        <w:numPr>
          <w:ilvl w:val="0"/>
          <w:numId w:val="1"/>
        </w:numPr>
        <w:spacing w:line="240" w:lineRule="auto"/>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FOLLOW-UP OF RECOMMENDATIONS</w:t>
      </w:r>
    </w:p>
    <w:p w14:paraId="6470C913" w14:textId="2E35F1FB" w:rsidR="00EB529C" w:rsidRPr="00CC562A" w:rsidRDefault="00327716" w:rsidP="006843E4">
      <w:pPr>
        <w:pStyle w:val="Heading2"/>
        <w:numPr>
          <w:ilvl w:val="0"/>
          <w:numId w:val="5"/>
        </w:numPr>
        <w:spacing w:before="24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Citizen Security</w:t>
      </w:r>
    </w:p>
    <w:p w14:paraId="4FD36D2E" w14:textId="372F6A6B" w:rsidR="00483FC9" w:rsidRPr="006843E4" w:rsidRDefault="00465611" w:rsidP="006843E4">
      <w:pPr>
        <w:numPr>
          <w:ilvl w:val="0"/>
          <w:numId w:val="2"/>
        </w:numPr>
        <w:spacing w:before="240" w:line="240" w:lineRule="auto"/>
        <w:ind w:left="0" w:firstLine="720"/>
        <w:jc w:val="both"/>
        <w:rPr>
          <w:rFonts w:ascii="Cambria" w:hAnsi="Cambria"/>
          <w:b/>
          <w:bCs/>
          <w:sz w:val="20"/>
          <w:szCs w:val="20"/>
          <w:lang w:val="en-US"/>
        </w:rPr>
      </w:pPr>
      <w:r w:rsidRPr="006843E4">
        <w:rPr>
          <w:rFonts w:ascii="Cambria" w:hAnsi="Cambria"/>
          <w:sz w:val="20"/>
          <w:szCs w:val="20"/>
          <w:lang w:val="en-US"/>
        </w:rPr>
        <w:t>The IACHR will refer to the recommendations in this section below</w:t>
      </w:r>
      <w:r w:rsidR="39D115CA" w:rsidRPr="006843E4">
        <w:rPr>
          <w:rFonts w:ascii="Cambria" w:hAnsi="Cambria"/>
          <w:sz w:val="20"/>
          <w:szCs w:val="20"/>
          <w:lang w:val="en-US"/>
        </w:rPr>
        <w:t xml:space="preserve">. </w:t>
      </w:r>
    </w:p>
    <w:p w14:paraId="3489799B" w14:textId="77FA1A3F" w:rsidR="00126B53" w:rsidRPr="00CC562A" w:rsidRDefault="00465611"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eastAsia="Cambria" w:hAnsi="Cambria" w:cs="Cambria"/>
          <w:sz w:val="20"/>
          <w:szCs w:val="20"/>
          <w:lang w:val="en-US"/>
        </w:rPr>
        <w:t xml:space="preserve">Develop a concrete plan for the gradual withdrawal of the </w:t>
      </w:r>
      <w:r w:rsidR="00D5781D" w:rsidRPr="00CC562A">
        <w:rPr>
          <w:rFonts w:ascii="Cambria" w:eastAsia="Cambria" w:hAnsi="Cambria" w:cs="Cambria"/>
          <w:sz w:val="20"/>
          <w:szCs w:val="20"/>
          <w:lang w:val="en-US"/>
        </w:rPr>
        <w:t>Armed forces</w:t>
      </w:r>
      <w:r w:rsidRPr="00CC562A">
        <w:rPr>
          <w:rFonts w:ascii="Cambria" w:eastAsia="Cambria" w:hAnsi="Cambria" w:cs="Cambria"/>
          <w:sz w:val="20"/>
          <w:szCs w:val="20"/>
          <w:lang w:val="en-US"/>
        </w:rPr>
        <w:t xml:space="preserve"> from public security tasks and for their re</w:t>
      </w:r>
      <w:r w:rsidR="002007A0" w:rsidRPr="00CC562A">
        <w:rPr>
          <w:rFonts w:ascii="Cambria" w:eastAsia="Cambria" w:hAnsi="Cambria" w:cs="Cambria"/>
          <w:sz w:val="20"/>
          <w:szCs w:val="20"/>
          <w:lang w:val="en-US"/>
        </w:rPr>
        <w:t>sumption</w:t>
      </w:r>
      <w:r w:rsidRPr="00CC562A">
        <w:rPr>
          <w:rFonts w:ascii="Cambria" w:eastAsia="Cambria" w:hAnsi="Cambria" w:cs="Cambria"/>
          <w:sz w:val="20"/>
          <w:szCs w:val="20"/>
          <w:lang w:val="en-US"/>
        </w:rPr>
        <w:t xml:space="preserve"> by civilian police</w:t>
      </w:r>
      <w:r w:rsidR="008E6A2C" w:rsidRPr="00CC562A">
        <w:rPr>
          <w:rFonts w:ascii="Cambria" w:eastAsia="Cambria" w:hAnsi="Cambria" w:cs="Cambria"/>
          <w:sz w:val="20"/>
          <w:szCs w:val="20"/>
          <w:lang w:val="en-US"/>
        </w:rPr>
        <w:t xml:space="preserve">. </w:t>
      </w:r>
    </w:p>
    <w:p w14:paraId="14D1851B" w14:textId="2A3F7157" w:rsidR="00126B53" w:rsidRPr="00CC562A" w:rsidRDefault="00465611"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 xml:space="preserve">Strengthen the capacity of the police to carry out public security tasks in accordance with </w:t>
      </w:r>
      <w:r w:rsidR="005160F8" w:rsidRPr="00CC562A">
        <w:rPr>
          <w:rFonts w:ascii="Cambria" w:hAnsi="Cambria"/>
          <w:sz w:val="20"/>
          <w:szCs w:val="20"/>
          <w:lang w:val="en-US"/>
        </w:rPr>
        <w:t>international human</w:t>
      </w:r>
      <w:r w:rsidRPr="00CC562A">
        <w:rPr>
          <w:rFonts w:ascii="Cambria" w:hAnsi="Cambria"/>
          <w:sz w:val="20"/>
          <w:szCs w:val="20"/>
          <w:lang w:val="en-US"/>
        </w:rPr>
        <w:t xml:space="preserve"> rights standards</w:t>
      </w:r>
      <w:r w:rsidR="00126B53" w:rsidRPr="00CC562A">
        <w:rPr>
          <w:rFonts w:ascii="Cambria" w:hAnsi="Cambria"/>
          <w:sz w:val="20"/>
          <w:szCs w:val="20"/>
          <w:lang w:val="en-US"/>
        </w:rPr>
        <w:t xml:space="preserve">. </w:t>
      </w:r>
    </w:p>
    <w:p w14:paraId="011B4D5A" w14:textId="69C6C0D7" w:rsidR="00126B53" w:rsidRPr="00CC562A" w:rsidRDefault="00126B53"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Adopt</w:t>
      </w:r>
      <w:r w:rsidR="00465611" w:rsidRPr="00CC562A">
        <w:rPr>
          <w:rFonts w:ascii="Cambria" w:hAnsi="Cambria"/>
          <w:sz w:val="20"/>
          <w:szCs w:val="20"/>
          <w:lang w:val="en-US"/>
        </w:rPr>
        <w:t xml:space="preserve"> a General Law on the Use of Force in accordance with international human rights standards</w:t>
      </w:r>
      <w:r w:rsidRPr="00CC562A">
        <w:rPr>
          <w:rFonts w:ascii="Cambria" w:hAnsi="Cambria"/>
          <w:sz w:val="20"/>
          <w:szCs w:val="20"/>
          <w:lang w:val="en-US"/>
        </w:rPr>
        <w:t xml:space="preserve">. </w:t>
      </w:r>
    </w:p>
    <w:p w14:paraId="4496A5BB" w14:textId="60B4F572" w:rsidR="00126B53" w:rsidRPr="00CC562A" w:rsidRDefault="00126B53"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lastRenderedPageBreak/>
        <w:t>T</w:t>
      </w:r>
      <w:r w:rsidR="00465611" w:rsidRPr="00CC562A">
        <w:rPr>
          <w:rFonts w:ascii="Cambria" w:hAnsi="Cambria"/>
          <w:sz w:val="20"/>
          <w:szCs w:val="20"/>
          <w:lang w:val="en-US"/>
        </w:rPr>
        <w:t>ake measures to ensure that federal and state officials refrain from issuing public statements on the legality of the actions of security forces</w:t>
      </w:r>
      <w:r w:rsidRPr="00CC562A">
        <w:rPr>
          <w:rFonts w:ascii="Cambria" w:hAnsi="Cambria"/>
          <w:sz w:val="20"/>
          <w:szCs w:val="20"/>
          <w:lang w:val="en-US"/>
        </w:rPr>
        <w:t xml:space="preserve"> </w:t>
      </w:r>
      <w:r w:rsidR="00465611" w:rsidRPr="00CC562A">
        <w:rPr>
          <w:rFonts w:ascii="Cambria" w:hAnsi="Cambria"/>
          <w:sz w:val="20"/>
          <w:szCs w:val="20"/>
          <w:lang w:val="en-US"/>
        </w:rPr>
        <w:t>in cases that may constitute an improper use of force before the results of an investigation are available</w:t>
      </w:r>
      <w:r w:rsidRPr="00CC562A">
        <w:rPr>
          <w:rFonts w:ascii="Cambria" w:hAnsi="Cambria"/>
          <w:sz w:val="20"/>
          <w:szCs w:val="20"/>
          <w:lang w:val="en-US"/>
        </w:rPr>
        <w:t xml:space="preserve">. </w:t>
      </w:r>
    </w:p>
    <w:p w14:paraId="01754562" w14:textId="0C4BBBF8" w:rsidR="00126B53" w:rsidRPr="00CC562A" w:rsidRDefault="00126B53"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Adopt</w:t>
      </w:r>
      <w:r w:rsidR="00E11440" w:rsidRPr="00CC562A">
        <w:rPr>
          <w:rFonts w:ascii="Cambria" w:hAnsi="Cambria"/>
          <w:sz w:val="20"/>
          <w:szCs w:val="20"/>
          <w:lang w:val="en-US"/>
        </w:rPr>
        <w:t xml:space="preserve"> and implement accountability measures by a body independent of all security forces in relation to public security operations and tasks where there is </w:t>
      </w:r>
      <w:r w:rsidR="002007A0" w:rsidRPr="00CC562A">
        <w:rPr>
          <w:rFonts w:ascii="Cambria" w:hAnsi="Cambria"/>
          <w:sz w:val="20"/>
          <w:szCs w:val="20"/>
          <w:lang w:val="en-US"/>
        </w:rPr>
        <w:t xml:space="preserve">a </w:t>
      </w:r>
      <w:r w:rsidR="00E11440" w:rsidRPr="00CC562A">
        <w:rPr>
          <w:rFonts w:ascii="Cambria" w:hAnsi="Cambria"/>
          <w:sz w:val="20"/>
          <w:szCs w:val="20"/>
          <w:lang w:val="en-US"/>
        </w:rPr>
        <w:t>loss of life</w:t>
      </w:r>
      <w:r w:rsidRPr="00CC562A">
        <w:rPr>
          <w:rFonts w:ascii="Cambria" w:hAnsi="Cambria"/>
          <w:sz w:val="20"/>
          <w:szCs w:val="20"/>
          <w:lang w:val="en-US"/>
        </w:rPr>
        <w:t xml:space="preserve">. </w:t>
      </w:r>
    </w:p>
    <w:p w14:paraId="4009BFBA" w14:textId="0D6ECCFF" w:rsidR="00126B53" w:rsidRPr="00CC562A" w:rsidRDefault="00E11440"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Ensure that, in cases of forced disappearance, extrajudicial executions, and torture, the lines of inquiry not only seek to disclose the actual perpetrators, but also include the responsibility of the chain of command</w:t>
      </w:r>
      <w:r w:rsidR="00126B53" w:rsidRPr="00CC562A">
        <w:rPr>
          <w:rFonts w:ascii="Cambria" w:hAnsi="Cambria"/>
          <w:sz w:val="20"/>
          <w:szCs w:val="20"/>
          <w:lang w:val="en-US"/>
        </w:rPr>
        <w:t xml:space="preserve">. </w:t>
      </w:r>
    </w:p>
    <w:p w14:paraId="5928A867" w14:textId="5EAD1BCD" w:rsidR="00126B53" w:rsidRPr="00CC562A" w:rsidRDefault="00126B53" w:rsidP="00E11440">
      <w:pPr>
        <w:numPr>
          <w:ilvl w:val="0"/>
          <w:numId w:val="3"/>
        </w:numPr>
        <w:pBdr>
          <w:top w:val="nil"/>
          <w:left w:val="nil"/>
          <w:bottom w:val="nil"/>
          <w:right w:val="nil"/>
          <w:between w:val="nil"/>
        </w:pBdr>
        <w:shd w:val="clear" w:color="auto" w:fill="D9D9D9" w:themeFill="background1" w:themeFillShade="D9"/>
        <w:tabs>
          <w:tab w:val="left" w:pos="3690"/>
        </w:tabs>
        <w:spacing w:before="240" w:line="240" w:lineRule="auto"/>
        <w:ind w:hanging="720"/>
        <w:jc w:val="both"/>
        <w:rPr>
          <w:rFonts w:ascii="Cambria" w:hAnsi="Cambria"/>
          <w:lang w:val="en-US"/>
        </w:rPr>
      </w:pPr>
      <w:r w:rsidRPr="00CC562A">
        <w:rPr>
          <w:rFonts w:ascii="Cambria" w:hAnsi="Cambria"/>
          <w:sz w:val="20"/>
          <w:szCs w:val="20"/>
          <w:lang w:val="en-US"/>
        </w:rPr>
        <w:t>Crea</w:t>
      </w:r>
      <w:r w:rsidR="00E11440" w:rsidRPr="00CC562A">
        <w:rPr>
          <w:rFonts w:ascii="Cambria" w:hAnsi="Cambria"/>
          <w:sz w:val="20"/>
          <w:szCs w:val="20"/>
          <w:lang w:val="en-US"/>
        </w:rPr>
        <w:t>te information, data collection and analysis systems regarding violence affecting the different groups addressed in this report</w:t>
      </w:r>
      <w:r w:rsidR="004F2A31" w:rsidRPr="00CC562A">
        <w:rPr>
          <w:rFonts w:ascii="Cambria" w:hAnsi="Cambria"/>
          <w:sz w:val="20"/>
          <w:szCs w:val="20"/>
          <w:lang w:val="en-US"/>
        </w:rPr>
        <w:t xml:space="preserve">, such as women, children, and adolescents, </w:t>
      </w:r>
      <w:r w:rsidR="005160F8" w:rsidRPr="00CC562A">
        <w:rPr>
          <w:rFonts w:ascii="Cambria" w:hAnsi="Cambria"/>
          <w:sz w:val="20"/>
          <w:szCs w:val="20"/>
          <w:lang w:val="en-US"/>
        </w:rPr>
        <w:t>migrants, human</w:t>
      </w:r>
      <w:r w:rsidR="004F2A31" w:rsidRPr="00CC562A">
        <w:rPr>
          <w:rFonts w:ascii="Cambria" w:hAnsi="Cambria"/>
          <w:sz w:val="20"/>
          <w:szCs w:val="20"/>
          <w:lang w:val="en-US"/>
        </w:rPr>
        <w:t xml:space="preserve"> rights defenders, justice operators, </w:t>
      </w:r>
      <w:r w:rsidRPr="00CC562A">
        <w:rPr>
          <w:rFonts w:ascii="Cambria" w:hAnsi="Cambria"/>
          <w:sz w:val="20"/>
          <w:szCs w:val="20"/>
          <w:lang w:val="en-US"/>
        </w:rPr>
        <w:t>LGBT</w:t>
      </w:r>
      <w:r w:rsidR="004F2A31" w:rsidRPr="00CC562A">
        <w:rPr>
          <w:rFonts w:ascii="Cambria" w:hAnsi="Cambria"/>
          <w:sz w:val="20"/>
          <w:szCs w:val="20"/>
          <w:lang w:val="en-US"/>
        </w:rPr>
        <w:t xml:space="preserve"> persons, indigenous peoples, and persons deprived of liberty</w:t>
      </w:r>
      <w:r w:rsidRPr="00CC562A">
        <w:rPr>
          <w:rFonts w:ascii="Cambria" w:hAnsi="Cambria"/>
          <w:sz w:val="20"/>
          <w:szCs w:val="20"/>
          <w:lang w:val="en-US"/>
        </w:rPr>
        <w:t xml:space="preserve">. </w:t>
      </w:r>
    </w:p>
    <w:p w14:paraId="517315E4" w14:textId="2F6CED75" w:rsidR="00483FC9" w:rsidRPr="00CC562A" w:rsidRDefault="00126B53" w:rsidP="00001918">
      <w:pPr>
        <w:numPr>
          <w:ilvl w:val="0"/>
          <w:numId w:val="3"/>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Reorient</w:t>
      </w:r>
      <w:r w:rsidR="004F2A31" w:rsidRPr="00CC562A">
        <w:rPr>
          <w:rFonts w:ascii="Cambria" w:hAnsi="Cambria"/>
          <w:sz w:val="20"/>
          <w:szCs w:val="20"/>
          <w:lang w:val="en-US"/>
        </w:rPr>
        <w:t xml:space="preserve"> the approach to the drug issue in Mexico from a focus on militarization and “frontal combat” using the security forces, to one with a </w:t>
      </w:r>
      <w:r w:rsidR="00C80FE5" w:rsidRPr="00CC562A">
        <w:rPr>
          <w:rFonts w:ascii="Cambria" w:hAnsi="Cambria"/>
          <w:sz w:val="20"/>
          <w:szCs w:val="20"/>
          <w:lang w:val="en-US"/>
        </w:rPr>
        <w:t>comprehensive human right</w:t>
      </w:r>
      <w:r w:rsidR="004F2A31" w:rsidRPr="00CC562A">
        <w:rPr>
          <w:rFonts w:ascii="Cambria" w:hAnsi="Cambria"/>
          <w:sz w:val="20"/>
          <w:szCs w:val="20"/>
          <w:lang w:val="en-US"/>
        </w:rPr>
        <w:t xml:space="preserve">, and public health perspective on addictions and </w:t>
      </w:r>
      <w:r w:rsidR="00E11A2E" w:rsidRPr="00CC562A">
        <w:rPr>
          <w:rFonts w:ascii="Cambria" w:hAnsi="Cambria"/>
          <w:sz w:val="20"/>
          <w:szCs w:val="20"/>
          <w:lang w:val="en-US"/>
        </w:rPr>
        <w:t xml:space="preserve">use of drugs </w:t>
      </w:r>
      <w:r w:rsidR="005160F8" w:rsidRPr="00CC562A">
        <w:rPr>
          <w:rFonts w:ascii="Cambria" w:hAnsi="Cambria"/>
          <w:sz w:val="20"/>
          <w:szCs w:val="20"/>
          <w:lang w:val="en-US"/>
        </w:rPr>
        <w:t>not intended</w:t>
      </w:r>
      <w:r w:rsidR="004F2A31" w:rsidRPr="00CC562A">
        <w:rPr>
          <w:rFonts w:ascii="Cambria" w:hAnsi="Cambria"/>
          <w:sz w:val="20"/>
          <w:szCs w:val="20"/>
          <w:lang w:val="en-US"/>
        </w:rPr>
        <w:t xml:space="preserve"> for distribution</w:t>
      </w:r>
      <w:r w:rsidRPr="00CC562A">
        <w:rPr>
          <w:rFonts w:ascii="Cambria" w:hAnsi="Cambria"/>
          <w:sz w:val="20"/>
          <w:szCs w:val="20"/>
          <w:lang w:val="en-US"/>
        </w:rPr>
        <w:t xml:space="preserve">. </w:t>
      </w:r>
    </w:p>
    <w:p w14:paraId="08F1FACC" w14:textId="78017661" w:rsidR="001576E7" w:rsidRPr="00CC562A" w:rsidRDefault="005160F8" w:rsidP="00001918">
      <w:pPr>
        <w:numPr>
          <w:ilvl w:val="0"/>
          <w:numId w:val="2"/>
        </w:numPr>
        <w:spacing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Regarding the</w:t>
      </w:r>
      <w:r w:rsidR="004F2A31" w:rsidRPr="00CC562A">
        <w:rPr>
          <w:rFonts w:ascii="Cambria" w:eastAsia="Cambria" w:hAnsi="Cambria" w:cs="Cambria"/>
          <w:b/>
          <w:bCs/>
          <w:sz w:val="20"/>
          <w:szCs w:val="20"/>
          <w:lang w:val="en-US"/>
        </w:rPr>
        <w:t xml:space="preserve"> plan for the gradual withdrawal of the </w:t>
      </w:r>
      <w:r w:rsidR="00F70184" w:rsidRPr="00CC562A">
        <w:rPr>
          <w:rFonts w:ascii="Cambria" w:eastAsia="Cambria" w:hAnsi="Cambria" w:cs="Cambria"/>
          <w:b/>
          <w:bCs/>
          <w:sz w:val="20"/>
          <w:szCs w:val="20"/>
          <w:lang w:val="en-US"/>
        </w:rPr>
        <w:t>a</w:t>
      </w:r>
      <w:r w:rsidR="00D5781D" w:rsidRPr="00CC562A">
        <w:rPr>
          <w:rFonts w:ascii="Cambria" w:eastAsia="Cambria" w:hAnsi="Cambria" w:cs="Cambria"/>
          <w:b/>
          <w:bCs/>
          <w:sz w:val="20"/>
          <w:szCs w:val="20"/>
          <w:lang w:val="en-US"/>
        </w:rPr>
        <w:t>rmed forces</w:t>
      </w:r>
      <w:r w:rsidR="004F2A31" w:rsidRPr="00CC562A">
        <w:rPr>
          <w:rFonts w:ascii="Cambria" w:eastAsia="Cambria" w:hAnsi="Cambria" w:cs="Cambria"/>
          <w:b/>
          <w:bCs/>
          <w:sz w:val="20"/>
          <w:szCs w:val="20"/>
          <w:lang w:val="en-US"/>
        </w:rPr>
        <w:t xml:space="preserve"> from public security tasks,</w:t>
      </w:r>
      <w:r w:rsidR="38D0A847" w:rsidRPr="00CC562A">
        <w:rPr>
          <w:rFonts w:ascii="Cambria" w:eastAsia="Cambria" w:hAnsi="Cambria" w:cs="Cambria"/>
          <w:sz w:val="20"/>
          <w:szCs w:val="20"/>
          <w:lang w:val="en-US"/>
        </w:rPr>
        <w:t xml:space="preserve"> </w:t>
      </w:r>
      <w:r w:rsidR="004F2A31" w:rsidRPr="00CC562A">
        <w:rPr>
          <w:rFonts w:ascii="Cambria" w:eastAsia="Cambria" w:hAnsi="Cambria" w:cs="Cambria"/>
          <w:sz w:val="20"/>
          <w:szCs w:val="20"/>
          <w:lang w:val="en-US"/>
        </w:rPr>
        <w:t>the State reported</w:t>
      </w:r>
      <w:r w:rsidR="00EA785F" w:rsidRPr="00CC562A">
        <w:rPr>
          <w:rStyle w:val="FootnoteReference"/>
          <w:rFonts w:ascii="Cambria" w:eastAsia="Cambria" w:hAnsi="Cambria" w:cs="Cambria"/>
          <w:sz w:val="20"/>
          <w:szCs w:val="20"/>
          <w:lang w:val="en-US"/>
        </w:rPr>
        <w:footnoteReference w:id="8"/>
      </w:r>
      <w:r w:rsidR="38D0A847" w:rsidRPr="00CC562A">
        <w:rPr>
          <w:rFonts w:ascii="Cambria" w:eastAsia="Cambria" w:hAnsi="Cambria" w:cs="Cambria"/>
          <w:sz w:val="20"/>
          <w:szCs w:val="20"/>
          <w:lang w:val="en-US"/>
        </w:rPr>
        <w:t xml:space="preserve"> </w:t>
      </w:r>
      <w:r w:rsidR="004F2A31" w:rsidRPr="00CC562A">
        <w:rPr>
          <w:rFonts w:ascii="Cambria" w:eastAsia="Cambria" w:hAnsi="Cambria" w:cs="Cambria"/>
          <w:sz w:val="20"/>
          <w:szCs w:val="20"/>
          <w:lang w:val="en-US"/>
        </w:rPr>
        <w:t>that</w:t>
      </w:r>
      <w:r w:rsidR="0085485F" w:rsidRPr="00CC562A">
        <w:rPr>
          <w:rFonts w:ascii="Cambria" w:eastAsia="Cambria" w:hAnsi="Cambria" w:cs="Cambria"/>
          <w:sz w:val="20"/>
          <w:szCs w:val="20"/>
          <w:lang w:val="en-US"/>
        </w:rPr>
        <w:t xml:space="preserve"> an </w:t>
      </w:r>
      <w:r w:rsidR="004F2A31" w:rsidRPr="00CC562A">
        <w:rPr>
          <w:rFonts w:ascii="Cambria" w:eastAsia="Cambria" w:hAnsi="Cambria" w:cs="Cambria"/>
          <w:sz w:val="20"/>
          <w:szCs w:val="20"/>
          <w:lang w:val="en-US"/>
        </w:rPr>
        <w:t xml:space="preserve">internal process </w:t>
      </w:r>
      <w:r w:rsidR="0085485F" w:rsidRPr="00CC562A">
        <w:rPr>
          <w:rFonts w:ascii="Cambria" w:eastAsia="Cambria" w:hAnsi="Cambria" w:cs="Cambria"/>
          <w:sz w:val="20"/>
          <w:szCs w:val="20"/>
          <w:lang w:val="en-US"/>
        </w:rPr>
        <w:t xml:space="preserve">to adapt its regulations </w:t>
      </w:r>
      <w:proofErr w:type="gramStart"/>
      <w:r w:rsidR="0085485F" w:rsidRPr="00CC562A">
        <w:rPr>
          <w:rFonts w:ascii="Cambria" w:eastAsia="Cambria" w:hAnsi="Cambria" w:cs="Cambria"/>
          <w:sz w:val="20"/>
          <w:szCs w:val="20"/>
          <w:lang w:val="en-US"/>
        </w:rPr>
        <w:t>in the area of</w:t>
      </w:r>
      <w:proofErr w:type="gramEnd"/>
      <w:r w:rsidR="0085485F" w:rsidRPr="00CC562A">
        <w:rPr>
          <w:rFonts w:ascii="Cambria" w:eastAsia="Cambria" w:hAnsi="Cambria" w:cs="Cambria"/>
          <w:sz w:val="20"/>
          <w:szCs w:val="20"/>
          <w:lang w:val="en-US"/>
        </w:rPr>
        <w:t xml:space="preserve"> domestic security</w:t>
      </w:r>
      <w:r w:rsidR="00BF4950" w:rsidRPr="00CC562A">
        <w:rPr>
          <w:rStyle w:val="FootnoteReference"/>
          <w:rFonts w:ascii="Cambria" w:eastAsia="Cambria" w:hAnsi="Cambria" w:cs="Cambria"/>
          <w:sz w:val="20"/>
          <w:szCs w:val="20"/>
          <w:lang w:val="en-US"/>
        </w:rPr>
        <w:footnoteReference w:id="9"/>
      </w:r>
      <w:r w:rsidR="0085485F" w:rsidRPr="00CC562A">
        <w:rPr>
          <w:rFonts w:ascii="Cambria" w:eastAsia="Cambria" w:hAnsi="Cambria" w:cs="Cambria"/>
          <w:sz w:val="20"/>
          <w:szCs w:val="20"/>
          <w:lang w:val="en-US"/>
        </w:rPr>
        <w:t xml:space="preserve"> ultimately led to the establishment of the National Guard through a constitutional reform</w:t>
      </w:r>
      <w:r w:rsidR="1F96FDFA" w:rsidRPr="00CC562A">
        <w:rPr>
          <w:rFonts w:ascii="Cambria" w:eastAsia="Cambria" w:hAnsi="Cambria" w:cs="Cambria"/>
          <w:sz w:val="20"/>
          <w:szCs w:val="20"/>
          <w:lang w:val="en-US"/>
        </w:rPr>
        <w:t xml:space="preserve">. </w:t>
      </w:r>
      <w:r w:rsidR="0085485F" w:rsidRPr="00CC562A">
        <w:rPr>
          <w:rFonts w:ascii="Cambria" w:eastAsia="Cambria" w:hAnsi="Cambria" w:cs="Cambria"/>
          <w:sz w:val="20"/>
          <w:szCs w:val="20"/>
          <w:lang w:val="en-US"/>
        </w:rPr>
        <w:t xml:space="preserve">As reported, the </w:t>
      </w:r>
      <w:r w:rsidR="002007A0" w:rsidRPr="00CC562A">
        <w:rPr>
          <w:rFonts w:ascii="Cambria" w:eastAsia="Cambria" w:hAnsi="Cambria" w:cs="Cambria"/>
          <w:sz w:val="20"/>
          <w:szCs w:val="20"/>
          <w:lang w:val="en-US"/>
        </w:rPr>
        <w:t>National Guard</w:t>
      </w:r>
      <w:r w:rsidR="0085485F" w:rsidRPr="00CC562A">
        <w:rPr>
          <w:rFonts w:ascii="Cambria" w:eastAsia="Cambria" w:hAnsi="Cambria" w:cs="Cambria"/>
          <w:sz w:val="20"/>
          <w:szCs w:val="20"/>
          <w:lang w:val="en-US"/>
        </w:rPr>
        <w:t xml:space="preserve"> is a disciplined and professional public security</w:t>
      </w:r>
      <w:r w:rsidR="1F96FDFA" w:rsidRPr="00CC562A">
        <w:rPr>
          <w:rFonts w:ascii="Cambria" w:eastAsia="Cambria" w:hAnsi="Cambria" w:cs="Cambria"/>
          <w:sz w:val="20"/>
          <w:szCs w:val="20"/>
          <w:lang w:val="en-US"/>
        </w:rPr>
        <w:t xml:space="preserve"> </w:t>
      </w:r>
      <w:r w:rsidR="0085485F" w:rsidRPr="00CC562A">
        <w:rPr>
          <w:rFonts w:ascii="Cambria" w:eastAsia="Cambria" w:hAnsi="Cambria" w:cs="Cambria"/>
          <w:sz w:val="20"/>
          <w:szCs w:val="20"/>
          <w:lang w:val="en-US"/>
        </w:rPr>
        <w:t xml:space="preserve">institution the purposes of which are to safeguard the people’s life, liberties, integrity, and property and to contribute to generating and preserving the public order and social peace, with full respect for human rights and fundamental liberties, as provided in the Constitution and laws on the subject, under the guidelines of the National Public Security Strategy established by the </w:t>
      </w:r>
      <w:r w:rsidR="473B99BD" w:rsidRPr="00CC562A">
        <w:rPr>
          <w:rFonts w:ascii="Cambria" w:eastAsia="Cambria" w:hAnsi="Cambria" w:cs="Cambria"/>
          <w:sz w:val="20"/>
          <w:szCs w:val="20"/>
          <w:lang w:val="en-US"/>
        </w:rPr>
        <w:t>Secretar</w:t>
      </w:r>
      <w:r w:rsidR="00B50C09" w:rsidRPr="00CC562A">
        <w:rPr>
          <w:rFonts w:ascii="Cambria" w:eastAsia="Cambria" w:hAnsi="Cambria" w:cs="Cambria"/>
          <w:sz w:val="20"/>
          <w:szCs w:val="20"/>
          <w:lang w:val="en-US"/>
        </w:rPr>
        <w:t xml:space="preserve">iat for Citizen Security and Protection (hereinafter </w:t>
      </w:r>
      <w:r w:rsidR="364D307B" w:rsidRPr="00CC562A">
        <w:rPr>
          <w:rFonts w:ascii="Cambria" w:eastAsia="Cambria" w:hAnsi="Cambria" w:cs="Cambria"/>
          <w:sz w:val="20"/>
          <w:szCs w:val="20"/>
          <w:lang w:val="en-US"/>
        </w:rPr>
        <w:t>“</w:t>
      </w:r>
      <w:r w:rsidR="473B99BD" w:rsidRPr="00CC562A">
        <w:rPr>
          <w:rFonts w:ascii="Cambria" w:eastAsia="Cambria" w:hAnsi="Cambria" w:cs="Cambria"/>
          <w:sz w:val="20"/>
          <w:szCs w:val="20"/>
          <w:lang w:val="en-US"/>
        </w:rPr>
        <w:t>SSPC</w:t>
      </w:r>
      <w:r w:rsidR="364D307B" w:rsidRPr="00CC562A">
        <w:rPr>
          <w:rFonts w:ascii="Cambria" w:eastAsia="Cambria" w:hAnsi="Cambria" w:cs="Cambria"/>
          <w:sz w:val="20"/>
          <w:szCs w:val="20"/>
          <w:lang w:val="en-US"/>
        </w:rPr>
        <w:t>”</w:t>
      </w:r>
      <w:r w:rsidR="473B99BD" w:rsidRPr="00CC562A">
        <w:rPr>
          <w:rFonts w:ascii="Cambria" w:eastAsia="Cambria" w:hAnsi="Cambria" w:cs="Cambria"/>
          <w:sz w:val="20"/>
          <w:szCs w:val="20"/>
          <w:lang w:val="en-US"/>
        </w:rPr>
        <w:t>)</w:t>
      </w:r>
      <w:r w:rsidR="00602D7D" w:rsidRPr="00CC562A">
        <w:rPr>
          <w:rFonts w:ascii="Cambria" w:eastAsia="Cambria" w:hAnsi="Cambria" w:cs="Cambria"/>
          <w:sz w:val="20"/>
          <w:szCs w:val="20"/>
          <w:lang w:val="en-US"/>
        </w:rPr>
        <w:t>.</w:t>
      </w:r>
      <w:r w:rsidR="00886665" w:rsidRPr="00CC562A">
        <w:rPr>
          <w:rStyle w:val="FootnoteReference"/>
          <w:rFonts w:ascii="Cambria" w:eastAsia="Cambria" w:hAnsi="Cambria" w:cs="Cambria"/>
          <w:sz w:val="20"/>
          <w:szCs w:val="20"/>
          <w:lang w:val="en-US"/>
        </w:rPr>
        <w:footnoteReference w:id="10"/>
      </w:r>
    </w:p>
    <w:p w14:paraId="5AA42D1D" w14:textId="0B9FD1F7" w:rsidR="00001918" w:rsidRPr="00CC562A" w:rsidRDefault="00B50C09"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For its part, the PRODH Center</w:t>
      </w:r>
      <w:r w:rsidR="00774F84" w:rsidRPr="00CC562A">
        <w:rPr>
          <w:rStyle w:val="FootnoteReference"/>
          <w:b w:val="0"/>
          <w:bCs w:val="0"/>
          <w:sz w:val="20"/>
          <w:szCs w:val="20"/>
          <w:lang w:val="en-US"/>
        </w:rPr>
        <w:footnoteReference w:id="11"/>
      </w:r>
      <w:r w:rsidR="6A5F3346" w:rsidRPr="00CC562A">
        <w:rPr>
          <w:b w:val="0"/>
          <w:bCs w:val="0"/>
          <w:sz w:val="20"/>
          <w:szCs w:val="20"/>
          <w:lang w:val="en-US"/>
        </w:rPr>
        <w:t xml:space="preserve"> </w:t>
      </w:r>
      <w:r w:rsidRPr="00CC562A">
        <w:rPr>
          <w:b w:val="0"/>
          <w:bCs w:val="0"/>
          <w:sz w:val="20"/>
          <w:szCs w:val="20"/>
          <w:lang w:val="en-US"/>
        </w:rPr>
        <w:t xml:space="preserve">reported that on September 3, </w:t>
      </w:r>
      <w:r w:rsidR="6A5F3346" w:rsidRPr="00CC562A">
        <w:rPr>
          <w:b w:val="0"/>
          <w:bCs w:val="0"/>
          <w:sz w:val="20"/>
          <w:szCs w:val="20"/>
          <w:lang w:val="en-US"/>
        </w:rPr>
        <w:t xml:space="preserve">2022, </w:t>
      </w:r>
      <w:r w:rsidR="007604FF" w:rsidRPr="00CC562A">
        <w:rPr>
          <w:b w:val="0"/>
          <w:bCs w:val="0"/>
          <w:sz w:val="20"/>
          <w:szCs w:val="20"/>
          <w:lang w:val="en-US"/>
        </w:rPr>
        <w:t>the Chamber of Deputies approved a series of amendments to the Organic Law of the Federal Public Administration</w:t>
      </w:r>
      <w:r w:rsidR="6A5F3346" w:rsidRPr="00CC562A">
        <w:rPr>
          <w:b w:val="0"/>
          <w:bCs w:val="0"/>
          <w:sz w:val="20"/>
          <w:szCs w:val="20"/>
          <w:lang w:val="en-US"/>
        </w:rPr>
        <w:t xml:space="preserve">, </w:t>
      </w:r>
      <w:r w:rsidR="007604FF" w:rsidRPr="00CC562A">
        <w:rPr>
          <w:b w:val="0"/>
          <w:bCs w:val="0"/>
          <w:sz w:val="20"/>
          <w:szCs w:val="20"/>
          <w:lang w:val="en-US"/>
        </w:rPr>
        <w:t xml:space="preserve">the Law on the National Guard, and the Organic Law of the Mexican Army and Air Force, transferring operational and </w:t>
      </w:r>
      <w:r w:rsidR="007604FF" w:rsidRPr="00CC562A">
        <w:rPr>
          <w:b w:val="0"/>
          <w:bCs w:val="0"/>
          <w:sz w:val="20"/>
          <w:szCs w:val="20"/>
          <w:lang w:val="en-US"/>
        </w:rPr>
        <w:lastRenderedPageBreak/>
        <w:t xml:space="preserve">administrative control of the </w:t>
      </w:r>
      <w:r w:rsidR="002007A0" w:rsidRPr="00CC562A">
        <w:rPr>
          <w:b w:val="0"/>
          <w:bCs w:val="0"/>
          <w:sz w:val="20"/>
          <w:szCs w:val="20"/>
          <w:lang w:val="en-US"/>
        </w:rPr>
        <w:t>National Guard</w:t>
      </w:r>
      <w:r w:rsidR="007604FF" w:rsidRPr="00CC562A">
        <w:rPr>
          <w:b w:val="0"/>
          <w:bCs w:val="0"/>
          <w:sz w:val="20"/>
          <w:szCs w:val="20"/>
          <w:lang w:val="en-US"/>
        </w:rPr>
        <w:t xml:space="preserve"> to the Secretariat of National Defense (hereinafter</w:t>
      </w:r>
      <w:r w:rsidR="6A30B4AF" w:rsidRPr="00CC562A">
        <w:rPr>
          <w:b w:val="0"/>
          <w:bCs w:val="0"/>
          <w:sz w:val="20"/>
          <w:szCs w:val="20"/>
          <w:lang w:val="en-US"/>
        </w:rPr>
        <w:t xml:space="preserve"> “</w:t>
      </w:r>
      <w:r w:rsidR="6A5F3346" w:rsidRPr="00CC562A">
        <w:rPr>
          <w:b w:val="0"/>
          <w:bCs w:val="0"/>
          <w:sz w:val="20"/>
          <w:szCs w:val="20"/>
          <w:lang w:val="en-US"/>
        </w:rPr>
        <w:t>SEDENA</w:t>
      </w:r>
      <w:r w:rsidR="6A30B4AF" w:rsidRPr="00CC562A">
        <w:rPr>
          <w:b w:val="0"/>
          <w:bCs w:val="0"/>
          <w:sz w:val="20"/>
          <w:szCs w:val="20"/>
          <w:lang w:val="en-US"/>
        </w:rPr>
        <w:t>”</w:t>
      </w:r>
      <w:r w:rsidR="6A5F3346" w:rsidRPr="00CC562A">
        <w:rPr>
          <w:b w:val="0"/>
          <w:bCs w:val="0"/>
          <w:sz w:val="20"/>
          <w:szCs w:val="20"/>
          <w:lang w:val="en-US"/>
        </w:rPr>
        <w:t>)</w:t>
      </w:r>
      <w:r w:rsidR="00075DED" w:rsidRPr="00CC562A">
        <w:rPr>
          <w:b w:val="0"/>
          <w:bCs w:val="0"/>
          <w:sz w:val="20"/>
          <w:szCs w:val="20"/>
          <w:lang w:val="en-US"/>
        </w:rPr>
        <w:t>.</w:t>
      </w:r>
      <w:r w:rsidR="00774F84" w:rsidRPr="00CC562A">
        <w:rPr>
          <w:b w:val="0"/>
          <w:bCs w:val="0"/>
          <w:sz w:val="20"/>
          <w:szCs w:val="20"/>
          <w:vertAlign w:val="superscript"/>
          <w:lang w:val="en-US"/>
        </w:rPr>
        <w:footnoteReference w:id="12"/>
      </w:r>
      <w:r w:rsidR="6A5F3346" w:rsidRPr="00CC562A">
        <w:rPr>
          <w:b w:val="0"/>
          <w:bCs w:val="0"/>
          <w:sz w:val="20"/>
          <w:szCs w:val="20"/>
          <w:lang w:val="en-US"/>
        </w:rPr>
        <w:t xml:space="preserve"> </w:t>
      </w:r>
      <w:r w:rsidR="00AC7F6C" w:rsidRPr="00CC562A">
        <w:rPr>
          <w:b w:val="0"/>
          <w:bCs w:val="0"/>
          <w:sz w:val="20"/>
          <w:szCs w:val="20"/>
          <w:lang w:val="en-US"/>
        </w:rPr>
        <w:t xml:space="preserve">The reform bill was forwarded to the Senate of the Republic, which ratified and approved the amendments on September 9, </w:t>
      </w:r>
      <w:r w:rsidR="6A5F3346" w:rsidRPr="00CC562A">
        <w:rPr>
          <w:b w:val="0"/>
          <w:bCs w:val="0"/>
          <w:sz w:val="20"/>
          <w:szCs w:val="20"/>
          <w:lang w:val="en-US"/>
        </w:rPr>
        <w:t xml:space="preserve">2022, </w:t>
      </w:r>
      <w:r w:rsidR="00AC7F6C" w:rsidRPr="00CC562A">
        <w:rPr>
          <w:b w:val="0"/>
          <w:bCs w:val="0"/>
          <w:sz w:val="20"/>
          <w:szCs w:val="20"/>
          <w:lang w:val="en-US"/>
        </w:rPr>
        <w:t>in general and specific terms. The legislation was sent to the Federal Executive for signature and publication</w:t>
      </w:r>
      <w:r w:rsidR="00774F84" w:rsidRPr="00CC562A">
        <w:rPr>
          <w:b w:val="0"/>
          <w:bCs w:val="0"/>
          <w:sz w:val="20"/>
          <w:szCs w:val="20"/>
          <w:vertAlign w:val="superscript"/>
          <w:lang w:val="en-US"/>
        </w:rPr>
        <w:footnoteReference w:id="13"/>
      </w:r>
      <w:r w:rsidR="002007A0" w:rsidRPr="00CC562A">
        <w:rPr>
          <w:b w:val="0"/>
          <w:bCs w:val="0"/>
          <w:sz w:val="20"/>
          <w:szCs w:val="20"/>
          <w:lang w:val="en-US"/>
        </w:rPr>
        <w:t xml:space="preserve"> </w:t>
      </w:r>
      <w:r w:rsidR="00AC7F6C" w:rsidRPr="00CC562A">
        <w:rPr>
          <w:b w:val="0"/>
          <w:bCs w:val="0"/>
          <w:sz w:val="20"/>
          <w:szCs w:val="20"/>
          <w:lang w:val="en-US"/>
        </w:rPr>
        <w:t xml:space="preserve">and on the same date the amendments were published in the Official Gazette of the </w:t>
      </w:r>
      <w:r w:rsidR="6A5F3346" w:rsidRPr="00CC562A">
        <w:rPr>
          <w:b w:val="0"/>
          <w:bCs w:val="0"/>
          <w:sz w:val="20"/>
          <w:szCs w:val="20"/>
          <w:lang w:val="en-US"/>
        </w:rPr>
        <w:t>Federa</w:t>
      </w:r>
      <w:r w:rsidR="00AC7F6C" w:rsidRPr="00CC562A">
        <w:rPr>
          <w:b w:val="0"/>
          <w:bCs w:val="0"/>
          <w:sz w:val="20"/>
          <w:szCs w:val="20"/>
          <w:lang w:val="en-US"/>
        </w:rPr>
        <w:t xml:space="preserve">tion (hereinafter </w:t>
      </w:r>
      <w:r w:rsidR="5973AE04" w:rsidRPr="00CC562A">
        <w:rPr>
          <w:rFonts w:eastAsia="Cambria" w:cs="Cambria"/>
          <w:b w:val="0"/>
          <w:bCs w:val="0"/>
          <w:sz w:val="20"/>
          <w:szCs w:val="20"/>
          <w:lang w:val="en-US"/>
        </w:rPr>
        <w:t>“DOF”)</w:t>
      </w:r>
      <w:r w:rsidR="00AC7F6C" w:rsidRPr="00CC562A">
        <w:rPr>
          <w:rFonts w:eastAsia="Cambria" w:cs="Cambria"/>
          <w:b w:val="0"/>
          <w:bCs w:val="0"/>
          <w:sz w:val="20"/>
          <w:szCs w:val="20"/>
          <w:lang w:val="en-US"/>
        </w:rPr>
        <w:t>.</w:t>
      </w:r>
      <w:r w:rsidR="00774F84" w:rsidRPr="00CC562A">
        <w:rPr>
          <w:b w:val="0"/>
          <w:bCs w:val="0"/>
          <w:sz w:val="20"/>
          <w:szCs w:val="20"/>
          <w:vertAlign w:val="superscript"/>
          <w:lang w:val="en-US"/>
        </w:rPr>
        <w:footnoteReference w:id="14"/>
      </w:r>
      <w:r w:rsidR="00AC7F6C" w:rsidRPr="00CC562A">
        <w:rPr>
          <w:b w:val="0"/>
          <w:bCs w:val="0"/>
          <w:sz w:val="20"/>
          <w:szCs w:val="20"/>
          <w:lang w:val="en-US"/>
        </w:rPr>
        <w:t xml:space="preserve"> In this respect, </w:t>
      </w:r>
      <w:r w:rsidR="00F66932" w:rsidRPr="00CC562A">
        <w:rPr>
          <w:b w:val="0"/>
          <w:bCs w:val="0"/>
          <w:sz w:val="20"/>
          <w:szCs w:val="20"/>
          <w:lang w:val="en-US"/>
        </w:rPr>
        <w:t>they characterized these amendments as unconstitutional and questioned the purpose of expanding the country’s militarization</w:t>
      </w:r>
      <w:r w:rsidR="00075DED" w:rsidRPr="00CC562A">
        <w:rPr>
          <w:b w:val="0"/>
          <w:bCs w:val="0"/>
          <w:sz w:val="20"/>
          <w:szCs w:val="20"/>
          <w:lang w:val="en-US"/>
        </w:rPr>
        <w:t>.</w:t>
      </w:r>
      <w:r w:rsidR="00774F84" w:rsidRPr="00CC562A">
        <w:rPr>
          <w:b w:val="0"/>
          <w:bCs w:val="0"/>
          <w:sz w:val="20"/>
          <w:szCs w:val="20"/>
          <w:vertAlign w:val="superscript"/>
          <w:lang w:val="en-US"/>
        </w:rPr>
        <w:footnoteReference w:id="15"/>
      </w:r>
    </w:p>
    <w:p w14:paraId="420E5937" w14:textId="77777777" w:rsidR="00001918" w:rsidRPr="00CC562A" w:rsidRDefault="00001918" w:rsidP="00001918">
      <w:pPr>
        <w:spacing w:after="0"/>
        <w:rPr>
          <w:lang w:val="en-US"/>
        </w:rPr>
      </w:pPr>
    </w:p>
    <w:p w14:paraId="508FEB57" w14:textId="295884E9" w:rsidR="0007778A" w:rsidRPr="00CC562A" w:rsidRDefault="00730EB0"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Along the same lines, the</w:t>
      </w:r>
      <w:r w:rsidR="483C0844" w:rsidRPr="00CC562A">
        <w:rPr>
          <w:b w:val="0"/>
          <w:bCs w:val="0"/>
          <w:sz w:val="20"/>
          <w:szCs w:val="20"/>
          <w:lang w:val="en-US"/>
        </w:rPr>
        <w:t xml:space="preserve"> CMDPDH in</w:t>
      </w:r>
      <w:r w:rsidR="445CFCEF" w:rsidRPr="00CC562A">
        <w:rPr>
          <w:b w:val="0"/>
          <w:bCs w:val="0"/>
          <w:sz w:val="20"/>
          <w:szCs w:val="20"/>
          <w:lang w:val="en-US"/>
        </w:rPr>
        <w:t>dic</w:t>
      </w:r>
      <w:r w:rsidRPr="00CC562A">
        <w:rPr>
          <w:b w:val="0"/>
          <w:bCs w:val="0"/>
          <w:sz w:val="20"/>
          <w:szCs w:val="20"/>
          <w:lang w:val="en-US"/>
        </w:rPr>
        <w:t>ated</w:t>
      </w:r>
      <w:r w:rsidR="0007778A" w:rsidRPr="00CC562A">
        <w:rPr>
          <w:rStyle w:val="FootnoteReference"/>
          <w:b w:val="0"/>
          <w:bCs w:val="0"/>
          <w:sz w:val="20"/>
          <w:szCs w:val="20"/>
          <w:lang w:val="en-US"/>
        </w:rPr>
        <w:footnoteReference w:id="16"/>
      </w:r>
      <w:r w:rsidR="483C0844" w:rsidRPr="00CC562A">
        <w:rPr>
          <w:b w:val="0"/>
          <w:bCs w:val="0"/>
          <w:sz w:val="20"/>
          <w:szCs w:val="20"/>
          <w:lang w:val="en-US"/>
        </w:rPr>
        <w:t xml:space="preserve"> </w:t>
      </w:r>
      <w:r w:rsidR="00603391" w:rsidRPr="00CC562A">
        <w:rPr>
          <w:b w:val="0"/>
          <w:bCs w:val="0"/>
          <w:sz w:val="20"/>
          <w:szCs w:val="20"/>
          <w:lang w:val="en-US"/>
        </w:rPr>
        <w:t xml:space="preserve">that various areas of national </w:t>
      </w:r>
      <w:r w:rsidR="00E600B1" w:rsidRPr="00CC562A">
        <w:rPr>
          <w:b w:val="0"/>
          <w:bCs w:val="0"/>
          <w:sz w:val="20"/>
          <w:szCs w:val="20"/>
          <w:lang w:val="en-US"/>
        </w:rPr>
        <w:t xml:space="preserve">life </w:t>
      </w:r>
      <w:r w:rsidR="00603391" w:rsidRPr="00CC562A">
        <w:rPr>
          <w:b w:val="0"/>
          <w:bCs w:val="0"/>
          <w:sz w:val="20"/>
          <w:szCs w:val="20"/>
          <w:lang w:val="en-US"/>
        </w:rPr>
        <w:t>have become increasingly militarized.</w:t>
      </w:r>
      <w:r w:rsidR="00E600B1" w:rsidRPr="00CC562A">
        <w:rPr>
          <w:b w:val="0"/>
          <w:bCs w:val="0"/>
          <w:sz w:val="20"/>
          <w:szCs w:val="20"/>
          <w:lang w:val="en-US"/>
        </w:rPr>
        <w:t xml:space="preserve"> It states that, pursuant to the Agreement permanently assigning the </w:t>
      </w:r>
      <w:r w:rsidR="00F70184" w:rsidRPr="00CC562A">
        <w:rPr>
          <w:b w:val="0"/>
          <w:bCs w:val="0"/>
          <w:sz w:val="20"/>
          <w:szCs w:val="20"/>
          <w:lang w:val="en-US"/>
        </w:rPr>
        <w:t>ar</w:t>
      </w:r>
      <w:r w:rsidR="00D5781D" w:rsidRPr="00CC562A">
        <w:rPr>
          <w:b w:val="0"/>
          <w:bCs w:val="0"/>
          <w:sz w:val="20"/>
          <w:szCs w:val="20"/>
          <w:lang w:val="en-US"/>
        </w:rPr>
        <w:t>med forces</w:t>
      </w:r>
      <w:r w:rsidR="00603391" w:rsidRPr="00CC562A">
        <w:rPr>
          <w:b w:val="0"/>
          <w:bCs w:val="0"/>
          <w:sz w:val="20"/>
          <w:szCs w:val="20"/>
          <w:lang w:val="en-US"/>
        </w:rPr>
        <w:t xml:space="preserve"> </w:t>
      </w:r>
      <w:r w:rsidR="483C0844" w:rsidRPr="00CC562A">
        <w:rPr>
          <w:b w:val="0"/>
          <w:bCs w:val="0"/>
          <w:sz w:val="20"/>
          <w:szCs w:val="20"/>
          <w:lang w:val="en-US"/>
        </w:rPr>
        <w:t xml:space="preserve"> </w:t>
      </w:r>
      <w:r w:rsidR="00E600B1" w:rsidRPr="00CC562A">
        <w:rPr>
          <w:b w:val="0"/>
          <w:bCs w:val="0"/>
          <w:sz w:val="20"/>
          <w:szCs w:val="20"/>
          <w:lang w:val="en-US"/>
        </w:rPr>
        <w:t>to carry out public security tasks on an extraordinary, regulated, supervised, subordinated, and complementary basis and the provisions of the Law on the National Guard</w:t>
      </w:r>
      <w:r w:rsidR="483C0844" w:rsidRPr="00CC562A">
        <w:rPr>
          <w:b w:val="0"/>
          <w:bCs w:val="0"/>
          <w:sz w:val="20"/>
          <w:szCs w:val="20"/>
          <w:lang w:val="en-US"/>
        </w:rPr>
        <w:t xml:space="preserve"> </w:t>
      </w:r>
      <w:r w:rsidR="00E600B1" w:rsidRPr="00CC562A">
        <w:rPr>
          <w:b w:val="0"/>
          <w:bCs w:val="0"/>
          <w:sz w:val="20"/>
          <w:szCs w:val="20"/>
          <w:lang w:val="en-US"/>
        </w:rPr>
        <w:t>–</w:t>
      </w:r>
      <w:r w:rsidR="483C0844" w:rsidRPr="00CC562A">
        <w:rPr>
          <w:b w:val="0"/>
          <w:bCs w:val="0"/>
          <w:sz w:val="20"/>
          <w:szCs w:val="20"/>
          <w:lang w:val="en-US"/>
        </w:rPr>
        <w:t xml:space="preserve"> </w:t>
      </w:r>
      <w:r w:rsidR="00E600B1" w:rsidRPr="00CC562A">
        <w:rPr>
          <w:b w:val="0"/>
          <w:bCs w:val="0"/>
          <w:sz w:val="20"/>
          <w:szCs w:val="20"/>
          <w:lang w:val="en-US"/>
        </w:rPr>
        <w:t xml:space="preserve">including its recent amendments </w:t>
      </w:r>
      <w:r w:rsidR="483C0844" w:rsidRPr="00CC562A">
        <w:rPr>
          <w:b w:val="0"/>
          <w:bCs w:val="0"/>
          <w:sz w:val="20"/>
          <w:szCs w:val="20"/>
          <w:lang w:val="en-US"/>
        </w:rPr>
        <w:t xml:space="preserve">- </w:t>
      </w:r>
      <w:r w:rsidR="00E600B1" w:rsidRPr="00CC562A">
        <w:rPr>
          <w:b w:val="0"/>
          <w:bCs w:val="0"/>
          <w:sz w:val="20"/>
          <w:szCs w:val="20"/>
          <w:lang w:val="en-US"/>
        </w:rPr>
        <w:t xml:space="preserve">the </w:t>
      </w:r>
      <w:r w:rsidR="00F70184" w:rsidRPr="00CC562A">
        <w:rPr>
          <w:b w:val="0"/>
          <w:bCs w:val="0"/>
          <w:sz w:val="20"/>
          <w:szCs w:val="20"/>
          <w:lang w:val="en-US"/>
        </w:rPr>
        <w:t>a</w:t>
      </w:r>
      <w:r w:rsidR="00D5781D" w:rsidRPr="00CC562A">
        <w:rPr>
          <w:b w:val="0"/>
          <w:bCs w:val="0"/>
          <w:sz w:val="20"/>
          <w:szCs w:val="20"/>
          <w:lang w:val="en-US"/>
        </w:rPr>
        <w:t>rmed forces</w:t>
      </w:r>
      <w:r w:rsidR="00E600B1" w:rsidRPr="00CC562A">
        <w:rPr>
          <w:b w:val="0"/>
          <w:bCs w:val="0"/>
          <w:sz w:val="20"/>
          <w:szCs w:val="20"/>
          <w:lang w:val="en-US"/>
        </w:rPr>
        <w:t xml:space="preserve"> have practically unlimited powers to assume any public security task, as well as to intervene in the investigation of crimes, administrative failures, and other aspects</w:t>
      </w:r>
      <w:r w:rsidR="483C0844" w:rsidRPr="00CC562A">
        <w:rPr>
          <w:b w:val="0"/>
          <w:bCs w:val="0"/>
          <w:sz w:val="20"/>
          <w:szCs w:val="20"/>
          <w:lang w:val="en-US"/>
        </w:rPr>
        <w:t>.</w:t>
      </w:r>
    </w:p>
    <w:p w14:paraId="607E4FEB" w14:textId="77777777" w:rsidR="00001918" w:rsidRPr="00CC562A" w:rsidRDefault="00001918" w:rsidP="00001918">
      <w:pPr>
        <w:spacing w:after="0"/>
        <w:rPr>
          <w:lang w:val="en-US"/>
        </w:rPr>
      </w:pPr>
    </w:p>
    <w:p w14:paraId="6A4FB723" w14:textId="155228C5" w:rsidR="009E3C37" w:rsidRPr="00CC562A" w:rsidRDefault="00E600B1"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 xml:space="preserve">In addition, civil society organizations reported that as of October 6, </w:t>
      </w:r>
      <w:r w:rsidR="005160F8" w:rsidRPr="00CC562A">
        <w:rPr>
          <w:b w:val="0"/>
          <w:bCs w:val="0"/>
          <w:sz w:val="20"/>
          <w:szCs w:val="20"/>
          <w:lang w:val="en-US"/>
        </w:rPr>
        <w:t>2020,</w:t>
      </w:r>
      <w:r w:rsidR="483C0844" w:rsidRPr="00CC562A">
        <w:rPr>
          <w:b w:val="0"/>
          <w:bCs w:val="0"/>
          <w:sz w:val="20"/>
          <w:szCs w:val="20"/>
          <w:lang w:val="en-US"/>
        </w:rPr>
        <w:t xml:space="preserve"> </w:t>
      </w:r>
      <w:r w:rsidRPr="00CC562A">
        <w:rPr>
          <w:b w:val="0"/>
          <w:bCs w:val="0"/>
          <w:sz w:val="20"/>
          <w:szCs w:val="20"/>
          <w:lang w:val="en-US"/>
        </w:rPr>
        <w:t>the</w:t>
      </w:r>
      <w:r w:rsidR="483C0844" w:rsidRPr="00CC562A">
        <w:rPr>
          <w:b w:val="0"/>
          <w:bCs w:val="0"/>
          <w:sz w:val="20"/>
          <w:szCs w:val="20"/>
          <w:lang w:val="en-US"/>
        </w:rPr>
        <w:t xml:space="preserve"> </w:t>
      </w:r>
      <w:r w:rsidR="37747EB5" w:rsidRPr="00CC562A">
        <w:rPr>
          <w:b w:val="0"/>
          <w:bCs w:val="0"/>
          <w:sz w:val="20"/>
          <w:szCs w:val="20"/>
          <w:lang w:val="en-US"/>
        </w:rPr>
        <w:t>SEDENA</w:t>
      </w:r>
      <w:r w:rsidR="483C0844" w:rsidRPr="00CC562A">
        <w:rPr>
          <w:b w:val="0"/>
          <w:bCs w:val="0"/>
          <w:sz w:val="20"/>
          <w:szCs w:val="20"/>
          <w:lang w:val="en-US"/>
        </w:rPr>
        <w:t xml:space="preserve"> </w:t>
      </w:r>
      <w:r w:rsidRPr="00CC562A">
        <w:rPr>
          <w:b w:val="0"/>
          <w:bCs w:val="0"/>
          <w:sz w:val="20"/>
          <w:szCs w:val="20"/>
          <w:lang w:val="en-US"/>
        </w:rPr>
        <w:t xml:space="preserve">assumed operational control of the </w:t>
      </w:r>
      <w:r w:rsidR="002007A0" w:rsidRPr="00CC562A">
        <w:rPr>
          <w:b w:val="0"/>
          <w:bCs w:val="0"/>
          <w:sz w:val="20"/>
          <w:szCs w:val="20"/>
          <w:lang w:val="en-US"/>
        </w:rPr>
        <w:t>National Guard</w:t>
      </w:r>
      <w:r w:rsidR="483C0844" w:rsidRPr="00CC562A">
        <w:rPr>
          <w:b w:val="0"/>
          <w:bCs w:val="0"/>
          <w:sz w:val="20"/>
          <w:szCs w:val="20"/>
          <w:lang w:val="en-US"/>
        </w:rPr>
        <w:t xml:space="preserve"> </w:t>
      </w:r>
      <w:r w:rsidRPr="00CC562A">
        <w:rPr>
          <w:b w:val="0"/>
          <w:bCs w:val="0"/>
          <w:sz w:val="20"/>
          <w:szCs w:val="20"/>
          <w:lang w:val="en-US"/>
        </w:rPr>
        <w:t xml:space="preserve">so that the </w:t>
      </w:r>
      <w:r w:rsidR="5615EA0E" w:rsidRPr="00CC562A">
        <w:rPr>
          <w:b w:val="0"/>
          <w:bCs w:val="0"/>
          <w:sz w:val="20"/>
          <w:szCs w:val="20"/>
          <w:lang w:val="en-US"/>
        </w:rPr>
        <w:t xml:space="preserve">SSPC </w:t>
      </w:r>
      <w:r w:rsidRPr="00CC562A">
        <w:rPr>
          <w:b w:val="0"/>
          <w:bCs w:val="0"/>
          <w:sz w:val="20"/>
          <w:szCs w:val="20"/>
          <w:lang w:val="en-US"/>
        </w:rPr>
        <w:t xml:space="preserve">retains </w:t>
      </w:r>
      <w:r w:rsidR="002007A0" w:rsidRPr="00CC562A">
        <w:rPr>
          <w:b w:val="0"/>
          <w:bCs w:val="0"/>
          <w:sz w:val="20"/>
          <w:szCs w:val="20"/>
          <w:lang w:val="en-US"/>
        </w:rPr>
        <w:t xml:space="preserve">only </w:t>
      </w:r>
      <w:r w:rsidRPr="00CC562A">
        <w:rPr>
          <w:b w:val="0"/>
          <w:bCs w:val="0"/>
          <w:sz w:val="20"/>
          <w:szCs w:val="20"/>
          <w:lang w:val="en-US"/>
        </w:rPr>
        <w:t>administrative powers.</w:t>
      </w:r>
      <w:r w:rsidR="0007778A" w:rsidRPr="00CC562A">
        <w:rPr>
          <w:rStyle w:val="FootnoteReference"/>
          <w:b w:val="0"/>
          <w:bCs w:val="0"/>
          <w:sz w:val="20"/>
          <w:szCs w:val="20"/>
          <w:lang w:val="en-US"/>
        </w:rPr>
        <w:footnoteReference w:id="17"/>
      </w:r>
      <w:r w:rsidR="483C0844" w:rsidRPr="00CC562A">
        <w:rPr>
          <w:b w:val="0"/>
          <w:bCs w:val="0"/>
          <w:sz w:val="20"/>
          <w:szCs w:val="20"/>
          <w:lang w:val="en-US"/>
        </w:rPr>
        <w:t xml:space="preserve"> </w:t>
      </w:r>
    </w:p>
    <w:p w14:paraId="0D733A74" w14:textId="77777777" w:rsidR="00001918" w:rsidRPr="00CC562A" w:rsidRDefault="00001918" w:rsidP="00001918">
      <w:pPr>
        <w:spacing w:after="0"/>
        <w:rPr>
          <w:lang w:val="en-US"/>
        </w:rPr>
      </w:pPr>
    </w:p>
    <w:p w14:paraId="5DDD07CA" w14:textId="5EE129E2" w:rsidR="009E3C37" w:rsidRPr="00CC562A" w:rsidRDefault="00D2642F"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The</w:t>
      </w:r>
      <w:r w:rsidR="1EC37F5D" w:rsidRPr="00CC562A">
        <w:rPr>
          <w:b w:val="0"/>
          <w:bCs w:val="0"/>
          <w:sz w:val="20"/>
          <w:szCs w:val="20"/>
          <w:lang w:val="en-US"/>
        </w:rPr>
        <w:t xml:space="preserve"> CMDPDH </w:t>
      </w:r>
      <w:r w:rsidRPr="00CC562A">
        <w:rPr>
          <w:b w:val="0"/>
          <w:bCs w:val="0"/>
          <w:sz w:val="20"/>
          <w:szCs w:val="20"/>
          <w:lang w:val="en-US"/>
        </w:rPr>
        <w:t xml:space="preserve">indicated that these reforms are a matter of great concern given that they significantly increase the SEDENA’s power without </w:t>
      </w:r>
      <w:r w:rsidR="00D5781D" w:rsidRPr="00CC562A">
        <w:rPr>
          <w:b w:val="0"/>
          <w:bCs w:val="0"/>
          <w:sz w:val="20"/>
          <w:szCs w:val="20"/>
          <w:lang w:val="en-US"/>
        </w:rPr>
        <w:t>making it subject</w:t>
      </w:r>
      <w:r w:rsidRPr="00CC562A">
        <w:rPr>
          <w:b w:val="0"/>
          <w:bCs w:val="0"/>
          <w:sz w:val="20"/>
          <w:szCs w:val="20"/>
          <w:lang w:val="en-US"/>
        </w:rPr>
        <w:t xml:space="preserve"> to civilian </w:t>
      </w:r>
      <w:r w:rsidR="00D5781D" w:rsidRPr="00CC562A">
        <w:rPr>
          <w:b w:val="0"/>
          <w:bCs w:val="0"/>
          <w:sz w:val="20"/>
          <w:szCs w:val="20"/>
          <w:lang w:val="en-US"/>
        </w:rPr>
        <w:t>oversight</w:t>
      </w:r>
      <w:r w:rsidR="1EC37F5D" w:rsidRPr="00CC562A">
        <w:rPr>
          <w:b w:val="0"/>
          <w:bCs w:val="0"/>
          <w:sz w:val="20"/>
          <w:szCs w:val="20"/>
          <w:lang w:val="en-US"/>
        </w:rPr>
        <w:t xml:space="preserve">. </w:t>
      </w:r>
      <w:r w:rsidRPr="00CC562A">
        <w:rPr>
          <w:b w:val="0"/>
          <w:bCs w:val="0"/>
          <w:sz w:val="20"/>
          <w:szCs w:val="20"/>
          <w:lang w:val="en-US"/>
        </w:rPr>
        <w:t xml:space="preserve">This is </w:t>
      </w:r>
      <w:r w:rsidR="00D5781D" w:rsidRPr="00CC562A">
        <w:rPr>
          <w:b w:val="0"/>
          <w:bCs w:val="0"/>
          <w:sz w:val="20"/>
          <w:szCs w:val="20"/>
          <w:lang w:val="en-US"/>
        </w:rPr>
        <w:t>because</w:t>
      </w:r>
      <w:r w:rsidRPr="00CC562A">
        <w:rPr>
          <w:b w:val="0"/>
          <w:bCs w:val="0"/>
          <w:sz w:val="20"/>
          <w:szCs w:val="20"/>
          <w:lang w:val="en-US"/>
        </w:rPr>
        <w:t xml:space="preserve"> the Secretariat is granted fundamental functions with respect to the </w:t>
      </w:r>
      <w:r w:rsidR="00D5781D" w:rsidRPr="00CC562A">
        <w:rPr>
          <w:b w:val="0"/>
          <w:bCs w:val="0"/>
          <w:sz w:val="20"/>
          <w:szCs w:val="20"/>
          <w:lang w:val="en-US"/>
        </w:rPr>
        <w:t>National Guard</w:t>
      </w:r>
      <w:r w:rsidR="1EC37F5D" w:rsidRPr="00CC562A">
        <w:rPr>
          <w:b w:val="0"/>
          <w:bCs w:val="0"/>
          <w:sz w:val="20"/>
          <w:szCs w:val="20"/>
          <w:lang w:val="en-US"/>
        </w:rPr>
        <w:t xml:space="preserve">, </w:t>
      </w:r>
      <w:r w:rsidRPr="00CC562A">
        <w:rPr>
          <w:b w:val="0"/>
          <w:bCs w:val="0"/>
          <w:sz w:val="20"/>
          <w:szCs w:val="20"/>
          <w:lang w:val="en-US"/>
        </w:rPr>
        <w:t xml:space="preserve">public security policy, and the budgets that will be transferred from the </w:t>
      </w:r>
      <w:r w:rsidR="1EC37F5D" w:rsidRPr="00CC562A">
        <w:rPr>
          <w:b w:val="0"/>
          <w:bCs w:val="0"/>
          <w:sz w:val="20"/>
          <w:szCs w:val="20"/>
          <w:lang w:val="en-US"/>
        </w:rPr>
        <w:t>SSPC</w:t>
      </w:r>
      <w:r w:rsidRPr="00CC562A">
        <w:rPr>
          <w:b w:val="0"/>
          <w:bCs w:val="0"/>
          <w:sz w:val="20"/>
          <w:szCs w:val="20"/>
          <w:lang w:val="en-US"/>
        </w:rPr>
        <w:t xml:space="preserve"> and the </w:t>
      </w:r>
      <w:r w:rsidR="1EC37F5D" w:rsidRPr="00CC562A">
        <w:rPr>
          <w:b w:val="0"/>
          <w:bCs w:val="0"/>
          <w:sz w:val="20"/>
          <w:szCs w:val="20"/>
          <w:lang w:val="en-US"/>
        </w:rPr>
        <w:t xml:space="preserve">SEMAR </w:t>
      </w:r>
      <w:r w:rsidR="001D44CC" w:rsidRPr="00CC562A">
        <w:rPr>
          <w:b w:val="0"/>
          <w:bCs w:val="0"/>
          <w:sz w:val="20"/>
          <w:szCs w:val="20"/>
          <w:lang w:val="en-US"/>
        </w:rPr>
        <w:t xml:space="preserve">(Secretariat of the Navy) </w:t>
      </w:r>
      <w:r w:rsidRPr="00CC562A">
        <w:rPr>
          <w:b w:val="0"/>
          <w:bCs w:val="0"/>
          <w:sz w:val="20"/>
          <w:szCs w:val="20"/>
          <w:lang w:val="en-US"/>
        </w:rPr>
        <w:t>to the</w:t>
      </w:r>
      <w:r w:rsidR="1EC37F5D" w:rsidRPr="00CC562A">
        <w:rPr>
          <w:b w:val="0"/>
          <w:bCs w:val="0"/>
          <w:sz w:val="20"/>
          <w:szCs w:val="20"/>
          <w:lang w:val="en-US"/>
        </w:rPr>
        <w:t xml:space="preserve"> SEDENA. </w:t>
      </w:r>
      <w:r w:rsidRPr="00CC562A">
        <w:rPr>
          <w:b w:val="0"/>
          <w:bCs w:val="0"/>
          <w:sz w:val="20"/>
          <w:szCs w:val="20"/>
          <w:lang w:val="en-US"/>
        </w:rPr>
        <w:t xml:space="preserve">The reform does not contain any </w:t>
      </w:r>
      <w:r w:rsidR="00D5781D" w:rsidRPr="00CC562A">
        <w:rPr>
          <w:b w:val="0"/>
          <w:bCs w:val="0"/>
          <w:sz w:val="20"/>
          <w:szCs w:val="20"/>
          <w:lang w:val="en-US"/>
        </w:rPr>
        <w:t xml:space="preserve">control </w:t>
      </w:r>
      <w:r w:rsidRPr="00CC562A">
        <w:rPr>
          <w:b w:val="0"/>
          <w:bCs w:val="0"/>
          <w:sz w:val="20"/>
          <w:szCs w:val="20"/>
          <w:lang w:val="en-US"/>
        </w:rPr>
        <w:t xml:space="preserve">mechanisms, despite calls from the U.N., the Inter-American Court, the IACHR, and other agencies for the country to withdraw the militarization of public security due to the risk represented for human rights. In </w:t>
      </w:r>
      <w:r w:rsidR="00F70184" w:rsidRPr="00CC562A">
        <w:rPr>
          <w:b w:val="0"/>
          <w:bCs w:val="0"/>
          <w:sz w:val="20"/>
          <w:szCs w:val="20"/>
          <w:lang w:val="en-US"/>
        </w:rPr>
        <w:t>this context</w:t>
      </w:r>
      <w:r w:rsidRPr="00CC562A">
        <w:rPr>
          <w:b w:val="0"/>
          <w:bCs w:val="0"/>
          <w:sz w:val="20"/>
          <w:szCs w:val="20"/>
          <w:lang w:val="en-US"/>
        </w:rPr>
        <w:t xml:space="preserve">, it reported that, </w:t>
      </w:r>
      <w:proofErr w:type="gramStart"/>
      <w:r w:rsidRPr="00CC562A">
        <w:rPr>
          <w:b w:val="0"/>
          <w:bCs w:val="0"/>
          <w:sz w:val="20"/>
          <w:szCs w:val="20"/>
          <w:lang w:val="en-US"/>
        </w:rPr>
        <w:t>on the subject of human</w:t>
      </w:r>
      <w:proofErr w:type="gramEnd"/>
      <w:r w:rsidRPr="00CC562A">
        <w:rPr>
          <w:b w:val="0"/>
          <w:bCs w:val="0"/>
          <w:sz w:val="20"/>
          <w:szCs w:val="20"/>
          <w:lang w:val="en-US"/>
        </w:rPr>
        <w:t xml:space="preserve"> rights, between January</w:t>
      </w:r>
      <w:r w:rsidR="1EC37F5D" w:rsidRPr="00CC562A">
        <w:rPr>
          <w:b w:val="0"/>
          <w:bCs w:val="0"/>
          <w:sz w:val="20"/>
          <w:szCs w:val="20"/>
          <w:lang w:val="en-US"/>
        </w:rPr>
        <w:t xml:space="preserve"> 2021 </w:t>
      </w:r>
      <w:r w:rsidRPr="00CC562A">
        <w:rPr>
          <w:b w:val="0"/>
          <w:bCs w:val="0"/>
          <w:sz w:val="20"/>
          <w:szCs w:val="20"/>
          <w:lang w:val="en-US"/>
        </w:rPr>
        <w:t xml:space="preserve">and September </w:t>
      </w:r>
      <w:r w:rsidR="1EC37F5D" w:rsidRPr="00CC562A">
        <w:rPr>
          <w:b w:val="0"/>
          <w:bCs w:val="0"/>
          <w:sz w:val="20"/>
          <w:szCs w:val="20"/>
          <w:lang w:val="en-US"/>
        </w:rPr>
        <w:t xml:space="preserve">2022, 813 </w:t>
      </w:r>
      <w:r w:rsidRPr="00CC562A">
        <w:rPr>
          <w:b w:val="0"/>
          <w:bCs w:val="0"/>
          <w:sz w:val="20"/>
          <w:szCs w:val="20"/>
          <w:lang w:val="en-US"/>
        </w:rPr>
        <w:t xml:space="preserve">complaints were filed with the National Human Rights Commission (hereinafter </w:t>
      </w:r>
      <w:r w:rsidR="42396F32" w:rsidRPr="00CC562A">
        <w:rPr>
          <w:b w:val="0"/>
          <w:bCs w:val="0"/>
          <w:sz w:val="20"/>
          <w:szCs w:val="20"/>
          <w:lang w:val="en-US"/>
        </w:rPr>
        <w:t>“</w:t>
      </w:r>
      <w:r w:rsidR="1EC37F5D" w:rsidRPr="00CC562A">
        <w:rPr>
          <w:b w:val="0"/>
          <w:bCs w:val="0"/>
          <w:sz w:val="20"/>
          <w:szCs w:val="20"/>
          <w:lang w:val="en-US"/>
        </w:rPr>
        <w:t>CNDH</w:t>
      </w:r>
      <w:r w:rsidR="626E442D" w:rsidRPr="00CC562A">
        <w:rPr>
          <w:b w:val="0"/>
          <w:bCs w:val="0"/>
          <w:sz w:val="20"/>
          <w:szCs w:val="20"/>
          <w:lang w:val="en-US"/>
        </w:rPr>
        <w:t>”</w:t>
      </w:r>
      <w:r w:rsidR="42396F32" w:rsidRPr="00CC562A">
        <w:rPr>
          <w:b w:val="0"/>
          <w:bCs w:val="0"/>
          <w:sz w:val="20"/>
          <w:szCs w:val="20"/>
          <w:lang w:val="en-US"/>
        </w:rPr>
        <w:t>)</w:t>
      </w:r>
      <w:r w:rsidRPr="00CC562A">
        <w:rPr>
          <w:b w:val="0"/>
          <w:bCs w:val="0"/>
          <w:sz w:val="20"/>
          <w:szCs w:val="20"/>
          <w:lang w:val="en-US"/>
        </w:rPr>
        <w:t xml:space="preserve"> against the </w:t>
      </w:r>
      <w:r w:rsidR="00D5781D" w:rsidRPr="00CC562A">
        <w:rPr>
          <w:b w:val="0"/>
          <w:bCs w:val="0"/>
          <w:sz w:val="20"/>
          <w:szCs w:val="20"/>
          <w:lang w:val="en-US"/>
        </w:rPr>
        <w:t>National Guard</w:t>
      </w:r>
      <w:r w:rsidR="008D2AB3" w:rsidRPr="00CC562A">
        <w:rPr>
          <w:b w:val="0"/>
          <w:bCs w:val="0"/>
          <w:sz w:val="20"/>
          <w:szCs w:val="20"/>
          <w:lang w:val="en-US"/>
        </w:rPr>
        <w:t xml:space="preserve"> and</w:t>
      </w:r>
      <w:r w:rsidR="1EC37F5D" w:rsidRPr="00CC562A">
        <w:rPr>
          <w:b w:val="0"/>
          <w:bCs w:val="0"/>
          <w:sz w:val="20"/>
          <w:szCs w:val="20"/>
          <w:lang w:val="en-US"/>
        </w:rPr>
        <w:t xml:space="preserve"> 719 </w:t>
      </w:r>
      <w:r w:rsidRPr="00CC562A">
        <w:rPr>
          <w:b w:val="0"/>
          <w:bCs w:val="0"/>
          <w:sz w:val="20"/>
          <w:szCs w:val="20"/>
          <w:lang w:val="en-US"/>
        </w:rPr>
        <w:t xml:space="preserve">complaints were filed against the </w:t>
      </w:r>
      <w:r w:rsidR="1EC37F5D" w:rsidRPr="00CC562A">
        <w:rPr>
          <w:b w:val="0"/>
          <w:bCs w:val="0"/>
          <w:sz w:val="20"/>
          <w:szCs w:val="20"/>
          <w:lang w:val="en-US"/>
        </w:rPr>
        <w:t xml:space="preserve">SEDENA </w:t>
      </w:r>
      <w:r w:rsidRPr="00CC562A">
        <w:rPr>
          <w:b w:val="0"/>
          <w:bCs w:val="0"/>
          <w:sz w:val="20"/>
          <w:szCs w:val="20"/>
          <w:lang w:val="en-US"/>
        </w:rPr>
        <w:t>for human rights violations</w:t>
      </w:r>
      <w:r w:rsidR="00001918" w:rsidRPr="00CC562A">
        <w:rPr>
          <w:b w:val="0"/>
          <w:bCs w:val="0"/>
          <w:sz w:val="20"/>
          <w:szCs w:val="20"/>
          <w:lang w:val="en-US"/>
        </w:rPr>
        <w:t>.</w:t>
      </w:r>
    </w:p>
    <w:p w14:paraId="0634E790" w14:textId="77777777" w:rsidR="00001918" w:rsidRPr="00CC562A" w:rsidRDefault="00001918" w:rsidP="00001918">
      <w:pPr>
        <w:spacing w:after="0"/>
        <w:rPr>
          <w:lang w:val="en-US"/>
        </w:rPr>
      </w:pPr>
    </w:p>
    <w:p w14:paraId="17681057" w14:textId="3FD557E8" w:rsidR="00163ECB" w:rsidRPr="00CC562A" w:rsidRDefault="008D2AB3"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 xml:space="preserve">The IACHR reiterates its concern regarding the approval of these legislative amendments that submit the </w:t>
      </w:r>
      <w:r w:rsidR="00D5781D" w:rsidRPr="00CC562A">
        <w:rPr>
          <w:b w:val="0"/>
          <w:bCs w:val="0"/>
          <w:sz w:val="20"/>
          <w:szCs w:val="20"/>
          <w:lang w:val="en-US"/>
        </w:rPr>
        <w:t>National Guard</w:t>
      </w:r>
      <w:r w:rsidRPr="00CC562A">
        <w:rPr>
          <w:b w:val="0"/>
          <w:bCs w:val="0"/>
          <w:sz w:val="20"/>
          <w:szCs w:val="20"/>
          <w:lang w:val="en-US"/>
        </w:rPr>
        <w:t xml:space="preserve"> to the operational and administrative control of the </w:t>
      </w:r>
      <w:r w:rsidR="71FB3614" w:rsidRPr="00CC562A">
        <w:rPr>
          <w:b w:val="0"/>
          <w:bCs w:val="0"/>
          <w:sz w:val="20"/>
          <w:szCs w:val="20"/>
          <w:lang w:val="en-US"/>
        </w:rPr>
        <w:t xml:space="preserve">SEDENA. </w:t>
      </w:r>
      <w:r w:rsidRPr="00CC562A">
        <w:rPr>
          <w:b w:val="0"/>
          <w:bCs w:val="0"/>
          <w:sz w:val="20"/>
          <w:szCs w:val="20"/>
          <w:lang w:val="en-US"/>
        </w:rPr>
        <w:t>As the IACHR has observed, the Constitution and its reforms of</w:t>
      </w:r>
      <w:r w:rsidR="71FB3614" w:rsidRPr="00CC562A">
        <w:rPr>
          <w:b w:val="0"/>
          <w:bCs w:val="0"/>
          <w:sz w:val="20"/>
          <w:szCs w:val="20"/>
          <w:lang w:val="en-US"/>
        </w:rPr>
        <w:t xml:space="preserve"> 2019 establ</w:t>
      </w:r>
      <w:r w:rsidRPr="00CC562A">
        <w:rPr>
          <w:b w:val="0"/>
          <w:bCs w:val="0"/>
          <w:sz w:val="20"/>
          <w:szCs w:val="20"/>
          <w:lang w:val="en-US"/>
        </w:rPr>
        <w:t xml:space="preserve">ish that the </w:t>
      </w:r>
      <w:r w:rsidR="00D5781D" w:rsidRPr="00CC562A">
        <w:rPr>
          <w:b w:val="0"/>
          <w:bCs w:val="0"/>
          <w:sz w:val="20"/>
          <w:szCs w:val="20"/>
          <w:lang w:val="en-US"/>
        </w:rPr>
        <w:t>National Guard</w:t>
      </w:r>
      <w:r w:rsidR="71FB3614" w:rsidRPr="00CC562A">
        <w:rPr>
          <w:b w:val="0"/>
          <w:bCs w:val="0"/>
          <w:sz w:val="20"/>
          <w:szCs w:val="20"/>
          <w:lang w:val="en-US"/>
        </w:rPr>
        <w:t xml:space="preserve"> </w:t>
      </w:r>
      <w:r w:rsidRPr="00CC562A">
        <w:rPr>
          <w:b w:val="0"/>
          <w:bCs w:val="0"/>
          <w:sz w:val="20"/>
          <w:szCs w:val="20"/>
          <w:lang w:val="en-US"/>
        </w:rPr>
        <w:t xml:space="preserve">is a civilian body with police functions, its transitory and subsequent regulation has consolidated the creation of a body comprised of military-type personnel and structures rather than an eminently civilian security institution. In this regard, this package of amendments maintains the observed trend </w:t>
      </w:r>
      <w:r w:rsidR="00D5781D" w:rsidRPr="00CC562A">
        <w:rPr>
          <w:b w:val="0"/>
          <w:bCs w:val="0"/>
          <w:sz w:val="20"/>
          <w:szCs w:val="20"/>
          <w:lang w:val="en-US"/>
        </w:rPr>
        <w:t>in</w:t>
      </w:r>
      <w:r w:rsidRPr="00CC562A">
        <w:rPr>
          <w:b w:val="0"/>
          <w:bCs w:val="0"/>
          <w:sz w:val="20"/>
          <w:szCs w:val="20"/>
          <w:lang w:val="en-US"/>
        </w:rPr>
        <w:t xml:space="preserve"> the problematic phenomenon of the militarization of </w:t>
      </w:r>
      <w:r w:rsidRPr="00CC562A">
        <w:rPr>
          <w:b w:val="0"/>
          <w:bCs w:val="0"/>
          <w:sz w:val="20"/>
          <w:szCs w:val="20"/>
          <w:lang w:val="en-US"/>
        </w:rPr>
        <w:lastRenderedPageBreak/>
        <w:t>citizen security in Mexico.</w:t>
      </w:r>
      <w:r w:rsidR="00163ECB" w:rsidRPr="00CC562A">
        <w:rPr>
          <w:rStyle w:val="FootnoteReference"/>
          <w:b w:val="0"/>
          <w:bCs w:val="0"/>
          <w:sz w:val="20"/>
          <w:szCs w:val="20"/>
          <w:lang w:val="en-US"/>
        </w:rPr>
        <w:footnoteReference w:id="18"/>
      </w:r>
      <w:r w:rsidRPr="00CC562A">
        <w:rPr>
          <w:b w:val="0"/>
          <w:bCs w:val="0"/>
          <w:sz w:val="20"/>
          <w:szCs w:val="20"/>
          <w:lang w:val="en-US"/>
        </w:rPr>
        <w:t xml:space="preserve"> </w:t>
      </w:r>
      <w:r w:rsidR="00D5781D" w:rsidRPr="00CC562A">
        <w:rPr>
          <w:b w:val="0"/>
          <w:bCs w:val="0"/>
          <w:sz w:val="20"/>
          <w:szCs w:val="20"/>
          <w:lang w:val="en-US"/>
        </w:rPr>
        <w:t>Moreover</w:t>
      </w:r>
      <w:r w:rsidRPr="00CC562A">
        <w:rPr>
          <w:b w:val="0"/>
          <w:bCs w:val="0"/>
          <w:sz w:val="20"/>
          <w:szCs w:val="20"/>
          <w:lang w:val="en-US"/>
        </w:rPr>
        <w:t>, the IACHR laments the decision to extend until the year</w:t>
      </w:r>
      <w:r w:rsidR="71FB3614" w:rsidRPr="00CC562A">
        <w:rPr>
          <w:b w:val="0"/>
          <w:bCs w:val="0"/>
          <w:sz w:val="20"/>
          <w:szCs w:val="20"/>
          <w:lang w:val="en-US"/>
        </w:rPr>
        <w:t xml:space="preserve"> 2028 </w:t>
      </w:r>
      <w:r w:rsidRPr="00CC562A">
        <w:rPr>
          <w:b w:val="0"/>
          <w:bCs w:val="0"/>
          <w:sz w:val="20"/>
          <w:szCs w:val="20"/>
          <w:lang w:val="en-US"/>
        </w:rPr>
        <w:t xml:space="preserve">the participation of permanent </w:t>
      </w:r>
      <w:r w:rsidR="00F70184" w:rsidRPr="00CC562A">
        <w:rPr>
          <w:b w:val="0"/>
          <w:bCs w:val="0"/>
          <w:sz w:val="20"/>
          <w:szCs w:val="20"/>
          <w:lang w:val="en-US"/>
        </w:rPr>
        <w:t>a</w:t>
      </w:r>
      <w:r w:rsidR="00D5781D" w:rsidRPr="00CC562A">
        <w:rPr>
          <w:b w:val="0"/>
          <w:bCs w:val="0"/>
          <w:sz w:val="20"/>
          <w:szCs w:val="20"/>
          <w:lang w:val="en-US"/>
        </w:rPr>
        <w:t>rmed forces</w:t>
      </w:r>
      <w:r w:rsidRPr="00CC562A">
        <w:rPr>
          <w:b w:val="0"/>
          <w:bCs w:val="0"/>
          <w:sz w:val="20"/>
          <w:szCs w:val="20"/>
          <w:lang w:val="en-US"/>
        </w:rPr>
        <w:t xml:space="preserve"> in public security tasks,</w:t>
      </w:r>
      <w:r w:rsidR="00163ECB" w:rsidRPr="00CC562A">
        <w:rPr>
          <w:rStyle w:val="FootnoteReference"/>
          <w:b w:val="0"/>
          <w:bCs w:val="0"/>
          <w:sz w:val="20"/>
          <w:szCs w:val="20"/>
          <w:lang w:val="en-US"/>
        </w:rPr>
        <w:footnoteReference w:id="19"/>
      </w:r>
      <w:r w:rsidRPr="00CC562A">
        <w:rPr>
          <w:b w:val="0"/>
          <w:bCs w:val="0"/>
          <w:sz w:val="20"/>
          <w:szCs w:val="20"/>
          <w:lang w:val="en-US"/>
        </w:rPr>
        <w:t xml:space="preserve"> which is contrary to the recommendation</w:t>
      </w:r>
      <w:r w:rsidR="71FB3614" w:rsidRPr="00CC562A">
        <w:rPr>
          <w:b w:val="0"/>
          <w:bCs w:val="0"/>
          <w:sz w:val="20"/>
          <w:szCs w:val="20"/>
          <w:lang w:val="en-US"/>
        </w:rPr>
        <w:t xml:space="preserve">. </w:t>
      </w:r>
    </w:p>
    <w:p w14:paraId="34F1376D" w14:textId="1F8CA773" w:rsidR="00001918" w:rsidRPr="00CC562A" w:rsidRDefault="00001918" w:rsidP="00001918">
      <w:pPr>
        <w:spacing w:after="0"/>
        <w:rPr>
          <w:lang w:val="en-US"/>
        </w:rPr>
      </w:pPr>
    </w:p>
    <w:p w14:paraId="3953448A" w14:textId="3847EC84" w:rsidR="00163ECB" w:rsidRPr="00CC562A" w:rsidRDefault="004E0B7E"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The IACHR recognizes the challenges that Mexico faces in view of the serious situation of violence that has affected the country for many years, which are the subject of follow-up in this report. Nonetheless, it is concerning that the justification for these amendments centrally emphasizes that only a structure like the</w:t>
      </w:r>
      <w:r w:rsidR="71FB3614" w:rsidRPr="00CC562A">
        <w:rPr>
          <w:b w:val="0"/>
          <w:bCs w:val="0"/>
          <w:sz w:val="20"/>
          <w:szCs w:val="20"/>
          <w:lang w:val="en-US"/>
        </w:rPr>
        <w:t xml:space="preserve"> SEDENA, </w:t>
      </w:r>
      <w:r w:rsidR="006D1A7C" w:rsidRPr="00CC562A">
        <w:rPr>
          <w:b w:val="0"/>
          <w:bCs w:val="0"/>
          <w:sz w:val="20"/>
          <w:szCs w:val="20"/>
          <w:lang w:val="en-US"/>
        </w:rPr>
        <w:t>with its territorial deployment, operational structure</w:t>
      </w:r>
      <w:r w:rsidR="00D5781D" w:rsidRPr="00CC562A">
        <w:rPr>
          <w:b w:val="0"/>
          <w:bCs w:val="0"/>
          <w:sz w:val="20"/>
          <w:szCs w:val="20"/>
          <w:lang w:val="en-US"/>
        </w:rPr>
        <w:t>,</w:t>
      </w:r>
      <w:r w:rsidR="006D1A7C" w:rsidRPr="00CC562A">
        <w:rPr>
          <w:b w:val="0"/>
          <w:bCs w:val="0"/>
          <w:sz w:val="20"/>
          <w:szCs w:val="20"/>
          <w:lang w:val="en-US"/>
        </w:rPr>
        <w:t xml:space="preserve"> and military discipline </w:t>
      </w:r>
      <w:proofErr w:type="gramStart"/>
      <w:r w:rsidR="006D1A7C" w:rsidRPr="00CC562A">
        <w:rPr>
          <w:b w:val="0"/>
          <w:bCs w:val="0"/>
          <w:sz w:val="20"/>
          <w:szCs w:val="20"/>
          <w:lang w:val="en-US"/>
        </w:rPr>
        <w:t>is capable of addressing</w:t>
      </w:r>
      <w:proofErr w:type="gramEnd"/>
      <w:r w:rsidR="006D1A7C" w:rsidRPr="00CC562A">
        <w:rPr>
          <w:b w:val="0"/>
          <w:bCs w:val="0"/>
          <w:sz w:val="20"/>
          <w:szCs w:val="20"/>
          <w:lang w:val="en-US"/>
        </w:rPr>
        <w:t xml:space="preserve"> the context of violence. That rationale proves insufficient in and of itself given the risk that militarization entails for ensuring respect for</w:t>
      </w:r>
      <w:r w:rsidR="00A123EB" w:rsidRPr="00CC562A">
        <w:rPr>
          <w:b w:val="0"/>
          <w:bCs w:val="0"/>
          <w:sz w:val="20"/>
          <w:szCs w:val="20"/>
          <w:lang w:val="en-US"/>
        </w:rPr>
        <w:t xml:space="preserve"> </w:t>
      </w:r>
      <w:r w:rsidR="006D1A7C" w:rsidRPr="00CC562A">
        <w:rPr>
          <w:b w:val="0"/>
          <w:bCs w:val="0"/>
          <w:sz w:val="20"/>
          <w:szCs w:val="20"/>
          <w:lang w:val="en-US"/>
        </w:rPr>
        <w:t>and guaranteeing human rights from a comprehensive human security perspective, even if the formulation of public security policy should remain in the hands of the Secretariat for Citizen Security and Protection</w:t>
      </w:r>
      <w:r w:rsidR="71FB3614" w:rsidRPr="00CC562A">
        <w:rPr>
          <w:b w:val="0"/>
          <w:bCs w:val="0"/>
          <w:sz w:val="20"/>
          <w:szCs w:val="20"/>
          <w:lang w:val="en-US"/>
        </w:rPr>
        <w:t>.</w:t>
      </w:r>
    </w:p>
    <w:p w14:paraId="655B84FD" w14:textId="77777777" w:rsidR="00001918" w:rsidRPr="00CC562A" w:rsidRDefault="00001918" w:rsidP="00001918">
      <w:pPr>
        <w:spacing w:after="0"/>
        <w:rPr>
          <w:lang w:val="en-US"/>
        </w:rPr>
      </w:pPr>
    </w:p>
    <w:p w14:paraId="318353CB" w14:textId="40E50C9C" w:rsidR="00163ECB" w:rsidRPr="00CC562A" w:rsidRDefault="006D1A7C" w:rsidP="00001918">
      <w:pPr>
        <w:pStyle w:val="Heading3"/>
        <w:spacing w:before="0" w:after="0" w:line="240" w:lineRule="auto"/>
        <w:ind w:left="0" w:firstLine="720"/>
        <w:rPr>
          <w:b w:val="0"/>
          <w:bCs w:val="0"/>
          <w:sz w:val="20"/>
          <w:szCs w:val="20"/>
          <w:lang w:val="en-US"/>
        </w:rPr>
      </w:pPr>
      <w:r w:rsidRPr="00CC562A">
        <w:rPr>
          <w:b w:val="0"/>
          <w:bCs w:val="0"/>
          <w:sz w:val="20"/>
          <w:szCs w:val="20"/>
          <w:lang w:val="en-US"/>
        </w:rPr>
        <w:t>The Commission notes that the model implemented provides that the armed forces are not only deployed in police tasks but also grants them a leading role in the tasks of controlling migration at the borders and in the construction of large infrastructure projects, among other tasks,</w:t>
      </w:r>
      <w:r w:rsidR="002F7DB8" w:rsidRPr="00CC562A">
        <w:rPr>
          <w:b w:val="0"/>
          <w:bCs w:val="0"/>
          <w:sz w:val="20"/>
          <w:szCs w:val="20"/>
          <w:vertAlign w:val="superscript"/>
          <w:lang w:val="en-US"/>
        </w:rPr>
        <w:footnoteReference w:id="20"/>
      </w:r>
      <w:r w:rsidRPr="00CC562A">
        <w:rPr>
          <w:b w:val="0"/>
          <w:bCs w:val="0"/>
          <w:sz w:val="20"/>
          <w:szCs w:val="20"/>
          <w:lang w:val="en-US"/>
        </w:rPr>
        <w:t xml:space="preserve"> tasks that are traditionally carried out by civilian public security authorities. This concern is shared by other international human rights bodies such as the UN Human Rights</w:t>
      </w:r>
      <w:r w:rsidR="00477F25" w:rsidRPr="00CC562A">
        <w:rPr>
          <w:b w:val="0"/>
          <w:bCs w:val="0"/>
          <w:sz w:val="20"/>
          <w:szCs w:val="20"/>
          <w:lang w:val="en-US"/>
        </w:rPr>
        <w:t xml:space="preserve"> Committee,</w:t>
      </w:r>
      <w:r w:rsidR="002F7DB8" w:rsidRPr="00CC562A">
        <w:rPr>
          <w:b w:val="0"/>
          <w:bCs w:val="0"/>
          <w:vertAlign w:val="superscript"/>
          <w:lang w:val="en-US"/>
        </w:rPr>
        <w:footnoteReference w:id="21"/>
      </w:r>
      <w:r w:rsidR="00477F25" w:rsidRPr="00CC562A">
        <w:rPr>
          <w:b w:val="0"/>
          <w:bCs w:val="0"/>
          <w:sz w:val="20"/>
          <w:szCs w:val="20"/>
          <w:lang w:val="en-US"/>
        </w:rPr>
        <w:t xml:space="preserve"> the Committee on the Elimination of Discrimination against Women</w:t>
      </w:r>
      <w:r w:rsidR="00257CE5" w:rsidRPr="00CC562A">
        <w:rPr>
          <w:b w:val="0"/>
          <w:bCs w:val="0"/>
          <w:sz w:val="20"/>
          <w:szCs w:val="20"/>
          <w:lang w:val="en-US"/>
        </w:rPr>
        <w:t xml:space="preserve"> (hereinafter “CEDAW”)</w:t>
      </w:r>
      <w:r w:rsidR="00477F25" w:rsidRPr="00CC562A">
        <w:rPr>
          <w:b w:val="0"/>
          <w:bCs w:val="0"/>
          <w:sz w:val="20"/>
          <w:szCs w:val="20"/>
          <w:lang w:val="en-US"/>
        </w:rPr>
        <w:t>,</w:t>
      </w:r>
      <w:r w:rsidR="002F7DB8" w:rsidRPr="00CC562A">
        <w:rPr>
          <w:b w:val="0"/>
          <w:bCs w:val="0"/>
          <w:vertAlign w:val="superscript"/>
          <w:lang w:val="en-US"/>
        </w:rPr>
        <w:footnoteReference w:id="22"/>
      </w:r>
      <w:r w:rsidR="00477F25" w:rsidRPr="00CC562A">
        <w:rPr>
          <w:b w:val="0"/>
          <w:bCs w:val="0"/>
          <w:sz w:val="20"/>
          <w:szCs w:val="20"/>
          <w:lang w:val="en-US"/>
        </w:rPr>
        <w:t xml:space="preserve"> the Working Group on </w:t>
      </w:r>
      <w:r w:rsidR="00507873" w:rsidRPr="00CC562A">
        <w:rPr>
          <w:b w:val="0"/>
          <w:bCs w:val="0"/>
          <w:sz w:val="20"/>
          <w:szCs w:val="20"/>
          <w:lang w:val="en-US"/>
        </w:rPr>
        <w:t>F</w:t>
      </w:r>
      <w:r w:rsidR="00477F25" w:rsidRPr="00CC562A">
        <w:rPr>
          <w:b w:val="0"/>
          <w:bCs w:val="0"/>
          <w:sz w:val="20"/>
          <w:szCs w:val="20"/>
          <w:lang w:val="en-US"/>
        </w:rPr>
        <w:t>orced or Involuntary Disappearance</w:t>
      </w:r>
      <w:r w:rsidR="75EC6769" w:rsidRPr="00CC562A">
        <w:rPr>
          <w:b w:val="0"/>
          <w:bCs w:val="0"/>
          <w:sz w:val="20"/>
          <w:szCs w:val="20"/>
          <w:lang w:val="en-US"/>
        </w:rPr>
        <w:t xml:space="preserve"> (</w:t>
      </w:r>
      <w:r w:rsidR="00477F25" w:rsidRPr="00CC562A">
        <w:rPr>
          <w:b w:val="0"/>
          <w:bCs w:val="0"/>
          <w:sz w:val="20"/>
          <w:szCs w:val="20"/>
          <w:lang w:val="en-US"/>
        </w:rPr>
        <w:t>hereinafter “WGEID”</w:t>
      </w:r>
      <w:r w:rsidR="75EC6769" w:rsidRPr="00CC562A">
        <w:rPr>
          <w:b w:val="0"/>
          <w:bCs w:val="0"/>
          <w:sz w:val="20"/>
          <w:szCs w:val="20"/>
          <w:lang w:val="en-US"/>
        </w:rPr>
        <w:t>)</w:t>
      </w:r>
      <w:r w:rsidR="002F7DB8" w:rsidRPr="00CC562A">
        <w:rPr>
          <w:b w:val="0"/>
          <w:bCs w:val="0"/>
          <w:vertAlign w:val="superscript"/>
          <w:lang w:val="en-US"/>
        </w:rPr>
        <w:footnoteReference w:id="23"/>
      </w:r>
      <w:r w:rsidR="75EC6769" w:rsidRPr="00CC562A">
        <w:rPr>
          <w:b w:val="0"/>
          <w:bCs w:val="0"/>
          <w:sz w:val="20"/>
          <w:szCs w:val="20"/>
          <w:lang w:val="en-US"/>
        </w:rPr>
        <w:t xml:space="preserve"> </w:t>
      </w:r>
      <w:r w:rsidR="00477F25" w:rsidRPr="00CC562A">
        <w:rPr>
          <w:b w:val="0"/>
          <w:bCs w:val="0"/>
          <w:sz w:val="20"/>
          <w:szCs w:val="20"/>
          <w:lang w:val="en-US"/>
        </w:rPr>
        <w:t>in relation to increased human rights violations attributed to the State’s security agents. In a hearing before the IACHR on the militarization of public security in Mexico</w:t>
      </w:r>
      <w:r w:rsidR="397B4C3F" w:rsidRPr="00CC562A">
        <w:rPr>
          <w:b w:val="0"/>
          <w:bCs w:val="0"/>
          <w:sz w:val="20"/>
          <w:szCs w:val="20"/>
          <w:lang w:val="en-US"/>
        </w:rPr>
        <w:t xml:space="preserve">, </w:t>
      </w:r>
      <w:r w:rsidR="00477F25" w:rsidRPr="00CC562A">
        <w:rPr>
          <w:b w:val="0"/>
          <w:bCs w:val="0"/>
          <w:sz w:val="20"/>
          <w:szCs w:val="20"/>
          <w:lang w:val="en-US"/>
        </w:rPr>
        <w:t xml:space="preserve">civil society organizations noted that the broad powers of the armed forces </w:t>
      </w:r>
      <w:proofErr w:type="gramStart"/>
      <w:r w:rsidR="00477F25" w:rsidRPr="00CC562A">
        <w:rPr>
          <w:b w:val="0"/>
          <w:bCs w:val="0"/>
          <w:sz w:val="20"/>
          <w:szCs w:val="20"/>
          <w:lang w:val="en-US"/>
        </w:rPr>
        <w:t>in the area of</w:t>
      </w:r>
      <w:proofErr w:type="gramEnd"/>
      <w:r w:rsidR="00477F25" w:rsidRPr="00CC562A">
        <w:rPr>
          <w:b w:val="0"/>
          <w:bCs w:val="0"/>
          <w:sz w:val="20"/>
          <w:szCs w:val="20"/>
          <w:lang w:val="en-US"/>
        </w:rPr>
        <w:t xml:space="preserve"> security have created a de facto </w:t>
      </w:r>
      <w:r w:rsidR="009568B6" w:rsidRPr="00CC562A">
        <w:rPr>
          <w:b w:val="0"/>
          <w:bCs w:val="0"/>
          <w:sz w:val="20"/>
          <w:szCs w:val="20"/>
          <w:lang w:val="en-US"/>
        </w:rPr>
        <w:t>state of emergency, in violation of the provisions of Article 29 of the Constitution and Article 27 of the American Convention.</w:t>
      </w:r>
      <w:r w:rsidR="00E075E6" w:rsidRPr="00CC562A">
        <w:rPr>
          <w:rStyle w:val="FootnoteReference"/>
          <w:b w:val="0"/>
          <w:bCs w:val="0"/>
          <w:sz w:val="20"/>
          <w:szCs w:val="20"/>
          <w:lang w:val="en-US"/>
        </w:rPr>
        <w:footnoteReference w:id="24"/>
      </w:r>
    </w:p>
    <w:p w14:paraId="40712148" w14:textId="77777777" w:rsidR="00001918" w:rsidRPr="00CC562A" w:rsidRDefault="00001918" w:rsidP="00001918">
      <w:pPr>
        <w:spacing w:after="0"/>
        <w:rPr>
          <w:lang w:val="en-US"/>
        </w:rPr>
      </w:pPr>
    </w:p>
    <w:p w14:paraId="2F6ECBA9" w14:textId="79BDC245" w:rsidR="00DB67D8" w:rsidRPr="00CC562A" w:rsidRDefault="009568B6" w:rsidP="00DB67D8">
      <w:pPr>
        <w:pStyle w:val="Heading3"/>
        <w:spacing w:before="0" w:after="0" w:line="240" w:lineRule="auto"/>
        <w:ind w:left="0" w:firstLine="720"/>
        <w:rPr>
          <w:b w:val="0"/>
          <w:bCs w:val="0"/>
          <w:sz w:val="20"/>
          <w:szCs w:val="20"/>
          <w:lang w:val="en-US"/>
        </w:rPr>
      </w:pPr>
      <w:r w:rsidRPr="00CC562A">
        <w:rPr>
          <w:b w:val="0"/>
          <w:bCs w:val="0"/>
          <w:sz w:val="20"/>
          <w:szCs w:val="20"/>
          <w:lang w:val="en-US"/>
        </w:rPr>
        <w:t xml:space="preserve">Based on the above, the IACHR reiterates that </w:t>
      </w:r>
      <w:r w:rsidR="00A123EB" w:rsidRPr="00CC562A">
        <w:rPr>
          <w:b w:val="0"/>
          <w:bCs w:val="0"/>
          <w:sz w:val="20"/>
          <w:szCs w:val="20"/>
          <w:lang w:val="en-US"/>
        </w:rPr>
        <w:t>the maintenance of</w:t>
      </w:r>
      <w:r w:rsidRPr="00CC562A">
        <w:rPr>
          <w:b w:val="0"/>
          <w:bCs w:val="0"/>
          <w:sz w:val="20"/>
          <w:szCs w:val="20"/>
          <w:lang w:val="en-US"/>
        </w:rPr>
        <w:t xml:space="preserve"> domestic public order and citizen security must </w:t>
      </w:r>
      <w:r w:rsidR="00BB30C9" w:rsidRPr="00CC562A">
        <w:rPr>
          <w:b w:val="0"/>
          <w:bCs w:val="0"/>
          <w:sz w:val="20"/>
          <w:szCs w:val="20"/>
          <w:lang w:val="en-US"/>
        </w:rPr>
        <w:t>be primarily enforced by</w:t>
      </w:r>
      <w:r w:rsidRPr="00CC562A">
        <w:rPr>
          <w:b w:val="0"/>
          <w:bCs w:val="0"/>
          <w:sz w:val="20"/>
          <w:szCs w:val="20"/>
          <w:lang w:val="en-US"/>
        </w:rPr>
        <w:t xml:space="preserve"> civilian police forces. </w:t>
      </w:r>
      <w:r w:rsidR="00750392" w:rsidRPr="00CC562A">
        <w:rPr>
          <w:b w:val="0"/>
          <w:bCs w:val="0"/>
          <w:sz w:val="20"/>
          <w:szCs w:val="20"/>
          <w:lang w:val="en-US"/>
        </w:rPr>
        <w:t>However</w:t>
      </w:r>
      <w:r w:rsidRPr="00CC562A">
        <w:rPr>
          <w:b w:val="0"/>
          <w:bCs w:val="0"/>
          <w:sz w:val="20"/>
          <w:szCs w:val="20"/>
          <w:lang w:val="en-US"/>
        </w:rPr>
        <w:t xml:space="preserve">, </w:t>
      </w:r>
      <w:r w:rsidR="00BB30C9" w:rsidRPr="00CC562A">
        <w:rPr>
          <w:b w:val="0"/>
          <w:bCs w:val="0"/>
          <w:sz w:val="20"/>
          <w:szCs w:val="20"/>
          <w:lang w:val="en-US"/>
        </w:rPr>
        <w:t>given</w:t>
      </w:r>
      <w:r w:rsidRPr="00CC562A">
        <w:rPr>
          <w:b w:val="0"/>
          <w:bCs w:val="0"/>
          <w:sz w:val="20"/>
          <w:szCs w:val="20"/>
          <w:lang w:val="en-US"/>
        </w:rPr>
        <w:t xml:space="preserve"> the Mexican State’s </w:t>
      </w:r>
      <w:r w:rsidRPr="00CC562A">
        <w:rPr>
          <w:b w:val="0"/>
          <w:bCs w:val="0"/>
          <w:sz w:val="20"/>
          <w:szCs w:val="20"/>
          <w:lang w:val="en-US"/>
        </w:rPr>
        <w:lastRenderedPageBreak/>
        <w:t xml:space="preserve">determination to alter the structure of the </w:t>
      </w:r>
      <w:r w:rsidR="00BB30C9" w:rsidRPr="00CC562A">
        <w:rPr>
          <w:b w:val="0"/>
          <w:bCs w:val="0"/>
          <w:sz w:val="20"/>
          <w:szCs w:val="20"/>
          <w:lang w:val="en-US"/>
        </w:rPr>
        <w:t>National Guard</w:t>
      </w:r>
      <w:r w:rsidRPr="00CC562A">
        <w:rPr>
          <w:b w:val="0"/>
          <w:bCs w:val="0"/>
          <w:sz w:val="20"/>
          <w:szCs w:val="20"/>
          <w:lang w:val="en-US"/>
        </w:rPr>
        <w:t xml:space="preserve"> by transforming it into an institution with military characteristics and organization, in conjunction with the amendment published to keep the </w:t>
      </w:r>
      <w:r w:rsidR="00A123EB" w:rsidRPr="00CC562A">
        <w:rPr>
          <w:b w:val="0"/>
          <w:bCs w:val="0"/>
          <w:sz w:val="20"/>
          <w:szCs w:val="20"/>
          <w:lang w:val="en-US"/>
        </w:rPr>
        <w:t>a</w:t>
      </w:r>
      <w:r w:rsidR="00D5781D" w:rsidRPr="00CC562A">
        <w:rPr>
          <w:b w:val="0"/>
          <w:bCs w:val="0"/>
          <w:sz w:val="20"/>
          <w:szCs w:val="20"/>
          <w:lang w:val="en-US"/>
        </w:rPr>
        <w:t>rmed forces</w:t>
      </w:r>
      <w:r w:rsidRPr="00CC562A">
        <w:rPr>
          <w:b w:val="0"/>
          <w:bCs w:val="0"/>
          <w:sz w:val="20"/>
          <w:szCs w:val="20"/>
          <w:lang w:val="en-US"/>
        </w:rPr>
        <w:t xml:space="preserve"> in charge of public security tasks until </w:t>
      </w:r>
      <w:r w:rsidR="4A5C8A77" w:rsidRPr="00CC562A">
        <w:rPr>
          <w:b w:val="0"/>
          <w:bCs w:val="0"/>
          <w:sz w:val="20"/>
          <w:szCs w:val="20"/>
          <w:lang w:val="en-US"/>
        </w:rPr>
        <w:t xml:space="preserve">2028, </w:t>
      </w:r>
      <w:r w:rsidRPr="00CC562A">
        <w:rPr>
          <w:b w:val="0"/>
          <w:bCs w:val="0"/>
          <w:sz w:val="20"/>
          <w:szCs w:val="20"/>
          <w:lang w:val="en-US"/>
        </w:rPr>
        <w:t xml:space="preserve">the IACHR considers this recommendation to be </w:t>
      </w:r>
      <w:r w:rsidRPr="00CC562A">
        <w:rPr>
          <w:sz w:val="20"/>
          <w:szCs w:val="20"/>
          <w:lang w:val="en-US"/>
        </w:rPr>
        <w:t>pending compliance.</w:t>
      </w:r>
      <w:r w:rsidR="000D70FB" w:rsidRPr="00CC562A">
        <w:rPr>
          <w:b w:val="0"/>
          <w:bCs w:val="0"/>
          <w:sz w:val="20"/>
          <w:szCs w:val="20"/>
          <w:lang w:val="en-US"/>
        </w:rPr>
        <w:br/>
      </w:r>
    </w:p>
    <w:p w14:paraId="5D7696FD" w14:textId="559EF6A4" w:rsidR="00D33CF4" w:rsidRPr="00CC562A" w:rsidRDefault="00643CFB" w:rsidP="00001918">
      <w:pPr>
        <w:pStyle w:val="Heading3"/>
        <w:spacing w:before="240" w:after="200" w:line="240" w:lineRule="auto"/>
        <w:ind w:left="0" w:firstLine="720"/>
        <w:rPr>
          <w:b w:val="0"/>
          <w:bCs w:val="0"/>
          <w:sz w:val="20"/>
          <w:szCs w:val="20"/>
          <w:lang w:val="en-US"/>
        </w:rPr>
      </w:pPr>
      <w:r w:rsidRPr="00CC562A">
        <w:rPr>
          <w:b w:val="0"/>
          <w:bCs w:val="0"/>
          <w:sz w:val="20"/>
          <w:szCs w:val="20"/>
          <w:lang w:val="en-US"/>
        </w:rPr>
        <w:t>To guide the implementation of this recommendation, the Commission reiterates its call for the Mexican State to reconsider these changes in compliance with its international human rights commitments, given the militarization of citizen security</w:t>
      </w:r>
      <w:r w:rsidR="00C73723" w:rsidRPr="00CC562A">
        <w:rPr>
          <w:b w:val="0"/>
          <w:bCs w:val="0"/>
          <w:sz w:val="20"/>
          <w:szCs w:val="20"/>
          <w:lang w:val="en-US"/>
        </w:rPr>
        <w:t xml:space="preserve">. </w:t>
      </w:r>
      <w:r w:rsidRPr="00CC562A">
        <w:rPr>
          <w:b w:val="0"/>
          <w:bCs w:val="0"/>
          <w:sz w:val="20"/>
          <w:szCs w:val="20"/>
          <w:lang w:val="en-US"/>
        </w:rPr>
        <w:t>In addition, with a view to increasing compliance with this recommendation, the Commission suggests that the Mexican State adopt measures directed to reframing its security strategy</w:t>
      </w:r>
      <w:r w:rsidR="61D3BB0C" w:rsidRPr="00CC562A">
        <w:rPr>
          <w:b w:val="0"/>
          <w:bCs w:val="0"/>
          <w:sz w:val="20"/>
          <w:szCs w:val="20"/>
          <w:lang w:val="en-US"/>
        </w:rPr>
        <w:t xml:space="preserve">, </w:t>
      </w:r>
      <w:r w:rsidRPr="00CC562A">
        <w:rPr>
          <w:b w:val="0"/>
          <w:bCs w:val="0"/>
          <w:sz w:val="20"/>
          <w:szCs w:val="20"/>
          <w:lang w:val="en-US"/>
        </w:rPr>
        <w:t xml:space="preserve">taking into consideration international standards in this area, </w:t>
      </w:r>
      <w:r w:rsidR="00956C49" w:rsidRPr="00CC562A">
        <w:rPr>
          <w:b w:val="0"/>
          <w:bCs w:val="0"/>
          <w:sz w:val="20"/>
          <w:szCs w:val="20"/>
          <w:lang w:val="en-US"/>
        </w:rPr>
        <w:t xml:space="preserve">in addition to adopting </w:t>
      </w:r>
      <w:r w:rsidRPr="00CC562A">
        <w:rPr>
          <w:b w:val="0"/>
          <w:bCs w:val="0"/>
          <w:sz w:val="20"/>
          <w:szCs w:val="20"/>
          <w:lang w:val="en-US"/>
        </w:rPr>
        <w:t>me</w:t>
      </w:r>
      <w:r w:rsidR="00956C49" w:rsidRPr="00CC562A">
        <w:rPr>
          <w:b w:val="0"/>
          <w:bCs w:val="0"/>
          <w:sz w:val="20"/>
          <w:szCs w:val="20"/>
          <w:lang w:val="en-US"/>
        </w:rPr>
        <w:t>a</w:t>
      </w:r>
      <w:r w:rsidRPr="00CC562A">
        <w:rPr>
          <w:b w:val="0"/>
          <w:bCs w:val="0"/>
          <w:sz w:val="20"/>
          <w:szCs w:val="20"/>
          <w:lang w:val="en-US"/>
        </w:rPr>
        <w:t xml:space="preserve">sures to strengthen </w:t>
      </w:r>
      <w:r w:rsidR="00956C49" w:rsidRPr="00CC562A">
        <w:rPr>
          <w:b w:val="0"/>
          <w:bCs w:val="0"/>
          <w:sz w:val="20"/>
          <w:szCs w:val="20"/>
          <w:lang w:val="en-US"/>
        </w:rPr>
        <w:t xml:space="preserve">civilian security forces and resume a plan for the gradual withdrawal of the </w:t>
      </w:r>
      <w:r w:rsidR="00A123EB" w:rsidRPr="00CC562A">
        <w:rPr>
          <w:b w:val="0"/>
          <w:bCs w:val="0"/>
          <w:sz w:val="20"/>
          <w:szCs w:val="20"/>
          <w:lang w:val="en-US"/>
        </w:rPr>
        <w:t>a</w:t>
      </w:r>
      <w:r w:rsidR="00D5781D" w:rsidRPr="00CC562A">
        <w:rPr>
          <w:b w:val="0"/>
          <w:bCs w:val="0"/>
          <w:sz w:val="20"/>
          <w:szCs w:val="20"/>
          <w:lang w:val="en-US"/>
        </w:rPr>
        <w:t>rmed forces</w:t>
      </w:r>
      <w:r w:rsidR="6607A9A3" w:rsidRPr="00CC562A">
        <w:rPr>
          <w:b w:val="0"/>
          <w:bCs w:val="0"/>
          <w:sz w:val="20"/>
          <w:szCs w:val="20"/>
          <w:lang w:val="en-US"/>
        </w:rPr>
        <w:t>.</w:t>
      </w:r>
    </w:p>
    <w:p w14:paraId="4B66BBCD" w14:textId="2FB7DDD9" w:rsidR="00791A29" w:rsidRPr="00CC562A" w:rsidRDefault="00956C49" w:rsidP="003E6D7E">
      <w:pPr>
        <w:numPr>
          <w:ilvl w:val="0"/>
          <w:numId w:val="2"/>
        </w:numPr>
        <w:spacing w:before="240" w:line="240" w:lineRule="auto"/>
        <w:ind w:left="0" w:firstLine="720"/>
        <w:jc w:val="both"/>
        <w:rPr>
          <w:rFonts w:ascii="Cambria" w:hAnsi="Cambria"/>
          <w:sz w:val="20"/>
          <w:lang w:val="en-US"/>
        </w:rPr>
      </w:pPr>
      <w:r w:rsidRPr="00CC562A">
        <w:rPr>
          <w:rFonts w:ascii="Cambria" w:eastAsia="Cambria" w:hAnsi="Cambria" w:cs="Cambria"/>
          <w:sz w:val="20"/>
          <w:szCs w:val="20"/>
          <w:lang w:val="en-US"/>
        </w:rPr>
        <w:t xml:space="preserve">In relation to the recommendation on </w:t>
      </w:r>
      <w:r w:rsidRPr="00CC562A">
        <w:rPr>
          <w:rFonts w:ascii="Cambria" w:eastAsia="Cambria" w:hAnsi="Cambria" w:cs="Cambria"/>
          <w:b/>
          <w:bCs/>
          <w:sz w:val="20"/>
          <w:szCs w:val="20"/>
          <w:lang w:val="en-US"/>
        </w:rPr>
        <w:t xml:space="preserve">strengthening the capacity of the police </w:t>
      </w:r>
      <w:proofErr w:type="gramStart"/>
      <w:r w:rsidRPr="00CC562A">
        <w:rPr>
          <w:rFonts w:ascii="Cambria" w:eastAsia="Cambria" w:hAnsi="Cambria" w:cs="Cambria"/>
          <w:b/>
          <w:bCs/>
          <w:sz w:val="20"/>
          <w:szCs w:val="20"/>
          <w:lang w:val="en-US"/>
        </w:rPr>
        <w:t>in the area of</w:t>
      </w:r>
      <w:proofErr w:type="gramEnd"/>
      <w:r w:rsidRPr="00CC562A">
        <w:rPr>
          <w:rFonts w:ascii="Cambria" w:eastAsia="Cambria" w:hAnsi="Cambria" w:cs="Cambria"/>
          <w:b/>
          <w:bCs/>
          <w:sz w:val="20"/>
          <w:szCs w:val="20"/>
          <w:lang w:val="en-US"/>
        </w:rPr>
        <w:t xml:space="preserve"> citizen security and human rights</w:t>
      </w:r>
      <w:r w:rsidR="2D308A46" w:rsidRPr="00CC562A">
        <w:rPr>
          <w:rFonts w:ascii="Cambria" w:eastAsia="Cambria" w:hAnsi="Cambria" w:cs="Cambria"/>
          <w:b/>
          <w:bCs/>
          <w:sz w:val="20"/>
          <w:szCs w:val="20"/>
          <w:lang w:val="en-US"/>
        </w:rPr>
        <w:t>,</w:t>
      </w:r>
      <w:r w:rsidR="2D308A4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State reported</w:t>
      </w:r>
      <w:r w:rsidR="00EA785F" w:rsidRPr="00CC562A">
        <w:rPr>
          <w:rStyle w:val="FootnoteReference"/>
          <w:rFonts w:ascii="Cambria" w:eastAsia="Cambria" w:hAnsi="Cambria" w:cs="Cambria"/>
          <w:sz w:val="20"/>
          <w:szCs w:val="20"/>
          <w:lang w:val="en-US"/>
        </w:rPr>
        <w:footnoteReference w:id="25"/>
      </w:r>
      <w:r w:rsidR="17A774B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on training of the National Guard in the context of the National Public Security Strategy, indicating that the professionalization of personnel is a matter of priority within that body.</w:t>
      </w:r>
      <w:r w:rsidR="17A774B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 this reg</w:t>
      </w:r>
      <w:r w:rsidR="0074125C" w:rsidRPr="00CC562A">
        <w:rPr>
          <w:rFonts w:ascii="Cambria" w:eastAsia="Cambria" w:hAnsi="Cambria" w:cs="Cambria"/>
          <w:sz w:val="20"/>
          <w:szCs w:val="20"/>
          <w:lang w:val="en-US"/>
        </w:rPr>
        <w:t>a</w:t>
      </w:r>
      <w:r w:rsidRPr="00CC562A">
        <w:rPr>
          <w:rFonts w:ascii="Cambria" w:eastAsia="Cambria" w:hAnsi="Cambria" w:cs="Cambria"/>
          <w:sz w:val="20"/>
          <w:szCs w:val="20"/>
          <w:lang w:val="en-US"/>
        </w:rPr>
        <w:t>rd, during the period from June</w:t>
      </w:r>
      <w:r w:rsidR="17A774BE" w:rsidRPr="00CC562A">
        <w:rPr>
          <w:rFonts w:ascii="Cambria" w:eastAsia="Cambria" w:hAnsi="Cambria" w:cs="Cambria"/>
          <w:sz w:val="20"/>
          <w:szCs w:val="20"/>
          <w:lang w:val="en-US"/>
        </w:rPr>
        <w:t xml:space="preserve"> 2019 </w:t>
      </w:r>
      <w:r w:rsidRPr="00CC562A">
        <w:rPr>
          <w:rFonts w:ascii="Cambria" w:eastAsia="Cambria" w:hAnsi="Cambria" w:cs="Cambria"/>
          <w:sz w:val="20"/>
          <w:szCs w:val="20"/>
          <w:lang w:val="en-US"/>
        </w:rPr>
        <w:t xml:space="preserve">to September </w:t>
      </w:r>
      <w:r w:rsidR="17A774BE" w:rsidRPr="00CC562A">
        <w:rPr>
          <w:rFonts w:ascii="Cambria" w:eastAsia="Cambria" w:hAnsi="Cambria" w:cs="Cambria"/>
          <w:sz w:val="20"/>
          <w:szCs w:val="20"/>
          <w:lang w:val="en-US"/>
        </w:rPr>
        <w:t>2022</w:t>
      </w:r>
      <w:r w:rsidRPr="00CC562A">
        <w:rPr>
          <w:rFonts w:ascii="Cambria" w:eastAsia="Cambria" w:hAnsi="Cambria" w:cs="Cambria"/>
          <w:sz w:val="20"/>
          <w:szCs w:val="20"/>
          <w:lang w:val="en-US"/>
        </w:rPr>
        <w:t xml:space="preserve"> it reported that </w:t>
      </w:r>
      <w:r w:rsidR="00717B9D" w:rsidRPr="00CC562A">
        <w:rPr>
          <w:rFonts w:ascii="Cambria" w:eastAsia="Cambria" w:hAnsi="Cambria" w:cs="Cambria"/>
          <w:sz w:val="20"/>
          <w:szCs w:val="20"/>
          <w:lang w:val="en-US"/>
        </w:rPr>
        <w:t xml:space="preserve">in-person and on-line training programs have imparted training </w:t>
      </w:r>
      <w:proofErr w:type="gramStart"/>
      <w:r w:rsidR="00717B9D" w:rsidRPr="00CC562A">
        <w:rPr>
          <w:rFonts w:ascii="Cambria" w:eastAsia="Cambria" w:hAnsi="Cambria" w:cs="Cambria"/>
          <w:sz w:val="20"/>
          <w:szCs w:val="20"/>
          <w:lang w:val="en-US"/>
        </w:rPr>
        <w:t>in the area of</w:t>
      </w:r>
      <w:proofErr w:type="gramEnd"/>
      <w:r w:rsidR="00717B9D" w:rsidRPr="00CC562A">
        <w:rPr>
          <w:rFonts w:ascii="Cambria" w:eastAsia="Cambria" w:hAnsi="Cambria" w:cs="Cambria"/>
          <w:sz w:val="20"/>
          <w:szCs w:val="20"/>
          <w:lang w:val="en-US"/>
        </w:rPr>
        <w:t xml:space="preserve"> human rights, the use of force, gender, and non-discrimination</w:t>
      </w:r>
      <w:r w:rsidR="00A92391" w:rsidRPr="00CC562A">
        <w:rPr>
          <w:rFonts w:ascii="Cambria" w:eastAsia="Cambria" w:hAnsi="Cambria" w:cs="Cambria"/>
          <w:sz w:val="20"/>
          <w:szCs w:val="20"/>
          <w:lang w:val="en-US"/>
        </w:rPr>
        <w:t>.</w:t>
      </w:r>
      <w:r w:rsidR="00FD0507" w:rsidRPr="00CC562A">
        <w:rPr>
          <w:rStyle w:val="FootnoteReference"/>
          <w:rFonts w:ascii="Cambria" w:eastAsia="Cambria" w:hAnsi="Cambria" w:cs="Cambria"/>
          <w:sz w:val="20"/>
          <w:szCs w:val="20"/>
          <w:lang w:val="en-US"/>
        </w:rPr>
        <w:footnoteReference w:id="26"/>
      </w:r>
      <w:r w:rsidR="003E6D7E" w:rsidRPr="00CC562A">
        <w:rPr>
          <w:rFonts w:ascii="Cambria" w:eastAsia="Cambria" w:hAnsi="Cambria" w:cs="Cambria"/>
          <w:sz w:val="20"/>
          <w:szCs w:val="20"/>
          <w:lang w:val="en-US"/>
        </w:rPr>
        <w:t xml:space="preserve"> </w:t>
      </w:r>
      <w:r w:rsidR="00A6436B" w:rsidRPr="00CC562A">
        <w:rPr>
          <w:rFonts w:ascii="Cambria" w:hAnsi="Cambria"/>
          <w:sz w:val="20"/>
          <w:lang w:val="en-US"/>
        </w:rPr>
        <w:t>In this regard, during the period from July</w:t>
      </w:r>
      <w:r w:rsidR="003E6D7E" w:rsidRPr="00CC562A">
        <w:rPr>
          <w:rFonts w:ascii="Cambria" w:hAnsi="Cambria"/>
          <w:sz w:val="20"/>
          <w:lang w:val="en-US"/>
        </w:rPr>
        <w:t xml:space="preserve"> 2019 </w:t>
      </w:r>
      <w:r w:rsidR="00A6436B" w:rsidRPr="00CC562A">
        <w:rPr>
          <w:rFonts w:ascii="Cambria" w:hAnsi="Cambria"/>
          <w:sz w:val="20"/>
          <w:lang w:val="en-US"/>
        </w:rPr>
        <w:t>to January</w:t>
      </w:r>
      <w:r w:rsidR="003E6D7E" w:rsidRPr="00CC562A">
        <w:rPr>
          <w:rFonts w:ascii="Cambria" w:hAnsi="Cambria"/>
          <w:sz w:val="20"/>
          <w:lang w:val="en-US"/>
        </w:rPr>
        <w:t xml:space="preserve"> 2023, </w:t>
      </w:r>
      <w:r w:rsidR="00A6436B" w:rsidRPr="00CC562A">
        <w:rPr>
          <w:rFonts w:ascii="Cambria" w:hAnsi="Cambria"/>
          <w:sz w:val="20"/>
          <w:lang w:val="en-US"/>
        </w:rPr>
        <w:t xml:space="preserve">it reported that the institution trained </w:t>
      </w:r>
      <w:r w:rsidR="003E6D7E" w:rsidRPr="00CC562A">
        <w:rPr>
          <w:rFonts w:ascii="Cambria" w:hAnsi="Cambria"/>
          <w:sz w:val="20"/>
          <w:lang w:val="en-US"/>
        </w:rPr>
        <w:t xml:space="preserve">112,661 </w:t>
      </w:r>
      <w:r w:rsidR="00A6436B" w:rsidRPr="00CC562A">
        <w:rPr>
          <w:rFonts w:ascii="Cambria" w:hAnsi="Cambria"/>
          <w:sz w:val="20"/>
          <w:lang w:val="en-US"/>
        </w:rPr>
        <w:t xml:space="preserve">members through comprehensive programs for the National Guard on the subject of human rights. In addition, it reported that it provided on-line training to </w:t>
      </w:r>
      <w:r w:rsidR="003E6D7E" w:rsidRPr="00CC562A">
        <w:rPr>
          <w:rFonts w:ascii="Cambria" w:hAnsi="Cambria"/>
          <w:sz w:val="20"/>
          <w:lang w:val="en-US"/>
        </w:rPr>
        <w:t xml:space="preserve">32,109 </w:t>
      </w:r>
      <w:r w:rsidR="00A6436B" w:rsidRPr="00CC562A">
        <w:rPr>
          <w:rFonts w:ascii="Cambria" w:hAnsi="Cambria"/>
          <w:sz w:val="20"/>
          <w:lang w:val="en-US"/>
        </w:rPr>
        <w:t>members</w:t>
      </w:r>
      <w:r w:rsidR="007B3B95" w:rsidRPr="00CC562A">
        <w:rPr>
          <w:rFonts w:ascii="Cambria" w:hAnsi="Cambria"/>
          <w:sz w:val="20"/>
          <w:lang w:val="en-US"/>
        </w:rPr>
        <w:t xml:space="preserve"> during the period between January 2021 and December 2022</w:t>
      </w:r>
      <w:r w:rsidR="00787C03" w:rsidRPr="00CC562A">
        <w:rPr>
          <w:rFonts w:ascii="Cambria" w:hAnsi="Cambria"/>
          <w:sz w:val="20"/>
          <w:lang w:val="en-US"/>
        </w:rPr>
        <w:t>.</w:t>
      </w:r>
      <w:r w:rsidR="003E6D7E" w:rsidRPr="00CC562A">
        <w:rPr>
          <w:rStyle w:val="FootnoteReference"/>
          <w:rFonts w:ascii="Cambria" w:hAnsi="Cambria"/>
          <w:sz w:val="20"/>
          <w:lang w:val="en-US"/>
        </w:rPr>
        <w:footnoteReference w:id="27"/>
      </w:r>
    </w:p>
    <w:p w14:paraId="0AE82665" w14:textId="3B6DE50B" w:rsidR="00672CD7" w:rsidRPr="00CC562A" w:rsidRDefault="00717B9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It also reported that dissemination and prevention </w:t>
      </w:r>
      <w:r w:rsidR="005160F8" w:rsidRPr="00CC562A">
        <w:rPr>
          <w:rFonts w:ascii="Cambria" w:eastAsia="Cambria" w:hAnsi="Cambria" w:cs="Cambria"/>
          <w:sz w:val="20"/>
          <w:szCs w:val="20"/>
          <w:lang w:val="en-US"/>
        </w:rPr>
        <w:t>talk</w:t>
      </w:r>
      <w:r w:rsidRPr="00CC562A">
        <w:rPr>
          <w:rFonts w:ascii="Cambria" w:eastAsia="Cambria" w:hAnsi="Cambria" w:cs="Cambria"/>
          <w:sz w:val="20"/>
          <w:szCs w:val="20"/>
          <w:lang w:val="en-US"/>
        </w:rPr>
        <w:t>, campaigns</w:t>
      </w:r>
      <w:r w:rsidR="00747A4B"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and activities have been carried out on the </w:t>
      </w:r>
      <w:r w:rsidR="00C80FE5" w:rsidRPr="00CC562A">
        <w:rPr>
          <w:rFonts w:ascii="Cambria" w:eastAsia="Cambria" w:hAnsi="Cambria" w:cs="Cambria"/>
          <w:sz w:val="20"/>
          <w:szCs w:val="20"/>
          <w:lang w:val="en-US"/>
        </w:rPr>
        <w:t>above-mentioned</w:t>
      </w:r>
      <w:r w:rsidRPr="00CC562A">
        <w:rPr>
          <w:rFonts w:ascii="Cambria" w:eastAsia="Cambria" w:hAnsi="Cambria" w:cs="Cambria"/>
          <w:sz w:val="20"/>
          <w:szCs w:val="20"/>
          <w:lang w:val="en-US"/>
        </w:rPr>
        <w:t xml:space="preserve"> topics, emphasizing the</w:t>
      </w:r>
      <w:r w:rsidR="49792FFE" w:rsidRPr="00CC562A">
        <w:rPr>
          <w:rFonts w:ascii="Cambria" w:eastAsia="Cambria" w:hAnsi="Cambria" w:cs="Cambria"/>
          <w:sz w:val="20"/>
          <w:szCs w:val="20"/>
          <w:lang w:val="en-US"/>
        </w:rPr>
        <w:t xml:space="preserve"> 16</w:t>
      </w:r>
      <w:r w:rsidRPr="00CC562A">
        <w:rPr>
          <w:rFonts w:ascii="Cambria" w:eastAsia="Cambria" w:hAnsi="Cambria" w:cs="Cambria"/>
          <w:sz w:val="20"/>
          <w:szCs w:val="20"/>
          <w:lang w:val="en-US"/>
        </w:rPr>
        <w:t xml:space="preserve"> days of activism in the National Guard, covering the period from November 25</w:t>
      </w:r>
      <w:r w:rsidR="49792FF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International Day for the Elimination of Violence against Women</w:t>
      </w:r>
      <w:r w:rsidR="49792FF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to December</w:t>
      </w:r>
      <w:r w:rsidR="49792FFE" w:rsidRPr="00CC562A">
        <w:rPr>
          <w:rFonts w:ascii="Cambria" w:eastAsia="Cambria" w:hAnsi="Cambria" w:cs="Cambria"/>
          <w:sz w:val="20"/>
          <w:szCs w:val="20"/>
          <w:lang w:val="en-US"/>
        </w:rPr>
        <w:t xml:space="preserve"> </w:t>
      </w:r>
      <w:r w:rsidR="007A58B5" w:rsidRPr="00CC562A">
        <w:rPr>
          <w:rFonts w:ascii="Cambria" w:eastAsia="Cambria" w:hAnsi="Cambria" w:cs="Cambria"/>
          <w:sz w:val="20"/>
          <w:szCs w:val="20"/>
          <w:lang w:val="en-US"/>
        </w:rPr>
        <w:t>2022</w:t>
      </w:r>
      <w:r w:rsidR="49792FFE" w:rsidRPr="00CC562A">
        <w:rPr>
          <w:rFonts w:ascii="Cambria" w:eastAsia="Cambria" w:hAnsi="Cambria" w:cs="Cambria"/>
          <w:sz w:val="20"/>
          <w:szCs w:val="20"/>
          <w:lang w:val="en-US"/>
        </w:rPr>
        <w:t xml:space="preserve"> (</w:t>
      </w:r>
      <w:r w:rsidR="00E629B6" w:rsidRPr="00CC562A">
        <w:rPr>
          <w:rFonts w:ascii="Cambria" w:eastAsia="Cambria" w:hAnsi="Cambria" w:cs="Cambria"/>
          <w:sz w:val="20"/>
          <w:szCs w:val="20"/>
          <w:lang w:val="en-US"/>
        </w:rPr>
        <w:t>International Human Rights Day</w:t>
      </w:r>
      <w:r w:rsidR="49792FFE" w:rsidRPr="00CC562A">
        <w:rPr>
          <w:rFonts w:ascii="Cambria" w:eastAsia="Cambria" w:hAnsi="Cambria" w:cs="Cambria"/>
          <w:sz w:val="20"/>
          <w:szCs w:val="20"/>
          <w:lang w:val="en-US"/>
        </w:rPr>
        <w:t>). </w:t>
      </w:r>
      <w:r w:rsidR="00E629B6" w:rsidRPr="00CC562A">
        <w:rPr>
          <w:rFonts w:ascii="Cambria" w:eastAsia="Cambria" w:hAnsi="Cambria" w:cs="Cambria"/>
          <w:sz w:val="20"/>
          <w:szCs w:val="20"/>
          <w:lang w:val="en-US"/>
        </w:rPr>
        <w:t>The First International Congress on Human Rights was planned for the month of December; its purpose is to serve as a forum where researchers, civil society organizations, government agencies, and international organizations can meet to discuss human rights theory and practices and challenges in public security</w:t>
      </w:r>
      <w:r w:rsidR="00787C03" w:rsidRPr="00CC562A">
        <w:rPr>
          <w:rFonts w:ascii="Cambria" w:eastAsia="Cambria" w:hAnsi="Cambria" w:cs="Cambria"/>
          <w:sz w:val="20"/>
          <w:szCs w:val="20"/>
          <w:lang w:val="en-US"/>
        </w:rPr>
        <w:t>.</w:t>
      </w:r>
      <w:r w:rsidR="00886665" w:rsidRPr="00CC562A">
        <w:rPr>
          <w:rStyle w:val="FootnoteReference"/>
          <w:rFonts w:ascii="Cambria" w:eastAsia="Cambria" w:hAnsi="Cambria" w:cs="Cambria"/>
          <w:sz w:val="20"/>
          <w:szCs w:val="20"/>
          <w:lang w:val="en-US"/>
        </w:rPr>
        <w:footnoteReference w:id="28"/>
      </w:r>
    </w:p>
    <w:p w14:paraId="761588A8" w14:textId="25BD04A2" w:rsidR="00EB529C" w:rsidRPr="00CC562A" w:rsidRDefault="00E629B6"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lastRenderedPageBreak/>
        <w:t xml:space="preserve">In this regard, the IACHR appreciates the information provided and </w:t>
      </w:r>
      <w:r w:rsidR="005160F8" w:rsidRPr="00CC562A">
        <w:rPr>
          <w:rFonts w:ascii="Cambria" w:hAnsi="Cambria"/>
          <w:sz w:val="20"/>
          <w:szCs w:val="20"/>
          <w:lang w:val="en-US"/>
        </w:rPr>
        <w:t>commends</w:t>
      </w:r>
      <w:r w:rsidRPr="00CC562A">
        <w:rPr>
          <w:rFonts w:ascii="Cambria" w:hAnsi="Cambria"/>
          <w:sz w:val="20"/>
          <w:szCs w:val="20"/>
          <w:lang w:val="en-US"/>
        </w:rPr>
        <w:t xml:space="preserve"> progress made in training for National Guard personnel. </w:t>
      </w:r>
      <w:r w:rsidR="00633A40" w:rsidRPr="00CC562A">
        <w:rPr>
          <w:rFonts w:ascii="Cambria" w:hAnsi="Cambria"/>
          <w:sz w:val="20"/>
          <w:szCs w:val="20"/>
          <w:lang w:val="en-US"/>
        </w:rPr>
        <w:t>Nonetheless</w:t>
      </w:r>
      <w:r w:rsidRPr="00CC562A">
        <w:rPr>
          <w:rFonts w:ascii="Cambria" w:hAnsi="Cambria"/>
          <w:sz w:val="20"/>
          <w:szCs w:val="20"/>
          <w:lang w:val="en-US"/>
        </w:rPr>
        <w:t>, the IACHR finds that the recommendation retains its rating as</w:t>
      </w:r>
      <w:r w:rsidR="10EE34F6" w:rsidRPr="00CC562A">
        <w:rPr>
          <w:rFonts w:ascii="Cambria" w:hAnsi="Cambria"/>
          <w:sz w:val="20"/>
          <w:szCs w:val="20"/>
          <w:lang w:val="en-US"/>
        </w:rPr>
        <w:t xml:space="preserve"> </w:t>
      </w:r>
      <w:r w:rsidR="10EE34F6" w:rsidRPr="00CC562A">
        <w:rPr>
          <w:rFonts w:ascii="Cambria" w:hAnsi="Cambria"/>
          <w:b/>
          <w:bCs/>
          <w:sz w:val="20"/>
          <w:szCs w:val="20"/>
          <w:lang w:val="en-US"/>
        </w:rPr>
        <w:t>pendi</w:t>
      </w:r>
      <w:r w:rsidRPr="00CC562A">
        <w:rPr>
          <w:rFonts w:ascii="Cambria" w:hAnsi="Cambria"/>
          <w:b/>
          <w:bCs/>
          <w:sz w:val="20"/>
          <w:szCs w:val="20"/>
          <w:lang w:val="en-US"/>
        </w:rPr>
        <w:t>ng compliance</w:t>
      </w:r>
      <w:r w:rsidR="10EE34F6" w:rsidRPr="00CC562A">
        <w:rPr>
          <w:rFonts w:ascii="Cambria" w:hAnsi="Cambria"/>
          <w:b/>
          <w:bCs/>
          <w:sz w:val="20"/>
          <w:szCs w:val="20"/>
          <w:lang w:val="en-US"/>
        </w:rPr>
        <w:t xml:space="preserve">. </w:t>
      </w:r>
    </w:p>
    <w:p w14:paraId="1BC6A30B" w14:textId="1BBFB65A" w:rsidR="00E621EF" w:rsidRPr="00CC562A" w:rsidRDefault="00633A40"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 xml:space="preserve">To guide the implementation of this </w:t>
      </w:r>
      <w:r w:rsidR="00747A4B" w:rsidRPr="00CC562A">
        <w:rPr>
          <w:rFonts w:ascii="Cambria" w:hAnsi="Cambria"/>
          <w:sz w:val="20"/>
          <w:szCs w:val="20"/>
          <w:lang w:val="en-US"/>
        </w:rPr>
        <w:t>re</w:t>
      </w:r>
      <w:r w:rsidRPr="00CC562A">
        <w:rPr>
          <w:rFonts w:ascii="Cambria" w:hAnsi="Cambria"/>
          <w:sz w:val="20"/>
          <w:szCs w:val="20"/>
          <w:lang w:val="en-US"/>
        </w:rPr>
        <w:t>commendation, the Commission suggests that the State provide information indicating current personnel who are currently attached to federal entities and how many of them have been trained</w:t>
      </w:r>
      <w:r w:rsidR="00747A4B" w:rsidRPr="00CC562A">
        <w:rPr>
          <w:rFonts w:ascii="Cambria" w:hAnsi="Cambria"/>
          <w:sz w:val="20"/>
          <w:szCs w:val="20"/>
          <w:lang w:val="en-US"/>
        </w:rPr>
        <w:t>, in addition to providing</w:t>
      </w:r>
      <w:r w:rsidRPr="00CC562A">
        <w:rPr>
          <w:rFonts w:ascii="Cambria" w:hAnsi="Cambria"/>
          <w:sz w:val="20"/>
          <w:szCs w:val="20"/>
          <w:lang w:val="en-US"/>
        </w:rPr>
        <w:t xml:space="preserve"> information </w:t>
      </w:r>
      <w:r w:rsidR="00747A4B" w:rsidRPr="00CC562A">
        <w:rPr>
          <w:rFonts w:ascii="Cambria" w:hAnsi="Cambria"/>
          <w:sz w:val="20"/>
          <w:szCs w:val="20"/>
          <w:lang w:val="en-US"/>
        </w:rPr>
        <w:t>on</w:t>
      </w:r>
      <w:r w:rsidRPr="00CC562A">
        <w:rPr>
          <w:rFonts w:ascii="Cambria" w:hAnsi="Cambria"/>
          <w:sz w:val="20"/>
          <w:szCs w:val="20"/>
          <w:lang w:val="en-US"/>
        </w:rPr>
        <w:t xml:space="preserve"> the courses </w:t>
      </w:r>
      <w:r w:rsidR="00747A4B" w:rsidRPr="00CC562A">
        <w:rPr>
          <w:rFonts w:ascii="Cambria" w:hAnsi="Cambria"/>
          <w:sz w:val="20"/>
          <w:szCs w:val="20"/>
          <w:lang w:val="en-US"/>
        </w:rPr>
        <w:t>conducted</w:t>
      </w:r>
      <w:r w:rsidRPr="00CC562A">
        <w:rPr>
          <w:rFonts w:ascii="Cambria" w:hAnsi="Cambria"/>
          <w:sz w:val="20"/>
          <w:szCs w:val="20"/>
          <w:lang w:val="en-US"/>
        </w:rPr>
        <w:t xml:space="preserve"> and </w:t>
      </w:r>
      <w:r w:rsidR="00747A4B" w:rsidRPr="00CC562A">
        <w:rPr>
          <w:rFonts w:ascii="Cambria" w:hAnsi="Cambria"/>
          <w:sz w:val="20"/>
          <w:szCs w:val="20"/>
          <w:lang w:val="en-US"/>
        </w:rPr>
        <w:t>whether</w:t>
      </w:r>
      <w:r w:rsidRPr="00CC562A">
        <w:rPr>
          <w:rFonts w:ascii="Cambria" w:hAnsi="Cambria"/>
          <w:sz w:val="20"/>
          <w:szCs w:val="20"/>
          <w:lang w:val="en-US"/>
        </w:rPr>
        <w:t xml:space="preserve"> they have affected the strengthening of the police force. In addition, follow-up of this recommendation would be enhanced with information on the frequency with which training is conducted and the type of personnel who are being trained</w:t>
      </w:r>
      <w:r w:rsidR="6607A9A3" w:rsidRPr="00CC562A">
        <w:rPr>
          <w:rFonts w:ascii="Cambria" w:hAnsi="Cambria"/>
          <w:sz w:val="20"/>
          <w:szCs w:val="20"/>
          <w:lang w:val="en-US"/>
        </w:rPr>
        <w:t>.</w:t>
      </w:r>
    </w:p>
    <w:p w14:paraId="08B1EE29" w14:textId="49CE022A" w:rsidR="00384D8C" w:rsidRPr="00CC562A" w:rsidRDefault="0074125C"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relation to the recommendation to </w:t>
      </w:r>
      <w:r w:rsidR="0133E9FA" w:rsidRPr="00CC562A">
        <w:rPr>
          <w:rFonts w:ascii="Cambria" w:hAnsi="Cambria"/>
          <w:b/>
          <w:bCs/>
          <w:sz w:val="20"/>
          <w:szCs w:val="20"/>
          <w:lang w:val="en-US"/>
        </w:rPr>
        <w:t>adopt</w:t>
      </w:r>
      <w:r w:rsidRPr="00CC562A">
        <w:rPr>
          <w:rFonts w:ascii="Cambria" w:hAnsi="Cambria"/>
          <w:b/>
          <w:bCs/>
          <w:sz w:val="20"/>
          <w:szCs w:val="20"/>
          <w:lang w:val="en-US"/>
        </w:rPr>
        <w:t xml:space="preserve"> a </w:t>
      </w:r>
      <w:r w:rsidR="00747A4B" w:rsidRPr="00CC562A">
        <w:rPr>
          <w:rFonts w:ascii="Cambria" w:hAnsi="Cambria"/>
          <w:b/>
          <w:bCs/>
          <w:sz w:val="20"/>
          <w:szCs w:val="20"/>
          <w:lang w:val="en-US"/>
        </w:rPr>
        <w:t>n</w:t>
      </w:r>
      <w:r w:rsidRPr="00CC562A">
        <w:rPr>
          <w:rFonts w:ascii="Cambria" w:hAnsi="Cambria"/>
          <w:b/>
          <w:bCs/>
          <w:sz w:val="20"/>
          <w:szCs w:val="20"/>
          <w:lang w:val="en-US"/>
        </w:rPr>
        <w:t xml:space="preserve">ational law on the </w:t>
      </w:r>
      <w:r w:rsidR="00747A4B" w:rsidRPr="00CC562A">
        <w:rPr>
          <w:rFonts w:ascii="Cambria" w:hAnsi="Cambria"/>
          <w:b/>
          <w:bCs/>
          <w:sz w:val="20"/>
          <w:szCs w:val="20"/>
          <w:lang w:val="en-US"/>
        </w:rPr>
        <w:t>u</w:t>
      </w:r>
      <w:r w:rsidRPr="00CC562A">
        <w:rPr>
          <w:rFonts w:ascii="Cambria" w:hAnsi="Cambria"/>
          <w:b/>
          <w:bCs/>
          <w:sz w:val="20"/>
          <w:szCs w:val="20"/>
          <w:lang w:val="en-US"/>
        </w:rPr>
        <w:t xml:space="preserve">se of </w:t>
      </w:r>
      <w:r w:rsidR="00747A4B" w:rsidRPr="00CC562A">
        <w:rPr>
          <w:rFonts w:ascii="Cambria" w:hAnsi="Cambria"/>
          <w:b/>
          <w:bCs/>
          <w:sz w:val="20"/>
          <w:szCs w:val="20"/>
          <w:lang w:val="en-US"/>
        </w:rPr>
        <w:t>f</w:t>
      </w:r>
      <w:r w:rsidRPr="00CC562A">
        <w:rPr>
          <w:rFonts w:ascii="Cambria" w:hAnsi="Cambria"/>
          <w:b/>
          <w:bCs/>
          <w:sz w:val="20"/>
          <w:szCs w:val="20"/>
          <w:lang w:val="en-US"/>
        </w:rPr>
        <w:t>orce</w:t>
      </w:r>
      <w:r w:rsidR="0133E9FA" w:rsidRPr="00CC562A">
        <w:rPr>
          <w:rFonts w:ascii="Cambria" w:hAnsi="Cambria"/>
          <w:b/>
          <w:bCs/>
          <w:sz w:val="20"/>
          <w:szCs w:val="20"/>
          <w:lang w:val="en-US"/>
        </w:rPr>
        <w:t xml:space="preserve"> </w:t>
      </w:r>
      <w:r w:rsidRPr="00CC562A">
        <w:rPr>
          <w:rFonts w:ascii="Cambria" w:eastAsia="Cambria" w:hAnsi="Cambria" w:cs="Cambria"/>
          <w:sz w:val="20"/>
          <w:szCs w:val="20"/>
          <w:lang w:val="en-US"/>
        </w:rPr>
        <w:t>in accordance with international human rights standards, the State reported that the National Law on the Use of Force was published on May 27,</w:t>
      </w:r>
      <w:r w:rsidR="0133E9FA" w:rsidRPr="00CC562A">
        <w:rPr>
          <w:rFonts w:ascii="Cambria" w:eastAsia="Cambria" w:hAnsi="Cambria" w:cs="Cambria"/>
          <w:sz w:val="20"/>
          <w:szCs w:val="20"/>
          <w:lang w:val="en-US"/>
        </w:rPr>
        <w:t xml:space="preserve"> 2019</w:t>
      </w:r>
      <w:r w:rsidRPr="00CC562A">
        <w:rPr>
          <w:rFonts w:ascii="Cambria" w:eastAsia="Cambria" w:hAnsi="Cambria" w:cs="Cambria"/>
          <w:sz w:val="20"/>
          <w:szCs w:val="20"/>
          <w:lang w:val="en-US"/>
        </w:rPr>
        <w:t>, the purpose of which is to govern the use of force exercised by public security institutions of the Mexican State. The State indicated that the National Guard and the various State security bodies adhere to the provisions of that law, as well as Article</w:t>
      </w:r>
      <w:r w:rsidR="0133E9FA" w:rsidRPr="00CC562A">
        <w:rPr>
          <w:rFonts w:ascii="Cambria" w:eastAsia="Cambria" w:hAnsi="Cambria" w:cs="Cambria"/>
          <w:sz w:val="20"/>
          <w:szCs w:val="20"/>
          <w:lang w:val="en-US"/>
        </w:rPr>
        <w:t xml:space="preserve"> 1 </w:t>
      </w:r>
      <w:r w:rsidRPr="00CC562A">
        <w:rPr>
          <w:rFonts w:ascii="Cambria" w:eastAsia="Cambria" w:hAnsi="Cambria" w:cs="Cambria"/>
          <w:sz w:val="20"/>
          <w:szCs w:val="20"/>
          <w:lang w:val="en-US"/>
        </w:rPr>
        <w:t>of the Mexican Constitution and the international treaties to which it is a party, with unlimited respect for human rights and the principles of universality, interdependence, indivisibility, and progressivity.</w:t>
      </w:r>
      <w:r w:rsidR="00886665" w:rsidRPr="00CC562A">
        <w:rPr>
          <w:rStyle w:val="FootnoteReference"/>
          <w:rFonts w:ascii="Cambria" w:eastAsia="Cambria" w:hAnsi="Cambria" w:cs="Cambria"/>
          <w:sz w:val="20"/>
          <w:szCs w:val="20"/>
          <w:lang w:val="en-US"/>
        </w:rPr>
        <w:footnoteReference w:id="29"/>
      </w:r>
    </w:p>
    <w:p w14:paraId="5AF7BE22" w14:textId="78B99661" w:rsidR="00F5234B" w:rsidRPr="00CC562A" w:rsidRDefault="00FF151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relation to this recommendation, the </w:t>
      </w:r>
      <w:r w:rsidR="3B09A5A3" w:rsidRPr="00CC562A">
        <w:rPr>
          <w:rFonts w:ascii="Cambria" w:eastAsia="Cambria" w:hAnsi="Cambria" w:cs="Cambria"/>
          <w:sz w:val="20"/>
          <w:szCs w:val="20"/>
          <w:lang w:val="en-US"/>
        </w:rPr>
        <w:t>CMDPDH report</w:t>
      </w:r>
      <w:r w:rsidRPr="00CC562A">
        <w:rPr>
          <w:rFonts w:ascii="Cambria" w:eastAsia="Cambria" w:hAnsi="Cambria" w:cs="Cambria"/>
          <w:sz w:val="20"/>
          <w:szCs w:val="20"/>
          <w:lang w:val="en-US"/>
        </w:rPr>
        <w:t>ed</w:t>
      </w:r>
      <w:r w:rsidR="00115B7D" w:rsidRPr="00CC562A">
        <w:rPr>
          <w:rStyle w:val="FootnoteReference"/>
          <w:sz w:val="20"/>
          <w:szCs w:val="20"/>
          <w:lang w:val="en-US"/>
        </w:rPr>
        <w:footnoteReference w:id="30"/>
      </w:r>
      <w:r w:rsidR="4AAC4102" w:rsidRPr="00CC562A">
        <w:rPr>
          <w:b/>
          <w:bCs/>
          <w:sz w:val="20"/>
          <w:szCs w:val="20"/>
          <w:lang w:val="en-US"/>
        </w:rPr>
        <w:t xml:space="preserve"> </w:t>
      </w:r>
      <w:r w:rsidRPr="00CC562A">
        <w:rPr>
          <w:rFonts w:ascii="Cambria" w:eastAsia="Cambria" w:hAnsi="Cambria" w:cs="Cambria"/>
          <w:sz w:val="20"/>
          <w:szCs w:val="20"/>
          <w:lang w:val="en-US"/>
        </w:rPr>
        <w:t xml:space="preserve">that its </w:t>
      </w:r>
      <w:r w:rsidR="001D628C" w:rsidRPr="00CC562A">
        <w:rPr>
          <w:rFonts w:ascii="Cambria" w:eastAsia="Cambria" w:hAnsi="Cambria" w:cs="Cambria"/>
          <w:sz w:val="20"/>
          <w:szCs w:val="20"/>
          <w:lang w:val="en-US"/>
        </w:rPr>
        <w:t xml:space="preserve">unconstitutionality </w:t>
      </w:r>
      <w:r w:rsidR="00747A4B" w:rsidRPr="00CC562A">
        <w:rPr>
          <w:rFonts w:ascii="Cambria" w:eastAsia="Cambria" w:hAnsi="Cambria" w:cs="Cambria"/>
          <w:sz w:val="20"/>
          <w:szCs w:val="20"/>
          <w:lang w:val="en-US"/>
        </w:rPr>
        <w:t>appeal</w:t>
      </w:r>
      <w:r w:rsidR="001D628C" w:rsidRPr="00CC562A">
        <w:rPr>
          <w:rFonts w:ascii="Cambria" w:eastAsia="Cambria" w:hAnsi="Cambria" w:cs="Cambria"/>
          <w:sz w:val="20"/>
          <w:szCs w:val="20"/>
          <w:lang w:val="en-US"/>
        </w:rPr>
        <w:t xml:space="preserve"> </w:t>
      </w:r>
      <w:r w:rsidR="3B09A5A3" w:rsidRPr="00CC562A">
        <w:rPr>
          <w:rFonts w:ascii="Cambria" w:eastAsia="Cambria" w:hAnsi="Cambria" w:cs="Cambria"/>
          <w:sz w:val="20"/>
          <w:szCs w:val="20"/>
          <w:lang w:val="en-US"/>
        </w:rPr>
        <w:t xml:space="preserve">64/2019 </w:t>
      </w:r>
      <w:r w:rsidR="001D628C" w:rsidRPr="00CC562A">
        <w:rPr>
          <w:rFonts w:ascii="Cambria" w:eastAsia="Cambria" w:hAnsi="Cambria" w:cs="Cambria"/>
          <w:sz w:val="20"/>
          <w:szCs w:val="20"/>
          <w:lang w:val="en-US"/>
        </w:rPr>
        <w:t>was resolved on November 9,</w:t>
      </w:r>
      <w:r w:rsidR="3B09A5A3" w:rsidRPr="00CC562A">
        <w:rPr>
          <w:rFonts w:ascii="Cambria" w:eastAsia="Cambria" w:hAnsi="Cambria" w:cs="Cambria"/>
          <w:sz w:val="20"/>
          <w:szCs w:val="20"/>
          <w:lang w:val="en-US"/>
        </w:rPr>
        <w:t xml:space="preserve"> 2022</w:t>
      </w:r>
      <w:r w:rsidR="00CC660C" w:rsidRPr="00CC562A">
        <w:rPr>
          <w:rStyle w:val="FootnoteReference"/>
          <w:rFonts w:ascii="Cambria" w:eastAsia="Cambria" w:hAnsi="Cambria" w:cs="Cambria"/>
          <w:sz w:val="20"/>
          <w:szCs w:val="20"/>
          <w:lang w:val="en-US"/>
        </w:rPr>
        <w:footnoteReference w:id="31"/>
      </w:r>
      <w:r w:rsidR="001D628C" w:rsidRPr="00CC562A">
        <w:rPr>
          <w:rFonts w:ascii="Cambria" w:eastAsia="Cambria" w:hAnsi="Cambria" w:cs="Cambria"/>
          <w:sz w:val="20"/>
          <w:szCs w:val="20"/>
          <w:lang w:val="en-US"/>
        </w:rPr>
        <w:t xml:space="preserve"> determining that legislative omissions relating to the mandatory exercise </w:t>
      </w:r>
      <w:r w:rsidR="00747A4B" w:rsidRPr="00CC562A">
        <w:rPr>
          <w:rFonts w:ascii="Cambria" w:eastAsia="Cambria" w:hAnsi="Cambria" w:cs="Cambria"/>
          <w:sz w:val="20"/>
          <w:szCs w:val="20"/>
          <w:lang w:val="en-US"/>
        </w:rPr>
        <w:t xml:space="preserve">of </w:t>
      </w:r>
      <w:r w:rsidR="001D628C" w:rsidRPr="00CC562A">
        <w:rPr>
          <w:rFonts w:ascii="Cambria" w:eastAsia="Cambria" w:hAnsi="Cambria" w:cs="Cambria"/>
          <w:sz w:val="20"/>
          <w:szCs w:val="20"/>
          <w:lang w:val="en-US"/>
        </w:rPr>
        <w:t xml:space="preserve">jurisdiction on the part of the Congress of the Union were updated, consisting </w:t>
      </w:r>
      <w:r w:rsidR="00747A4B" w:rsidRPr="00CC562A">
        <w:rPr>
          <w:rFonts w:ascii="Cambria" w:eastAsia="Cambria" w:hAnsi="Cambria" w:cs="Cambria"/>
          <w:sz w:val="20"/>
          <w:szCs w:val="20"/>
          <w:lang w:val="en-US"/>
        </w:rPr>
        <w:t>of</w:t>
      </w:r>
      <w:r w:rsidR="3B09A5A3" w:rsidRPr="00CC562A">
        <w:rPr>
          <w:rFonts w:ascii="Cambria" w:eastAsia="Cambria" w:hAnsi="Cambria" w:cs="Cambria"/>
          <w:sz w:val="20"/>
          <w:szCs w:val="20"/>
          <w:lang w:val="en-US"/>
        </w:rPr>
        <w:t xml:space="preserve">: a) </w:t>
      </w:r>
      <w:r w:rsidR="001D628C" w:rsidRPr="00CC562A">
        <w:rPr>
          <w:rFonts w:ascii="Cambria" w:eastAsia="Cambria" w:hAnsi="Cambria" w:cs="Cambria"/>
          <w:sz w:val="20"/>
          <w:szCs w:val="20"/>
          <w:lang w:val="en-US"/>
        </w:rPr>
        <w:t>the failure to provide for the use of force; and</w:t>
      </w:r>
      <w:r w:rsidR="3B09A5A3" w:rsidRPr="00CC562A">
        <w:rPr>
          <w:rFonts w:ascii="Cambria" w:eastAsia="Cambria" w:hAnsi="Cambria" w:cs="Cambria"/>
          <w:sz w:val="20"/>
          <w:szCs w:val="20"/>
          <w:lang w:val="en-US"/>
        </w:rPr>
        <w:t xml:space="preserve">, b) </w:t>
      </w:r>
      <w:r w:rsidR="00747A4B" w:rsidRPr="00CC562A">
        <w:rPr>
          <w:rFonts w:ascii="Cambria" w:eastAsia="Cambria" w:hAnsi="Cambria" w:cs="Cambria"/>
          <w:sz w:val="20"/>
          <w:szCs w:val="20"/>
          <w:lang w:val="en-US"/>
        </w:rPr>
        <w:t>the</w:t>
      </w:r>
      <w:r w:rsidR="001D628C" w:rsidRPr="00CC562A">
        <w:rPr>
          <w:rFonts w:ascii="Cambria" w:eastAsia="Cambria" w:hAnsi="Cambria" w:cs="Cambria"/>
          <w:sz w:val="20"/>
          <w:szCs w:val="20"/>
          <w:lang w:val="en-US"/>
        </w:rPr>
        <w:t xml:space="preserve"> failure to make the use of force subject to the principles of rationality and timing. In addition, it declared </w:t>
      </w:r>
      <w:r w:rsidR="000041C0" w:rsidRPr="00CC562A">
        <w:rPr>
          <w:rFonts w:ascii="Cambria" w:eastAsia="Cambria" w:hAnsi="Cambria" w:cs="Cambria"/>
          <w:sz w:val="20"/>
          <w:szCs w:val="20"/>
          <w:lang w:val="en-US"/>
        </w:rPr>
        <w:t>invalid the “non-lethal” regulatory portion of section VI of Article</w:t>
      </w:r>
      <w:r w:rsidR="3B09A5A3" w:rsidRPr="00CC562A">
        <w:rPr>
          <w:rFonts w:ascii="Cambria" w:eastAsia="Cambria" w:hAnsi="Cambria" w:cs="Cambria"/>
          <w:sz w:val="20"/>
          <w:szCs w:val="20"/>
          <w:lang w:val="en-US"/>
        </w:rPr>
        <w:t xml:space="preserve"> 6, </w:t>
      </w:r>
      <w:r w:rsidR="000041C0" w:rsidRPr="00CC562A">
        <w:rPr>
          <w:rFonts w:ascii="Cambria" w:eastAsia="Cambria" w:hAnsi="Cambria" w:cs="Cambria"/>
          <w:sz w:val="20"/>
          <w:szCs w:val="20"/>
          <w:lang w:val="en-US"/>
        </w:rPr>
        <w:t xml:space="preserve">which by regulating the gradation of the impact of the use of force on persons provides for serious injury </w:t>
      </w:r>
      <w:proofErr w:type="gramStart"/>
      <w:r w:rsidR="000041C0" w:rsidRPr="00CC562A">
        <w:rPr>
          <w:rFonts w:ascii="Cambria" w:eastAsia="Cambria" w:hAnsi="Cambria" w:cs="Cambria"/>
          <w:sz w:val="20"/>
          <w:szCs w:val="20"/>
          <w:lang w:val="en-US"/>
        </w:rPr>
        <w:t>through the use of</w:t>
      </w:r>
      <w:proofErr w:type="gramEnd"/>
      <w:r w:rsidR="000041C0" w:rsidRPr="00CC562A">
        <w:rPr>
          <w:rFonts w:ascii="Cambria" w:eastAsia="Cambria" w:hAnsi="Cambria" w:cs="Cambria"/>
          <w:sz w:val="20"/>
          <w:szCs w:val="20"/>
          <w:lang w:val="en-US"/>
        </w:rPr>
        <w:t xml:space="preserve"> non-lethal force. Nonetheless, they reported that all the remaining aspects challenged by the</w:t>
      </w:r>
      <w:r w:rsidR="3B09A5A3" w:rsidRPr="00CC562A">
        <w:rPr>
          <w:rFonts w:ascii="Cambria" w:eastAsia="Cambria" w:hAnsi="Cambria" w:cs="Cambria"/>
          <w:sz w:val="20"/>
          <w:szCs w:val="20"/>
          <w:lang w:val="en-US"/>
        </w:rPr>
        <w:t xml:space="preserve"> CNDH </w:t>
      </w:r>
      <w:r w:rsidR="000041C0" w:rsidRPr="00CC562A">
        <w:rPr>
          <w:rFonts w:ascii="Cambria" w:eastAsia="Cambria" w:hAnsi="Cambria" w:cs="Cambria"/>
          <w:sz w:val="20"/>
          <w:szCs w:val="20"/>
          <w:lang w:val="en-US"/>
        </w:rPr>
        <w:t>were rejected by the full Supreme Court of Justice of the Nation (</w:t>
      </w:r>
      <w:r w:rsidR="3B09A5A3" w:rsidRPr="00CC562A">
        <w:rPr>
          <w:rFonts w:ascii="Cambria" w:eastAsia="Cambria" w:hAnsi="Cambria" w:cs="Cambria"/>
          <w:sz w:val="20"/>
          <w:szCs w:val="20"/>
          <w:lang w:val="en-US"/>
        </w:rPr>
        <w:t>SCJN</w:t>
      </w:r>
      <w:r w:rsidR="000041C0" w:rsidRPr="00CC562A">
        <w:rPr>
          <w:rFonts w:ascii="Cambria" w:eastAsia="Cambria" w:hAnsi="Cambria" w:cs="Cambria"/>
          <w:sz w:val="20"/>
          <w:szCs w:val="20"/>
          <w:lang w:val="en-US"/>
        </w:rPr>
        <w:t>)</w:t>
      </w:r>
      <w:r w:rsidR="3B09A5A3" w:rsidRPr="00CC562A">
        <w:rPr>
          <w:rFonts w:ascii="Cambria" w:eastAsia="Cambria" w:hAnsi="Cambria" w:cs="Cambria"/>
          <w:sz w:val="20"/>
          <w:szCs w:val="20"/>
          <w:lang w:val="en-US"/>
        </w:rPr>
        <w:t xml:space="preserve">, </w:t>
      </w:r>
      <w:r w:rsidR="000041C0" w:rsidRPr="00CC562A">
        <w:rPr>
          <w:rFonts w:ascii="Cambria" w:eastAsia="Cambria" w:hAnsi="Cambria" w:cs="Cambria"/>
          <w:sz w:val="20"/>
          <w:szCs w:val="20"/>
          <w:lang w:val="en-US"/>
        </w:rPr>
        <w:t xml:space="preserve">which </w:t>
      </w:r>
      <w:r w:rsidR="00747A4B" w:rsidRPr="00CC562A">
        <w:rPr>
          <w:rFonts w:ascii="Cambria" w:eastAsia="Cambria" w:hAnsi="Cambria" w:cs="Cambria"/>
          <w:sz w:val="20"/>
          <w:szCs w:val="20"/>
          <w:lang w:val="en-US"/>
        </w:rPr>
        <w:t>upheld</w:t>
      </w:r>
      <w:r w:rsidR="000041C0" w:rsidRPr="00CC562A">
        <w:rPr>
          <w:rFonts w:ascii="Cambria" w:eastAsia="Cambria" w:hAnsi="Cambria" w:cs="Cambria"/>
          <w:sz w:val="20"/>
          <w:szCs w:val="20"/>
          <w:lang w:val="en-US"/>
        </w:rPr>
        <w:t xml:space="preserve"> the use of technological devices for the purpose of audiovisual recording of operations for purposes of verification.</w:t>
      </w:r>
    </w:p>
    <w:p w14:paraId="61F470E9" w14:textId="05FCACA1" w:rsidR="00F5234B" w:rsidRPr="00CC562A" w:rsidRDefault="3B09A5A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0041C0" w:rsidRPr="00CC562A">
        <w:rPr>
          <w:rFonts w:ascii="Cambria" w:eastAsia="Cambria" w:hAnsi="Cambria" w:cs="Cambria"/>
          <w:sz w:val="20"/>
          <w:szCs w:val="20"/>
          <w:lang w:val="en-US"/>
        </w:rPr>
        <w:t xml:space="preserve">garding the appeal filed by the </w:t>
      </w:r>
      <w:r w:rsidRPr="00CC562A">
        <w:rPr>
          <w:rFonts w:ascii="Cambria" w:eastAsia="Cambria" w:hAnsi="Cambria" w:cs="Cambria"/>
          <w:sz w:val="20"/>
          <w:szCs w:val="20"/>
          <w:lang w:val="en-US"/>
        </w:rPr>
        <w:t xml:space="preserve">CMDPDH, </w:t>
      </w:r>
      <w:r w:rsidR="000041C0" w:rsidRPr="00CC562A">
        <w:rPr>
          <w:rFonts w:ascii="Cambria" w:eastAsia="Cambria" w:hAnsi="Cambria" w:cs="Cambria"/>
          <w:sz w:val="20"/>
          <w:szCs w:val="20"/>
          <w:lang w:val="en-US"/>
        </w:rPr>
        <w:t>they indicated that it is pending resolution</w:t>
      </w:r>
      <w:r w:rsidRPr="00CC562A">
        <w:rPr>
          <w:rFonts w:ascii="Cambria" w:eastAsia="Cambria" w:hAnsi="Cambria" w:cs="Cambria"/>
          <w:sz w:val="20"/>
          <w:szCs w:val="20"/>
          <w:lang w:val="en-US"/>
        </w:rPr>
        <w:t xml:space="preserve">. </w:t>
      </w:r>
      <w:r w:rsidR="00E323B5" w:rsidRPr="00CC562A">
        <w:rPr>
          <w:rFonts w:ascii="Cambria" w:eastAsia="Cambria" w:hAnsi="Cambria" w:cs="Cambria"/>
          <w:sz w:val="20"/>
          <w:szCs w:val="20"/>
          <w:lang w:val="en-US"/>
        </w:rPr>
        <w:t xml:space="preserve">Its discussion has been proposed on two occasions, most recently on October 5, </w:t>
      </w:r>
      <w:r w:rsidR="5F88AD4B" w:rsidRPr="00CC562A">
        <w:rPr>
          <w:rFonts w:ascii="Cambria" w:eastAsia="Cambria" w:hAnsi="Cambria" w:cs="Cambria"/>
          <w:sz w:val="20"/>
          <w:szCs w:val="20"/>
          <w:lang w:val="en-US"/>
        </w:rPr>
        <w:t>2022</w:t>
      </w:r>
      <w:r w:rsidRPr="00CC562A">
        <w:rPr>
          <w:rFonts w:ascii="Cambria" w:eastAsia="Cambria" w:hAnsi="Cambria" w:cs="Cambria"/>
          <w:sz w:val="20"/>
          <w:szCs w:val="20"/>
          <w:lang w:val="en-US"/>
        </w:rPr>
        <w:t>.</w:t>
      </w:r>
      <w:r w:rsidR="00E323B5" w:rsidRPr="00CC562A">
        <w:rPr>
          <w:rFonts w:ascii="Cambria" w:eastAsia="Cambria" w:hAnsi="Cambria" w:cs="Cambria"/>
          <w:sz w:val="20"/>
          <w:szCs w:val="20"/>
          <w:lang w:val="en-US"/>
        </w:rPr>
        <w:t xml:space="preserve"> They indicate that the draft decision proposes to declare the constitutionality of the challenged provisions of the National Law </w:t>
      </w:r>
      <w:r w:rsidR="005160F8" w:rsidRPr="00CC562A">
        <w:rPr>
          <w:rFonts w:ascii="Cambria" w:eastAsia="Cambria" w:hAnsi="Cambria" w:cs="Cambria"/>
          <w:sz w:val="20"/>
          <w:szCs w:val="20"/>
          <w:lang w:val="en-US"/>
        </w:rPr>
        <w:t>on the</w:t>
      </w:r>
      <w:r w:rsidR="00E323B5" w:rsidRPr="00CC562A">
        <w:rPr>
          <w:rFonts w:ascii="Cambria" w:eastAsia="Cambria" w:hAnsi="Cambria" w:cs="Cambria"/>
          <w:sz w:val="20"/>
          <w:szCs w:val="20"/>
          <w:lang w:val="en-US"/>
        </w:rPr>
        <w:t xml:space="preserve"> Use of Force (</w:t>
      </w:r>
      <w:r w:rsidRPr="00CC562A">
        <w:rPr>
          <w:rFonts w:ascii="Cambria" w:eastAsia="Cambria" w:hAnsi="Cambria" w:cs="Cambria"/>
          <w:sz w:val="20"/>
          <w:szCs w:val="20"/>
          <w:lang w:val="en-US"/>
        </w:rPr>
        <w:t>LNUF</w:t>
      </w:r>
      <w:r w:rsidR="00E323B5"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w:t>
      </w:r>
      <w:r w:rsidR="00E323B5" w:rsidRPr="00CC562A">
        <w:rPr>
          <w:rFonts w:ascii="Cambria" w:eastAsia="Cambria" w:hAnsi="Cambria" w:cs="Cambria"/>
          <w:sz w:val="20"/>
          <w:szCs w:val="20"/>
          <w:lang w:val="en-US"/>
        </w:rPr>
        <w:t>and deny the appeal</w:t>
      </w:r>
      <w:r w:rsidRPr="00CC562A">
        <w:rPr>
          <w:rFonts w:ascii="Cambria" w:eastAsia="Cambria" w:hAnsi="Cambria" w:cs="Cambria"/>
          <w:sz w:val="20"/>
          <w:szCs w:val="20"/>
          <w:lang w:val="en-US"/>
        </w:rPr>
        <w:t xml:space="preserve">. </w:t>
      </w:r>
      <w:r w:rsidR="00E323B5" w:rsidRPr="00CC562A">
        <w:rPr>
          <w:rFonts w:ascii="Cambria" w:eastAsia="Cambria" w:hAnsi="Cambria" w:cs="Cambria"/>
          <w:sz w:val="20"/>
          <w:szCs w:val="20"/>
          <w:lang w:val="en-US"/>
        </w:rPr>
        <w:t>The</w:t>
      </w:r>
      <w:r w:rsidR="05DB3C45" w:rsidRPr="00CC562A">
        <w:rPr>
          <w:rFonts w:ascii="Cambria" w:eastAsia="Cambria" w:hAnsi="Cambria" w:cs="Cambria"/>
          <w:sz w:val="20"/>
          <w:szCs w:val="20"/>
          <w:lang w:val="en-US"/>
        </w:rPr>
        <w:t xml:space="preserve"> </w:t>
      </w:r>
      <w:r w:rsidR="7413C148" w:rsidRPr="00CC562A">
        <w:rPr>
          <w:rFonts w:ascii="Cambria" w:eastAsia="Cambria" w:hAnsi="Cambria" w:cs="Cambria"/>
          <w:sz w:val="20"/>
          <w:szCs w:val="20"/>
          <w:lang w:val="en-US"/>
        </w:rPr>
        <w:t>CMDPDH establ</w:t>
      </w:r>
      <w:r w:rsidR="00E323B5" w:rsidRPr="00CC562A">
        <w:rPr>
          <w:rFonts w:ascii="Cambria" w:eastAsia="Cambria" w:hAnsi="Cambria" w:cs="Cambria"/>
          <w:sz w:val="20"/>
          <w:szCs w:val="20"/>
          <w:lang w:val="en-US"/>
        </w:rPr>
        <w:t>ished that in response to the argument that the challenged provisions ha</w:t>
      </w:r>
      <w:r w:rsidR="003714EA" w:rsidRPr="00CC562A">
        <w:rPr>
          <w:rFonts w:ascii="Cambria" w:eastAsia="Cambria" w:hAnsi="Cambria" w:cs="Cambria"/>
          <w:sz w:val="20"/>
          <w:szCs w:val="20"/>
          <w:lang w:val="en-US"/>
        </w:rPr>
        <w:t>ve</w:t>
      </w:r>
      <w:r w:rsidR="00E323B5" w:rsidRPr="00CC562A">
        <w:rPr>
          <w:rFonts w:ascii="Cambria" w:eastAsia="Cambria" w:hAnsi="Cambria" w:cs="Cambria"/>
          <w:sz w:val="20"/>
          <w:szCs w:val="20"/>
          <w:lang w:val="en-US"/>
        </w:rPr>
        <w:t xml:space="preserve"> an inhibitory effect that limits the exercise of the right to protect and to defend human rights, the</w:t>
      </w:r>
      <w:r w:rsidR="7413C148" w:rsidRPr="00CC562A">
        <w:rPr>
          <w:rFonts w:ascii="Cambria" w:eastAsia="Cambria" w:hAnsi="Cambria" w:cs="Cambria"/>
          <w:sz w:val="20"/>
          <w:szCs w:val="20"/>
          <w:lang w:val="en-US"/>
        </w:rPr>
        <w:t xml:space="preserve"> SCJN respond</w:t>
      </w:r>
      <w:r w:rsidR="00E323B5" w:rsidRPr="00CC562A">
        <w:rPr>
          <w:rFonts w:ascii="Cambria" w:eastAsia="Cambria" w:hAnsi="Cambria" w:cs="Cambria"/>
          <w:sz w:val="20"/>
          <w:szCs w:val="20"/>
          <w:lang w:val="en-US"/>
        </w:rPr>
        <w:t>ed in a footnote that</w:t>
      </w:r>
      <w:r w:rsidR="7413C148" w:rsidRPr="00CC562A">
        <w:rPr>
          <w:rFonts w:ascii="Cambria" w:eastAsia="Cambria" w:hAnsi="Cambria" w:cs="Cambria"/>
          <w:sz w:val="20"/>
          <w:szCs w:val="20"/>
          <w:lang w:val="en-US"/>
        </w:rPr>
        <w:t>: “</w:t>
      </w:r>
      <w:r w:rsidR="00E323B5" w:rsidRPr="00CC562A">
        <w:rPr>
          <w:rFonts w:ascii="Cambria" w:eastAsia="Cambria" w:hAnsi="Cambria" w:cs="Cambria"/>
          <w:sz w:val="20"/>
          <w:szCs w:val="20"/>
          <w:lang w:val="en-US"/>
        </w:rPr>
        <w:t>hypothetically, should it occur, an impa</w:t>
      </w:r>
      <w:r w:rsidR="003714EA" w:rsidRPr="00CC562A">
        <w:rPr>
          <w:rFonts w:ascii="Cambria" w:eastAsia="Cambria" w:hAnsi="Cambria" w:cs="Cambria"/>
          <w:sz w:val="20"/>
          <w:szCs w:val="20"/>
          <w:lang w:val="en-US"/>
        </w:rPr>
        <w:t>c</w:t>
      </w:r>
      <w:r w:rsidR="00E323B5" w:rsidRPr="00CC562A">
        <w:rPr>
          <w:rFonts w:ascii="Cambria" w:eastAsia="Cambria" w:hAnsi="Cambria" w:cs="Cambria"/>
          <w:sz w:val="20"/>
          <w:szCs w:val="20"/>
          <w:lang w:val="en-US"/>
        </w:rPr>
        <w:t xml:space="preserve">t and consequently inhibition could occur in the event of an incorrect application of the provisions; however, this does not directly follow from the regulatory content subject to analysis.” In response, the organization considered that in a context like that existing in Mexico “it is extremely concerning that the first </w:t>
      </w:r>
      <w:r w:rsidR="00D85D59" w:rsidRPr="00CC562A">
        <w:rPr>
          <w:rFonts w:ascii="Cambria" w:eastAsia="Cambria" w:hAnsi="Cambria" w:cs="Cambria"/>
          <w:sz w:val="20"/>
          <w:szCs w:val="20"/>
          <w:lang w:val="en-US"/>
        </w:rPr>
        <w:t xml:space="preserve">chamber, hemmed in </w:t>
      </w:r>
      <w:r w:rsidR="005160F8" w:rsidRPr="00CC562A">
        <w:rPr>
          <w:rFonts w:ascii="Cambria" w:eastAsia="Cambria" w:hAnsi="Cambria" w:cs="Cambria"/>
          <w:sz w:val="20"/>
          <w:szCs w:val="20"/>
          <w:lang w:val="en-US"/>
        </w:rPr>
        <w:t>by a</w:t>
      </w:r>
      <w:r w:rsidR="00D85D59" w:rsidRPr="00CC562A">
        <w:rPr>
          <w:rFonts w:ascii="Cambria" w:eastAsia="Cambria" w:hAnsi="Cambria" w:cs="Cambria"/>
          <w:sz w:val="20"/>
          <w:szCs w:val="20"/>
          <w:lang w:val="en-US"/>
        </w:rPr>
        <w:t xml:space="preserve"> very questionable decision handed down by the full Court, would validate the constitutional defects of the </w:t>
      </w:r>
      <w:r w:rsidR="519A22F8" w:rsidRPr="00CC562A">
        <w:rPr>
          <w:rFonts w:ascii="Cambria" w:eastAsia="Cambria" w:hAnsi="Cambria" w:cs="Cambria"/>
          <w:sz w:val="20"/>
          <w:szCs w:val="20"/>
          <w:lang w:val="en-US"/>
        </w:rPr>
        <w:t>LNUF</w:t>
      </w:r>
      <w:r w:rsidR="00D85D59" w:rsidRPr="00CC562A">
        <w:rPr>
          <w:rFonts w:ascii="Cambria" w:eastAsia="Cambria" w:hAnsi="Cambria" w:cs="Cambria"/>
          <w:sz w:val="20"/>
          <w:szCs w:val="20"/>
          <w:lang w:val="en-US"/>
        </w:rPr>
        <w:t>.</w:t>
      </w:r>
      <w:r w:rsidR="519A22F8" w:rsidRPr="00CC562A">
        <w:rPr>
          <w:rFonts w:ascii="Cambria" w:eastAsia="Cambria" w:hAnsi="Cambria" w:cs="Cambria"/>
          <w:sz w:val="20"/>
          <w:szCs w:val="20"/>
          <w:lang w:val="en-US"/>
        </w:rPr>
        <w:t>”</w:t>
      </w:r>
    </w:p>
    <w:p w14:paraId="5A93FFBC" w14:textId="64FDFA5B" w:rsidR="00DA475C" w:rsidRPr="00CC562A" w:rsidRDefault="00D85D5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For its part, the PRODH </w:t>
      </w:r>
      <w:r w:rsidRPr="00CC562A">
        <w:rPr>
          <w:rFonts w:ascii="Cambria" w:eastAsia="Cambria" w:hAnsi="Cambria" w:cs="Cambria"/>
          <w:sz w:val="20"/>
          <w:szCs w:val="20"/>
          <w:lang w:val="en-US"/>
        </w:rPr>
        <w:tab/>
        <w:t xml:space="preserve">Center highlighted the deficiencies in the implementation of the law in that Article </w:t>
      </w:r>
      <w:r w:rsidR="3A50153C" w:rsidRPr="00CC562A">
        <w:rPr>
          <w:rFonts w:ascii="Cambria" w:eastAsia="Cambria" w:hAnsi="Cambria" w:cs="Cambria"/>
          <w:sz w:val="20"/>
          <w:szCs w:val="20"/>
          <w:lang w:val="en-US"/>
        </w:rPr>
        <w:t xml:space="preserve">32 </w:t>
      </w:r>
      <w:r w:rsidRPr="00CC562A">
        <w:rPr>
          <w:rFonts w:ascii="Cambria" w:eastAsia="Cambria" w:hAnsi="Cambria" w:cs="Cambria"/>
          <w:sz w:val="20"/>
          <w:szCs w:val="20"/>
          <w:lang w:val="en-US"/>
        </w:rPr>
        <w:t xml:space="preserve">thereof mandates that agents of security institutions shall prepare reports on the use of force </w:t>
      </w:r>
      <w:r w:rsidRPr="00CC562A">
        <w:rPr>
          <w:rFonts w:ascii="Cambria" w:eastAsia="Cambria" w:hAnsi="Cambria" w:cs="Cambria"/>
          <w:sz w:val="20"/>
          <w:szCs w:val="20"/>
          <w:lang w:val="en-US"/>
        </w:rPr>
        <w:lastRenderedPageBreak/>
        <w:t>when this occurs in the performance of their duties,</w:t>
      </w:r>
      <w:r w:rsidR="0054543A" w:rsidRPr="00CC562A">
        <w:rPr>
          <w:rFonts w:ascii="Cambria" w:eastAsia="Cambria" w:hAnsi="Cambria" w:cs="Cambria"/>
          <w:sz w:val="20"/>
          <w:szCs w:val="20"/>
          <w:vertAlign w:val="superscript"/>
          <w:lang w:val="en-US"/>
        </w:rPr>
        <w:footnoteReference w:id="32"/>
      </w:r>
      <w:r w:rsidRPr="00CC562A">
        <w:rPr>
          <w:rFonts w:ascii="Cambria" w:eastAsia="Cambria" w:hAnsi="Cambria" w:cs="Cambria"/>
          <w:sz w:val="20"/>
          <w:szCs w:val="20"/>
          <w:lang w:val="en-US"/>
        </w:rPr>
        <w:t xml:space="preserve"> while Article </w:t>
      </w:r>
      <w:r w:rsidR="3A50153C" w:rsidRPr="00CC562A">
        <w:rPr>
          <w:rFonts w:ascii="Cambria" w:eastAsia="Cambria" w:hAnsi="Cambria" w:cs="Cambria"/>
          <w:sz w:val="20"/>
          <w:szCs w:val="20"/>
          <w:lang w:val="en-US"/>
        </w:rPr>
        <w:t xml:space="preserve">35 </w:t>
      </w:r>
      <w:r w:rsidRPr="00CC562A">
        <w:rPr>
          <w:rFonts w:ascii="Cambria" w:eastAsia="Cambria" w:hAnsi="Cambria" w:cs="Cambria"/>
          <w:sz w:val="20"/>
          <w:szCs w:val="20"/>
          <w:lang w:val="en-US"/>
        </w:rPr>
        <w:t>provides that security institutions must submit annual public reports on their activities involving the use of force. However, such events are opaque in Mexico, given that the National Guard has not made public the reports it should prepare in accordance with the articles cited.</w:t>
      </w:r>
      <w:r w:rsidR="0054543A" w:rsidRPr="00CC562A">
        <w:rPr>
          <w:rFonts w:ascii="Cambria" w:eastAsia="Cambria" w:hAnsi="Cambria" w:cs="Cambria"/>
          <w:sz w:val="20"/>
          <w:szCs w:val="20"/>
          <w:vertAlign w:val="superscript"/>
          <w:lang w:val="en-US"/>
        </w:rPr>
        <w:footnoteReference w:id="33"/>
      </w:r>
      <w:r w:rsidRPr="00CC562A">
        <w:rPr>
          <w:rFonts w:ascii="Cambria" w:eastAsia="Cambria" w:hAnsi="Cambria" w:cs="Cambria"/>
          <w:sz w:val="20"/>
          <w:szCs w:val="20"/>
          <w:lang w:val="en-US"/>
        </w:rPr>
        <w:t xml:space="preserve"> Thus, it emphasizes that the complaints against the National Guard submitted to the </w:t>
      </w:r>
      <w:r w:rsidR="3A50153C" w:rsidRPr="00CC562A">
        <w:rPr>
          <w:rFonts w:ascii="Cambria" w:eastAsia="Cambria" w:hAnsi="Cambria" w:cs="Cambria"/>
          <w:sz w:val="20"/>
          <w:szCs w:val="20"/>
          <w:lang w:val="en-US"/>
        </w:rPr>
        <w:t xml:space="preserve">CNDH </w:t>
      </w:r>
      <w:r w:rsidRPr="00CC562A">
        <w:rPr>
          <w:rFonts w:ascii="Cambria" w:eastAsia="Cambria" w:hAnsi="Cambria" w:cs="Cambria"/>
          <w:sz w:val="20"/>
          <w:szCs w:val="20"/>
          <w:lang w:val="en-US"/>
        </w:rPr>
        <w:t xml:space="preserve">between January and April </w:t>
      </w:r>
      <w:r w:rsidR="3A50153C" w:rsidRPr="00CC562A">
        <w:rPr>
          <w:rFonts w:ascii="Cambria" w:eastAsia="Cambria" w:hAnsi="Cambria" w:cs="Cambria"/>
          <w:sz w:val="20"/>
          <w:szCs w:val="20"/>
          <w:lang w:val="en-US"/>
        </w:rPr>
        <w:t xml:space="preserve">2022 </w:t>
      </w:r>
      <w:r w:rsidR="00E93FB5" w:rsidRPr="00CC562A">
        <w:rPr>
          <w:rFonts w:ascii="Cambria" w:eastAsia="Cambria" w:hAnsi="Cambria" w:cs="Cambria"/>
          <w:sz w:val="20"/>
          <w:szCs w:val="20"/>
          <w:lang w:val="en-US"/>
        </w:rPr>
        <w:t>include reports on the arbitrary use of force.</w:t>
      </w:r>
      <w:r w:rsidR="0054543A" w:rsidRPr="00CC562A">
        <w:rPr>
          <w:rFonts w:ascii="Cambria" w:eastAsia="Cambria" w:hAnsi="Cambria" w:cs="Cambria"/>
          <w:sz w:val="20"/>
          <w:szCs w:val="20"/>
          <w:vertAlign w:val="superscript"/>
          <w:lang w:val="en-US"/>
        </w:rPr>
        <w:footnoteReference w:id="34"/>
      </w:r>
    </w:p>
    <w:p w14:paraId="4EC8E0D2" w14:textId="140715B0" w:rsidR="00764DE2" w:rsidRPr="00CC562A" w:rsidRDefault="0063397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On  this point, as the IACHR indicated in its</w:t>
      </w:r>
      <w:r w:rsidR="58CB3919" w:rsidRPr="00CC562A">
        <w:rPr>
          <w:rFonts w:ascii="Cambria" w:hAnsi="Cambria"/>
          <w:sz w:val="20"/>
          <w:szCs w:val="20"/>
          <w:lang w:val="en-US"/>
        </w:rPr>
        <w:t xml:space="preserve"> 2019</w:t>
      </w:r>
      <w:r w:rsidRPr="00CC562A">
        <w:rPr>
          <w:rFonts w:ascii="Cambria" w:hAnsi="Cambria"/>
          <w:sz w:val="20"/>
          <w:szCs w:val="20"/>
          <w:lang w:val="en-US"/>
        </w:rPr>
        <w:t>,</w:t>
      </w:r>
      <w:r w:rsidR="00384D8C" w:rsidRPr="00CC562A">
        <w:rPr>
          <w:rStyle w:val="FootnoteReference"/>
          <w:rFonts w:ascii="Cambria" w:hAnsi="Cambria"/>
          <w:sz w:val="20"/>
          <w:szCs w:val="20"/>
          <w:lang w:val="en-US"/>
        </w:rPr>
        <w:footnoteReference w:id="35"/>
      </w:r>
      <w:r w:rsidR="58CB3919" w:rsidRPr="00CC562A">
        <w:rPr>
          <w:rFonts w:ascii="Cambria" w:hAnsi="Cambria"/>
          <w:sz w:val="20"/>
          <w:szCs w:val="20"/>
          <w:lang w:val="en-US"/>
        </w:rPr>
        <w:t xml:space="preserve"> 2020</w:t>
      </w:r>
      <w:r w:rsidRPr="00CC562A">
        <w:rPr>
          <w:rFonts w:ascii="Cambria" w:hAnsi="Cambria"/>
          <w:sz w:val="20"/>
          <w:szCs w:val="20"/>
          <w:lang w:val="en-US"/>
        </w:rPr>
        <w:t>,</w:t>
      </w:r>
      <w:r w:rsidR="00384D8C" w:rsidRPr="00CC562A">
        <w:rPr>
          <w:rStyle w:val="FootnoteReference"/>
          <w:rFonts w:ascii="Cambria" w:hAnsi="Cambria"/>
          <w:sz w:val="20"/>
          <w:szCs w:val="20"/>
          <w:lang w:val="en-US"/>
        </w:rPr>
        <w:footnoteReference w:id="36"/>
      </w:r>
      <w:r w:rsidR="58CB3919" w:rsidRPr="00CC562A">
        <w:rPr>
          <w:rFonts w:ascii="Cambria" w:hAnsi="Cambria"/>
          <w:position w:val="6"/>
          <w:sz w:val="12"/>
          <w:szCs w:val="12"/>
          <w:lang w:val="en-US"/>
        </w:rPr>
        <w:t xml:space="preserve">  </w:t>
      </w:r>
      <w:r w:rsidRPr="00CC562A">
        <w:rPr>
          <w:rFonts w:ascii="Cambria" w:hAnsi="Cambria"/>
          <w:sz w:val="20"/>
          <w:szCs w:val="20"/>
          <w:lang w:val="en-US"/>
        </w:rPr>
        <w:t xml:space="preserve">and </w:t>
      </w:r>
      <w:r w:rsidR="58CB3919" w:rsidRPr="00CC562A">
        <w:rPr>
          <w:rFonts w:ascii="Cambria" w:hAnsi="Cambria"/>
          <w:sz w:val="20"/>
          <w:szCs w:val="20"/>
          <w:lang w:val="en-US"/>
        </w:rPr>
        <w:t>2021</w:t>
      </w:r>
      <w:r w:rsidRPr="00CC562A">
        <w:rPr>
          <w:rFonts w:ascii="Cambria" w:hAnsi="Cambria"/>
          <w:sz w:val="20"/>
          <w:szCs w:val="20"/>
          <w:lang w:val="en-US"/>
        </w:rPr>
        <w:t xml:space="preserve"> reports,</w:t>
      </w:r>
      <w:r w:rsidR="00384D8C" w:rsidRPr="00CC562A">
        <w:rPr>
          <w:rStyle w:val="FootnoteReference"/>
          <w:rFonts w:ascii="Cambria" w:hAnsi="Cambria"/>
          <w:sz w:val="20"/>
          <w:szCs w:val="20"/>
          <w:lang w:val="en-US"/>
        </w:rPr>
        <w:footnoteReference w:id="37"/>
      </w:r>
      <w:r w:rsidRPr="00CC562A">
        <w:rPr>
          <w:rFonts w:ascii="Cambria" w:hAnsi="Cambria"/>
          <w:sz w:val="20"/>
          <w:szCs w:val="20"/>
          <w:lang w:val="en-US"/>
        </w:rPr>
        <w:t xml:space="preserve"> the text of the cited law indicates that the use of force by security agents is governed by the principles of absolute necessity, legality, prevention, proportionality, and accountability and </w:t>
      </w:r>
      <w:r w:rsidR="003714EA" w:rsidRPr="00CC562A">
        <w:rPr>
          <w:rFonts w:ascii="Cambria" w:hAnsi="Cambria"/>
          <w:sz w:val="20"/>
          <w:szCs w:val="20"/>
          <w:lang w:val="en-US"/>
        </w:rPr>
        <w:t>by</w:t>
      </w:r>
      <w:r w:rsidRPr="00CC562A">
        <w:rPr>
          <w:rFonts w:ascii="Cambria" w:hAnsi="Cambria"/>
          <w:sz w:val="20"/>
          <w:szCs w:val="20"/>
          <w:lang w:val="en-US"/>
        </w:rPr>
        <w:t xml:space="preserve"> full respect for human rights.</w:t>
      </w:r>
      <w:r w:rsidR="58CB3919" w:rsidRPr="00CC562A">
        <w:rPr>
          <w:rFonts w:ascii="Cambria" w:hAnsi="Cambria"/>
          <w:position w:val="6"/>
          <w:sz w:val="12"/>
          <w:szCs w:val="12"/>
          <w:lang w:val="en-US"/>
        </w:rPr>
        <w:t>24</w:t>
      </w:r>
      <w:r w:rsidRPr="00CC562A">
        <w:rPr>
          <w:rFonts w:ascii="Cambria" w:hAnsi="Cambria"/>
          <w:sz w:val="20"/>
          <w:szCs w:val="20"/>
          <w:lang w:val="en-US"/>
        </w:rPr>
        <w:t xml:space="preserve"> The Commission also noted in Chapters </w:t>
      </w:r>
      <w:r w:rsidR="58CB3919" w:rsidRPr="00CC562A">
        <w:rPr>
          <w:rFonts w:ascii="Cambria" w:hAnsi="Cambria"/>
          <w:sz w:val="20"/>
          <w:szCs w:val="20"/>
          <w:lang w:val="en-US"/>
        </w:rPr>
        <w:t>IX y X, respectiv</w:t>
      </w:r>
      <w:r w:rsidRPr="00CC562A">
        <w:rPr>
          <w:rFonts w:ascii="Cambria" w:hAnsi="Cambria"/>
          <w:sz w:val="20"/>
          <w:szCs w:val="20"/>
          <w:lang w:val="en-US"/>
        </w:rPr>
        <w:t xml:space="preserve">ely, the obligation to issue detailed reports on operations involving the use of force and lethal weapons when they occur, and the institutionalization </w:t>
      </w:r>
      <w:r w:rsidR="008A2EBB" w:rsidRPr="00CC562A">
        <w:rPr>
          <w:rFonts w:ascii="Cambria" w:hAnsi="Cambria"/>
          <w:sz w:val="20"/>
          <w:szCs w:val="20"/>
          <w:lang w:val="en-US"/>
        </w:rPr>
        <w:t>of training and professionalization on the subject of the use of force (weapons, methods, and techniques</w:t>
      </w:r>
      <w:r w:rsidR="58CB3919" w:rsidRPr="00CC562A">
        <w:rPr>
          <w:rFonts w:ascii="Cambria" w:hAnsi="Cambria"/>
          <w:sz w:val="20"/>
          <w:szCs w:val="20"/>
          <w:lang w:val="en-US"/>
        </w:rPr>
        <w:t xml:space="preserve">), </w:t>
      </w:r>
      <w:r w:rsidR="008A2EBB" w:rsidRPr="00CC562A">
        <w:rPr>
          <w:rFonts w:ascii="Cambria" w:hAnsi="Cambria"/>
          <w:sz w:val="20"/>
          <w:szCs w:val="20"/>
          <w:lang w:val="en-US"/>
        </w:rPr>
        <w:t>human rights, non-discrimination, the gender perspective, ethics, and police doctrine, among other aspects.</w:t>
      </w:r>
      <w:r w:rsidR="58CB3919" w:rsidRPr="00CC562A">
        <w:rPr>
          <w:rFonts w:ascii="Cambria" w:hAnsi="Cambria"/>
          <w:position w:val="6"/>
          <w:sz w:val="12"/>
          <w:szCs w:val="12"/>
          <w:lang w:val="en-US"/>
        </w:rPr>
        <w:t>25</w:t>
      </w:r>
    </w:p>
    <w:p w14:paraId="6BE2A764" w14:textId="4E13F786" w:rsidR="00764DE2" w:rsidRPr="00CC562A" w:rsidRDefault="008A2EB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Similarly, the information provided by civil society would indicate that the constitutionality of Articles</w:t>
      </w:r>
      <w:r w:rsidR="38BBD5B9" w:rsidRPr="00CC562A">
        <w:rPr>
          <w:rFonts w:ascii="Cambria" w:hAnsi="Cambria"/>
          <w:sz w:val="20"/>
          <w:szCs w:val="20"/>
          <w:lang w:val="en-US"/>
        </w:rPr>
        <w:t xml:space="preserve"> 27 </w:t>
      </w:r>
      <w:r w:rsidRPr="00CC562A">
        <w:rPr>
          <w:rFonts w:ascii="Cambria" w:hAnsi="Cambria"/>
          <w:sz w:val="20"/>
          <w:szCs w:val="20"/>
          <w:lang w:val="en-US"/>
        </w:rPr>
        <w:t>and</w:t>
      </w:r>
      <w:r w:rsidR="38BBD5B9" w:rsidRPr="00CC562A">
        <w:rPr>
          <w:rFonts w:ascii="Cambria" w:hAnsi="Cambria"/>
          <w:sz w:val="20"/>
          <w:szCs w:val="20"/>
          <w:lang w:val="en-US"/>
        </w:rPr>
        <w:t xml:space="preserve"> 28 </w:t>
      </w:r>
      <w:r w:rsidRPr="00CC562A">
        <w:rPr>
          <w:rFonts w:ascii="Cambria" w:hAnsi="Cambria"/>
          <w:sz w:val="20"/>
          <w:szCs w:val="20"/>
          <w:lang w:val="en-US"/>
        </w:rPr>
        <w:t>of the</w:t>
      </w:r>
      <w:r w:rsidR="38BBD5B9" w:rsidRPr="00CC562A">
        <w:rPr>
          <w:rFonts w:ascii="Cambria" w:hAnsi="Cambria"/>
          <w:sz w:val="20"/>
          <w:szCs w:val="20"/>
          <w:lang w:val="en-US"/>
        </w:rPr>
        <w:t xml:space="preserve"> LNUF </w:t>
      </w:r>
      <w:r w:rsidRPr="00CC562A">
        <w:rPr>
          <w:rFonts w:ascii="Cambria" w:hAnsi="Cambria"/>
          <w:sz w:val="20"/>
          <w:szCs w:val="20"/>
          <w:lang w:val="en-US"/>
        </w:rPr>
        <w:t>would authorize the security forces to intervene in demonstrations and public meetings that could turn violent</w:t>
      </w:r>
      <w:r w:rsidR="38BBD5B9" w:rsidRPr="00CC562A">
        <w:rPr>
          <w:rFonts w:ascii="Cambria" w:hAnsi="Cambria"/>
          <w:sz w:val="20"/>
          <w:szCs w:val="20"/>
          <w:lang w:val="en-US"/>
        </w:rPr>
        <w:t xml:space="preserve">, </w:t>
      </w:r>
      <w:r w:rsidRPr="00CC562A">
        <w:rPr>
          <w:rFonts w:ascii="Cambria" w:hAnsi="Cambria"/>
          <w:sz w:val="20"/>
          <w:szCs w:val="20"/>
          <w:lang w:val="en-US"/>
        </w:rPr>
        <w:t>in addition to the persistence of ambiguities regarding the classification of weapons and the preparation of reports by agents who use weapons, among other concerns.</w:t>
      </w:r>
      <w:r w:rsidR="00764DE2" w:rsidRPr="00CC562A">
        <w:rPr>
          <w:rStyle w:val="FootnoteReference"/>
          <w:rFonts w:ascii="Cambria" w:hAnsi="Cambria"/>
          <w:sz w:val="20"/>
          <w:szCs w:val="20"/>
          <w:lang w:val="en-US"/>
        </w:rPr>
        <w:footnoteReference w:id="38"/>
      </w:r>
    </w:p>
    <w:p w14:paraId="096821EB" w14:textId="03DC0A28" w:rsidR="00120AFE" w:rsidRPr="00CC562A" w:rsidRDefault="008A2EB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Given that the law on the use of force has already been enacted, the IACHR</w:t>
      </w:r>
      <w:r w:rsidR="01924B2C" w:rsidRPr="00CC562A">
        <w:rPr>
          <w:rFonts w:ascii="Cambria" w:hAnsi="Cambria"/>
          <w:sz w:val="20"/>
          <w:szCs w:val="20"/>
          <w:lang w:val="en-US"/>
        </w:rPr>
        <w:t xml:space="preserve"> </w:t>
      </w:r>
      <w:r w:rsidRPr="00CC562A">
        <w:rPr>
          <w:rFonts w:ascii="Cambria" w:hAnsi="Cambria"/>
          <w:sz w:val="20"/>
          <w:szCs w:val="20"/>
          <w:lang w:val="en-US"/>
        </w:rPr>
        <w:t xml:space="preserve">considers that there has been </w:t>
      </w:r>
      <w:r w:rsidRPr="00CC562A">
        <w:rPr>
          <w:rFonts w:ascii="Cambria" w:hAnsi="Cambria"/>
          <w:b/>
          <w:bCs/>
          <w:sz w:val="20"/>
          <w:szCs w:val="20"/>
          <w:lang w:val="en-US"/>
        </w:rPr>
        <w:t>full compliance</w:t>
      </w:r>
      <w:r w:rsidR="01924B2C" w:rsidRPr="00CC562A">
        <w:rPr>
          <w:rFonts w:ascii="Cambria" w:hAnsi="Cambria"/>
          <w:sz w:val="20"/>
          <w:szCs w:val="20"/>
          <w:lang w:val="en-US"/>
        </w:rPr>
        <w:t xml:space="preserve">, </w:t>
      </w:r>
      <w:r w:rsidRPr="00CC562A">
        <w:rPr>
          <w:rFonts w:ascii="Cambria" w:hAnsi="Cambria"/>
          <w:sz w:val="20"/>
          <w:szCs w:val="20"/>
          <w:lang w:val="en-US"/>
        </w:rPr>
        <w:t>but it will continue to monitor the implementation of the law.</w:t>
      </w:r>
      <w:r w:rsidR="00DA475C" w:rsidRPr="00CC562A">
        <w:rPr>
          <w:rStyle w:val="FootnoteReference"/>
          <w:rFonts w:ascii="Cambria" w:hAnsi="Cambria"/>
          <w:sz w:val="20"/>
          <w:szCs w:val="20"/>
          <w:lang w:val="en-US"/>
        </w:rPr>
        <w:footnoteReference w:id="39"/>
      </w:r>
    </w:p>
    <w:p w14:paraId="22EE5C7B" w14:textId="1C4D586B" w:rsidR="002C7ADE" w:rsidRPr="00CC562A" w:rsidRDefault="008A2EBB"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Regarding the recommendation to </w:t>
      </w:r>
      <w:r w:rsidR="7D9257A9" w:rsidRPr="00CC562A">
        <w:rPr>
          <w:rFonts w:ascii="Cambria" w:hAnsi="Cambria"/>
          <w:b/>
          <w:bCs/>
          <w:sz w:val="20"/>
          <w:szCs w:val="20"/>
          <w:lang w:val="en-US"/>
        </w:rPr>
        <w:t>t</w:t>
      </w:r>
      <w:r w:rsidRPr="00CC562A">
        <w:rPr>
          <w:rFonts w:ascii="Cambria" w:hAnsi="Cambria"/>
          <w:b/>
          <w:bCs/>
          <w:sz w:val="20"/>
          <w:szCs w:val="20"/>
          <w:lang w:val="en-US"/>
        </w:rPr>
        <w:t>ake measures to ensure that federal and state officials refrain from issuing public statements on the legality of the actions of the security forces in cases that may constitute an improper use of force before the results of an investigation</w:t>
      </w:r>
      <w:r w:rsidR="00802C0C" w:rsidRPr="00CC562A">
        <w:rPr>
          <w:rFonts w:ascii="Cambria" w:hAnsi="Cambria"/>
          <w:b/>
          <w:bCs/>
          <w:sz w:val="20"/>
          <w:szCs w:val="20"/>
          <w:lang w:val="en-US"/>
        </w:rPr>
        <w:t xml:space="preserve"> are available</w:t>
      </w:r>
      <w:r w:rsidR="7D9257A9" w:rsidRPr="00CC562A">
        <w:rPr>
          <w:rFonts w:ascii="Cambria" w:hAnsi="Cambria"/>
          <w:b/>
          <w:bCs/>
          <w:sz w:val="20"/>
          <w:szCs w:val="20"/>
          <w:lang w:val="en-US"/>
        </w:rPr>
        <w:t xml:space="preserve">, </w:t>
      </w:r>
      <w:r w:rsidR="00802C0C" w:rsidRPr="00CC562A">
        <w:rPr>
          <w:rFonts w:ascii="Cambria" w:hAnsi="Cambria"/>
          <w:sz w:val="20"/>
          <w:szCs w:val="20"/>
          <w:lang w:val="en-US"/>
        </w:rPr>
        <w:t>the State indicated that the National Guard adheres to the provisions of the</w:t>
      </w:r>
      <w:r w:rsidR="21CA7735" w:rsidRPr="00CC562A">
        <w:rPr>
          <w:rFonts w:ascii="Cambria" w:hAnsi="Cambria"/>
          <w:sz w:val="20"/>
          <w:szCs w:val="20"/>
          <w:lang w:val="en-US"/>
        </w:rPr>
        <w:t xml:space="preserve"> General </w:t>
      </w:r>
      <w:r w:rsidR="00802C0C" w:rsidRPr="00CC562A">
        <w:rPr>
          <w:rFonts w:ascii="Cambria" w:hAnsi="Cambria"/>
          <w:sz w:val="20"/>
          <w:szCs w:val="20"/>
          <w:lang w:val="en-US"/>
        </w:rPr>
        <w:t>Law on Social Communication and the 2019 agreement establishing the Social Communication Policy of the Federal Government, the purpose of which is to establish public policy on social communication to be followed by agencies and entities of the federal civil service. In this regard and as of now, federal officials refrain from mak</w:t>
      </w:r>
      <w:r w:rsidR="003714EA" w:rsidRPr="00CC562A">
        <w:rPr>
          <w:rFonts w:ascii="Cambria" w:hAnsi="Cambria"/>
          <w:sz w:val="20"/>
          <w:szCs w:val="20"/>
          <w:lang w:val="en-US"/>
        </w:rPr>
        <w:t>ing</w:t>
      </w:r>
      <w:r w:rsidR="00802C0C" w:rsidRPr="00CC562A">
        <w:rPr>
          <w:rFonts w:ascii="Cambria" w:hAnsi="Cambria"/>
          <w:sz w:val="20"/>
          <w:szCs w:val="20"/>
          <w:lang w:val="en-US"/>
        </w:rPr>
        <w:t xml:space="preserve"> statements </w:t>
      </w:r>
      <w:proofErr w:type="gramStart"/>
      <w:r w:rsidR="00802C0C" w:rsidRPr="00CC562A">
        <w:rPr>
          <w:rFonts w:ascii="Cambria" w:hAnsi="Cambria"/>
          <w:sz w:val="20"/>
          <w:szCs w:val="20"/>
          <w:lang w:val="en-US"/>
        </w:rPr>
        <w:t>in order to</w:t>
      </w:r>
      <w:proofErr w:type="gramEnd"/>
      <w:r w:rsidR="00802C0C" w:rsidRPr="00CC562A">
        <w:rPr>
          <w:rFonts w:ascii="Cambria" w:hAnsi="Cambria"/>
          <w:sz w:val="20"/>
          <w:szCs w:val="20"/>
          <w:lang w:val="en-US"/>
        </w:rPr>
        <w:t xml:space="preserve"> avoid unfavorable results.</w:t>
      </w:r>
    </w:p>
    <w:p w14:paraId="1E97FA76" w14:textId="6E4D454F" w:rsidR="00A03DC3" w:rsidRPr="00CC562A" w:rsidRDefault="00802C0C"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In</w:t>
      </w:r>
      <w:r w:rsidR="00B12FC3" w:rsidRPr="00CC562A">
        <w:rPr>
          <w:rFonts w:ascii="Cambria" w:hAnsi="Cambria"/>
          <w:sz w:val="20"/>
          <w:szCs w:val="20"/>
          <w:lang w:val="en-US"/>
        </w:rPr>
        <w:t xml:space="preserve"> addition</w:t>
      </w:r>
      <w:r w:rsidR="003714EA" w:rsidRPr="00CC562A">
        <w:rPr>
          <w:rFonts w:ascii="Cambria" w:hAnsi="Cambria"/>
          <w:sz w:val="20"/>
          <w:szCs w:val="20"/>
          <w:lang w:val="en-US"/>
        </w:rPr>
        <w:t>,</w:t>
      </w:r>
      <w:r w:rsidRPr="00CC562A">
        <w:rPr>
          <w:rFonts w:ascii="Cambria" w:hAnsi="Cambria"/>
          <w:sz w:val="20"/>
          <w:szCs w:val="20"/>
          <w:lang w:val="en-US"/>
        </w:rPr>
        <w:t xml:space="preserve"> the State indicated that</w:t>
      </w:r>
      <w:r w:rsidR="00B12FC3" w:rsidRPr="00CC562A">
        <w:rPr>
          <w:rFonts w:ascii="Cambria" w:hAnsi="Cambria"/>
          <w:sz w:val="20"/>
          <w:szCs w:val="20"/>
          <w:lang w:val="en-US"/>
        </w:rPr>
        <w:t xml:space="preserve"> state delegations of the Attorney General’s Office (hereinafter the </w:t>
      </w:r>
      <w:r w:rsidR="21CA7735" w:rsidRPr="00CC562A">
        <w:rPr>
          <w:rFonts w:ascii="Cambria" w:hAnsi="Cambria"/>
          <w:sz w:val="20"/>
          <w:szCs w:val="20"/>
          <w:lang w:val="en-US"/>
        </w:rPr>
        <w:t xml:space="preserve">“FGR”) </w:t>
      </w:r>
      <w:r w:rsidR="00B12FC3" w:rsidRPr="00CC562A">
        <w:rPr>
          <w:rFonts w:ascii="Cambria" w:hAnsi="Cambria"/>
          <w:sz w:val="20"/>
          <w:szCs w:val="20"/>
          <w:lang w:val="en-US"/>
        </w:rPr>
        <w:t>do not issue public opinion</w:t>
      </w:r>
      <w:r w:rsidR="003714EA" w:rsidRPr="00CC562A">
        <w:rPr>
          <w:rFonts w:ascii="Cambria" w:hAnsi="Cambria"/>
          <w:sz w:val="20"/>
          <w:szCs w:val="20"/>
          <w:lang w:val="en-US"/>
        </w:rPr>
        <w:t>s.</w:t>
      </w:r>
      <w:r w:rsidR="00B12FC3" w:rsidRPr="00CC562A">
        <w:rPr>
          <w:rFonts w:ascii="Cambria" w:hAnsi="Cambria"/>
          <w:sz w:val="20"/>
          <w:szCs w:val="20"/>
          <w:lang w:val="en-US"/>
        </w:rPr>
        <w:t xml:space="preserve"> In the context of seeking justice, the </w:t>
      </w:r>
      <w:r w:rsidR="21CA7735" w:rsidRPr="00CC562A">
        <w:rPr>
          <w:rFonts w:ascii="Cambria" w:hAnsi="Cambria"/>
          <w:sz w:val="20"/>
          <w:szCs w:val="20"/>
          <w:lang w:val="en-US"/>
        </w:rPr>
        <w:t>m</w:t>
      </w:r>
      <w:r w:rsidR="00B12FC3" w:rsidRPr="00CC562A">
        <w:rPr>
          <w:rFonts w:ascii="Cambria" w:hAnsi="Cambria"/>
          <w:sz w:val="20"/>
          <w:szCs w:val="20"/>
          <w:lang w:val="en-US"/>
        </w:rPr>
        <w:t>easures indicated in this recommendation already exist in current laws, notably in the Constitution, Article</w:t>
      </w:r>
      <w:r w:rsidR="21CA7735" w:rsidRPr="00CC562A">
        <w:rPr>
          <w:rFonts w:ascii="Cambria" w:hAnsi="Cambria"/>
          <w:sz w:val="20"/>
          <w:szCs w:val="20"/>
          <w:lang w:val="en-US"/>
        </w:rPr>
        <w:t xml:space="preserve"> 20</w:t>
      </w:r>
      <w:r w:rsidR="00B12FC3" w:rsidRPr="00CC562A">
        <w:rPr>
          <w:rFonts w:ascii="Cambria" w:hAnsi="Cambria"/>
          <w:sz w:val="20"/>
          <w:szCs w:val="20"/>
          <w:lang w:val="en-US"/>
        </w:rPr>
        <w:t xml:space="preserve"> (B)(I) of which provides for the right that persons charged are assumed to be innocent until it is demonstrated otherwise. In addition, the National Code of Criminal Procedure indicates in section</w:t>
      </w:r>
      <w:r w:rsidR="21CA7735" w:rsidRPr="00CC562A">
        <w:rPr>
          <w:rFonts w:ascii="Cambria" w:hAnsi="Cambria"/>
          <w:sz w:val="20"/>
          <w:szCs w:val="20"/>
          <w:lang w:val="en-US"/>
        </w:rPr>
        <w:t xml:space="preserve"> 113</w:t>
      </w:r>
      <w:r w:rsidR="00B12FC3" w:rsidRPr="00CC562A">
        <w:rPr>
          <w:rFonts w:ascii="Cambria" w:hAnsi="Cambria"/>
          <w:sz w:val="20"/>
          <w:szCs w:val="20"/>
          <w:lang w:val="en-US"/>
        </w:rPr>
        <w:t xml:space="preserve"> (</w:t>
      </w:r>
      <w:r w:rsidR="21CA7735" w:rsidRPr="00CC562A">
        <w:rPr>
          <w:rFonts w:ascii="Cambria" w:hAnsi="Cambria"/>
          <w:sz w:val="20"/>
          <w:szCs w:val="20"/>
          <w:lang w:val="en-US"/>
        </w:rPr>
        <w:t>IVX</w:t>
      </w:r>
      <w:r w:rsidR="00B12FC3" w:rsidRPr="00CC562A">
        <w:rPr>
          <w:rFonts w:ascii="Cambria" w:hAnsi="Cambria"/>
          <w:sz w:val="20"/>
          <w:szCs w:val="20"/>
          <w:lang w:val="en-US"/>
        </w:rPr>
        <w:t xml:space="preserve">) that anyone charged has the </w:t>
      </w:r>
      <w:r w:rsidR="00B12FC3" w:rsidRPr="00CC562A">
        <w:rPr>
          <w:rFonts w:ascii="Cambria" w:hAnsi="Cambria"/>
          <w:sz w:val="20"/>
          <w:szCs w:val="20"/>
          <w:lang w:val="en-US"/>
        </w:rPr>
        <w:lastRenderedPageBreak/>
        <w:t>right not to be exposed to the media. Finally, the State indicated</w:t>
      </w:r>
      <w:r w:rsidR="00B52E80" w:rsidRPr="00CC562A">
        <w:rPr>
          <w:rFonts w:ascii="Cambria" w:hAnsi="Cambria"/>
          <w:sz w:val="20"/>
          <w:szCs w:val="20"/>
          <w:lang w:val="en-US"/>
        </w:rPr>
        <w:t xml:space="preserve"> that </w:t>
      </w:r>
      <w:proofErr w:type="gramStart"/>
      <w:r w:rsidR="00B52E80" w:rsidRPr="00CC562A">
        <w:rPr>
          <w:rFonts w:ascii="Cambria" w:hAnsi="Cambria"/>
          <w:sz w:val="20"/>
          <w:szCs w:val="20"/>
          <w:lang w:val="en-US"/>
        </w:rPr>
        <w:t>in the area of</w:t>
      </w:r>
      <w:proofErr w:type="gramEnd"/>
      <w:r w:rsidR="00B52E80" w:rsidRPr="00CC562A">
        <w:rPr>
          <w:rFonts w:ascii="Cambria" w:hAnsi="Cambria"/>
          <w:sz w:val="20"/>
          <w:szCs w:val="20"/>
          <w:lang w:val="en-US"/>
        </w:rPr>
        <w:t xml:space="preserve"> social communication officials are governed by the Federal Law on Transparency and Access to Public Information</w:t>
      </w:r>
      <w:r w:rsidR="21CA7735" w:rsidRPr="00CC562A">
        <w:rPr>
          <w:rFonts w:ascii="Cambria" w:hAnsi="Cambria"/>
          <w:sz w:val="20"/>
          <w:szCs w:val="20"/>
          <w:lang w:val="en-US"/>
        </w:rPr>
        <w:t xml:space="preserve">, </w:t>
      </w:r>
      <w:r w:rsidR="00B52E80" w:rsidRPr="00CC562A">
        <w:rPr>
          <w:rFonts w:ascii="Cambria" w:hAnsi="Cambria"/>
          <w:sz w:val="20"/>
          <w:szCs w:val="20"/>
          <w:lang w:val="en-US"/>
        </w:rPr>
        <w:t>the Federal Law on Transparency and Access to Public Information, and the General Law on the Protection of Personal Data Held by Regulated Entities.</w:t>
      </w:r>
      <w:r w:rsidR="00886665" w:rsidRPr="00CC562A">
        <w:rPr>
          <w:rStyle w:val="FootnoteReference"/>
          <w:rFonts w:ascii="Cambria" w:hAnsi="Cambria"/>
          <w:sz w:val="20"/>
          <w:szCs w:val="20"/>
          <w:lang w:val="en-US"/>
        </w:rPr>
        <w:footnoteReference w:id="40"/>
      </w:r>
    </w:p>
    <w:p w14:paraId="6A9C0779" w14:textId="78D62377" w:rsidR="00A03DC3" w:rsidRPr="00CC562A" w:rsidRDefault="00AC2ECE"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In this regard, the PRODH Center related the case of the four-year-old child</w:t>
      </w:r>
      <w:r w:rsidR="00324A00" w:rsidRPr="00CC562A">
        <w:rPr>
          <w:rFonts w:ascii="Cambria" w:hAnsi="Cambria"/>
          <w:sz w:val="20"/>
          <w:szCs w:val="20"/>
          <w:lang w:val="en-US"/>
        </w:rPr>
        <w:t>,</w:t>
      </w:r>
      <w:r w:rsidR="43B8C50D" w:rsidRPr="00CC562A">
        <w:rPr>
          <w:rFonts w:ascii="Cambria" w:hAnsi="Cambria"/>
          <w:sz w:val="20"/>
          <w:szCs w:val="20"/>
          <w:lang w:val="en-US"/>
        </w:rPr>
        <w:t xml:space="preserve"> </w:t>
      </w:r>
      <w:r w:rsidR="7D9257A9" w:rsidRPr="00CC562A">
        <w:rPr>
          <w:rFonts w:ascii="Cambria" w:hAnsi="Cambria"/>
          <w:sz w:val="20"/>
          <w:szCs w:val="20"/>
          <w:lang w:val="en-US"/>
        </w:rPr>
        <w:t xml:space="preserve">Heidi </w:t>
      </w:r>
      <w:r w:rsidR="18F5142F" w:rsidRPr="00CC562A">
        <w:rPr>
          <w:rFonts w:ascii="Cambria" w:hAnsi="Cambria"/>
          <w:sz w:val="20"/>
          <w:szCs w:val="20"/>
          <w:lang w:val="en-US"/>
        </w:rPr>
        <w:t xml:space="preserve">Mariana, </w:t>
      </w:r>
      <w:r w:rsidRPr="00CC562A">
        <w:rPr>
          <w:rFonts w:ascii="Cambria" w:hAnsi="Cambria"/>
          <w:sz w:val="20"/>
          <w:szCs w:val="20"/>
          <w:lang w:val="en-US"/>
        </w:rPr>
        <w:t xml:space="preserve">who was shot and killed by the Mexican Army on August 31, </w:t>
      </w:r>
      <w:r w:rsidR="7D9257A9" w:rsidRPr="00CC562A">
        <w:rPr>
          <w:rFonts w:ascii="Cambria" w:hAnsi="Cambria"/>
          <w:sz w:val="20"/>
          <w:szCs w:val="20"/>
          <w:lang w:val="en-US"/>
        </w:rPr>
        <w:t xml:space="preserve">2022, </w:t>
      </w:r>
      <w:r w:rsidRPr="00CC562A">
        <w:rPr>
          <w:rFonts w:ascii="Cambria" w:hAnsi="Cambria"/>
          <w:sz w:val="20"/>
          <w:szCs w:val="20"/>
          <w:lang w:val="en-US"/>
        </w:rPr>
        <w:t xml:space="preserve">in the state of </w:t>
      </w:r>
      <w:r w:rsidR="7D9257A9" w:rsidRPr="00CC562A">
        <w:rPr>
          <w:rFonts w:ascii="Cambria" w:hAnsi="Cambria"/>
          <w:sz w:val="20"/>
          <w:szCs w:val="20"/>
          <w:lang w:val="en-US"/>
        </w:rPr>
        <w:t>Tamaulipas</w:t>
      </w:r>
      <w:r w:rsidRPr="00CC562A">
        <w:rPr>
          <w:rFonts w:ascii="Cambria" w:hAnsi="Cambria"/>
          <w:sz w:val="20"/>
          <w:szCs w:val="20"/>
          <w:lang w:val="en-US"/>
        </w:rPr>
        <w:t>.</w:t>
      </w:r>
      <w:r w:rsidR="00120AFE" w:rsidRPr="00CC562A">
        <w:rPr>
          <w:rFonts w:ascii="Cambria" w:hAnsi="Cambria"/>
          <w:sz w:val="20"/>
          <w:szCs w:val="20"/>
          <w:vertAlign w:val="superscript"/>
          <w:lang w:val="en-US"/>
        </w:rPr>
        <w:footnoteReference w:id="41"/>
      </w:r>
      <w:r w:rsidRPr="00CC562A">
        <w:rPr>
          <w:rFonts w:ascii="Cambria" w:hAnsi="Cambria"/>
          <w:sz w:val="20"/>
          <w:szCs w:val="20"/>
          <w:lang w:val="en-US"/>
        </w:rPr>
        <w:t xml:space="preserve"> The organization reported that Heidi’s family members publicly reported that they have been harassed outside their home by members of the military and that an agent of the </w:t>
      </w:r>
      <w:r w:rsidR="7D9257A9" w:rsidRPr="00CC562A">
        <w:rPr>
          <w:rFonts w:ascii="Cambria" w:hAnsi="Cambria"/>
          <w:sz w:val="20"/>
          <w:szCs w:val="20"/>
          <w:lang w:val="en-US"/>
        </w:rPr>
        <w:t xml:space="preserve">SEDENA </w:t>
      </w:r>
      <w:r w:rsidRPr="00CC562A">
        <w:rPr>
          <w:rFonts w:ascii="Cambria" w:hAnsi="Cambria"/>
          <w:sz w:val="20"/>
          <w:szCs w:val="20"/>
          <w:lang w:val="en-US"/>
        </w:rPr>
        <w:t xml:space="preserve">asked the girl’s mother to stop </w:t>
      </w:r>
      <w:r w:rsidR="00324A00" w:rsidRPr="00CC562A">
        <w:rPr>
          <w:rFonts w:ascii="Cambria" w:hAnsi="Cambria"/>
          <w:sz w:val="20"/>
          <w:szCs w:val="20"/>
          <w:lang w:val="en-US"/>
        </w:rPr>
        <w:t>making reports</w:t>
      </w:r>
      <w:r w:rsidRPr="00CC562A">
        <w:rPr>
          <w:rFonts w:ascii="Cambria" w:hAnsi="Cambria"/>
          <w:sz w:val="20"/>
          <w:szCs w:val="20"/>
          <w:lang w:val="en-US"/>
        </w:rPr>
        <w:t xml:space="preserve"> to the authorities.</w:t>
      </w:r>
      <w:r w:rsidR="00120AFE" w:rsidRPr="00CC562A">
        <w:rPr>
          <w:rFonts w:ascii="Cambria" w:hAnsi="Cambria"/>
          <w:sz w:val="20"/>
          <w:szCs w:val="20"/>
          <w:vertAlign w:val="superscript"/>
          <w:lang w:val="en-US"/>
        </w:rPr>
        <w:footnoteReference w:id="42"/>
      </w:r>
      <w:r w:rsidRPr="00CC562A">
        <w:rPr>
          <w:rFonts w:ascii="Cambria" w:hAnsi="Cambria"/>
          <w:sz w:val="20"/>
          <w:szCs w:val="20"/>
          <w:lang w:val="en-US"/>
        </w:rPr>
        <w:t xml:space="preserve"> Representatives of the family have indicated that Heidi’s murder did not occur in a confrontation between the Army and organized crime, as the State claims, but rather involved a direct attack.</w:t>
      </w:r>
      <w:r w:rsidR="00120AFE" w:rsidRPr="00CC562A">
        <w:rPr>
          <w:rFonts w:ascii="Cambria" w:hAnsi="Cambria"/>
          <w:sz w:val="20"/>
          <w:szCs w:val="20"/>
          <w:vertAlign w:val="superscript"/>
          <w:lang w:val="en-US"/>
        </w:rPr>
        <w:footnoteReference w:id="43"/>
      </w:r>
      <w:r w:rsidRPr="00CC562A">
        <w:rPr>
          <w:rFonts w:ascii="Cambria" w:hAnsi="Cambria"/>
          <w:sz w:val="20"/>
          <w:szCs w:val="20"/>
          <w:lang w:val="en-US"/>
        </w:rPr>
        <w:t xml:space="preserve"> To date, no one has been pursued or tried as responsible. In the context of this case, the PRODH Center emphasized that, as in other cases in this administration, the initial response from </w:t>
      </w:r>
      <w:r w:rsidR="7D9257A9" w:rsidRPr="00CC562A">
        <w:rPr>
          <w:rFonts w:ascii="Cambria" w:hAnsi="Cambria"/>
          <w:sz w:val="20"/>
          <w:szCs w:val="20"/>
          <w:lang w:val="en-US"/>
        </w:rPr>
        <w:t xml:space="preserve">SEDENA </w:t>
      </w:r>
      <w:r w:rsidRPr="00CC562A">
        <w:rPr>
          <w:rFonts w:ascii="Cambria" w:hAnsi="Cambria"/>
          <w:sz w:val="20"/>
          <w:szCs w:val="20"/>
          <w:lang w:val="en-US"/>
        </w:rPr>
        <w:t xml:space="preserve">and the President of the Republic himself was to minimize the events </w:t>
      </w:r>
      <w:r w:rsidR="00917451" w:rsidRPr="00CC562A">
        <w:rPr>
          <w:rFonts w:ascii="Cambria" w:hAnsi="Cambria"/>
          <w:sz w:val="20"/>
          <w:szCs w:val="20"/>
          <w:lang w:val="en-US"/>
        </w:rPr>
        <w:t xml:space="preserve">in view of the situation in </w:t>
      </w:r>
      <w:r w:rsidR="7D9257A9" w:rsidRPr="00CC562A">
        <w:rPr>
          <w:rFonts w:ascii="Cambria" w:hAnsi="Cambria"/>
          <w:sz w:val="20"/>
          <w:szCs w:val="20"/>
          <w:lang w:val="en-US"/>
        </w:rPr>
        <w:t>Tamaulipas</w:t>
      </w:r>
      <w:r w:rsidR="00324A00" w:rsidRPr="00CC562A">
        <w:rPr>
          <w:rFonts w:ascii="Cambria" w:hAnsi="Cambria"/>
          <w:sz w:val="20"/>
          <w:szCs w:val="20"/>
          <w:lang w:val="en-US"/>
        </w:rPr>
        <w:t>,</w:t>
      </w:r>
      <w:r w:rsidR="00917451" w:rsidRPr="00CC562A">
        <w:rPr>
          <w:rFonts w:ascii="Cambria" w:hAnsi="Cambria"/>
          <w:sz w:val="20"/>
          <w:szCs w:val="20"/>
          <w:lang w:val="en-US"/>
        </w:rPr>
        <w:t xml:space="preserve"> indicating that it was an exception, a fortuitous event as it had happened in a “confrontation” between criminals and the </w:t>
      </w:r>
      <w:r w:rsidR="00324A00" w:rsidRPr="00CC562A">
        <w:rPr>
          <w:rFonts w:ascii="Cambria" w:hAnsi="Cambria"/>
          <w:sz w:val="20"/>
          <w:szCs w:val="20"/>
          <w:lang w:val="en-US"/>
        </w:rPr>
        <w:t>a</w:t>
      </w:r>
      <w:r w:rsidR="00917451" w:rsidRPr="00CC562A">
        <w:rPr>
          <w:rFonts w:ascii="Cambria" w:hAnsi="Cambria"/>
          <w:sz w:val="20"/>
          <w:szCs w:val="20"/>
          <w:lang w:val="en-US"/>
        </w:rPr>
        <w:t>rmy, even though at that time the family had no information regarding the investigation.</w:t>
      </w:r>
      <w:r w:rsidR="00120AFE" w:rsidRPr="00CC562A">
        <w:rPr>
          <w:rFonts w:ascii="Cambria" w:hAnsi="Cambria"/>
          <w:sz w:val="20"/>
          <w:szCs w:val="20"/>
          <w:vertAlign w:val="superscript"/>
          <w:lang w:val="en-US"/>
        </w:rPr>
        <w:footnoteReference w:id="44"/>
      </w:r>
    </w:p>
    <w:p w14:paraId="2AC048A5" w14:textId="57090088" w:rsidR="00D33CF4" w:rsidRPr="00CC562A" w:rsidRDefault="00917451"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 xml:space="preserve">The IACHR expresses its concern regarding </w:t>
      </w:r>
      <w:r w:rsidR="00324A00" w:rsidRPr="00CC562A">
        <w:rPr>
          <w:rFonts w:ascii="Cambria" w:hAnsi="Cambria"/>
          <w:sz w:val="20"/>
          <w:szCs w:val="20"/>
          <w:lang w:val="en-US"/>
        </w:rPr>
        <w:t>preemptive</w:t>
      </w:r>
      <w:r w:rsidRPr="00CC562A">
        <w:rPr>
          <w:rFonts w:ascii="Cambria" w:hAnsi="Cambria"/>
          <w:sz w:val="20"/>
          <w:szCs w:val="20"/>
          <w:lang w:val="en-US"/>
        </w:rPr>
        <w:t xml:space="preserve"> statements that high-ranking agents of the State made to the </w:t>
      </w:r>
      <w:r w:rsidR="00324A00" w:rsidRPr="00CC562A">
        <w:rPr>
          <w:rFonts w:ascii="Cambria" w:hAnsi="Cambria"/>
          <w:sz w:val="20"/>
          <w:szCs w:val="20"/>
          <w:lang w:val="en-US"/>
        </w:rPr>
        <w:t>a</w:t>
      </w:r>
      <w:r w:rsidR="00D5781D" w:rsidRPr="00CC562A">
        <w:rPr>
          <w:rFonts w:ascii="Cambria" w:hAnsi="Cambria"/>
          <w:sz w:val="20"/>
          <w:szCs w:val="20"/>
          <w:lang w:val="en-US"/>
        </w:rPr>
        <w:t>rmed forces</w:t>
      </w:r>
      <w:r w:rsidRPr="00CC562A">
        <w:rPr>
          <w:rFonts w:ascii="Cambria" w:hAnsi="Cambria"/>
          <w:sz w:val="20"/>
          <w:szCs w:val="20"/>
          <w:lang w:val="en-US"/>
        </w:rPr>
        <w:t xml:space="preserve"> in response to possible accusations of human rights violations, even in conditions in which the victims have no knowledge of the content of investigations.</w:t>
      </w:r>
      <w:r w:rsidR="002C7ADE" w:rsidRPr="00CC562A">
        <w:rPr>
          <w:rStyle w:val="FootnoteReference"/>
          <w:rFonts w:ascii="Cambria" w:hAnsi="Cambria"/>
          <w:sz w:val="20"/>
          <w:szCs w:val="20"/>
          <w:lang w:val="en-US"/>
        </w:rPr>
        <w:footnoteReference w:id="45"/>
      </w:r>
      <w:r w:rsidRPr="00CC562A">
        <w:rPr>
          <w:rFonts w:ascii="Cambria" w:hAnsi="Cambria"/>
          <w:sz w:val="20"/>
          <w:szCs w:val="20"/>
          <w:lang w:val="en-US"/>
        </w:rPr>
        <w:t xml:space="preserve">  Based on the foregoing, the Commission considers that the recommendation remains in </w:t>
      </w:r>
      <w:r w:rsidRPr="00CC562A">
        <w:rPr>
          <w:rFonts w:ascii="Cambria" w:hAnsi="Cambria"/>
          <w:b/>
          <w:bCs/>
          <w:sz w:val="20"/>
          <w:szCs w:val="20"/>
          <w:lang w:val="en-US"/>
        </w:rPr>
        <w:t>partial compliance</w:t>
      </w:r>
      <w:r w:rsidR="21CA7735" w:rsidRPr="00CC562A">
        <w:rPr>
          <w:rFonts w:ascii="Cambria" w:hAnsi="Cambria"/>
          <w:b/>
          <w:bCs/>
          <w:sz w:val="20"/>
          <w:szCs w:val="20"/>
          <w:lang w:val="en-US"/>
        </w:rPr>
        <w:t xml:space="preserve">. </w:t>
      </w:r>
    </w:p>
    <w:p w14:paraId="0374DB83" w14:textId="7F499F29" w:rsidR="00A03DC3" w:rsidRPr="00CC562A" w:rsidRDefault="00917451"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To guide the implementation of this recommendation, the IACHR suggests the adoption of measures to ensure th</w:t>
      </w:r>
      <w:r w:rsidR="00324A00" w:rsidRPr="00CC562A">
        <w:rPr>
          <w:rFonts w:ascii="Cambria" w:hAnsi="Cambria"/>
          <w:sz w:val="20"/>
          <w:szCs w:val="20"/>
          <w:lang w:val="en-US"/>
        </w:rPr>
        <w:t>at</w:t>
      </w:r>
      <w:r w:rsidRPr="00CC562A">
        <w:rPr>
          <w:rFonts w:ascii="Cambria" w:hAnsi="Cambria"/>
          <w:sz w:val="20"/>
          <w:szCs w:val="20"/>
          <w:lang w:val="en-US"/>
        </w:rPr>
        <w:t xml:space="preserve"> public officials refrain from making preemptive statements regarding the legality of actions taken by the security forces, </w:t>
      </w:r>
      <w:r w:rsidR="005160F8" w:rsidRPr="00CC562A">
        <w:rPr>
          <w:rFonts w:ascii="Cambria" w:hAnsi="Cambria"/>
          <w:sz w:val="20"/>
          <w:szCs w:val="20"/>
          <w:lang w:val="en-US"/>
        </w:rPr>
        <w:t>regarding</w:t>
      </w:r>
      <w:r w:rsidRPr="00CC562A">
        <w:rPr>
          <w:rFonts w:ascii="Cambria" w:hAnsi="Cambria"/>
          <w:sz w:val="20"/>
          <w:szCs w:val="20"/>
          <w:lang w:val="en-US"/>
        </w:rPr>
        <w:t xml:space="preserve"> possible cases of human rights violations</w:t>
      </w:r>
      <w:r w:rsidR="6607A9A3" w:rsidRPr="00CC562A">
        <w:rPr>
          <w:rFonts w:ascii="Cambria" w:hAnsi="Cambria"/>
          <w:sz w:val="20"/>
          <w:szCs w:val="20"/>
          <w:lang w:val="en-US"/>
        </w:rPr>
        <w:t>.</w:t>
      </w:r>
    </w:p>
    <w:p w14:paraId="394753F5" w14:textId="37A0EE59" w:rsidR="004665AB" w:rsidRPr="00CC562A" w:rsidRDefault="00CD013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w:t>
      </w:r>
      <w:r w:rsidR="5C443DBA" w:rsidRPr="00CC562A">
        <w:rPr>
          <w:rFonts w:ascii="Cambria" w:hAnsi="Cambria"/>
          <w:sz w:val="20"/>
          <w:szCs w:val="20"/>
          <w:lang w:val="en-US"/>
        </w:rPr>
        <w:t>n rela</w:t>
      </w:r>
      <w:r w:rsidRPr="00CC562A">
        <w:rPr>
          <w:rFonts w:ascii="Cambria" w:hAnsi="Cambria"/>
          <w:sz w:val="20"/>
          <w:szCs w:val="20"/>
          <w:lang w:val="en-US"/>
        </w:rPr>
        <w:t xml:space="preserve">tion to the recommendation </w:t>
      </w:r>
      <w:r w:rsidRPr="00CC562A">
        <w:rPr>
          <w:rFonts w:ascii="Cambria" w:hAnsi="Cambria"/>
          <w:b/>
          <w:bCs/>
          <w:sz w:val="20"/>
          <w:szCs w:val="20"/>
          <w:lang w:val="en-US"/>
        </w:rPr>
        <w:t>that a body independent of all security forces adopt and implement accountability measures regarding public security operations and tasks involving loss of life</w:t>
      </w:r>
      <w:r w:rsidR="5C443DBA" w:rsidRPr="00CC562A">
        <w:rPr>
          <w:rFonts w:ascii="Cambria" w:hAnsi="Cambria"/>
          <w:b/>
          <w:bCs/>
          <w:sz w:val="20"/>
          <w:szCs w:val="20"/>
          <w:lang w:val="en-US"/>
        </w:rPr>
        <w:t xml:space="preserve">, </w:t>
      </w:r>
      <w:r w:rsidRPr="00CC562A">
        <w:rPr>
          <w:rFonts w:ascii="Cambria" w:eastAsia="Cambria" w:hAnsi="Cambria" w:cs="Cambria"/>
          <w:sz w:val="20"/>
          <w:szCs w:val="20"/>
          <w:lang w:val="en-US"/>
        </w:rPr>
        <w:t>the State reported the adoption of the 2021</w:t>
      </w:r>
      <w:r w:rsidR="00324A0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Protocol on Accountability for the Use of Force</w:t>
      </w:r>
      <w:r w:rsidR="1A8E4DE8" w:rsidRPr="00CC562A">
        <w:rPr>
          <w:rFonts w:ascii="Cambria" w:hAnsi="Cambria"/>
          <w:sz w:val="20"/>
          <w:szCs w:val="20"/>
          <w:lang w:val="en-US"/>
        </w:rPr>
        <w:t>.</w:t>
      </w:r>
      <w:r w:rsidRPr="00CC562A">
        <w:rPr>
          <w:rFonts w:ascii="Cambria" w:hAnsi="Cambria"/>
          <w:sz w:val="20"/>
          <w:szCs w:val="20"/>
          <w:lang w:val="en-US"/>
        </w:rPr>
        <w:t xml:space="preserve"> According to the Protocol, the agent or operational command must prepare the report on the use of force</w:t>
      </w:r>
      <w:r w:rsidR="00324A00" w:rsidRPr="00CC562A">
        <w:rPr>
          <w:rFonts w:ascii="Cambria" w:hAnsi="Cambria"/>
          <w:sz w:val="20"/>
          <w:szCs w:val="20"/>
          <w:lang w:val="en-US"/>
        </w:rPr>
        <w:t>,</w:t>
      </w:r>
      <w:r w:rsidRPr="00CC562A">
        <w:rPr>
          <w:rFonts w:ascii="Cambria" w:hAnsi="Cambria"/>
          <w:sz w:val="20"/>
          <w:szCs w:val="20"/>
          <w:lang w:val="en-US"/>
        </w:rPr>
        <w:t xml:space="preserve"> making it possible to keep records of operations and reports related to the use of forc</w:t>
      </w:r>
      <w:r w:rsidR="00324A00" w:rsidRPr="00CC562A">
        <w:rPr>
          <w:rFonts w:ascii="Cambria" w:hAnsi="Cambria"/>
          <w:sz w:val="20"/>
          <w:szCs w:val="20"/>
          <w:lang w:val="en-US"/>
        </w:rPr>
        <w:t>e</w:t>
      </w:r>
      <w:r w:rsidRPr="00CC562A">
        <w:rPr>
          <w:rFonts w:ascii="Cambria" w:hAnsi="Cambria"/>
          <w:sz w:val="20"/>
          <w:szCs w:val="20"/>
          <w:lang w:val="en-US"/>
        </w:rPr>
        <w:t xml:space="preserve"> as well as to report periodically on operations of this type.</w:t>
      </w:r>
    </w:p>
    <w:p w14:paraId="48743E69" w14:textId="0D25F43F" w:rsidR="003E6D7E" w:rsidRPr="00CC562A" w:rsidRDefault="00165C40" w:rsidP="00763316">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In addition, the State indicated that the</w:t>
      </w:r>
      <w:r w:rsidR="1A8E4DE8" w:rsidRPr="00CC562A">
        <w:rPr>
          <w:rFonts w:ascii="Cambria" w:hAnsi="Cambria"/>
          <w:sz w:val="20"/>
          <w:szCs w:val="20"/>
          <w:lang w:val="en-US"/>
        </w:rPr>
        <w:t xml:space="preserve"> </w:t>
      </w:r>
      <w:r w:rsidR="381EC772" w:rsidRPr="00CC562A">
        <w:rPr>
          <w:rFonts w:ascii="Cambria" w:hAnsi="Cambria"/>
          <w:sz w:val="20"/>
          <w:szCs w:val="20"/>
          <w:lang w:val="en-US"/>
        </w:rPr>
        <w:t>FGR</w:t>
      </w:r>
      <w:r w:rsidR="43B8C50D" w:rsidRPr="00CC562A">
        <w:rPr>
          <w:rFonts w:ascii="Cambria" w:hAnsi="Cambria"/>
          <w:sz w:val="20"/>
          <w:szCs w:val="20"/>
          <w:lang w:val="en-US"/>
        </w:rPr>
        <w:t>,</w:t>
      </w:r>
      <w:r w:rsidRPr="00CC562A">
        <w:rPr>
          <w:rFonts w:ascii="Cambria" w:hAnsi="Cambria"/>
          <w:sz w:val="20"/>
          <w:szCs w:val="20"/>
          <w:lang w:val="en-US"/>
        </w:rPr>
        <w:t xml:space="preserve"> through its Internal Oversight Body, is the authority charged with investigating the fact</w:t>
      </w:r>
      <w:r w:rsidR="00324A00" w:rsidRPr="00CC562A">
        <w:rPr>
          <w:rFonts w:ascii="Cambria" w:hAnsi="Cambria"/>
          <w:sz w:val="20"/>
          <w:szCs w:val="20"/>
          <w:lang w:val="en-US"/>
        </w:rPr>
        <w:t>s</w:t>
      </w:r>
      <w:r w:rsidRPr="00CC562A">
        <w:rPr>
          <w:rFonts w:ascii="Cambria" w:hAnsi="Cambria"/>
          <w:sz w:val="20"/>
          <w:szCs w:val="20"/>
          <w:lang w:val="en-US"/>
        </w:rPr>
        <w:t xml:space="preserve"> when someone dies </w:t>
      </w:r>
      <w:proofErr w:type="gramStart"/>
      <w:r w:rsidRPr="00CC562A">
        <w:rPr>
          <w:rFonts w:ascii="Cambria" w:hAnsi="Cambria"/>
          <w:sz w:val="20"/>
          <w:szCs w:val="20"/>
          <w:lang w:val="en-US"/>
        </w:rPr>
        <w:t>during the course of</w:t>
      </w:r>
      <w:proofErr w:type="gramEnd"/>
      <w:r w:rsidRPr="00CC562A">
        <w:rPr>
          <w:rFonts w:ascii="Cambria" w:hAnsi="Cambria"/>
          <w:sz w:val="20"/>
          <w:szCs w:val="20"/>
          <w:lang w:val="en-US"/>
        </w:rPr>
        <w:t xml:space="preserve"> an operation conducted by security institutions. The FGR also issues its accountability report in which it provides quantitative and qualitative information on its duties in the pursuit of justice. Finally, the State indicated that the General Law on Transparency and Access to Public Information establishes obligations that extend to elements of the security forces </w:t>
      </w:r>
      <w:proofErr w:type="gramStart"/>
      <w:r w:rsidRPr="00CC562A">
        <w:rPr>
          <w:rFonts w:ascii="Cambria" w:hAnsi="Cambria"/>
          <w:sz w:val="20"/>
          <w:szCs w:val="20"/>
          <w:lang w:val="en-US"/>
        </w:rPr>
        <w:t>so as to</w:t>
      </w:r>
      <w:proofErr w:type="gramEnd"/>
      <w:r w:rsidRPr="00CC562A">
        <w:rPr>
          <w:rFonts w:ascii="Cambria" w:hAnsi="Cambria"/>
          <w:sz w:val="20"/>
          <w:szCs w:val="20"/>
          <w:lang w:val="en-US"/>
        </w:rPr>
        <w:t xml:space="preserve"> ensure that the</w:t>
      </w:r>
      <w:r w:rsidR="00324A00" w:rsidRPr="00CC562A">
        <w:rPr>
          <w:rFonts w:ascii="Cambria" w:hAnsi="Cambria"/>
          <w:sz w:val="20"/>
          <w:szCs w:val="20"/>
          <w:lang w:val="en-US"/>
        </w:rPr>
        <w:t>y</w:t>
      </w:r>
      <w:r w:rsidRPr="00CC562A">
        <w:rPr>
          <w:rFonts w:ascii="Cambria" w:hAnsi="Cambria"/>
          <w:sz w:val="20"/>
          <w:szCs w:val="20"/>
          <w:lang w:val="en-US"/>
        </w:rPr>
        <w:t xml:space="preserve"> provide the information requested of them, which can only be </w:t>
      </w:r>
      <w:r w:rsidRPr="00CC562A">
        <w:rPr>
          <w:rFonts w:ascii="Cambria" w:hAnsi="Cambria"/>
          <w:sz w:val="20"/>
          <w:szCs w:val="20"/>
          <w:lang w:val="en-US"/>
        </w:rPr>
        <w:lastRenderedPageBreak/>
        <w:t>categorized as “</w:t>
      </w:r>
      <w:r w:rsidR="00F87039" w:rsidRPr="00CC562A">
        <w:rPr>
          <w:rFonts w:ascii="Cambria" w:hAnsi="Cambria"/>
          <w:sz w:val="20"/>
          <w:szCs w:val="20"/>
          <w:lang w:val="en-US"/>
        </w:rPr>
        <w:t>restricted</w:t>
      </w:r>
      <w:r w:rsidRPr="00CC562A">
        <w:rPr>
          <w:rFonts w:ascii="Cambria" w:hAnsi="Cambria"/>
          <w:sz w:val="20"/>
          <w:szCs w:val="20"/>
          <w:lang w:val="en-US"/>
        </w:rPr>
        <w:t>” on an exceptional and temporary basis</w:t>
      </w:r>
      <w:r w:rsidR="6C6F691F" w:rsidRPr="00CC562A">
        <w:rPr>
          <w:rFonts w:ascii="Cambria" w:hAnsi="Cambria"/>
          <w:sz w:val="20"/>
          <w:szCs w:val="20"/>
          <w:lang w:val="en-US"/>
        </w:rPr>
        <w:t xml:space="preserve">. </w:t>
      </w:r>
      <w:r w:rsidRPr="00CC562A">
        <w:rPr>
          <w:rFonts w:ascii="Cambria" w:hAnsi="Cambria"/>
          <w:sz w:val="20"/>
          <w:szCs w:val="20"/>
          <w:lang w:val="en-US"/>
        </w:rPr>
        <w:t xml:space="preserve">Information related to serious human rights violations or crimes against humanity cannot be classified as </w:t>
      </w:r>
      <w:r w:rsidR="00F87039" w:rsidRPr="00CC562A">
        <w:rPr>
          <w:rFonts w:ascii="Cambria" w:hAnsi="Cambria"/>
          <w:sz w:val="20"/>
          <w:szCs w:val="20"/>
          <w:lang w:val="en-US"/>
        </w:rPr>
        <w:t>restricted</w:t>
      </w:r>
      <w:r w:rsidR="00426EDD" w:rsidRPr="00CC562A">
        <w:rPr>
          <w:rFonts w:ascii="Cambria" w:hAnsi="Cambria"/>
          <w:sz w:val="20"/>
          <w:szCs w:val="20"/>
          <w:lang w:val="en-US"/>
        </w:rPr>
        <w:t>.</w:t>
      </w:r>
      <w:r w:rsidR="00886665" w:rsidRPr="00CC562A">
        <w:rPr>
          <w:rStyle w:val="FootnoteReference"/>
          <w:rFonts w:ascii="Cambria" w:hAnsi="Cambria"/>
          <w:sz w:val="20"/>
          <w:szCs w:val="20"/>
          <w:lang w:val="en-US"/>
        </w:rPr>
        <w:footnoteReference w:id="46"/>
      </w:r>
    </w:p>
    <w:p w14:paraId="2C584637" w14:textId="087B8720" w:rsidR="003E6D7E" w:rsidRPr="00CC562A" w:rsidRDefault="002832AF" w:rsidP="003E6D7E">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In addition, with respect to sexual torture committed against women and in view of the judgment of the Inter-American Court of Human Rights in operative paragraphs</w:t>
      </w:r>
      <w:r w:rsidR="003E6D7E" w:rsidRPr="00CC562A">
        <w:rPr>
          <w:rFonts w:ascii="Cambria" w:eastAsia="Cambria" w:hAnsi="Cambria" w:cs="Cambria"/>
          <w:sz w:val="20"/>
          <w:szCs w:val="20"/>
          <w:lang w:val="en-US"/>
        </w:rPr>
        <w:t xml:space="preserve"> 360 </w:t>
      </w:r>
      <w:r w:rsidRPr="00CC562A">
        <w:rPr>
          <w:rFonts w:ascii="Cambria" w:eastAsia="Cambria" w:hAnsi="Cambria" w:cs="Cambria"/>
          <w:sz w:val="20"/>
          <w:szCs w:val="20"/>
          <w:lang w:val="en-US"/>
        </w:rPr>
        <w:t>and</w:t>
      </w:r>
      <w:r w:rsidR="003E6D7E" w:rsidRPr="00CC562A">
        <w:rPr>
          <w:rFonts w:ascii="Cambria" w:eastAsia="Cambria" w:hAnsi="Cambria" w:cs="Cambria"/>
          <w:sz w:val="20"/>
          <w:szCs w:val="20"/>
          <w:lang w:val="en-US"/>
        </w:rPr>
        <w:t xml:space="preserve"> 371 </w:t>
      </w:r>
      <w:r w:rsidRPr="00CC562A">
        <w:rPr>
          <w:rFonts w:ascii="Cambria" w:eastAsia="Cambria" w:hAnsi="Cambria" w:cs="Cambria"/>
          <w:sz w:val="20"/>
          <w:szCs w:val="20"/>
          <w:lang w:val="en-US"/>
        </w:rPr>
        <w:t xml:space="preserve">in the “Case of Women Victims of Sexual Torture in </w:t>
      </w:r>
      <w:proofErr w:type="spellStart"/>
      <w:r w:rsidR="003E6D7E" w:rsidRPr="00CC562A">
        <w:rPr>
          <w:rFonts w:ascii="Cambria" w:eastAsia="Cambria" w:hAnsi="Cambria" w:cs="Cambria"/>
          <w:sz w:val="20"/>
          <w:szCs w:val="20"/>
          <w:lang w:val="en-US"/>
        </w:rPr>
        <w:t>Atenco</w:t>
      </w:r>
      <w:proofErr w:type="spellEnd"/>
      <w:r w:rsidR="003E6D7E" w:rsidRPr="00CC562A">
        <w:rPr>
          <w:rFonts w:ascii="Cambria" w:eastAsia="Cambria" w:hAnsi="Cambria" w:cs="Cambria"/>
          <w:sz w:val="20"/>
          <w:szCs w:val="20"/>
          <w:lang w:val="en-US"/>
        </w:rPr>
        <w:t xml:space="preserve"> v. M</w:t>
      </w:r>
      <w:r w:rsidRPr="00CC562A">
        <w:rPr>
          <w:rFonts w:ascii="Cambria" w:eastAsia="Cambria" w:hAnsi="Cambria" w:cs="Cambria"/>
          <w:sz w:val="20"/>
          <w:szCs w:val="20"/>
          <w:lang w:val="en-US"/>
        </w:rPr>
        <w:t>e</w:t>
      </w:r>
      <w:r w:rsidR="003E6D7E" w:rsidRPr="00CC562A">
        <w:rPr>
          <w:rFonts w:ascii="Cambria" w:eastAsia="Cambria" w:hAnsi="Cambria" w:cs="Cambria"/>
          <w:sz w:val="20"/>
          <w:szCs w:val="20"/>
          <w:lang w:val="en-US"/>
        </w:rPr>
        <w:t>xico</w:t>
      </w:r>
      <w:r w:rsidRPr="00CC562A">
        <w:rPr>
          <w:rFonts w:ascii="Cambria" w:eastAsia="Cambria" w:hAnsi="Cambria" w:cs="Cambria"/>
          <w:sz w:val="20"/>
          <w:szCs w:val="20"/>
          <w:lang w:val="en-US"/>
        </w:rPr>
        <w:t>,</w:t>
      </w:r>
      <w:r w:rsidR="003E6D7E"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the State indicated that </w:t>
      </w:r>
      <w:r w:rsidR="006912F5" w:rsidRPr="00CC562A">
        <w:rPr>
          <w:rFonts w:ascii="Cambria" w:eastAsia="Cambria" w:hAnsi="Cambria" w:cs="Cambria"/>
          <w:sz w:val="20"/>
          <w:szCs w:val="20"/>
          <w:lang w:val="en-US"/>
        </w:rPr>
        <w:t xml:space="preserve">1,280 questionnaires were administered to women deprived of liberty in 66 penitentiaries throughout the country in 2021. It </w:t>
      </w:r>
      <w:r w:rsidR="00157EB2" w:rsidRPr="00CC562A">
        <w:rPr>
          <w:rFonts w:ascii="Cambria" w:eastAsia="Cambria" w:hAnsi="Cambria" w:cs="Cambria"/>
          <w:sz w:val="20"/>
          <w:szCs w:val="20"/>
          <w:lang w:val="en-US"/>
        </w:rPr>
        <w:t>stated</w:t>
      </w:r>
      <w:r w:rsidR="006912F5" w:rsidRPr="00CC562A">
        <w:rPr>
          <w:rFonts w:ascii="Cambria" w:eastAsia="Cambria" w:hAnsi="Cambria" w:cs="Cambria"/>
          <w:sz w:val="20"/>
          <w:szCs w:val="20"/>
          <w:lang w:val="en-US"/>
        </w:rPr>
        <w:t xml:space="preserve"> that these questionnaires were used to produce the “National Diagnostic on Sexual Torture Committed against Women Deprived of Liberty in Mexico,” which</w:t>
      </w:r>
      <w:r w:rsidR="00157EB2" w:rsidRPr="00CC562A">
        <w:rPr>
          <w:rFonts w:ascii="Cambria" w:eastAsia="Cambria" w:hAnsi="Cambria" w:cs="Cambria"/>
          <w:sz w:val="20"/>
          <w:szCs w:val="20"/>
          <w:lang w:val="en-US"/>
        </w:rPr>
        <w:t xml:space="preserve"> was used as the basis for </w:t>
      </w:r>
      <w:r w:rsidR="007B3B95" w:rsidRPr="00CC562A">
        <w:rPr>
          <w:rFonts w:ascii="Cambria" w:eastAsia="Cambria" w:hAnsi="Cambria" w:cs="Cambria"/>
          <w:sz w:val="20"/>
          <w:szCs w:val="20"/>
          <w:lang w:val="en-US"/>
        </w:rPr>
        <w:t>acknowledging</w:t>
      </w:r>
      <w:r w:rsidR="00157EB2" w:rsidRPr="00CC562A">
        <w:rPr>
          <w:rFonts w:ascii="Cambria" w:eastAsia="Cambria" w:hAnsi="Cambria" w:cs="Cambria"/>
          <w:sz w:val="20"/>
          <w:szCs w:val="20"/>
          <w:lang w:val="en-US"/>
        </w:rPr>
        <w:t xml:space="preserve"> at least </w:t>
      </w:r>
      <w:r w:rsidR="003E6D7E" w:rsidRPr="00CC562A">
        <w:rPr>
          <w:rFonts w:ascii="Cambria" w:eastAsia="Cambria" w:hAnsi="Cambria" w:cs="Cambria"/>
          <w:sz w:val="20"/>
          <w:szCs w:val="20"/>
          <w:lang w:val="en-US"/>
        </w:rPr>
        <w:t>62 cas</w:t>
      </w:r>
      <w:r w:rsidR="00157EB2" w:rsidRPr="00CC562A">
        <w:rPr>
          <w:rFonts w:ascii="Cambria" w:eastAsia="Cambria" w:hAnsi="Cambria" w:cs="Cambria"/>
          <w:sz w:val="20"/>
          <w:szCs w:val="20"/>
          <w:lang w:val="en-US"/>
        </w:rPr>
        <w:t>es of women who probably suffered sexual torture at some point in their judicial process. It reported that said cases are being documented and addressed so they can be included in the</w:t>
      </w:r>
      <w:r w:rsidR="00074070" w:rsidRPr="00CC562A">
        <w:rPr>
          <w:rFonts w:ascii="Cambria" w:eastAsia="Cambria" w:hAnsi="Cambria" w:cs="Cambria"/>
          <w:sz w:val="20"/>
          <w:szCs w:val="20"/>
          <w:lang w:val="en-US"/>
        </w:rPr>
        <w:t xml:space="preserve"> Follow-up Mechanism on Cases of Sexual Torture Committed against Women.</w:t>
      </w:r>
      <w:r w:rsidR="003E6D7E" w:rsidRPr="00CC562A">
        <w:rPr>
          <w:rStyle w:val="FootnoteReference"/>
          <w:rFonts w:ascii="Cambria" w:eastAsia="Cambria" w:hAnsi="Cambria" w:cs="Cambria"/>
          <w:sz w:val="20"/>
          <w:szCs w:val="20"/>
          <w:lang w:val="en-US"/>
        </w:rPr>
        <w:footnoteReference w:id="47"/>
      </w:r>
    </w:p>
    <w:p w14:paraId="2E2EFFB9" w14:textId="459B36AE" w:rsidR="00136125" w:rsidRPr="00CC562A" w:rsidRDefault="00074070" w:rsidP="00763316">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lang w:val="en-US"/>
        </w:rPr>
        <w:t xml:space="preserve">For its part, on the implementation of this recommendation, </w:t>
      </w:r>
      <w:r w:rsidR="00165C40" w:rsidRPr="00CC562A">
        <w:rPr>
          <w:rFonts w:ascii="Cambria" w:eastAsia="Cambria" w:hAnsi="Cambria" w:cs="Cambria"/>
          <w:sz w:val="20"/>
          <w:szCs w:val="20"/>
          <w:lang w:val="en-US"/>
        </w:rPr>
        <w:t>the</w:t>
      </w:r>
      <w:r w:rsidR="3EAF8D27" w:rsidRPr="00CC562A">
        <w:rPr>
          <w:rFonts w:ascii="Cambria" w:eastAsia="Cambria" w:hAnsi="Cambria" w:cs="Cambria"/>
          <w:sz w:val="20"/>
          <w:szCs w:val="20"/>
          <w:lang w:val="en-US"/>
        </w:rPr>
        <w:t xml:space="preserve"> CMDPDH report</w:t>
      </w:r>
      <w:r w:rsidR="00F87039" w:rsidRPr="00CC562A">
        <w:rPr>
          <w:rFonts w:ascii="Cambria" w:eastAsia="Cambria" w:hAnsi="Cambria" w:cs="Cambria"/>
          <w:sz w:val="20"/>
          <w:szCs w:val="20"/>
          <w:lang w:val="en-US"/>
        </w:rPr>
        <w:t>ed</w:t>
      </w:r>
      <w:r w:rsidR="00115B7D" w:rsidRPr="00CC562A">
        <w:rPr>
          <w:rStyle w:val="FootnoteReference"/>
          <w:rFonts w:ascii="Cambria" w:eastAsia="Cambria" w:hAnsi="Cambria" w:cs="Cambria"/>
          <w:sz w:val="20"/>
          <w:szCs w:val="20"/>
          <w:lang w:val="en-US"/>
        </w:rPr>
        <w:footnoteReference w:id="48"/>
      </w:r>
      <w:r w:rsidR="3EAF8D27" w:rsidRPr="00CC562A">
        <w:rPr>
          <w:rFonts w:ascii="Cambria" w:eastAsia="Cambria" w:hAnsi="Cambria" w:cs="Cambria"/>
          <w:sz w:val="20"/>
          <w:szCs w:val="20"/>
          <w:lang w:val="en-US"/>
        </w:rPr>
        <w:t xml:space="preserve"> </w:t>
      </w:r>
      <w:r w:rsidR="00F87039" w:rsidRPr="00CC562A">
        <w:rPr>
          <w:rFonts w:ascii="Cambria" w:eastAsia="Cambria" w:hAnsi="Cambria" w:cs="Cambria"/>
          <w:sz w:val="20"/>
          <w:szCs w:val="20"/>
          <w:lang w:val="en-US"/>
        </w:rPr>
        <w:t xml:space="preserve">that, as of the date the report was sent, no initiative has been developed to create a body independent of the security forces to ensure impartiality regarding the processing of information reported and related to the loss of life when the authorities use lethal force. They indicated that this recommendation becomes more relevant upon analysis of the number of people who have died in confrontations with the security forces. They indicated that as of </w:t>
      </w:r>
      <w:r w:rsidR="2D87B8B9" w:rsidRPr="00CC562A">
        <w:rPr>
          <w:rFonts w:ascii="Cambria" w:eastAsia="Cambria" w:hAnsi="Cambria" w:cs="Cambria"/>
          <w:sz w:val="20"/>
          <w:szCs w:val="20"/>
          <w:lang w:val="en-US"/>
        </w:rPr>
        <w:t xml:space="preserve">2021 </w:t>
      </w:r>
      <w:r w:rsidR="00F87039" w:rsidRPr="00CC562A">
        <w:rPr>
          <w:rFonts w:ascii="Cambria" w:eastAsia="Cambria" w:hAnsi="Cambria" w:cs="Cambria"/>
          <w:sz w:val="20"/>
          <w:szCs w:val="20"/>
          <w:lang w:val="en-US"/>
        </w:rPr>
        <w:t xml:space="preserve">the </w:t>
      </w:r>
      <w:r w:rsidR="00324A00" w:rsidRPr="00CC562A">
        <w:rPr>
          <w:rFonts w:ascii="Cambria" w:eastAsia="Cambria" w:hAnsi="Cambria" w:cs="Cambria"/>
          <w:sz w:val="20"/>
          <w:szCs w:val="20"/>
          <w:lang w:val="en-US"/>
        </w:rPr>
        <w:t>ratio</w:t>
      </w:r>
      <w:r w:rsidR="00F87039" w:rsidRPr="00CC562A">
        <w:rPr>
          <w:rFonts w:ascii="Cambria" w:eastAsia="Cambria" w:hAnsi="Cambria" w:cs="Cambria"/>
          <w:sz w:val="20"/>
          <w:szCs w:val="20"/>
          <w:lang w:val="en-US"/>
        </w:rPr>
        <w:t xml:space="preserve"> of civilians who died </w:t>
      </w:r>
      <w:r w:rsidR="00324A00" w:rsidRPr="00CC562A">
        <w:rPr>
          <w:rFonts w:ascii="Cambria" w:eastAsia="Cambria" w:hAnsi="Cambria" w:cs="Cambria"/>
          <w:sz w:val="20"/>
          <w:szCs w:val="20"/>
          <w:lang w:val="en-US"/>
        </w:rPr>
        <w:t>to</w:t>
      </w:r>
      <w:r w:rsidR="00F87039" w:rsidRPr="00CC562A">
        <w:rPr>
          <w:rFonts w:ascii="Cambria" w:eastAsia="Cambria" w:hAnsi="Cambria" w:cs="Cambria"/>
          <w:sz w:val="20"/>
          <w:szCs w:val="20"/>
          <w:lang w:val="en-US"/>
        </w:rPr>
        <w:t xml:space="preserve"> each military person who died was </w:t>
      </w:r>
      <w:r w:rsidR="2D87B8B9" w:rsidRPr="00CC562A">
        <w:rPr>
          <w:rFonts w:ascii="Cambria" w:eastAsia="Cambria" w:hAnsi="Cambria" w:cs="Cambria"/>
          <w:sz w:val="20"/>
          <w:szCs w:val="20"/>
          <w:lang w:val="en-US"/>
        </w:rPr>
        <w:t xml:space="preserve">11 </w:t>
      </w:r>
      <w:r w:rsidR="00F87039" w:rsidRPr="00CC562A">
        <w:rPr>
          <w:rFonts w:ascii="Cambria" w:eastAsia="Cambria" w:hAnsi="Cambria" w:cs="Cambria"/>
          <w:sz w:val="20"/>
          <w:szCs w:val="20"/>
          <w:lang w:val="en-US"/>
        </w:rPr>
        <w:t>dead civilians for every member of the military</w:t>
      </w:r>
      <w:r w:rsidR="2D87B8B9" w:rsidRPr="00CC562A">
        <w:rPr>
          <w:rFonts w:ascii="Cambria" w:eastAsia="Cambria" w:hAnsi="Cambria" w:cs="Cambria"/>
          <w:sz w:val="20"/>
          <w:szCs w:val="20"/>
          <w:lang w:val="en-US"/>
        </w:rPr>
        <w:t>.</w:t>
      </w:r>
    </w:p>
    <w:p w14:paraId="06D2B5FB" w14:textId="28C0EA92" w:rsidR="00143CB1" w:rsidRPr="00CC562A" w:rsidRDefault="00F8703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0946F6" w:rsidRPr="00CC562A">
        <w:rPr>
          <w:rFonts w:ascii="Cambria" w:eastAsia="Cambria" w:hAnsi="Cambria" w:cs="Cambria"/>
          <w:sz w:val="20"/>
          <w:szCs w:val="20"/>
          <w:lang w:val="en-US"/>
        </w:rPr>
        <w:t xml:space="preserve">In response to the reparations ordered by the Inter-American Court in the case </w:t>
      </w:r>
      <w:r w:rsidR="005160F8" w:rsidRPr="00CC562A">
        <w:rPr>
          <w:rFonts w:ascii="Cambria" w:eastAsia="Cambria" w:hAnsi="Cambria" w:cs="Cambria"/>
          <w:sz w:val="20"/>
          <w:szCs w:val="20"/>
          <w:lang w:val="en-US"/>
        </w:rPr>
        <w:t>titled Women</w:t>
      </w:r>
      <w:r w:rsidR="000946F6" w:rsidRPr="00CC562A">
        <w:rPr>
          <w:rFonts w:ascii="Cambria" w:eastAsia="Cambria" w:hAnsi="Cambria" w:cs="Cambria"/>
          <w:i/>
          <w:iCs/>
          <w:sz w:val="20"/>
          <w:szCs w:val="20"/>
          <w:lang w:val="en-US"/>
        </w:rPr>
        <w:t xml:space="preserve"> Victims of Sexual Torture in </w:t>
      </w:r>
      <w:proofErr w:type="spellStart"/>
      <w:r w:rsidR="000946F6" w:rsidRPr="00CC562A">
        <w:rPr>
          <w:rFonts w:ascii="Cambria" w:eastAsia="Cambria" w:hAnsi="Cambria" w:cs="Cambria"/>
          <w:i/>
          <w:iCs/>
          <w:sz w:val="20"/>
          <w:szCs w:val="20"/>
          <w:lang w:val="en-US"/>
        </w:rPr>
        <w:t>Atenco</w:t>
      </w:r>
      <w:proofErr w:type="spellEnd"/>
      <w:r w:rsidR="2DDD048A" w:rsidRPr="00CC562A">
        <w:rPr>
          <w:rFonts w:ascii="Cambria" w:eastAsia="Cambria" w:hAnsi="Cambria" w:cs="Cambria"/>
          <w:sz w:val="20"/>
          <w:szCs w:val="20"/>
          <w:lang w:val="en-US"/>
        </w:rPr>
        <w:t xml:space="preserve"> </w:t>
      </w:r>
      <w:r w:rsidR="000946F6" w:rsidRPr="00CC562A">
        <w:rPr>
          <w:rFonts w:ascii="Cambria" w:eastAsia="Cambria" w:hAnsi="Cambria" w:cs="Cambria"/>
          <w:sz w:val="20"/>
          <w:szCs w:val="20"/>
          <w:lang w:val="en-US"/>
        </w:rPr>
        <w:t xml:space="preserve">and the creation of an independent observatory on accountability and monitoring the use of police force, the PRODH Center indicated that the State would be in discussions with the Mexican office of the UN High Commissioner for Human Rights to address implementation of the measure. As reported, the representatives of the victims in the case submitted a proposal to the State on the design of the </w:t>
      </w:r>
      <w:r w:rsidR="005160F8" w:rsidRPr="00CC562A">
        <w:rPr>
          <w:rFonts w:ascii="Cambria" w:eastAsia="Cambria" w:hAnsi="Cambria" w:cs="Cambria"/>
          <w:sz w:val="20"/>
          <w:szCs w:val="20"/>
          <w:lang w:val="en-US"/>
        </w:rPr>
        <w:t>observatory, but</w:t>
      </w:r>
      <w:r w:rsidR="000946F6" w:rsidRPr="00CC562A">
        <w:rPr>
          <w:rFonts w:ascii="Cambria" w:eastAsia="Cambria" w:hAnsi="Cambria" w:cs="Cambria"/>
          <w:sz w:val="20"/>
          <w:szCs w:val="20"/>
          <w:lang w:val="en-US"/>
        </w:rPr>
        <w:t xml:space="preserve"> received no formal response so that to date no progress has been made in this respect</w:t>
      </w:r>
      <w:r w:rsidR="761E6C07" w:rsidRPr="00CC562A">
        <w:rPr>
          <w:rFonts w:ascii="Cambria" w:eastAsia="Cambria" w:hAnsi="Cambria" w:cs="Cambria"/>
          <w:sz w:val="20"/>
          <w:szCs w:val="20"/>
          <w:lang w:val="en-US"/>
        </w:rPr>
        <w:t>.</w:t>
      </w:r>
    </w:p>
    <w:p w14:paraId="5CE2D2AB" w14:textId="3CF440C0" w:rsidR="00143CB1" w:rsidRPr="00CC562A" w:rsidRDefault="000946F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The IACHR</w:t>
      </w:r>
      <w:r w:rsidR="5C443DBA" w:rsidRPr="00CC562A">
        <w:rPr>
          <w:rFonts w:ascii="Cambria" w:hAnsi="Cambria"/>
          <w:sz w:val="20"/>
          <w:szCs w:val="20"/>
          <w:lang w:val="en-US"/>
        </w:rPr>
        <w:t xml:space="preserve"> reitera</w:t>
      </w:r>
      <w:r w:rsidRPr="00CC562A">
        <w:rPr>
          <w:rFonts w:ascii="Cambria" w:hAnsi="Cambria"/>
          <w:sz w:val="20"/>
          <w:szCs w:val="20"/>
          <w:lang w:val="en-US"/>
        </w:rPr>
        <w:t>tes</w:t>
      </w:r>
      <w:r w:rsidR="00143CB1" w:rsidRPr="00CC562A">
        <w:rPr>
          <w:rStyle w:val="FootnoteReference"/>
          <w:rFonts w:ascii="Cambria" w:hAnsi="Cambria"/>
          <w:sz w:val="20"/>
          <w:szCs w:val="20"/>
          <w:lang w:val="en-US"/>
        </w:rPr>
        <w:footnoteReference w:id="49"/>
      </w:r>
      <w:r w:rsidR="5C443DBA" w:rsidRPr="00CC562A">
        <w:rPr>
          <w:rFonts w:ascii="Cambria" w:hAnsi="Cambria"/>
          <w:position w:val="6"/>
          <w:sz w:val="12"/>
          <w:szCs w:val="12"/>
          <w:lang w:val="en-US"/>
        </w:rPr>
        <w:t xml:space="preserve"> </w:t>
      </w:r>
      <w:r w:rsidRPr="00CC562A">
        <w:rPr>
          <w:rFonts w:ascii="Cambria" w:hAnsi="Cambria"/>
          <w:sz w:val="20"/>
          <w:szCs w:val="20"/>
          <w:lang w:val="en-US"/>
        </w:rPr>
        <w:t xml:space="preserve">that in the case of Women Victims of Sexual Torture in </w:t>
      </w:r>
      <w:proofErr w:type="spellStart"/>
      <w:r w:rsidR="5C443DBA" w:rsidRPr="00CC562A">
        <w:rPr>
          <w:rFonts w:ascii="Cambria" w:hAnsi="Cambria"/>
          <w:sz w:val="20"/>
          <w:szCs w:val="20"/>
          <w:lang w:val="en-US"/>
        </w:rPr>
        <w:t>Atenco</w:t>
      </w:r>
      <w:proofErr w:type="spellEnd"/>
      <w:r w:rsidR="5C443DBA" w:rsidRPr="00CC562A">
        <w:rPr>
          <w:rFonts w:ascii="Cambria" w:hAnsi="Cambria"/>
          <w:sz w:val="20"/>
          <w:szCs w:val="20"/>
          <w:lang w:val="en-US"/>
        </w:rPr>
        <w:t xml:space="preserve"> v. M</w:t>
      </w:r>
      <w:r w:rsidRPr="00CC562A">
        <w:rPr>
          <w:rFonts w:ascii="Cambria" w:hAnsi="Cambria"/>
          <w:sz w:val="20"/>
          <w:szCs w:val="20"/>
          <w:lang w:val="en-US"/>
        </w:rPr>
        <w:t>e</w:t>
      </w:r>
      <w:r w:rsidR="5C443DBA" w:rsidRPr="00CC562A">
        <w:rPr>
          <w:rFonts w:ascii="Cambria" w:hAnsi="Cambria"/>
          <w:sz w:val="20"/>
          <w:szCs w:val="20"/>
          <w:lang w:val="en-US"/>
        </w:rPr>
        <w:t>xico</w:t>
      </w:r>
      <w:r w:rsidR="0F1FB269" w:rsidRPr="00CC562A">
        <w:rPr>
          <w:rFonts w:ascii="Cambria" w:hAnsi="Cambria"/>
          <w:sz w:val="20"/>
          <w:szCs w:val="20"/>
          <w:lang w:val="en-US"/>
        </w:rPr>
        <w:t xml:space="preserve">, </w:t>
      </w:r>
      <w:r w:rsidRPr="00CC562A">
        <w:rPr>
          <w:rFonts w:ascii="Cambria" w:hAnsi="Cambria"/>
          <w:sz w:val="20"/>
          <w:szCs w:val="20"/>
          <w:lang w:val="en-US"/>
        </w:rPr>
        <w:t>the Inter-American Court ordered as a reparation measure that the Mexican State should establish at the federal level an</w:t>
      </w:r>
      <w:r w:rsidR="5C443DBA" w:rsidRPr="00CC562A">
        <w:rPr>
          <w:rFonts w:ascii="Cambria" w:hAnsi="Cambria"/>
          <w:sz w:val="20"/>
          <w:szCs w:val="20"/>
          <w:lang w:val="en-US"/>
        </w:rPr>
        <w:t xml:space="preserve"> “</w:t>
      </w:r>
      <w:r w:rsidRPr="00CC562A">
        <w:rPr>
          <w:rFonts w:ascii="Cambria" w:hAnsi="Cambria"/>
          <w:sz w:val="20"/>
          <w:szCs w:val="20"/>
          <w:lang w:val="en-US"/>
        </w:rPr>
        <w:t>independent observatory to follow up on the implementation of policies regarding accountability and monitoring of the use of force by the Federal Police and the police of the State of Mexico, allowing the participation of members of civil society. That observatory should also generate information that will allow for institutional improvements in this area. For such purposes, the State shall generate information systems that make it possible to</w:t>
      </w:r>
      <w:r w:rsidR="5C443DBA" w:rsidRPr="00CC562A">
        <w:rPr>
          <w:rFonts w:ascii="Cambria" w:hAnsi="Cambria"/>
          <w:sz w:val="20"/>
          <w:szCs w:val="20"/>
          <w:lang w:val="en-US"/>
        </w:rPr>
        <w:t>: (</w:t>
      </w:r>
      <w:proofErr w:type="spellStart"/>
      <w:r w:rsidR="5C443DBA" w:rsidRPr="00CC562A">
        <w:rPr>
          <w:rFonts w:ascii="Cambria" w:hAnsi="Cambria"/>
          <w:sz w:val="20"/>
          <w:szCs w:val="20"/>
          <w:lang w:val="en-US"/>
        </w:rPr>
        <w:t>i</w:t>
      </w:r>
      <w:proofErr w:type="spellEnd"/>
      <w:r w:rsidR="5C443DBA" w:rsidRPr="00CC562A">
        <w:rPr>
          <w:rFonts w:ascii="Cambria" w:hAnsi="Cambria"/>
          <w:sz w:val="20"/>
          <w:szCs w:val="20"/>
          <w:lang w:val="en-US"/>
        </w:rPr>
        <w:t>) evalua</w:t>
      </w:r>
      <w:r w:rsidRPr="00CC562A">
        <w:rPr>
          <w:rFonts w:ascii="Cambria" w:hAnsi="Cambria"/>
          <w:sz w:val="20"/>
          <w:szCs w:val="20"/>
          <w:lang w:val="en-US"/>
        </w:rPr>
        <w:t>te the effectiveness of existing mechanisms for supervision and oversight of police operations before, during, and after the use of force, and</w:t>
      </w:r>
      <w:r w:rsidR="5C443DBA" w:rsidRPr="00CC562A">
        <w:rPr>
          <w:rFonts w:ascii="Cambria" w:hAnsi="Cambria"/>
          <w:sz w:val="20"/>
          <w:szCs w:val="20"/>
          <w:lang w:val="en-US"/>
        </w:rPr>
        <w:t xml:space="preserve"> (ii) </w:t>
      </w:r>
      <w:r w:rsidRPr="00CC562A">
        <w:rPr>
          <w:rFonts w:ascii="Cambria" w:hAnsi="Cambria"/>
          <w:sz w:val="20"/>
          <w:szCs w:val="20"/>
          <w:lang w:val="en-US"/>
        </w:rPr>
        <w:t xml:space="preserve">provide feedback on appropriate </w:t>
      </w:r>
      <w:r w:rsidR="00C034D7" w:rsidRPr="00CC562A">
        <w:rPr>
          <w:rFonts w:ascii="Cambria" w:hAnsi="Cambria"/>
          <w:sz w:val="20"/>
          <w:szCs w:val="20"/>
          <w:lang w:val="en-US"/>
        </w:rPr>
        <w:t>institutional improvements based on the information obtained through the observatory.</w:t>
      </w:r>
      <w:r w:rsidR="5C443DBA" w:rsidRPr="00CC562A">
        <w:rPr>
          <w:rFonts w:ascii="Cambria" w:hAnsi="Cambria"/>
          <w:sz w:val="20"/>
          <w:szCs w:val="20"/>
          <w:lang w:val="en-US"/>
        </w:rPr>
        <w:t>”</w:t>
      </w:r>
      <w:r w:rsidR="00143CB1" w:rsidRPr="00CC562A">
        <w:rPr>
          <w:rStyle w:val="FootnoteReference"/>
          <w:rFonts w:ascii="Cambria" w:hAnsi="Cambria"/>
          <w:sz w:val="20"/>
          <w:szCs w:val="20"/>
          <w:lang w:val="en-US"/>
        </w:rPr>
        <w:footnoteReference w:id="50"/>
      </w:r>
    </w:p>
    <w:p w14:paraId="713ABE14" w14:textId="48A509F6" w:rsidR="00D33CF4" w:rsidRPr="00CC562A" w:rsidRDefault="00C034D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 notes that the State re</w:t>
      </w:r>
      <w:r w:rsidR="007802AE" w:rsidRPr="00CC562A">
        <w:rPr>
          <w:rFonts w:ascii="Cambria" w:eastAsia="Cambria" w:hAnsi="Cambria" w:cs="Cambria"/>
          <w:sz w:val="20"/>
          <w:szCs w:val="20"/>
          <w:lang w:val="en-US"/>
        </w:rPr>
        <w:t>peated</w:t>
      </w:r>
      <w:r w:rsidRPr="00CC562A">
        <w:rPr>
          <w:rFonts w:ascii="Cambria" w:eastAsia="Cambria" w:hAnsi="Cambria" w:cs="Cambria"/>
          <w:sz w:val="20"/>
          <w:szCs w:val="20"/>
          <w:lang w:val="en-US"/>
        </w:rPr>
        <w:t xml:space="preserve"> the information provided the previous year</w:t>
      </w:r>
      <w:r w:rsidR="007705DD" w:rsidRPr="00CC562A">
        <w:rPr>
          <w:rStyle w:val="FootnoteReference"/>
          <w:rFonts w:ascii="Cambria" w:hAnsi="Cambria"/>
          <w:sz w:val="20"/>
          <w:szCs w:val="20"/>
          <w:lang w:val="en-US"/>
        </w:rPr>
        <w:footnoteReference w:id="51"/>
      </w:r>
      <w:r w:rsidR="2DDD048A" w:rsidRPr="00CC562A">
        <w:rPr>
          <w:rFonts w:ascii="Cambria" w:hAnsi="Cambria"/>
          <w:sz w:val="20"/>
          <w:szCs w:val="20"/>
          <w:lang w:val="en-US"/>
        </w:rPr>
        <w:t xml:space="preserve"> </w:t>
      </w:r>
      <w:r w:rsidRPr="00CC562A">
        <w:rPr>
          <w:rFonts w:ascii="Cambria" w:eastAsia="Cambria" w:hAnsi="Cambria" w:cs="Cambria"/>
          <w:sz w:val="20"/>
          <w:szCs w:val="20"/>
          <w:lang w:val="en-US"/>
        </w:rPr>
        <w:t>on the internal process for overseeing the use of lethal force as stipulated in the National Law on the Use of Force</w:t>
      </w:r>
      <w:r w:rsidR="419071F8" w:rsidRPr="00CC562A">
        <w:rPr>
          <w:rFonts w:ascii="Cambria" w:hAnsi="Cambria"/>
          <w:sz w:val="20"/>
          <w:szCs w:val="20"/>
          <w:lang w:val="en-US"/>
        </w:rPr>
        <w:t xml:space="preserve">, </w:t>
      </w:r>
      <w:r w:rsidRPr="00CC562A">
        <w:rPr>
          <w:rFonts w:ascii="Cambria" w:hAnsi="Cambria"/>
          <w:sz w:val="20"/>
          <w:szCs w:val="20"/>
          <w:lang w:val="en-US"/>
        </w:rPr>
        <w:t xml:space="preserve">but </w:t>
      </w:r>
      <w:r w:rsidRPr="00CC562A">
        <w:rPr>
          <w:rFonts w:ascii="Cambria" w:hAnsi="Cambria"/>
          <w:sz w:val="20"/>
          <w:szCs w:val="20"/>
          <w:lang w:val="en-US"/>
        </w:rPr>
        <w:lastRenderedPageBreak/>
        <w:t>again it did not provide information on the operation of these accountability mechanisms. The IACHR also notes that no information was provided on the status of compliance with the Court’s reparation order in the</w:t>
      </w:r>
      <w:r w:rsidR="2DDD048A" w:rsidRPr="00CC562A">
        <w:rPr>
          <w:rFonts w:ascii="Cambria" w:hAnsi="Cambria"/>
          <w:sz w:val="20"/>
          <w:szCs w:val="20"/>
          <w:lang w:val="en-US"/>
        </w:rPr>
        <w:t xml:space="preserve"> </w:t>
      </w:r>
      <w:proofErr w:type="spellStart"/>
      <w:r w:rsidR="2DDD048A" w:rsidRPr="00CC562A">
        <w:rPr>
          <w:rFonts w:ascii="Cambria" w:hAnsi="Cambria"/>
          <w:i/>
          <w:iCs/>
          <w:sz w:val="20"/>
          <w:szCs w:val="20"/>
          <w:lang w:val="en-US"/>
        </w:rPr>
        <w:t>Atenco</w:t>
      </w:r>
      <w:proofErr w:type="spellEnd"/>
      <w:r w:rsidRPr="00CC562A">
        <w:rPr>
          <w:rFonts w:ascii="Cambria" w:hAnsi="Cambria"/>
          <w:i/>
          <w:iCs/>
          <w:sz w:val="20"/>
          <w:szCs w:val="20"/>
          <w:lang w:val="en-US"/>
        </w:rPr>
        <w:t xml:space="preserve"> </w:t>
      </w:r>
      <w:r w:rsidRPr="00CC562A">
        <w:rPr>
          <w:rFonts w:ascii="Cambria" w:hAnsi="Cambria"/>
          <w:sz w:val="20"/>
          <w:szCs w:val="20"/>
          <w:lang w:val="en-US"/>
        </w:rPr>
        <w:t xml:space="preserve">case. </w:t>
      </w:r>
      <w:r w:rsidR="00074070" w:rsidRPr="00CC562A">
        <w:rPr>
          <w:rFonts w:ascii="Cambria" w:hAnsi="Cambria"/>
          <w:sz w:val="20"/>
          <w:lang w:val="en-US"/>
        </w:rPr>
        <w:t xml:space="preserve">The IACHR </w:t>
      </w:r>
      <w:r w:rsidR="007B3B95" w:rsidRPr="00CC562A">
        <w:rPr>
          <w:rFonts w:ascii="Cambria" w:hAnsi="Cambria"/>
          <w:sz w:val="20"/>
          <w:lang w:val="en-US"/>
        </w:rPr>
        <w:t xml:space="preserve">has also noted </w:t>
      </w:r>
      <w:r w:rsidR="00074070" w:rsidRPr="00CC562A">
        <w:rPr>
          <w:rFonts w:ascii="Cambria" w:hAnsi="Cambria"/>
          <w:sz w:val="20"/>
          <w:lang w:val="en-US"/>
        </w:rPr>
        <w:t>the information provided by the State regarding questionnaires administered to identify cases of women who were the victims of torture while facing judicial proceedings. In this regard</w:t>
      </w:r>
      <w:r w:rsidR="003E6D7E" w:rsidRPr="00CC562A">
        <w:rPr>
          <w:rFonts w:ascii="Cambria" w:hAnsi="Cambria"/>
          <w:sz w:val="20"/>
          <w:lang w:val="en-US"/>
        </w:rPr>
        <w:t xml:space="preserve">, </w:t>
      </w:r>
      <w:r w:rsidR="00074070" w:rsidRPr="00CC562A">
        <w:rPr>
          <w:rFonts w:ascii="Cambria" w:hAnsi="Cambria"/>
          <w:sz w:val="20"/>
          <w:lang w:val="en-US"/>
        </w:rPr>
        <w:t xml:space="preserve">it is awaiting additional, specific information regarding the status of compliance with the reparations </w:t>
      </w:r>
      <w:r w:rsidR="007B3B95" w:rsidRPr="00CC562A">
        <w:rPr>
          <w:rFonts w:ascii="Cambria" w:hAnsi="Cambria"/>
          <w:sz w:val="20"/>
          <w:lang w:val="en-US"/>
        </w:rPr>
        <w:t>ordered</w:t>
      </w:r>
      <w:r w:rsidR="00074070" w:rsidRPr="00CC562A">
        <w:rPr>
          <w:rFonts w:ascii="Cambria" w:hAnsi="Cambria"/>
          <w:sz w:val="20"/>
          <w:lang w:val="en-US"/>
        </w:rPr>
        <w:t xml:space="preserve"> by the Court in the </w:t>
      </w:r>
      <w:proofErr w:type="spellStart"/>
      <w:r w:rsidR="003E6D7E" w:rsidRPr="00CC562A">
        <w:rPr>
          <w:rFonts w:ascii="Cambria" w:hAnsi="Cambria"/>
          <w:i/>
          <w:sz w:val="20"/>
          <w:lang w:val="en-US"/>
        </w:rPr>
        <w:t>Atenco</w:t>
      </w:r>
      <w:proofErr w:type="spellEnd"/>
      <w:r w:rsidR="00074070" w:rsidRPr="00CC562A">
        <w:rPr>
          <w:rFonts w:ascii="Cambria" w:hAnsi="Cambria"/>
          <w:i/>
          <w:sz w:val="20"/>
          <w:lang w:val="en-US"/>
        </w:rPr>
        <w:t xml:space="preserve"> case</w:t>
      </w:r>
      <w:r w:rsidR="003E6D7E" w:rsidRPr="00CC562A">
        <w:rPr>
          <w:rFonts w:ascii="Cambria" w:hAnsi="Cambria"/>
          <w:i/>
          <w:sz w:val="20"/>
          <w:lang w:val="en-US"/>
        </w:rPr>
        <w:t>.</w:t>
      </w:r>
      <w:r w:rsidR="003E6D7E" w:rsidRPr="00CC562A">
        <w:rPr>
          <w:rFonts w:ascii="Cambria" w:hAnsi="Cambria"/>
          <w:sz w:val="20"/>
          <w:lang w:val="en-US"/>
        </w:rPr>
        <w:t xml:space="preserve"> </w:t>
      </w:r>
      <w:r w:rsidRPr="00CC562A">
        <w:rPr>
          <w:rFonts w:ascii="Cambria" w:hAnsi="Cambria"/>
          <w:sz w:val="20"/>
          <w:szCs w:val="20"/>
          <w:lang w:val="en-US"/>
        </w:rPr>
        <w:t>Based on the above, the Commission concludes that there is</w:t>
      </w:r>
      <w:r w:rsidRPr="00CC562A">
        <w:rPr>
          <w:rFonts w:ascii="Cambria" w:hAnsi="Cambria"/>
          <w:i/>
          <w:iCs/>
          <w:sz w:val="20"/>
          <w:szCs w:val="20"/>
          <w:lang w:val="en-US"/>
        </w:rPr>
        <w:t xml:space="preserve"> </w:t>
      </w:r>
      <w:r w:rsidRPr="00CC562A">
        <w:rPr>
          <w:rFonts w:ascii="Cambria" w:hAnsi="Cambria"/>
          <w:b/>
          <w:bCs/>
          <w:sz w:val="20"/>
          <w:szCs w:val="20"/>
          <w:lang w:val="en-US"/>
        </w:rPr>
        <w:t xml:space="preserve">partial compliance </w:t>
      </w:r>
      <w:r w:rsidRPr="00CC562A">
        <w:rPr>
          <w:rFonts w:ascii="Cambria" w:hAnsi="Cambria"/>
          <w:sz w:val="20"/>
          <w:szCs w:val="20"/>
          <w:lang w:val="en-US"/>
        </w:rPr>
        <w:t>with the recommendation</w:t>
      </w:r>
      <w:r w:rsidR="419071F8" w:rsidRPr="00CC562A">
        <w:rPr>
          <w:rFonts w:ascii="Cambria" w:hAnsi="Cambria"/>
          <w:sz w:val="20"/>
          <w:szCs w:val="20"/>
          <w:lang w:val="en-US"/>
        </w:rPr>
        <w:t xml:space="preserve">. </w:t>
      </w:r>
    </w:p>
    <w:p w14:paraId="1BC54F0D" w14:textId="5B3FE63F" w:rsidR="00A03DC3" w:rsidRPr="00CC562A" w:rsidRDefault="00C034D7" w:rsidP="00001918">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guide the process of implementing this recommendation, the IACHR encourages the adoption of measures to ensure, in addition to the appropriate legislative authorization, accountability mechanisms headed by a body independent of the security forces, precisely to ensure impartiality regarding the processing of the information reported. The Commission suggests that the State provide information </w:t>
      </w:r>
      <w:r w:rsidR="00B94615" w:rsidRPr="00CC562A">
        <w:rPr>
          <w:rFonts w:ascii="Cambria" w:hAnsi="Cambria"/>
          <w:sz w:val="20"/>
          <w:szCs w:val="20"/>
          <w:lang w:val="en-US"/>
        </w:rPr>
        <w:t xml:space="preserve">on this aspect as well as on progress made in </w:t>
      </w:r>
      <w:r w:rsidR="007802AE" w:rsidRPr="00CC562A">
        <w:rPr>
          <w:rFonts w:ascii="Cambria" w:hAnsi="Cambria"/>
          <w:sz w:val="20"/>
          <w:szCs w:val="20"/>
          <w:lang w:val="en-US"/>
        </w:rPr>
        <w:t xml:space="preserve">creating </w:t>
      </w:r>
      <w:r w:rsidR="00B94615" w:rsidRPr="00CC562A">
        <w:rPr>
          <w:rFonts w:ascii="Cambria" w:hAnsi="Cambria"/>
          <w:sz w:val="20"/>
          <w:szCs w:val="20"/>
          <w:lang w:val="en-US"/>
        </w:rPr>
        <w:t xml:space="preserve">the observatory ordered as reparations in the </w:t>
      </w:r>
      <w:proofErr w:type="spellStart"/>
      <w:r w:rsidR="0F1FB269" w:rsidRPr="00CC562A">
        <w:rPr>
          <w:rFonts w:ascii="Cambria" w:hAnsi="Cambria"/>
          <w:i/>
          <w:iCs/>
          <w:sz w:val="20"/>
          <w:szCs w:val="20"/>
          <w:lang w:val="en-US"/>
        </w:rPr>
        <w:t>Atenco</w:t>
      </w:r>
      <w:proofErr w:type="spellEnd"/>
      <w:r w:rsidR="00B94615" w:rsidRPr="00CC562A">
        <w:rPr>
          <w:rFonts w:ascii="Cambria" w:hAnsi="Cambria"/>
          <w:i/>
          <w:iCs/>
          <w:sz w:val="20"/>
          <w:szCs w:val="20"/>
          <w:lang w:val="en-US"/>
        </w:rPr>
        <w:t xml:space="preserve"> </w:t>
      </w:r>
      <w:r w:rsidR="00B94615" w:rsidRPr="00CC562A">
        <w:rPr>
          <w:rFonts w:ascii="Cambria" w:hAnsi="Cambria"/>
          <w:sz w:val="20"/>
          <w:szCs w:val="20"/>
          <w:lang w:val="en-US"/>
        </w:rPr>
        <w:t>case</w:t>
      </w:r>
      <w:r w:rsidR="6607A9A3" w:rsidRPr="00CC562A">
        <w:rPr>
          <w:rFonts w:ascii="Cambria" w:hAnsi="Cambria"/>
          <w:i/>
          <w:iCs/>
          <w:sz w:val="20"/>
          <w:szCs w:val="20"/>
          <w:lang w:val="en-US"/>
        </w:rPr>
        <w:t>.</w:t>
      </w:r>
    </w:p>
    <w:p w14:paraId="5E99168B" w14:textId="49569766" w:rsidR="00886665" w:rsidRPr="00CC562A" w:rsidRDefault="419071F8" w:rsidP="003E6D7E">
      <w:pPr>
        <w:numPr>
          <w:ilvl w:val="0"/>
          <w:numId w:val="2"/>
        </w:numPr>
        <w:spacing w:before="240" w:line="240" w:lineRule="auto"/>
        <w:ind w:left="0" w:firstLine="720"/>
        <w:jc w:val="both"/>
        <w:rPr>
          <w:rFonts w:ascii="Cambria" w:hAnsi="Cambria"/>
          <w:sz w:val="20"/>
          <w:lang w:val="en-US"/>
        </w:rPr>
      </w:pPr>
      <w:r w:rsidRPr="00CC562A">
        <w:rPr>
          <w:rFonts w:ascii="Cambria" w:hAnsi="Cambria"/>
          <w:sz w:val="20"/>
          <w:szCs w:val="20"/>
          <w:lang w:val="en-US"/>
        </w:rPr>
        <w:t>R</w:t>
      </w:r>
      <w:r w:rsidR="00B94615" w:rsidRPr="00CC562A">
        <w:rPr>
          <w:rFonts w:ascii="Cambria" w:hAnsi="Cambria"/>
          <w:sz w:val="20"/>
          <w:szCs w:val="20"/>
          <w:lang w:val="en-US"/>
        </w:rPr>
        <w:t xml:space="preserve">egarding the recommendation on </w:t>
      </w:r>
      <w:r w:rsidR="00B94615" w:rsidRPr="00CC562A">
        <w:rPr>
          <w:rFonts w:ascii="Cambria" w:hAnsi="Cambria"/>
          <w:b/>
          <w:bCs/>
          <w:sz w:val="20"/>
          <w:szCs w:val="20"/>
          <w:lang w:val="en-US"/>
        </w:rPr>
        <w:t>ensuring that, in cases of forced disappearance, extrajudicial executions, and torture, the lines of inquiry not only seek to disclose the actual perpetrators, but also include the responsibility of the chain of command</w:t>
      </w:r>
      <w:r w:rsidRPr="00CC562A">
        <w:rPr>
          <w:rFonts w:ascii="Cambria" w:hAnsi="Cambria"/>
          <w:b/>
          <w:bCs/>
          <w:sz w:val="20"/>
          <w:szCs w:val="20"/>
          <w:lang w:val="en-US"/>
        </w:rPr>
        <w:t xml:space="preserve">, </w:t>
      </w:r>
      <w:r w:rsidR="00B94615" w:rsidRPr="00CC562A">
        <w:rPr>
          <w:rFonts w:ascii="Cambria" w:hAnsi="Cambria"/>
          <w:sz w:val="20"/>
          <w:szCs w:val="20"/>
          <w:lang w:val="en-US"/>
        </w:rPr>
        <w:t xml:space="preserve">the State indicated that Article </w:t>
      </w:r>
      <w:r w:rsidR="1A8E4DE8" w:rsidRPr="00CC562A">
        <w:rPr>
          <w:rFonts w:ascii="Cambria" w:eastAsia="Cambria" w:hAnsi="Cambria" w:cs="Cambria"/>
          <w:sz w:val="20"/>
          <w:szCs w:val="20"/>
          <w:lang w:val="en-US"/>
        </w:rPr>
        <w:t xml:space="preserve">29 </w:t>
      </w:r>
      <w:r w:rsidR="00B94615" w:rsidRPr="00CC562A">
        <w:rPr>
          <w:rFonts w:ascii="Cambria" w:eastAsia="Cambria" w:hAnsi="Cambria" w:cs="Cambria"/>
          <w:sz w:val="20"/>
          <w:szCs w:val="20"/>
          <w:lang w:val="en-US"/>
        </w:rPr>
        <w:t>of the General Law on the Forced Disappearance of Persons, Disappearance Committed by Private Parties, and the  for the Search for Persons</w:t>
      </w:r>
      <w:r w:rsidR="381EC772" w:rsidRPr="00CC562A">
        <w:rPr>
          <w:rFonts w:ascii="Cambria" w:eastAsia="Cambria" w:hAnsi="Cambria" w:cs="Cambria"/>
          <w:sz w:val="20"/>
          <w:szCs w:val="20"/>
          <w:lang w:val="en-US"/>
        </w:rPr>
        <w:t xml:space="preserve"> (</w:t>
      </w:r>
      <w:r w:rsidR="00B94615" w:rsidRPr="00CC562A">
        <w:rPr>
          <w:rFonts w:ascii="Cambria" w:eastAsia="Cambria" w:hAnsi="Cambria" w:cs="Cambria"/>
          <w:sz w:val="20"/>
          <w:szCs w:val="20"/>
          <w:lang w:val="en-US"/>
        </w:rPr>
        <w:t>hereinafter the “General Law</w:t>
      </w:r>
      <w:r w:rsidR="381EC772" w:rsidRPr="00CC562A">
        <w:rPr>
          <w:rFonts w:ascii="Cambria" w:eastAsia="Cambria" w:hAnsi="Cambria" w:cs="Cambria"/>
          <w:sz w:val="20"/>
          <w:szCs w:val="20"/>
          <w:lang w:val="en-US"/>
        </w:rPr>
        <w:t xml:space="preserve"> </w:t>
      </w:r>
      <w:r w:rsidR="00B94615" w:rsidRPr="00CC562A">
        <w:rPr>
          <w:rFonts w:ascii="Cambria" w:eastAsia="Cambria" w:hAnsi="Cambria" w:cs="Cambria"/>
          <w:sz w:val="20"/>
          <w:szCs w:val="20"/>
          <w:lang w:val="en-US"/>
        </w:rPr>
        <w:t>on the Subject of Disappearance”) establishes that hierarchical superiors shall be considered perpetrators of the crime of forced disappearance in accordance with the provisions of corresponding criminal legislation.</w:t>
      </w:r>
      <w:r w:rsidR="381EC772" w:rsidRPr="00CC562A">
        <w:rPr>
          <w:rFonts w:ascii="Cambria" w:eastAsia="Cambria" w:hAnsi="Cambria" w:cs="Cambria"/>
          <w:sz w:val="20"/>
          <w:szCs w:val="20"/>
          <w:lang w:val="en-US"/>
        </w:rPr>
        <w:t xml:space="preserve"> </w:t>
      </w:r>
      <w:r w:rsidR="00B94615" w:rsidRPr="00CC562A">
        <w:rPr>
          <w:rFonts w:ascii="Cambria" w:eastAsia="Cambria" w:hAnsi="Cambria" w:cs="Cambria"/>
          <w:sz w:val="20"/>
          <w:szCs w:val="20"/>
          <w:lang w:val="en-US"/>
        </w:rPr>
        <w:t xml:space="preserve">In addition, Article </w:t>
      </w:r>
      <w:r w:rsidR="1A8E4DE8" w:rsidRPr="00CC562A">
        <w:rPr>
          <w:rFonts w:ascii="Cambria" w:eastAsia="Cambria" w:hAnsi="Cambria" w:cs="Cambria"/>
          <w:sz w:val="20"/>
          <w:szCs w:val="20"/>
          <w:lang w:val="en-US"/>
        </w:rPr>
        <w:t xml:space="preserve">9 </w:t>
      </w:r>
      <w:r w:rsidR="00B94615" w:rsidRPr="00CC562A">
        <w:rPr>
          <w:rFonts w:ascii="Cambria" w:eastAsia="Cambria" w:hAnsi="Cambria" w:cs="Cambria"/>
          <w:sz w:val="20"/>
          <w:szCs w:val="20"/>
          <w:lang w:val="en-US"/>
        </w:rPr>
        <w:t>of the Law to Prevent, Investigate, and Punish Torture and Other Cruel, Inhuman, or Degrading Treatment or Punishment</w:t>
      </w:r>
      <w:r w:rsidR="1A8E4DE8" w:rsidRPr="00CC562A">
        <w:rPr>
          <w:rFonts w:ascii="Cambria" w:eastAsia="Cambria" w:hAnsi="Cambria" w:cs="Cambria"/>
          <w:sz w:val="20"/>
          <w:szCs w:val="20"/>
          <w:lang w:val="en-US"/>
        </w:rPr>
        <w:t xml:space="preserve"> </w:t>
      </w:r>
      <w:r w:rsidR="00B94615" w:rsidRPr="00CC562A">
        <w:rPr>
          <w:rFonts w:ascii="Cambria" w:eastAsia="Cambria" w:hAnsi="Cambria" w:cs="Cambria"/>
          <w:sz w:val="20"/>
          <w:szCs w:val="20"/>
          <w:lang w:val="en-US"/>
        </w:rPr>
        <w:t xml:space="preserve">establishes that obeying </w:t>
      </w:r>
      <w:r w:rsidR="00E247D2" w:rsidRPr="00CC562A">
        <w:rPr>
          <w:rFonts w:ascii="Cambria" w:eastAsia="Cambria" w:hAnsi="Cambria" w:cs="Cambria"/>
          <w:sz w:val="20"/>
          <w:szCs w:val="20"/>
          <w:lang w:val="en-US"/>
        </w:rPr>
        <w:t>orders or instructions from a hierarchical superior who orders, authorizes</w:t>
      </w:r>
      <w:r w:rsidR="007802AE" w:rsidRPr="00CC562A">
        <w:rPr>
          <w:rFonts w:ascii="Cambria" w:eastAsia="Cambria" w:hAnsi="Cambria" w:cs="Cambria"/>
          <w:sz w:val="20"/>
          <w:szCs w:val="20"/>
          <w:lang w:val="en-US"/>
        </w:rPr>
        <w:t>,</w:t>
      </w:r>
      <w:r w:rsidR="00E247D2" w:rsidRPr="00CC562A">
        <w:rPr>
          <w:rFonts w:ascii="Cambria" w:eastAsia="Cambria" w:hAnsi="Cambria" w:cs="Cambria"/>
          <w:sz w:val="20"/>
          <w:szCs w:val="20"/>
          <w:lang w:val="en-US"/>
        </w:rPr>
        <w:t xml:space="preserve"> or encourages the commission of torture does not constitute grounds for excluding this crime. Hierarchical superiors’ orders to commit the crime of torture are manifestly illegal and subordinates have the duty to disobey them and report them</w:t>
      </w:r>
      <w:r w:rsidR="00426EDD" w:rsidRPr="00CC562A">
        <w:rPr>
          <w:rFonts w:ascii="Cambria" w:eastAsia="Cambria" w:hAnsi="Cambria" w:cs="Cambria"/>
          <w:sz w:val="20"/>
          <w:szCs w:val="20"/>
          <w:lang w:val="en-US"/>
        </w:rPr>
        <w:t>.</w:t>
      </w:r>
      <w:r w:rsidR="003E6D7E" w:rsidRPr="00CC562A">
        <w:rPr>
          <w:rStyle w:val="FootnoteReference"/>
          <w:rFonts w:ascii="Cambria" w:hAnsi="Cambria"/>
          <w:sz w:val="20"/>
          <w:lang w:val="es-CO"/>
        </w:rPr>
        <w:footnoteReference w:id="52"/>
      </w:r>
    </w:p>
    <w:p w14:paraId="290AC912" w14:textId="022A238F" w:rsidR="00086C08" w:rsidRPr="00CC562A" w:rsidRDefault="00C833E5"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Along the same lines, the</w:t>
      </w:r>
      <w:r w:rsidR="00086C08" w:rsidRPr="00CC562A">
        <w:rPr>
          <w:rFonts w:ascii="Cambria" w:hAnsi="Cambria"/>
          <w:sz w:val="20"/>
          <w:lang w:val="en-US"/>
        </w:rPr>
        <w:t xml:space="preserve"> FGR </w:t>
      </w:r>
      <w:r w:rsidRPr="00CC562A">
        <w:rPr>
          <w:rFonts w:ascii="Cambria" w:hAnsi="Cambria"/>
          <w:sz w:val="20"/>
          <w:lang w:val="en-US"/>
        </w:rPr>
        <w:t xml:space="preserve">emphasized that Article </w:t>
      </w:r>
      <w:r w:rsidR="00086C08" w:rsidRPr="00CC562A">
        <w:rPr>
          <w:rFonts w:ascii="Cambria" w:hAnsi="Cambria"/>
          <w:sz w:val="20"/>
          <w:lang w:val="en-US"/>
        </w:rPr>
        <w:t xml:space="preserve">11 </w:t>
      </w:r>
      <w:r w:rsidRPr="00CC562A">
        <w:rPr>
          <w:rFonts w:ascii="Cambria" w:hAnsi="Cambria"/>
          <w:sz w:val="20"/>
          <w:lang w:val="en-US"/>
        </w:rPr>
        <w:t xml:space="preserve">of the General Law to Prevent, Investigate, and Punish Torture and Other Cruel, Inhuman, or Degrading Treatment or Punishment </w:t>
      </w:r>
      <w:r w:rsidR="00A92391" w:rsidRPr="00CC562A">
        <w:rPr>
          <w:rFonts w:ascii="Cambria" w:hAnsi="Cambria"/>
          <w:sz w:val="20"/>
          <w:lang w:val="en-US"/>
        </w:rPr>
        <w:t>refers</w:t>
      </w:r>
      <w:r w:rsidRPr="00CC562A">
        <w:rPr>
          <w:rFonts w:ascii="Cambria" w:hAnsi="Cambria"/>
          <w:sz w:val="20"/>
          <w:lang w:val="en-US"/>
        </w:rPr>
        <w:t xml:space="preserve"> to the responsibilities that can be attributed to public servants who violate the law. In addition, it stated that Article</w:t>
      </w:r>
      <w:r w:rsidR="00086C08" w:rsidRPr="00CC562A">
        <w:rPr>
          <w:rFonts w:ascii="Cambria" w:hAnsi="Cambria"/>
          <w:sz w:val="20"/>
          <w:lang w:val="en-US"/>
        </w:rPr>
        <w:t xml:space="preserve"> 17 </w:t>
      </w:r>
      <w:r w:rsidRPr="00CC562A">
        <w:rPr>
          <w:rFonts w:ascii="Cambria" w:hAnsi="Cambria"/>
          <w:sz w:val="20"/>
          <w:lang w:val="en-US"/>
        </w:rPr>
        <w:t xml:space="preserve">of the General Law </w:t>
      </w:r>
      <w:proofErr w:type="gramStart"/>
      <w:r w:rsidRPr="00CC562A">
        <w:rPr>
          <w:rFonts w:ascii="Cambria" w:hAnsi="Cambria"/>
          <w:sz w:val="20"/>
          <w:lang w:val="en-US"/>
        </w:rPr>
        <w:t>on</w:t>
      </w:r>
      <w:r w:rsidR="00972058" w:rsidRPr="00CC562A">
        <w:rPr>
          <w:rFonts w:ascii="Cambria" w:hAnsi="Cambria"/>
          <w:sz w:val="20"/>
          <w:lang w:val="en-US"/>
        </w:rPr>
        <w:t xml:space="preserve"> the Subject of Disappearance</w:t>
      </w:r>
      <w:proofErr w:type="gramEnd"/>
      <w:r w:rsidR="00972058" w:rsidRPr="00CC562A">
        <w:rPr>
          <w:rFonts w:ascii="Cambria" w:hAnsi="Cambria"/>
          <w:sz w:val="20"/>
          <w:lang w:val="en-US"/>
        </w:rPr>
        <w:t xml:space="preserve"> indicates that responsibility is not excluded for those who follow superiors’ orders</w:t>
      </w:r>
      <w:r w:rsidR="00426EDD" w:rsidRPr="00CC562A">
        <w:rPr>
          <w:rFonts w:ascii="Cambria" w:hAnsi="Cambria"/>
          <w:sz w:val="20"/>
          <w:lang w:val="en-US"/>
        </w:rPr>
        <w:t>.</w:t>
      </w:r>
      <w:r w:rsidR="00086C08" w:rsidRPr="00CC562A">
        <w:rPr>
          <w:rStyle w:val="FootnoteReference"/>
          <w:rFonts w:ascii="Cambria" w:hAnsi="Cambria"/>
          <w:sz w:val="20"/>
          <w:lang w:val="en-US"/>
        </w:rPr>
        <w:footnoteReference w:id="53"/>
      </w:r>
      <w:r w:rsidR="00086C08" w:rsidRPr="00CC562A">
        <w:rPr>
          <w:rFonts w:ascii="Cambria" w:hAnsi="Cambria"/>
          <w:sz w:val="20"/>
          <w:lang w:val="en-US"/>
        </w:rPr>
        <w:t xml:space="preserve"> </w:t>
      </w:r>
    </w:p>
    <w:p w14:paraId="1DAB7326" w14:textId="215ECD08" w:rsidR="00BB21C9" w:rsidRPr="00CC562A" w:rsidRDefault="00E247D2"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Similarly, the State indicated that </w:t>
      </w:r>
      <w:r w:rsidR="00972058" w:rsidRPr="00CC562A">
        <w:rPr>
          <w:rFonts w:ascii="Cambria" w:hAnsi="Cambria"/>
          <w:sz w:val="20"/>
          <w:lang w:val="en-US"/>
        </w:rPr>
        <w:t>the responsibility of the chain of command</w:t>
      </w:r>
      <w:r w:rsidR="00086C08" w:rsidRPr="00CC562A">
        <w:rPr>
          <w:rFonts w:ascii="Cambria" w:hAnsi="Cambria"/>
          <w:sz w:val="20"/>
          <w:lang w:val="en-US"/>
        </w:rPr>
        <w:t xml:space="preserve"> </w:t>
      </w:r>
      <w:r w:rsidRPr="00CC562A">
        <w:rPr>
          <w:rFonts w:ascii="Cambria" w:eastAsia="Cambria" w:hAnsi="Cambria" w:cs="Cambria"/>
          <w:sz w:val="20"/>
          <w:szCs w:val="20"/>
          <w:lang w:val="en-US"/>
        </w:rPr>
        <w:t>already exists in Chapter III (“Persons Responsible for Crimes”), Article 13 of the Federal Criminal Code. In addition, in cases of this kind, there is a Specialized Prosecutor’s Office to handle cases of torture, in which detailed and exhaustive investigations are carried out regarding crimes of this type and, when appropriate, criminal action is taken against all those involved. In particular</w:t>
      </w:r>
      <w:r w:rsidR="1A8E4DE8" w:rsidRPr="00CC562A">
        <w:rPr>
          <w:rFonts w:ascii="Cambria" w:eastAsia="Cambria" w:hAnsi="Cambria" w:cs="Cambria"/>
          <w:sz w:val="20"/>
          <w:szCs w:val="20"/>
          <w:lang w:val="en-US"/>
        </w:rPr>
        <w:t xml:space="preserve">, </w:t>
      </w:r>
      <w:r w:rsidR="00527F5E" w:rsidRPr="00CC562A">
        <w:rPr>
          <w:rFonts w:ascii="Cambria" w:eastAsia="Cambria" w:hAnsi="Cambria" w:cs="Cambria"/>
          <w:sz w:val="20"/>
          <w:szCs w:val="20"/>
          <w:lang w:val="en-US"/>
        </w:rPr>
        <w:t xml:space="preserve">the Standardized Protocol for the Investigation of the Crimes of </w:t>
      </w:r>
      <w:r w:rsidR="00507873" w:rsidRPr="00CC562A">
        <w:rPr>
          <w:rFonts w:ascii="Cambria" w:eastAsia="Cambria" w:hAnsi="Cambria" w:cs="Cambria"/>
          <w:sz w:val="20"/>
          <w:szCs w:val="20"/>
          <w:lang w:val="en-US"/>
        </w:rPr>
        <w:t>F</w:t>
      </w:r>
      <w:r w:rsidR="00527F5E" w:rsidRPr="00CC562A">
        <w:rPr>
          <w:rFonts w:ascii="Cambria" w:eastAsia="Cambria" w:hAnsi="Cambria" w:cs="Cambria"/>
          <w:sz w:val="20"/>
          <w:szCs w:val="20"/>
          <w:lang w:val="en-US"/>
        </w:rPr>
        <w:t xml:space="preserve">orced Disappearance and Disappearance Committed by </w:t>
      </w:r>
      <w:r w:rsidR="00507873" w:rsidRPr="00CC562A">
        <w:rPr>
          <w:rFonts w:ascii="Cambria" w:eastAsia="Cambria" w:hAnsi="Cambria" w:cs="Cambria"/>
          <w:sz w:val="20"/>
          <w:szCs w:val="20"/>
          <w:lang w:val="en-US"/>
        </w:rPr>
        <w:t>Private Parties</w:t>
      </w:r>
      <w:r w:rsidR="00527F5E" w:rsidRPr="00CC562A">
        <w:rPr>
          <w:rFonts w:ascii="Cambria" w:eastAsia="Cambria" w:hAnsi="Cambria" w:cs="Cambria"/>
          <w:sz w:val="20"/>
          <w:szCs w:val="20"/>
          <w:lang w:val="en-US"/>
        </w:rPr>
        <w:t xml:space="preserve"> (hereinafter </w:t>
      </w:r>
      <w:r w:rsidR="3402EB57"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PHI</w:t>
      </w:r>
      <w:r w:rsidR="3402EB57"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 establ</w:t>
      </w:r>
      <w:r w:rsidR="00527F5E" w:rsidRPr="00CC562A">
        <w:rPr>
          <w:rFonts w:ascii="Cambria" w:eastAsia="Cambria" w:hAnsi="Cambria" w:cs="Cambria"/>
          <w:sz w:val="20"/>
          <w:szCs w:val="20"/>
          <w:lang w:val="en-US"/>
        </w:rPr>
        <w:t xml:space="preserve">ishes a specific and differentiated technique for the investigation of these crimes, offering a detailed guide regarding the investigation of these crimes during the initial criminal proceeding phase, as well as guidelines for conducting the investigation using a methodological scheme of a plan of investigation, the use of investigative actions that take into consideration the specific characteristics of the victims and their vulnerable status, the development </w:t>
      </w:r>
      <w:r w:rsidR="00527F5E" w:rsidRPr="00CC562A">
        <w:rPr>
          <w:rFonts w:ascii="Cambria" w:eastAsia="Cambria" w:hAnsi="Cambria" w:cs="Cambria"/>
          <w:sz w:val="20"/>
          <w:szCs w:val="20"/>
          <w:lang w:val="en-US"/>
        </w:rPr>
        <w:lastRenderedPageBreak/>
        <w:t>of investigative approaches according to the subject under investigation, whether or not a public servant is involved.</w:t>
      </w:r>
      <w:r w:rsidR="00886665" w:rsidRPr="00CC562A">
        <w:rPr>
          <w:rStyle w:val="FootnoteReference"/>
          <w:rFonts w:ascii="Cambria" w:eastAsia="Cambria" w:hAnsi="Cambria" w:cs="Cambria"/>
          <w:sz w:val="20"/>
          <w:szCs w:val="20"/>
          <w:lang w:val="en-US"/>
        </w:rPr>
        <w:footnoteReference w:id="54"/>
      </w:r>
    </w:p>
    <w:p w14:paraId="184B19D3" w14:textId="2F2C5DC1" w:rsidR="00086C08" w:rsidRPr="00CC562A" w:rsidRDefault="00972058"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 xml:space="preserve">In particular, it pointed out that the </w:t>
      </w:r>
      <w:r w:rsidR="00086C08" w:rsidRPr="00CC562A">
        <w:rPr>
          <w:rFonts w:ascii="Cambria" w:hAnsi="Cambria"/>
          <w:sz w:val="20"/>
          <w:lang w:val="en-US"/>
        </w:rPr>
        <w:t>P</w:t>
      </w:r>
      <w:r w:rsidRPr="00CC562A">
        <w:rPr>
          <w:rFonts w:ascii="Cambria" w:hAnsi="Cambria"/>
          <w:sz w:val="20"/>
          <w:lang w:val="en-US"/>
        </w:rPr>
        <w:t>HI</w:t>
      </w:r>
      <w:r w:rsidR="00086C08" w:rsidRPr="00CC562A">
        <w:rPr>
          <w:rStyle w:val="FootnoteReference"/>
          <w:rFonts w:ascii="Cambria" w:hAnsi="Cambria"/>
          <w:sz w:val="20"/>
          <w:lang w:val="en-US"/>
        </w:rPr>
        <w:footnoteReference w:id="55"/>
      </w:r>
      <w:r w:rsidR="00121826" w:rsidRPr="00CC562A">
        <w:rPr>
          <w:rFonts w:ascii="Cambria" w:hAnsi="Cambria"/>
          <w:sz w:val="20"/>
          <w:lang w:val="en-US"/>
        </w:rPr>
        <w:t xml:space="preserve"> establishes a specific and differentiated investigative technique for investigating these crimes, offering a detailed guide on the investigation of these crimes during the initial stage of the criminal proceeding, as well as guidelines for conducting the investigation </w:t>
      </w:r>
      <w:r w:rsidR="00F13EFB" w:rsidRPr="00CC562A">
        <w:rPr>
          <w:rFonts w:ascii="Cambria" w:hAnsi="Cambria"/>
          <w:sz w:val="20"/>
          <w:lang w:val="en-US"/>
        </w:rPr>
        <w:t>under a methodological scheme with a Plan of Investigation</w:t>
      </w:r>
      <w:r w:rsidR="00C15715" w:rsidRPr="00CC562A">
        <w:rPr>
          <w:rFonts w:ascii="Cambria" w:hAnsi="Cambria"/>
          <w:sz w:val="20"/>
          <w:lang w:val="en-US"/>
        </w:rPr>
        <w:t xml:space="preserve"> on </w:t>
      </w:r>
      <w:r w:rsidR="00F13EFB" w:rsidRPr="00CC562A">
        <w:rPr>
          <w:rFonts w:ascii="Cambria" w:hAnsi="Cambria"/>
          <w:sz w:val="20"/>
          <w:lang w:val="en-US"/>
        </w:rPr>
        <w:t>the application of investigative actions that take into consideration the specific characteristics of the victim and their vulnerable status, the development of investigative approaches according to the subject under investigation, whether or not a public servant is involved.</w:t>
      </w:r>
      <w:r w:rsidR="00086C08" w:rsidRPr="00CC562A">
        <w:rPr>
          <w:rStyle w:val="FootnoteReference"/>
          <w:rFonts w:ascii="Cambria" w:hAnsi="Cambria"/>
          <w:sz w:val="20"/>
          <w:lang w:val="en-US"/>
        </w:rPr>
        <w:footnoteReference w:id="56"/>
      </w:r>
      <w:r w:rsidR="00F13EFB" w:rsidRPr="00CC562A">
        <w:rPr>
          <w:rFonts w:ascii="Cambria" w:hAnsi="Cambria"/>
          <w:sz w:val="20"/>
          <w:lang w:val="en-US"/>
        </w:rPr>
        <w:t xml:space="preserve"> According to the State, the </w:t>
      </w:r>
      <w:r w:rsidR="00086C08" w:rsidRPr="00CC562A">
        <w:rPr>
          <w:rFonts w:ascii="Cambria" w:hAnsi="Cambria"/>
          <w:sz w:val="20"/>
          <w:lang w:val="en-US"/>
        </w:rPr>
        <w:t xml:space="preserve">PHI </w:t>
      </w:r>
      <w:r w:rsidR="00F13EFB" w:rsidRPr="00CC562A">
        <w:rPr>
          <w:rFonts w:ascii="Cambria" w:hAnsi="Cambria"/>
          <w:sz w:val="20"/>
          <w:lang w:val="en-US"/>
        </w:rPr>
        <w:t>also provides for a theoretical analysis of the criminal offenses being investigated, an investigative technique for cases of persons disappeared from political movements of the past, notification and delivery of someone who is found without life, procedures used after a minor is found in order to return him to his nuclear family</w:t>
      </w:r>
      <w:r w:rsidR="00086C08" w:rsidRPr="00CC562A">
        <w:rPr>
          <w:rFonts w:ascii="Cambria" w:eastAsia="Cambria" w:hAnsi="Cambria" w:cs="Cambria"/>
          <w:color w:val="000000" w:themeColor="text1"/>
          <w:sz w:val="20"/>
          <w:szCs w:val="20"/>
          <w:lang w:val="en-US"/>
        </w:rPr>
        <w:t>,</w:t>
      </w:r>
      <w:r w:rsidR="00F13EFB" w:rsidRPr="00CC562A">
        <w:rPr>
          <w:rFonts w:ascii="Cambria" w:eastAsia="Cambria" w:hAnsi="Cambria" w:cs="Cambria"/>
          <w:color w:val="000000" w:themeColor="text1"/>
          <w:sz w:val="20"/>
          <w:szCs w:val="20"/>
          <w:lang w:val="en-US"/>
        </w:rPr>
        <w:t xml:space="preserve"> as well as inter-American jurisprudence on the subject. It also indicated that the</w:t>
      </w:r>
      <w:r w:rsidR="00086C08" w:rsidRPr="00CC562A">
        <w:rPr>
          <w:rFonts w:ascii="Cambria" w:eastAsia="Cambria" w:hAnsi="Cambria" w:cs="Cambria"/>
          <w:color w:val="000000" w:themeColor="text1"/>
          <w:sz w:val="20"/>
          <w:szCs w:val="20"/>
          <w:lang w:val="en-US"/>
        </w:rPr>
        <w:t xml:space="preserve"> PHI </w:t>
      </w:r>
      <w:r w:rsidR="00F13EFB" w:rsidRPr="00CC562A">
        <w:rPr>
          <w:rFonts w:ascii="Cambria" w:eastAsia="Cambria" w:hAnsi="Cambria" w:cs="Cambria"/>
          <w:color w:val="000000" w:themeColor="text1"/>
          <w:sz w:val="20"/>
          <w:szCs w:val="20"/>
          <w:lang w:val="en-US"/>
        </w:rPr>
        <w:t>provides the</w:t>
      </w:r>
      <w:r w:rsidR="00F10252" w:rsidRPr="00CC562A">
        <w:rPr>
          <w:rFonts w:ascii="Cambria" w:eastAsia="Cambria" w:hAnsi="Cambria" w:cs="Cambria"/>
          <w:color w:val="000000" w:themeColor="text1"/>
          <w:sz w:val="20"/>
          <w:szCs w:val="20"/>
          <w:lang w:val="en-US"/>
        </w:rPr>
        <w:t xml:space="preserve"> Model Protocol for the Legal Investigation of Extralegal, Arbitrary, and Summary Executions (“Minnesota Protocol”) as a source of good practices and an instrument to be utilized in cases in which victims are found without life.</w:t>
      </w:r>
      <w:r w:rsidR="00086C08" w:rsidRPr="00CC562A">
        <w:rPr>
          <w:rStyle w:val="FootnoteReference"/>
          <w:rFonts w:ascii="Cambria" w:hAnsi="Cambria"/>
          <w:sz w:val="20"/>
          <w:lang w:val="en-US"/>
        </w:rPr>
        <w:footnoteReference w:id="57"/>
      </w:r>
    </w:p>
    <w:p w14:paraId="349DB4E0" w14:textId="749954F2" w:rsidR="00A03DC3" w:rsidRPr="00CC562A" w:rsidRDefault="00527F5E"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this regard, the</w:t>
      </w:r>
      <w:r w:rsidR="59CC4504" w:rsidRPr="00CC562A">
        <w:rPr>
          <w:rFonts w:ascii="Cambria" w:eastAsia="Cambria" w:hAnsi="Cambria" w:cs="Cambria"/>
          <w:sz w:val="20"/>
          <w:szCs w:val="20"/>
          <w:lang w:val="en-US"/>
        </w:rPr>
        <w:t xml:space="preserve"> CMDPDH report</w:t>
      </w:r>
      <w:r w:rsidRPr="00CC562A">
        <w:rPr>
          <w:rFonts w:ascii="Cambria" w:eastAsia="Cambria" w:hAnsi="Cambria" w:cs="Cambria"/>
          <w:sz w:val="20"/>
          <w:szCs w:val="20"/>
          <w:lang w:val="en-US"/>
        </w:rPr>
        <w:t>ed</w:t>
      </w:r>
      <w:r w:rsidR="008434D7" w:rsidRPr="00CC562A">
        <w:rPr>
          <w:rStyle w:val="FootnoteReference"/>
          <w:rFonts w:ascii="Cambria" w:eastAsia="Cambria" w:hAnsi="Cambria" w:cs="Cambria"/>
          <w:sz w:val="20"/>
          <w:szCs w:val="20"/>
          <w:lang w:val="en-US"/>
        </w:rPr>
        <w:footnoteReference w:id="58"/>
      </w:r>
      <w:r w:rsidR="59CC450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that during </w:t>
      </w:r>
      <w:r w:rsidR="59CC4504" w:rsidRPr="00CC562A">
        <w:rPr>
          <w:rFonts w:ascii="Cambria" w:eastAsia="Cambria" w:hAnsi="Cambria" w:cs="Cambria"/>
          <w:sz w:val="20"/>
          <w:szCs w:val="20"/>
          <w:lang w:val="en-US"/>
        </w:rPr>
        <w:t>2020</w:t>
      </w:r>
      <w:r w:rsidRPr="00CC562A">
        <w:rPr>
          <w:rFonts w:ascii="Cambria" w:eastAsia="Cambria" w:hAnsi="Cambria" w:cs="Cambria"/>
          <w:sz w:val="20"/>
          <w:szCs w:val="20"/>
          <w:lang w:val="en-US"/>
        </w:rPr>
        <w:t xml:space="preserve"> and</w:t>
      </w:r>
      <w:r w:rsidR="59CC4504" w:rsidRPr="00CC562A">
        <w:rPr>
          <w:rFonts w:ascii="Cambria" w:eastAsia="Cambria" w:hAnsi="Cambria" w:cs="Cambria"/>
          <w:sz w:val="20"/>
          <w:szCs w:val="20"/>
          <w:lang w:val="en-US"/>
        </w:rPr>
        <w:t xml:space="preserve"> 2021 </w:t>
      </w:r>
      <w:r w:rsidR="00A24490" w:rsidRPr="00CC562A">
        <w:rPr>
          <w:rFonts w:ascii="Cambria" w:eastAsia="Cambria" w:hAnsi="Cambria" w:cs="Cambria"/>
          <w:sz w:val="20"/>
          <w:szCs w:val="20"/>
          <w:lang w:val="en-US"/>
        </w:rPr>
        <w:t>no senior civilian or military authority was sentenced for torture or forced disappearance, according to the public sentences record. They reported that, for example, in the case of</w:t>
      </w:r>
      <w:r w:rsidR="305AFC3B" w:rsidRPr="00CC562A">
        <w:rPr>
          <w:rFonts w:ascii="Cambria" w:eastAsia="Cambria" w:hAnsi="Cambria" w:cs="Cambria"/>
          <w:sz w:val="20"/>
          <w:szCs w:val="20"/>
          <w:lang w:val="en-US"/>
        </w:rPr>
        <w:t xml:space="preserve"> Rosendo </w:t>
      </w:r>
      <w:proofErr w:type="spellStart"/>
      <w:r w:rsidR="305AFC3B" w:rsidRPr="00CC562A">
        <w:rPr>
          <w:rFonts w:ascii="Cambria" w:eastAsia="Cambria" w:hAnsi="Cambria" w:cs="Cambria"/>
          <w:sz w:val="20"/>
          <w:szCs w:val="20"/>
          <w:lang w:val="en-US"/>
        </w:rPr>
        <w:t>Radil</w:t>
      </w:r>
      <w:r w:rsidR="3402EB57" w:rsidRPr="00CC562A">
        <w:rPr>
          <w:rFonts w:ascii="Cambria" w:eastAsia="Cambria" w:hAnsi="Cambria" w:cs="Cambria"/>
          <w:sz w:val="20"/>
          <w:szCs w:val="20"/>
          <w:lang w:val="en-US"/>
        </w:rPr>
        <w:t>l</w:t>
      </w:r>
      <w:r w:rsidR="305AFC3B" w:rsidRPr="00CC562A">
        <w:rPr>
          <w:rFonts w:ascii="Cambria" w:eastAsia="Cambria" w:hAnsi="Cambria" w:cs="Cambria"/>
          <w:sz w:val="20"/>
          <w:szCs w:val="20"/>
          <w:lang w:val="en-US"/>
        </w:rPr>
        <w:t>a</w:t>
      </w:r>
      <w:proofErr w:type="spellEnd"/>
      <w:r w:rsidR="305AFC3B" w:rsidRPr="00CC562A">
        <w:rPr>
          <w:rFonts w:ascii="Cambria" w:eastAsia="Cambria" w:hAnsi="Cambria" w:cs="Cambria"/>
          <w:sz w:val="20"/>
          <w:szCs w:val="20"/>
          <w:lang w:val="en-US"/>
        </w:rPr>
        <w:t xml:space="preserve"> Pacheco v</w:t>
      </w:r>
      <w:r w:rsidR="00A24490" w:rsidRPr="00CC562A">
        <w:rPr>
          <w:rFonts w:ascii="Cambria" w:eastAsia="Cambria" w:hAnsi="Cambria" w:cs="Cambria"/>
          <w:sz w:val="20"/>
          <w:szCs w:val="20"/>
          <w:lang w:val="en-US"/>
        </w:rPr>
        <w:t>. United Mexican States, the investigation into the disappearance continues to focus on seeking the direct perpetrators</w:t>
      </w:r>
      <w:r w:rsidR="305AFC3B" w:rsidRPr="00CC562A">
        <w:rPr>
          <w:rFonts w:ascii="Cambria" w:eastAsia="Cambria" w:hAnsi="Cambria" w:cs="Cambria"/>
          <w:sz w:val="20"/>
          <w:szCs w:val="20"/>
          <w:lang w:val="en-US"/>
        </w:rPr>
        <w:t xml:space="preserve"> (</w:t>
      </w:r>
      <w:r w:rsidR="00A24490" w:rsidRPr="00CC562A">
        <w:rPr>
          <w:rFonts w:ascii="Cambria" w:eastAsia="Cambria" w:hAnsi="Cambria" w:cs="Cambria"/>
          <w:sz w:val="20"/>
          <w:szCs w:val="20"/>
          <w:lang w:val="en-US"/>
        </w:rPr>
        <w:t xml:space="preserve">i.e., on finding the persons who directly detained the person who has disappeared. They argued that the </w:t>
      </w:r>
      <w:r w:rsidR="2EE776AC" w:rsidRPr="00CC562A">
        <w:rPr>
          <w:rFonts w:ascii="Cambria" w:eastAsia="Cambria" w:hAnsi="Cambria" w:cs="Cambria"/>
          <w:sz w:val="20"/>
          <w:szCs w:val="20"/>
          <w:lang w:val="en-US"/>
        </w:rPr>
        <w:t>FGR</w:t>
      </w:r>
      <w:r w:rsidR="305AFC3B" w:rsidRPr="00CC562A">
        <w:rPr>
          <w:rFonts w:ascii="Cambria" w:eastAsia="Cambria" w:hAnsi="Cambria" w:cs="Cambria"/>
          <w:sz w:val="20"/>
          <w:szCs w:val="20"/>
          <w:lang w:val="en-US"/>
        </w:rPr>
        <w:t xml:space="preserve"> ha</w:t>
      </w:r>
      <w:r w:rsidR="00A24490" w:rsidRPr="00CC562A">
        <w:rPr>
          <w:rFonts w:ascii="Cambria" w:eastAsia="Cambria" w:hAnsi="Cambria" w:cs="Cambria"/>
          <w:sz w:val="20"/>
          <w:szCs w:val="20"/>
          <w:lang w:val="en-US"/>
        </w:rPr>
        <w:t xml:space="preserve">s been incapable of working from a contextual perspective, that it uses tools from international criminal law developed to address cases of this kind. The result has been that with the passage of time it becomes substantively impossible to investigate </w:t>
      </w:r>
      <w:r w:rsidR="00C55ADE" w:rsidRPr="00CC562A">
        <w:rPr>
          <w:rFonts w:ascii="Cambria" w:eastAsia="Cambria" w:hAnsi="Cambria" w:cs="Cambria"/>
          <w:sz w:val="20"/>
          <w:szCs w:val="20"/>
          <w:lang w:val="en-US"/>
        </w:rPr>
        <w:t xml:space="preserve">and </w:t>
      </w:r>
      <w:r w:rsidR="00A24490" w:rsidRPr="00CC562A">
        <w:rPr>
          <w:rFonts w:ascii="Cambria" w:eastAsia="Cambria" w:hAnsi="Cambria" w:cs="Cambria"/>
          <w:sz w:val="20"/>
          <w:szCs w:val="20"/>
          <w:lang w:val="en-US"/>
        </w:rPr>
        <w:t>prosecute the highest levels of command</w:t>
      </w:r>
      <w:r w:rsidR="305AFC3B" w:rsidRPr="00CC562A">
        <w:rPr>
          <w:rFonts w:ascii="Cambria" w:eastAsia="Cambria" w:hAnsi="Cambria" w:cs="Cambria"/>
          <w:sz w:val="20"/>
          <w:szCs w:val="20"/>
          <w:lang w:val="en-US"/>
        </w:rPr>
        <w:t xml:space="preserve">. </w:t>
      </w:r>
    </w:p>
    <w:p w14:paraId="21C782D8" w14:textId="45DD3EA9" w:rsidR="00BF68BD" w:rsidRPr="00CC562A" w:rsidRDefault="00A24490"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 PROD</w:t>
      </w:r>
      <w:r w:rsidRPr="00CC562A">
        <w:rPr>
          <w:rFonts w:ascii="Cambria" w:eastAsia="Cambria" w:hAnsi="Cambria" w:cs="Cambria"/>
          <w:vanish/>
          <w:sz w:val="20"/>
          <w:szCs w:val="20"/>
          <w:lang w:val="en-US"/>
        </w:rPr>
        <w:t>HHH</w:t>
      </w:r>
      <w:r w:rsidRPr="00CC562A">
        <w:rPr>
          <w:rFonts w:ascii="Cambria" w:eastAsia="Cambria" w:hAnsi="Cambria" w:cs="Cambria"/>
          <w:sz w:val="20"/>
          <w:szCs w:val="20"/>
          <w:lang w:val="en-US"/>
        </w:rPr>
        <w:t xml:space="preserve">H indicated that, in the context of the </w:t>
      </w:r>
      <w:proofErr w:type="spellStart"/>
      <w:r w:rsidR="563CCF79" w:rsidRPr="00CC562A">
        <w:rPr>
          <w:rFonts w:ascii="Cambria" w:eastAsia="Cambria" w:hAnsi="Cambria" w:cs="Cambria"/>
          <w:sz w:val="20"/>
          <w:szCs w:val="20"/>
          <w:lang w:val="en-US"/>
        </w:rPr>
        <w:t>Tlatlaya</w:t>
      </w:r>
      <w:proofErr w:type="spellEnd"/>
      <w:r w:rsidRPr="00CC562A">
        <w:rPr>
          <w:rFonts w:ascii="Cambria" w:eastAsia="Cambria" w:hAnsi="Cambria" w:cs="Cambria"/>
          <w:sz w:val="20"/>
          <w:szCs w:val="20"/>
          <w:lang w:val="en-US"/>
        </w:rPr>
        <w:t xml:space="preserve"> massacre case and according to information from hacking the SEDENA servers, access was gained to information </w:t>
      </w:r>
      <w:r w:rsidR="00645186" w:rsidRPr="00CC562A">
        <w:rPr>
          <w:rFonts w:ascii="Cambria" w:eastAsia="Cambria" w:hAnsi="Cambria" w:cs="Cambria"/>
          <w:sz w:val="20"/>
          <w:szCs w:val="20"/>
          <w:lang w:val="en-US"/>
        </w:rPr>
        <w:t xml:space="preserve">that the person who was head of the </w:t>
      </w:r>
      <w:r w:rsidR="563CCF79" w:rsidRPr="00CC562A">
        <w:rPr>
          <w:rFonts w:ascii="Cambria" w:eastAsia="Cambria" w:hAnsi="Cambria" w:cs="Cambria"/>
          <w:sz w:val="20"/>
          <w:szCs w:val="20"/>
          <w:lang w:val="en-US"/>
        </w:rPr>
        <w:t xml:space="preserve">CNDH </w:t>
      </w:r>
      <w:r w:rsidR="00645186" w:rsidRPr="00CC562A">
        <w:rPr>
          <w:rFonts w:ascii="Cambria" w:eastAsia="Cambria" w:hAnsi="Cambria" w:cs="Cambria"/>
          <w:sz w:val="20"/>
          <w:szCs w:val="20"/>
          <w:lang w:val="en-US"/>
        </w:rPr>
        <w:t xml:space="preserve">at the time tried to negotiate the content of the recommendation in the cases, in exchange for which the </w:t>
      </w:r>
      <w:r w:rsidR="00C55ADE" w:rsidRPr="00CC562A">
        <w:rPr>
          <w:rFonts w:ascii="Cambria" w:eastAsia="Cambria" w:hAnsi="Cambria" w:cs="Cambria"/>
          <w:sz w:val="20"/>
          <w:szCs w:val="20"/>
          <w:lang w:val="en-US"/>
        </w:rPr>
        <w:t>ar</w:t>
      </w:r>
      <w:r w:rsidR="00645186" w:rsidRPr="00CC562A">
        <w:rPr>
          <w:rFonts w:ascii="Cambria" w:eastAsia="Cambria" w:hAnsi="Cambria" w:cs="Cambria"/>
          <w:sz w:val="20"/>
          <w:szCs w:val="20"/>
          <w:lang w:val="en-US"/>
        </w:rPr>
        <w:t xml:space="preserve">my would support his effort to become a Justice of the </w:t>
      </w:r>
      <w:r w:rsidR="563CCF79" w:rsidRPr="00CC562A">
        <w:rPr>
          <w:rFonts w:ascii="Cambria" w:eastAsia="Cambria" w:hAnsi="Cambria" w:cs="Cambria"/>
          <w:sz w:val="20"/>
          <w:szCs w:val="20"/>
          <w:lang w:val="en-US"/>
        </w:rPr>
        <w:t>SCJN.</w:t>
      </w:r>
      <w:r w:rsidR="00645186" w:rsidRPr="00CC562A">
        <w:rPr>
          <w:rFonts w:ascii="Cambria" w:eastAsia="Cambria" w:hAnsi="Cambria" w:cs="Cambria"/>
          <w:sz w:val="20"/>
          <w:szCs w:val="20"/>
          <w:lang w:val="en-US"/>
        </w:rPr>
        <w:t xml:space="preserve"> The same document reports that the Military Justice Prosecutor sought to reach agreement with the </w:t>
      </w:r>
      <w:r w:rsidR="00E7400E" w:rsidRPr="00CC562A">
        <w:rPr>
          <w:rFonts w:ascii="Cambria" w:hAnsi="Cambria"/>
          <w:sz w:val="20"/>
          <w:lang w:val="en-US"/>
        </w:rPr>
        <w:t>then</w:t>
      </w:r>
      <w:r w:rsidR="00086C08" w:rsidRPr="00CC562A">
        <w:rPr>
          <w:rFonts w:ascii="Cambria" w:eastAsia="Cambria" w:hAnsi="Cambria" w:cs="Cambria"/>
          <w:sz w:val="20"/>
          <w:szCs w:val="20"/>
          <w:lang w:val="en-US"/>
        </w:rPr>
        <w:t xml:space="preserve"> </w:t>
      </w:r>
      <w:r w:rsidR="00645186" w:rsidRPr="00CC562A">
        <w:rPr>
          <w:rFonts w:ascii="Cambria" w:eastAsia="Cambria" w:hAnsi="Cambria" w:cs="Cambria"/>
          <w:sz w:val="20"/>
          <w:szCs w:val="20"/>
          <w:lang w:val="en-US"/>
        </w:rPr>
        <w:t xml:space="preserve">head of the Executive Commission for Attention to Victims (hereinafter </w:t>
      </w:r>
      <w:r w:rsidR="563CCF79" w:rsidRPr="00CC562A">
        <w:rPr>
          <w:rFonts w:ascii="Cambria" w:eastAsia="Cambria" w:hAnsi="Cambria" w:cs="Cambria"/>
          <w:sz w:val="20"/>
          <w:szCs w:val="20"/>
          <w:lang w:val="en-US"/>
        </w:rPr>
        <w:t xml:space="preserve">“CEAV”) </w:t>
      </w:r>
      <w:r w:rsidR="00645186" w:rsidRPr="00CC562A">
        <w:rPr>
          <w:rFonts w:ascii="Cambria" w:eastAsia="Cambria" w:hAnsi="Cambria" w:cs="Cambria"/>
          <w:sz w:val="20"/>
          <w:szCs w:val="20"/>
          <w:lang w:val="en-US"/>
        </w:rPr>
        <w:t xml:space="preserve">to do whatever was necessary so that </w:t>
      </w:r>
      <w:r w:rsidR="563CCF79" w:rsidRPr="00CC562A">
        <w:rPr>
          <w:rFonts w:ascii="Cambria" w:eastAsia="Cambria" w:hAnsi="Cambria" w:cs="Cambria"/>
          <w:sz w:val="20"/>
          <w:szCs w:val="20"/>
          <w:lang w:val="en-US"/>
        </w:rPr>
        <w:t>Clara Gómez (</w:t>
      </w:r>
      <w:r w:rsidR="00645186" w:rsidRPr="00CC562A">
        <w:rPr>
          <w:rFonts w:ascii="Cambria" w:eastAsia="Cambria" w:hAnsi="Cambria" w:cs="Cambria"/>
          <w:sz w:val="20"/>
          <w:szCs w:val="20"/>
          <w:lang w:val="en-US"/>
        </w:rPr>
        <w:t>one of the survivors represented by the PRODH Center and mother of a minor child who died in the events) would not file an appeal against the release of military personnel.</w:t>
      </w:r>
      <w:r w:rsidR="002D2C06" w:rsidRPr="00CC562A">
        <w:rPr>
          <w:rFonts w:ascii="Cambria" w:eastAsia="Cambria" w:hAnsi="Cambria" w:cs="Cambria"/>
          <w:sz w:val="20"/>
          <w:szCs w:val="20"/>
          <w:vertAlign w:val="superscript"/>
          <w:lang w:val="en-US"/>
        </w:rPr>
        <w:footnoteReference w:id="59"/>
      </w:r>
    </w:p>
    <w:p w14:paraId="0D2E92B7" w14:textId="27BEB9C0" w:rsidR="002D2C06" w:rsidRPr="00CC562A" w:rsidRDefault="0064518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In this regard, the IACHR reiterates that Chapter</w:t>
      </w:r>
      <w:r w:rsidR="563CCF79" w:rsidRPr="00CC562A">
        <w:rPr>
          <w:rFonts w:ascii="Cambria" w:hAnsi="Cambria"/>
          <w:sz w:val="20"/>
          <w:szCs w:val="20"/>
          <w:lang w:val="en-US"/>
        </w:rPr>
        <w:t xml:space="preserve"> XI </w:t>
      </w:r>
      <w:r w:rsidR="00854E6B" w:rsidRPr="00CC562A">
        <w:rPr>
          <w:rFonts w:ascii="Cambria" w:hAnsi="Cambria"/>
          <w:sz w:val="20"/>
          <w:szCs w:val="20"/>
          <w:lang w:val="en-US"/>
        </w:rPr>
        <w:t xml:space="preserve">of the National Law on the Use of Force on the Rules Governing Responsibilities establishes advances in the fight against impunity </w:t>
      </w:r>
      <w:r w:rsidR="000452AC" w:rsidRPr="00CC562A">
        <w:rPr>
          <w:rFonts w:ascii="Cambria" w:hAnsi="Cambria"/>
          <w:sz w:val="20"/>
          <w:szCs w:val="20"/>
          <w:lang w:val="en-US"/>
        </w:rPr>
        <w:t>in publi</w:t>
      </w:r>
      <w:r w:rsidR="00C55ADE" w:rsidRPr="00CC562A">
        <w:rPr>
          <w:rFonts w:ascii="Cambria" w:hAnsi="Cambria"/>
          <w:sz w:val="20"/>
          <w:szCs w:val="20"/>
          <w:lang w:val="en-US"/>
        </w:rPr>
        <w:t xml:space="preserve">c </w:t>
      </w:r>
      <w:r w:rsidR="000452AC" w:rsidRPr="00CC562A">
        <w:rPr>
          <w:rFonts w:ascii="Cambria" w:hAnsi="Cambria"/>
          <w:sz w:val="20"/>
          <w:szCs w:val="20"/>
          <w:lang w:val="en-US"/>
        </w:rPr>
        <w:t xml:space="preserve">security and sets quite tight limits on the use of public force in official operations and by identified agents. However, as mentioned on previous occasions, acts of torture, forced disappearance, and extrajudicial executions can be </w:t>
      </w:r>
      <w:r w:rsidR="000452AC" w:rsidRPr="00CC562A">
        <w:rPr>
          <w:rFonts w:ascii="Cambria" w:hAnsi="Cambria"/>
          <w:sz w:val="20"/>
          <w:szCs w:val="20"/>
          <w:lang w:val="en-US"/>
        </w:rPr>
        <w:lastRenderedPageBreak/>
        <w:t>committed in clandestine operations, and by omission or with the acquiescence of state agents or third parties.</w:t>
      </w:r>
      <w:r w:rsidR="002D2C06" w:rsidRPr="00CC562A">
        <w:rPr>
          <w:rStyle w:val="FootnoteReference"/>
          <w:rFonts w:ascii="Cambria" w:hAnsi="Cambria"/>
          <w:sz w:val="20"/>
          <w:szCs w:val="20"/>
          <w:lang w:val="en-US"/>
        </w:rPr>
        <w:footnoteReference w:id="60"/>
      </w:r>
      <w:r w:rsidR="000452AC" w:rsidRPr="00CC562A">
        <w:rPr>
          <w:rFonts w:ascii="Cambria" w:hAnsi="Cambria"/>
          <w:sz w:val="20"/>
          <w:szCs w:val="20"/>
          <w:lang w:val="en-US"/>
        </w:rPr>
        <w:t xml:space="preserve"> On such occasions, the IACHR has also pointed out that, according to the applicable regulations on forced disappearance, investigations into this crime must include the chain of command</w:t>
      </w:r>
      <w:r w:rsidR="00E20F4E" w:rsidRPr="00CC562A">
        <w:rPr>
          <w:rFonts w:ascii="Cambria" w:hAnsi="Cambria"/>
          <w:sz w:val="20"/>
          <w:szCs w:val="20"/>
          <w:lang w:val="en-US"/>
        </w:rPr>
        <w:t>.</w:t>
      </w:r>
      <w:r w:rsidR="00086C08" w:rsidRPr="00CC562A">
        <w:rPr>
          <w:rStyle w:val="FootnoteReference"/>
          <w:rFonts w:ascii="Cambria" w:hAnsi="Cambria"/>
          <w:sz w:val="20"/>
          <w:lang w:val="es-CO"/>
        </w:rPr>
        <w:footnoteReference w:id="61"/>
      </w:r>
    </w:p>
    <w:p w14:paraId="3ACC51A8" w14:textId="10584CB2" w:rsidR="00D33CF4" w:rsidRPr="00CC562A" w:rsidRDefault="000452AC"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Based on the foregoing considerations, the IACHR finds the information sent by the State in its last three reports on the regulation</w:t>
      </w:r>
      <w:r w:rsidR="00C55ADE" w:rsidRPr="00CC562A">
        <w:rPr>
          <w:rFonts w:ascii="Cambria" w:hAnsi="Cambria"/>
          <w:sz w:val="20"/>
          <w:szCs w:val="20"/>
          <w:lang w:val="en-US"/>
        </w:rPr>
        <w:t xml:space="preserve">s </w:t>
      </w:r>
      <w:r w:rsidRPr="00CC562A">
        <w:rPr>
          <w:rFonts w:ascii="Cambria" w:hAnsi="Cambria"/>
          <w:sz w:val="20"/>
          <w:szCs w:val="20"/>
          <w:lang w:val="en-US"/>
        </w:rPr>
        <w:t xml:space="preserve">that provide for </w:t>
      </w:r>
      <w:r w:rsidR="00C55ADE" w:rsidRPr="00CC562A">
        <w:rPr>
          <w:rFonts w:ascii="Cambria" w:hAnsi="Cambria"/>
          <w:sz w:val="20"/>
          <w:szCs w:val="20"/>
          <w:lang w:val="en-US"/>
        </w:rPr>
        <w:t>including</w:t>
      </w:r>
      <w:r w:rsidRPr="00CC562A">
        <w:rPr>
          <w:rFonts w:ascii="Cambria" w:hAnsi="Cambria"/>
          <w:sz w:val="20"/>
          <w:szCs w:val="20"/>
          <w:lang w:val="en-US"/>
        </w:rPr>
        <w:t xml:space="preserve"> the chain of command in investigations into serious human rights violations to be </w:t>
      </w:r>
      <w:r w:rsidR="00C55ADE" w:rsidRPr="00CC562A">
        <w:rPr>
          <w:rFonts w:ascii="Cambria" w:hAnsi="Cambria"/>
          <w:sz w:val="20"/>
          <w:szCs w:val="20"/>
          <w:lang w:val="en-US"/>
        </w:rPr>
        <w:t>repetitive</w:t>
      </w:r>
      <w:r w:rsidRPr="00CC562A">
        <w:rPr>
          <w:rFonts w:ascii="Cambria" w:hAnsi="Cambria"/>
          <w:sz w:val="20"/>
          <w:szCs w:val="20"/>
          <w:lang w:val="en-US"/>
        </w:rPr>
        <w:t xml:space="preserve">. However, the evidence provided does not show progress in the implementation of this practice at the jurisdictional level. Thus, the IACHR finds </w:t>
      </w:r>
      <w:r w:rsidRPr="00CC562A">
        <w:rPr>
          <w:rFonts w:ascii="Cambria" w:hAnsi="Cambria"/>
          <w:b/>
          <w:bCs/>
          <w:sz w:val="20"/>
          <w:szCs w:val="20"/>
          <w:lang w:val="en-US"/>
        </w:rPr>
        <w:t>partial compliance</w:t>
      </w:r>
      <w:r w:rsidR="563CCF79" w:rsidRPr="00CC562A">
        <w:rPr>
          <w:rFonts w:ascii="Cambria" w:hAnsi="Cambria"/>
          <w:sz w:val="20"/>
          <w:szCs w:val="20"/>
          <w:lang w:val="en-US"/>
        </w:rPr>
        <w:t xml:space="preserve"> </w:t>
      </w:r>
      <w:r w:rsidRPr="00CC562A">
        <w:rPr>
          <w:rFonts w:ascii="Cambria" w:hAnsi="Cambria"/>
          <w:sz w:val="20"/>
          <w:szCs w:val="20"/>
          <w:lang w:val="en-US"/>
        </w:rPr>
        <w:t>with its recommendation</w:t>
      </w:r>
      <w:r w:rsidR="563CCF79" w:rsidRPr="00CC562A">
        <w:rPr>
          <w:rFonts w:ascii="Cambria" w:hAnsi="Cambria"/>
          <w:b/>
          <w:bCs/>
          <w:sz w:val="20"/>
          <w:szCs w:val="20"/>
          <w:lang w:val="en-US"/>
        </w:rPr>
        <w:t xml:space="preserve">. </w:t>
      </w:r>
    </w:p>
    <w:p w14:paraId="60AB57A9" w14:textId="20B034C4" w:rsidR="00BF68BD" w:rsidRPr="00CC562A" w:rsidRDefault="000452AC" w:rsidP="00001918">
      <w:pPr>
        <w:numPr>
          <w:ilvl w:val="0"/>
          <w:numId w:val="2"/>
        </w:numPr>
        <w:spacing w:before="240" w:line="240" w:lineRule="auto"/>
        <w:ind w:left="0" w:firstLine="720"/>
        <w:jc w:val="both"/>
        <w:rPr>
          <w:rFonts w:ascii="Cambria" w:eastAsia="Cambria" w:hAnsi="Cambria" w:cs="Cambria"/>
          <w:b/>
          <w:bCs/>
          <w:sz w:val="20"/>
          <w:szCs w:val="20"/>
          <w:lang w:val="en-US"/>
        </w:rPr>
      </w:pP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guide the implementation of this recommendation, the Commission urges the State to adopt measures to ensure that the chains of command are investigated in cases of torture and extrajudicial executions. In this regard, the IACHR considers that, in addition to reporting on the </w:t>
      </w:r>
      <w:r w:rsidR="00C13B38" w:rsidRPr="00CC562A">
        <w:rPr>
          <w:rFonts w:ascii="Cambria" w:hAnsi="Cambria"/>
          <w:sz w:val="20"/>
          <w:szCs w:val="20"/>
          <w:lang w:val="en-US"/>
        </w:rPr>
        <w:t xml:space="preserve">legislative framework in this area, it is important in the process of following up this recommendation to </w:t>
      </w:r>
      <w:r w:rsidR="005160F8" w:rsidRPr="00CC562A">
        <w:rPr>
          <w:rFonts w:ascii="Cambria" w:hAnsi="Cambria"/>
          <w:sz w:val="20"/>
          <w:szCs w:val="20"/>
          <w:lang w:val="en-US"/>
        </w:rPr>
        <w:t>report on</w:t>
      </w:r>
      <w:r w:rsidR="00C13B38" w:rsidRPr="00CC562A">
        <w:rPr>
          <w:rFonts w:ascii="Cambria" w:hAnsi="Cambria"/>
          <w:sz w:val="20"/>
          <w:szCs w:val="20"/>
          <w:lang w:val="en-US"/>
        </w:rPr>
        <w:t xml:space="preserve"> actions and measures adopted to apply it, which may consist of specific institutional strengthening measures</w:t>
      </w:r>
      <w:r w:rsidR="2EE776AC" w:rsidRPr="00CC562A">
        <w:rPr>
          <w:rFonts w:ascii="Cambria" w:hAnsi="Cambria"/>
          <w:sz w:val="20"/>
          <w:szCs w:val="20"/>
          <w:lang w:val="en-US"/>
        </w:rPr>
        <w:t>.</w:t>
      </w:r>
    </w:p>
    <w:p w14:paraId="72333A35" w14:textId="011DE738" w:rsidR="00D81150" w:rsidRPr="00CC562A" w:rsidRDefault="00C13B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relation to the recommendation on the </w:t>
      </w:r>
      <w:r w:rsidR="6B7C2C90" w:rsidRPr="00CC562A">
        <w:rPr>
          <w:rFonts w:ascii="Cambria" w:hAnsi="Cambria"/>
          <w:b/>
          <w:bCs/>
          <w:sz w:val="20"/>
          <w:szCs w:val="20"/>
          <w:lang w:val="en-US"/>
        </w:rPr>
        <w:t>crea</w:t>
      </w:r>
      <w:r w:rsidRPr="00CC562A">
        <w:rPr>
          <w:rFonts w:ascii="Cambria" w:hAnsi="Cambria"/>
          <w:b/>
          <w:bCs/>
          <w:sz w:val="20"/>
          <w:szCs w:val="20"/>
          <w:lang w:val="en-US"/>
        </w:rPr>
        <w:t xml:space="preserve">tion of information, data collection, and analysis systems regarding violence affecting women, children, and adolescents, migrants, human rights defenders, justice operators, </w:t>
      </w:r>
      <w:r w:rsidR="6B7C2C90" w:rsidRPr="00CC562A">
        <w:rPr>
          <w:rFonts w:ascii="Cambria" w:hAnsi="Cambria"/>
          <w:b/>
          <w:bCs/>
          <w:sz w:val="20"/>
          <w:szCs w:val="20"/>
          <w:lang w:val="en-US"/>
        </w:rPr>
        <w:t>LGBT</w:t>
      </w:r>
      <w:r w:rsidRPr="00CC562A">
        <w:rPr>
          <w:rFonts w:ascii="Cambria" w:hAnsi="Cambria"/>
          <w:b/>
          <w:bCs/>
          <w:sz w:val="20"/>
          <w:szCs w:val="20"/>
          <w:lang w:val="en-US"/>
        </w:rPr>
        <w:t xml:space="preserve"> persons, indigenous peoples, and persons deprived of liberty</w:t>
      </w:r>
      <w:r w:rsidRPr="00CC562A">
        <w:rPr>
          <w:rFonts w:ascii="Cambria" w:hAnsi="Cambria"/>
          <w:sz w:val="20"/>
          <w:szCs w:val="20"/>
          <w:lang w:val="en-US"/>
        </w:rPr>
        <w:t>, the State indicated as follows</w:t>
      </w:r>
      <w:r w:rsidR="003759C0" w:rsidRPr="00CC562A">
        <w:rPr>
          <w:rFonts w:ascii="Cambria" w:hAnsi="Cambria"/>
          <w:sz w:val="20"/>
          <w:szCs w:val="20"/>
          <w:lang w:val="en-US"/>
        </w:rPr>
        <w:t>.</w:t>
      </w:r>
      <w:r w:rsidR="005845AC" w:rsidRPr="00CC562A">
        <w:rPr>
          <w:rStyle w:val="FootnoteReference"/>
          <w:rFonts w:ascii="Cambria" w:eastAsia="Cambria" w:hAnsi="Cambria" w:cs="Cambria"/>
          <w:sz w:val="20"/>
          <w:szCs w:val="20"/>
          <w:lang w:val="en-US"/>
        </w:rPr>
        <w:footnoteReference w:id="62"/>
      </w:r>
    </w:p>
    <w:p w14:paraId="1685CFDC" w14:textId="0E1FEE0A" w:rsidR="00D81150" w:rsidRPr="00CC562A" w:rsidRDefault="00C13B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respect to </w:t>
      </w:r>
      <w:r w:rsidRPr="00CC562A">
        <w:rPr>
          <w:rFonts w:ascii="Cambria" w:hAnsi="Cambria"/>
          <w:b/>
          <w:bCs/>
          <w:sz w:val="20"/>
          <w:szCs w:val="20"/>
          <w:lang w:val="en-US"/>
        </w:rPr>
        <w:t>women</w:t>
      </w:r>
      <w:r w:rsidR="320E09CA" w:rsidRPr="00CC562A">
        <w:rPr>
          <w:rFonts w:ascii="Cambria" w:hAnsi="Cambria"/>
          <w:sz w:val="20"/>
          <w:szCs w:val="20"/>
          <w:lang w:val="en-US"/>
        </w:rPr>
        <w:t xml:space="preserve">, </w:t>
      </w:r>
      <w:r w:rsidRPr="00CC562A">
        <w:rPr>
          <w:rFonts w:ascii="Cambria" w:hAnsi="Cambria"/>
          <w:sz w:val="20"/>
          <w:szCs w:val="20"/>
          <w:lang w:val="en-US"/>
        </w:rPr>
        <w:t>the State indicated that, based on the General Law on Women’s Access to a Life Free of Violence, the Mexican State</w:t>
      </w:r>
      <w:r w:rsidR="320E09CA" w:rsidRPr="00CC562A">
        <w:rPr>
          <w:rFonts w:ascii="Cambria" w:hAnsi="Cambria"/>
          <w:sz w:val="20"/>
          <w:szCs w:val="20"/>
          <w:lang w:val="en-US"/>
        </w:rPr>
        <w:t xml:space="preserve"> </w:t>
      </w:r>
      <w:r w:rsidRPr="00CC562A">
        <w:rPr>
          <w:rFonts w:ascii="Cambria" w:hAnsi="Cambria"/>
          <w:sz w:val="20"/>
          <w:szCs w:val="20"/>
          <w:lang w:val="en-US"/>
        </w:rPr>
        <w:t>has the National Data and Information Bank on Cases of Violence against Women</w:t>
      </w:r>
      <w:r w:rsidR="320E09CA" w:rsidRPr="00CC562A">
        <w:rPr>
          <w:rFonts w:ascii="Cambria" w:hAnsi="Cambria"/>
          <w:sz w:val="20"/>
          <w:szCs w:val="20"/>
          <w:lang w:val="en-US"/>
        </w:rPr>
        <w:t xml:space="preserve"> (BANAVIM), </w:t>
      </w:r>
      <w:r w:rsidRPr="00CC562A">
        <w:rPr>
          <w:rFonts w:ascii="Cambria" w:hAnsi="Cambria"/>
          <w:sz w:val="20"/>
          <w:szCs w:val="20"/>
          <w:lang w:val="en-US"/>
        </w:rPr>
        <w:t xml:space="preserve">which is a public policy instrument that </w:t>
      </w:r>
      <w:r w:rsidR="00134EF7" w:rsidRPr="00CC562A">
        <w:rPr>
          <w:rFonts w:ascii="Cambria" w:hAnsi="Cambria"/>
          <w:sz w:val="20"/>
          <w:szCs w:val="20"/>
          <w:lang w:val="en-US"/>
        </w:rPr>
        <w:t>takes account of the dimension of gender</w:t>
      </w:r>
      <w:r w:rsidR="003759C0" w:rsidRPr="00CC562A">
        <w:rPr>
          <w:rFonts w:ascii="Cambria" w:hAnsi="Cambria"/>
          <w:sz w:val="20"/>
          <w:szCs w:val="20"/>
          <w:lang w:val="en-US"/>
        </w:rPr>
        <w:t>-based</w:t>
      </w:r>
      <w:r w:rsidR="00134EF7" w:rsidRPr="00CC562A">
        <w:rPr>
          <w:rFonts w:ascii="Cambria" w:hAnsi="Cambria"/>
          <w:sz w:val="20"/>
          <w:szCs w:val="20"/>
          <w:lang w:val="en-US"/>
        </w:rPr>
        <w:t xml:space="preserve"> violence against women. The</w:t>
      </w:r>
      <w:r w:rsidR="320E09CA" w:rsidRPr="00CC562A">
        <w:rPr>
          <w:rFonts w:ascii="Cambria" w:hAnsi="Cambria"/>
          <w:sz w:val="20"/>
          <w:szCs w:val="20"/>
          <w:lang w:val="en-US"/>
        </w:rPr>
        <w:t xml:space="preserve"> BANAVIM pro</w:t>
      </w:r>
      <w:r w:rsidR="00134EF7" w:rsidRPr="00CC562A">
        <w:rPr>
          <w:rFonts w:ascii="Cambria" w:hAnsi="Cambria"/>
          <w:sz w:val="20"/>
          <w:szCs w:val="20"/>
          <w:lang w:val="en-US"/>
        </w:rPr>
        <w:t>vides information on violent acts that are more frequently endured by women, as well as data on likely aggressors who carry out that violence</w:t>
      </w:r>
      <w:r w:rsidR="320E09CA" w:rsidRPr="00CC562A">
        <w:rPr>
          <w:rFonts w:ascii="Cambria" w:hAnsi="Cambria"/>
          <w:sz w:val="20"/>
          <w:szCs w:val="20"/>
          <w:lang w:val="en-US"/>
        </w:rPr>
        <w:t xml:space="preserve">, </w:t>
      </w:r>
      <w:r w:rsidR="00134EF7" w:rsidRPr="00CC562A">
        <w:rPr>
          <w:rFonts w:ascii="Cambria" w:hAnsi="Cambria"/>
          <w:sz w:val="20"/>
          <w:szCs w:val="20"/>
          <w:lang w:val="en-US"/>
        </w:rPr>
        <w:t xml:space="preserve">with data illustrative of the national level and by federal entity, making it possible to envisage recurring contexts of violence, helping to detect geographic areas and areas of society that involve risk for women. It indicated that training actions have been conducted for public servants charged with administering and operating the data </w:t>
      </w:r>
      <w:r w:rsidR="003759C0" w:rsidRPr="00CC562A">
        <w:rPr>
          <w:rFonts w:ascii="Cambria" w:hAnsi="Cambria"/>
          <w:sz w:val="20"/>
          <w:szCs w:val="20"/>
          <w:lang w:val="en-US"/>
        </w:rPr>
        <w:t>collection</w:t>
      </w:r>
      <w:r w:rsidR="00134EF7" w:rsidRPr="00CC562A">
        <w:rPr>
          <w:rFonts w:ascii="Cambria" w:hAnsi="Cambria"/>
          <w:sz w:val="20"/>
          <w:szCs w:val="20"/>
          <w:lang w:val="en-US"/>
        </w:rPr>
        <w:t xml:space="preserve"> system of the National Data and Information Bank on Cases of Violence against Women and </w:t>
      </w:r>
      <w:r w:rsidR="003759C0" w:rsidRPr="00CC562A">
        <w:rPr>
          <w:rFonts w:ascii="Cambria" w:hAnsi="Cambria"/>
          <w:sz w:val="20"/>
          <w:szCs w:val="20"/>
          <w:lang w:val="en-US"/>
        </w:rPr>
        <w:t xml:space="preserve">coordination and work </w:t>
      </w:r>
      <w:r w:rsidR="00134EF7" w:rsidRPr="00CC562A">
        <w:rPr>
          <w:rFonts w:ascii="Cambria" w:hAnsi="Cambria"/>
          <w:sz w:val="20"/>
          <w:szCs w:val="20"/>
          <w:lang w:val="en-US"/>
        </w:rPr>
        <w:t>meetings with liaisons at three levels of government for the purpose of strengthening the National Databank</w:t>
      </w:r>
      <w:r w:rsidR="320E09CA" w:rsidRPr="00CC562A">
        <w:rPr>
          <w:rFonts w:ascii="Cambria" w:hAnsi="Cambria"/>
          <w:sz w:val="20"/>
          <w:szCs w:val="20"/>
          <w:lang w:val="en-US"/>
        </w:rPr>
        <w:t>.</w:t>
      </w:r>
      <w:r w:rsidR="00086C08" w:rsidRPr="00CC562A">
        <w:rPr>
          <w:rFonts w:ascii="Cambria" w:hAnsi="Cambria"/>
          <w:sz w:val="20"/>
          <w:szCs w:val="20"/>
          <w:lang w:val="en-US"/>
        </w:rPr>
        <w:t xml:space="preserve"> </w:t>
      </w:r>
      <w:r w:rsidR="00443277" w:rsidRPr="00CC562A">
        <w:rPr>
          <w:rFonts w:ascii="Cambria" w:hAnsi="Cambria"/>
          <w:sz w:val="20"/>
          <w:lang w:val="en-US"/>
        </w:rPr>
        <w:t xml:space="preserve">In addition, the </w:t>
      </w:r>
      <w:r w:rsidR="00086C08" w:rsidRPr="00CC562A">
        <w:rPr>
          <w:rFonts w:ascii="Cambria" w:hAnsi="Cambria"/>
          <w:sz w:val="20"/>
          <w:lang w:val="en-US"/>
        </w:rPr>
        <w:t xml:space="preserve">FGR </w:t>
      </w:r>
      <w:r w:rsidR="00443277" w:rsidRPr="00CC562A">
        <w:rPr>
          <w:rFonts w:ascii="Cambria" w:hAnsi="Cambria"/>
          <w:sz w:val="20"/>
          <w:lang w:val="en-US"/>
        </w:rPr>
        <w:t>noted that statistical information under this heading is compiled through the Executive Secretariat of the National Public Security System</w:t>
      </w:r>
      <w:r w:rsidR="00E20F4E" w:rsidRPr="00CC562A">
        <w:rPr>
          <w:rFonts w:ascii="Cambria" w:hAnsi="Cambria"/>
          <w:sz w:val="20"/>
          <w:lang w:val="en-US"/>
        </w:rPr>
        <w:t>.</w:t>
      </w:r>
      <w:r w:rsidR="00086C08" w:rsidRPr="00CC562A">
        <w:rPr>
          <w:rStyle w:val="FootnoteReference"/>
          <w:rFonts w:ascii="Cambria" w:hAnsi="Cambria"/>
          <w:sz w:val="20"/>
          <w:lang w:val="en-US"/>
        </w:rPr>
        <w:footnoteReference w:id="63"/>
      </w:r>
    </w:p>
    <w:p w14:paraId="2E47E616" w14:textId="4B448DF9" w:rsidR="00D81150" w:rsidRPr="00CC562A" w:rsidRDefault="00F72895"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In addition, within the framework of the</w:t>
      </w:r>
      <w:r w:rsidR="003759C0" w:rsidRPr="00CC562A">
        <w:rPr>
          <w:rFonts w:ascii="Cambria" w:hAnsi="Cambria"/>
          <w:sz w:val="20"/>
          <w:szCs w:val="20"/>
          <w:lang w:val="en-US"/>
        </w:rPr>
        <w:t xml:space="preserve"> </w:t>
      </w:r>
      <w:r w:rsidRPr="00CC562A">
        <w:rPr>
          <w:rFonts w:ascii="Cambria" w:hAnsi="Cambria"/>
          <w:sz w:val="20"/>
          <w:szCs w:val="20"/>
          <w:lang w:val="en-US"/>
        </w:rPr>
        <w:t>Inter-institutional Group for Strategies against Violence against Women, Girls, and Adolescents</w:t>
      </w:r>
      <w:r w:rsidR="320E09CA" w:rsidRPr="00CC562A">
        <w:rPr>
          <w:rFonts w:ascii="Cambria" w:hAnsi="Cambria"/>
          <w:sz w:val="20"/>
          <w:szCs w:val="20"/>
          <w:lang w:val="en-US"/>
        </w:rPr>
        <w:t xml:space="preserve"> (GIEV),</w:t>
      </w:r>
      <w:r w:rsidR="00130327" w:rsidRPr="00CC562A">
        <w:rPr>
          <w:rFonts w:ascii="Cambria" w:hAnsi="Cambria"/>
          <w:sz w:val="20"/>
          <w:szCs w:val="20"/>
          <w:lang w:val="en-US"/>
        </w:rPr>
        <w:t xml:space="preserve"> the State reported that monthly presentations are prepared on the indicators of violence, wherein the National Institute of Women</w:t>
      </w:r>
      <w:r w:rsidR="320E09CA" w:rsidRPr="00CC562A">
        <w:rPr>
          <w:rFonts w:ascii="Cambria" w:hAnsi="Cambria"/>
          <w:sz w:val="20"/>
          <w:szCs w:val="20"/>
          <w:lang w:val="en-US"/>
        </w:rPr>
        <w:t> (INMUJERES) inclu</w:t>
      </w:r>
      <w:r w:rsidR="00130327" w:rsidRPr="00CC562A">
        <w:rPr>
          <w:rFonts w:ascii="Cambria" w:hAnsi="Cambria"/>
          <w:sz w:val="20"/>
          <w:szCs w:val="20"/>
          <w:lang w:val="en-US"/>
        </w:rPr>
        <w:t>ded indicators on sexual crimes and trafficking</w:t>
      </w:r>
      <w:r w:rsidR="6D67AAC8" w:rsidRPr="00CC562A">
        <w:rPr>
          <w:rFonts w:ascii="Cambria" w:hAnsi="Cambria"/>
          <w:sz w:val="20"/>
          <w:szCs w:val="20"/>
          <w:lang w:val="en-US"/>
        </w:rPr>
        <w:t>, as</w:t>
      </w:r>
      <w:r w:rsidR="00130327" w:rsidRPr="00CC562A">
        <w:rPr>
          <w:rFonts w:ascii="Cambria" w:hAnsi="Cambria"/>
          <w:sz w:val="20"/>
          <w:szCs w:val="20"/>
          <w:lang w:val="en-US"/>
        </w:rPr>
        <w:t xml:space="preserve"> well as information on </w:t>
      </w:r>
      <w:r w:rsidR="003759C0" w:rsidRPr="00CC562A">
        <w:rPr>
          <w:rFonts w:ascii="Cambria" w:hAnsi="Cambria"/>
          <w:sz w:val="20"/>
          <w:szCs w:val="20"/>
          <w:lang w:val="en-US"/>
        </w:rPr>
        <w:t>female</w:t>
      </w:r>
      <w:r w:rsidR="00130327" w:rsidRPr="00CC562A">
        <w:rPr>
          <w:rFonts w:ascii="Cambria" w:hAnsi="Cambria"/>
          <w:sz w:val="20"/>
          <w:szCs w:val="20"/>
          <w:lang w:val="en-US"/>
        </w:rPr>
        <w:t xml:space="preserve"> indigenous language speakers in the section on structural violence, adding a section on disappeared persons, whether they were found or not.</w:t>
      </w:r>
      <w:r w:rsidR="6D67AAC8" w:rsidRPr="00CC562A">
        <w:rPr>
          <w:rFonts w:ascii="Cambria" w:hAnsi="Cambria"/>
          <w:sz w:val="20"/>
          <w:szCs w:val="20"/>
          <w:lang w:val="en-US"/>
        </w:rPr>
        <w:t xml:space="preserve"> </w:t>
      </w:r>
      <w:r w:rsidR="00130327" w:rsidRPr="00CC562A">
        <w:rPr>
          <w:rFonts w:ascii="Cambria" w:hAnsi="Cambria"/>
          <w:sz w:val="20"/>
          <w:szCs w:val="20"/>
          <w:lang w:val="en-US"/>
        </w:rPr>
        <w:t xml:space="preserve">In September </w:t>
      </w:r>
      <w:r w:rsidR="320E09CA" w:rsidRPr="00CC562A">
        <w:rPr>
          <w:rFonts w:ascii="Cambria" w:hAnsi="Cambria"/>
          <w:sz w:val="20"/>
          <w:szCs w:val="20"/>
          <w:lang w:val="en-US"/>
        </w:rPr>
        <w:t xml:space="preserve">INMUJERES </w:t>
      </w:r>
      <w:r w:rsidR="00130327" w:rsidRPr="00CC562A">
        <w:rPr>
          <w:rFonts w:ascii="Cambria" w:hAnsi="Cambria"/>
          <w:sz w:val="20"/>
          <w:szCs w:val="20"/>
          <w:lang w:val="en-US"/>
        </w:rPr>
        <w:t>called upon the Mechanisms for the Advance of Women in federal agencies to attend a meeting to analyze the results of the 2021 National Survey on the Dynamic of Household Relationships</w:t>
      </w:r>
      <w:r w:rsidR="320E09CA" w:rsidRPr="00CC562A">
        <w:rPr>
          <w:rFonts w:ascii="Cambria" w:hAnsi="Cambria"/>
          <w:sz w:val="20"/>
          <w:szCs w:val="20"/>
          <w:lang w:val="en-US"/>
        </w:rPr>
        <w:t xml:space="preserve"> (ENDIREH)</w:t>
      </w:r>
      <w:r w:rsidR="00130327" w:rsidRPr="00CC562A">
        <w:rPr>
          <w:rFonts w:ascii="Cambria" w:hAnsi="Cambria"/>
          <w:sz w:val="20"/>
          <w:szCs w:val="20"/>
          <w:lang w:val="en-US"/>
        </w:rPr>
        <w:t xml:space="preserve"> and dissemination activities.</w:t>
      </w:r>
      <w:r w:rsidR="00D81150" w:rsidRPr="00CC562A">
        <w:rPr>
          <w:rStyle w:val="FootnoteReference"/>
          <w:rFonts w:ascii="Cambria" w:hAnsi="Cambria"/>
          <w:sz w:val="20"/>
          <w:szCs w:val="20"/>
          <w:lang w:val="en-US"/>
        </w:rPr>
        <w:footnoteReference w:id="64"/>
      </w:r>
    </w:p>
    <w:p w14:paraId="200763BF" w14:textId="2E576F37" w:rsidR="00086C08" w:rsidRPr="00CC562A" w:rsidRDefault="00DD4D31"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lastRenderedPageBreak/>
        <w:t xml:space="preserve">Similarly, the State indicated that, since it was created on February 1, </w:t>
      </w:r>
      <w:r w:rsidR="00086C08" w:rsidRPr="00CC562A">
        <w:rPr>
          <w:rFonts w:ascii="Cambria" w:hAnsi="Cambria"/>
          <w:sz w:val="20"/>
          <w:lang w:val="en-US"/>
        </w:rPr>
        <w:t>2008</w:t>
      </w:r>
      <w:r w:rsidRPr="00CC562A">
        <w:rPr>
          <w:rFonts w:ascii="Cambria" w:hAnsi="Cambria"/>
          <w:sz w:val="20"/>
          <w:lang w:val="en-US"/>
        </w:rPr>
        <w:t>, the Office of the Special Prosecutor for Crimes of Violence against Women and Trafficking (hereinafter “</w:t>
      </w:r>
      <w:r w:rsidR="00086C08" w:rsidRPr="00CC562A">
        <w:rPr>
          <w:rFonts w:ascii="Cambria" w:hAnsi="Cambria"/>
          <w:sz w:val="20"/>
          <w:lang w:val="en-US"/>
        </w:rPr>
        <w:t>FEVIMTRA</w:t>
      </w:r>
      <w:r w:rsidRPr="00CC562A">
        <w:rPr>
          <w:rFonts w:ascii="Cambria" w:hAnsi="Cambria"/>
          <w:sz w:val="20"/>
          <w:lang w:val="en-US"/>
        </w:rPr>
        <w:t xml:space="preserve">”) has had records with general data on the crimes of sexual harassment, </w:t>
      </w:r>
      <w:r w:rsidR="00086C08" w:rsidRPr="00CC562A">
        <w:rPr>
          <w:rFonts w:ascii="Cambria" w:hAnsi="Cambria"/>
          <w:sz w:val="20"/>
          <w:lang w:val="en-US"/>
        </w:rPr>
        <w:t>pe</w:t>
      </w:r>
      <w:r w:rsidRPr="00CC562A">
        <w:rPr>
          <w:rFonts w:ascii="Cambria" w:hAnsi="Cambria"/>
          <w:sz w:val="20"/>
          <w:lang w:val="en-US"/>
        </w:rPr>
        <w:t xml:space="preserve">dophilia, sexual abuse, human trafficking, </w:t>
      </w:r>
      <w:r w:rsidR="00A7514B" w:rsidRPr="00CC562A">
        <w:rPr>
          <w:rFonts w:ascii="Cambria" w:hAnsi="Cambria"/>
          <w:sz w:val="20"/>
          <w:lang w:val="en-US"/>
        </w:rPr>
        <w:t>and comparable family violence, among other crimes.</w:t>
      </w:r>
      <w:r w:rsidR="00086C08" w:rsidRPr="00CC562A">
        <w:rPr>
          <w:rStyle w:val="FootnoteReference"/>
          <w:rFonts w:ascii="Cambria" w:hAnsi="Cambria"/>
          <w:sz w:val="20"/>
          <w:lang w:val="en-US"/>
        </w:rPr>
        <w:footnoteReference w:id="65"/>
      </w:r>
    </w:p>
    <w:p w14:paraId="1752AE70" w14:textId="6410751E" w:rsidR="00D81150" w:rsidRPr="00CC562A" w:rsidRDefault="0013032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With respect to </w:t>
      </w:r>
      <w:r w:rsidRPr="00CC562A">
        <w:rPr>
          <w:rFonts w:ascii="Cambria" w:hAnsi="Cambria"/>
          <w:b/>
          <w:bCs/>
          <w:sz w:val="20"/>
          <w:szCs w:val="20"/>
          <w:lang w:val="en-US"/>
        </w:rPr>
        <w:t>children and adolescents</w:t>
      </w:r>
      <w:r w:rsidR="320E09CA" w:rsidRPr="00CC562A">
        <w:rPr>
          <w:rFonts w:ascii="Cambria" w:hAnsi="Cambria"/>
          <w:sz w:val="20"/>
          <w:szCs w:val="20"/>
          <w:lang w:val="en-US"/>
        </w:rPr>
        <w:t xml:space="preserve">, </w:t>
      </w:r>
      <w:r w:rsidRPr="00CC562A">
        <w:rPr>
          <w:rFonts w:ascii="Cambria" w:hAnsi="Cambria"/>
          <w:sz w:val="20"/>
          <w:szCs w:val="20"/>
          <w:lang w:val="en-US"/>
        </w:rPr>
        <w:t>the State indicated that</w:t>
      </w:r>
      <w:r w:rsidR="00F67D56" w:rsidRPr="00CC562A">
        <w:rPr>
          <w:rFonts w:ascii="Cambria" w:hAnsi="Cambria"/>
          <w:sz w:val="20"/>
          <w:szCs w:val="20"/>
          <w:lang w:val="en-US"/>
        </w:rPr>
        <w:t xml:space="preserve"> the injuries and births subsystems of the Health Secretariat provide data on injuries due to violence by type of violence, which in</w:t>
      </w:r>
      <w:r w:rsidR="320E09CA" w:rsidRPr="00CC562A">
        <w:rPr>
          <w:rFonts w:ascii="Cambria" w:hAnsi="Cambria"/>
          <w:sz w:val="20"/>
          <w:szCs w:val="20"/>
          <w:lang w:val="en-US"/>
        </w:rPr>
        <w:t xml:space="preserve"> 2019 </w:t>
      </w:r>
      <w:r w:rsidR="00F67D56" w:rsidRPr="00CC562A">
        <w:rPr>
          <w:rFonts w:ascii="Cambria" w:hAnsi="Cambria"/>
          <w:sz w:val="20"/>
          <w:szCs w:val="20"/>
          <w:lang w:val="en-US"/>
        </w:rPr>
        <w:t>were: abandonment and violence</w:t>
      </w:r>
      <w:r w:rsidR="320E09CA" w:rsidRPr="00CC562A">
        <w:rPr>
          <w:rFonts w:ascii="Cambria" w:hAnsi="Cambria"/>
          <w:sz w:val="20"/>
          <w:szCs w:val="20"/>
          <w:lang w:val="en-US"/>
        </w:rPr>
        <w:t xml:space="preserve"> 1,209 cas</w:t>
      </w:r>
      <w:r w:rsidR="00F67D56" w:rsidRPr="00CC562A">
        <w:rPr>
          <w:rFonts w:ascii="Cambria" w:hAnsi="Cambria"/>
          <w:sz w:val="20"/>
          <w:szCs w:val="20"/>
          <w:lang w:val="en-US"/>
        </w:rPr>
        <w:t>es</w:t>
      </w:r>
      <w:r w:rsidR="320E09CA" w:rsidRPr="00CC562A">
        <w:rPr>
          <w:rFonts w:ascii="Cambria" w:hAnsi="Cambria"/>
          <w:sz w:val="20"/>
          <w:szCs w:val="20"/>
          <w:lang w:val="en-US"/>
        </w:rPr>
        <w:t xml:space="preserve">, </w:t>
      </w:r>
      <w:r w:rsidR="00F67D56" w:rsidRPr="00CC562A">
        <w:rPr>
          <w:rFonts w:ascii="Cambria" w:hAnsi="Cambria"/>
          <w:sz w:val="20"/>
          <w:szCs w:val="20"/>
          <w:lang w:val="en-US"/>
        </w:rPr>
        <w:t>economic violence</w:t>
      </w:r>
      <w:r w:rsidR="320E09CA" w:rsidRPr="00CC562A">
        <w:rPr>
          <w:rFonts w:ascii="Cambria" w:hAnsi="Cambria"/>
          <w:sz w:val="20"/>
          <w:szCs w:val="20"/>
          <w:lang w:val="en-US"/>
        </w:rPr>
        <w:t xml:space="preserve"> 513, </w:t>
      </w:r>
      <w:r w:rsidR="00F67D56" w:rsidRPr="00CC562A">
        <w:rPr>
          <w:rFonts w:ascii="Cambria" w:hAnsi="Cambria"/>
          <w:sz w:val="20"/>
          <w:szCs w:val="20"/>
          <w:lang w:val="en-US"/>
        </w:rPr>
        <w:t>physical violence</w:t>
      </w:r>
      <w:r w:rsidR="320E09CA" w:rsidRPr="00CC562A">
        <w:rPr>
          <w:rFonts w:ascii="Cambria" w:hAnsi="Cambria"/>
          <w:sz w:val="20"/>
          <w:szCs w:val="20"/>
          <w:lang w:val="en-US"/>
        </w:rPr>
        <w:t xml:space="preserve"> 6,698, </w:t>
      </w:r>
      <w:r w:rsidR="00F67D56" w:rsidRPr="00CC562A">
        <w:rPr>
          <w:rFonts w:ascii="Cambria" w:hAnsi="Cambria"/>
          <w:sz w:val="20"/>
          <w:szCs w:val="20"/>
          <w:lang w:val="en-US"/>
        </w:rPr>
        <w:t>psychological violence</w:t>
      </w:r>
      <w:r w:rsidR="320E09CA" w:rsidRPr="00CC562A">
        <w:rPr>
          <w:rFonts w:ascii="Cambria" w:hAnsi="Cambria"/>
          <w:sz w:val="20"/>
          <w:szCs w:val="20"/>
          <w:lang w:val="en-US"/>
        </w:rPr>
        <w:t xml:space="preserve"> 12,181</w:t>
      </w:r>
      <w:r w:rsidR="00F67D56" w:rsidRPr="00CC562A">
        <w:rPr>
          <w:rFonts w:ascii="Cambria" w:hAnsi="Cambria"/>
          <w:sz w:val="20"/>
          <w:szCs w:val="20"/>
          <w:lang w:val="en-US"/>
        </w:rPr>
        <w:t>, and sexual violence</w:t>
      </w:r>
      <w:r w:rsidR="320E09CA" w:rsidRPr="00CC562A">
        <w:rPr>
          <w:rFonts w:ascii="Cambria" w:hAnsi="Cambria"/>
          <w:sz w:val="20"/>
          <w:szCs w:val="20"/>
          <w:lang w:val="en-US"/>
        </w:rPr>
        <w:t xml:space="preserve"> 5,575 cas</w:t>
      </w:r>
      <w:r w:rsidR="00F67D56" w:rsidRPr="00CC562A">
        <w:rPr>
          <w:rFonts w:ascii="Cambria" w:hAnsi="Cambria"/>
          <w:sz w:val="20"/>
          <w:szCs w:val="20"/>
          <w:lang w:val="en-US"/>
        </w:rPr>
        <w:t>e</w:t>
      </w:r>
      <w:r w:rsidR="320E09CA" w:rsidRPr="00CC562A">
        <w:rPr>
          <w:rFonts w:ascii="Cambria" w:hAnsi="Cambria"/>
          <w:sz w:val="20"/>
          <w:szCs w:val="20"/>
          <w:lang w:val="en-US"/>
        </w:rPr>
        <w:t xml:space="preserve">s. </w:t>
      </w:r>
      <w:r w:rsidR="00F67D56" w:rsidRPr="00CC562A">
        <w:rPr>
          <w:rFonts w:ascii="Cambria" w:hAnsi="Cambria"/>
          <w:sz w:val="20"/>
          <w:szCs w:val="20"/>
          <w:lang w:val="en-US"/>
        </w:rPr>
        <w:t>Of the total number of cases of injuries due to violence in children and adolescents</w:t>
      </w:r>
      <w:r w:rsidR="320E09CA" w:rsidRPr="00CC562A">
        <w:rPr>
          <w:rFonts w:ascii="Cambria" w:hAnsi="Cambria"/>
          <w:sz w:val="20"/>
          <w:szCs w:val="20"/>
          <w:lang w:val="en-US"/>
        </w:rPr>
        <w:t xml:space="preserve"> (26,176), 81.23% correspond</w:t>
      </w:r>
      <w:r w:rsidR="00F67D56" w:rsidRPr="00CC562A">
        <w:rPr>
          <w:rFonts w:ascii="Cambria" w:hAnsi="Cambria"/>
          <w:sz w:val="20"/>
          <w:szCs w:val="20"/>
          <w:lang w:val="en-US"/>
        </w:rPr>
        <w:t xml:space="preserve">ed to girls and adolescent females. </w:t>
      </w:r>
      <w:r w:rsidR="00A7514B" w:rsidRPr="00CC562A">
        <w:rPr>
          <w:rFonts w:ascii="Cambria" w:hAnsi="Cambria"/>
          <w:iCs/>
          <w:sz w:val="20"/>
          <w:szCs w:val="20"/>
          <w:lang w:val="en-US"/>
        </w:rPr>
        <w:t xml:space="preserve">The subsystem for births occurring in </w:t>
      </w:r>
      <w:r w:rsidR="00086C08" w:rsidRPr="00CC562A">
        <w:rPr>
          <w:rFonts w:ascii="Cambria" w:hAnsi="Cambria"/>
          <w:iCs/>
          <w:sz w:val="20"/>
          <w:szCs w:val="20"/>
          <w:lang w:val="en-US"/>
        </w:rPr>
        <w:t>2019</w:t>
      </w:r>
      <w:r w:rsidR="00A7514B" w:rsidRPr="00CC562A">
        <w:rPr>
          <w:rFonts w:ascii="Cambria" w:hAnsi="Cambria"/>
          <w:iCs/>
          <w:sz w:val="20"/>
          <w:szCs w:val="20"/>
          <w:lang w:val="en-US"/>
        </w:rPr>
        <w:t xml:space="preserve"> provides data on childbirth in mothers from the ages of nine to seventeen, with</w:t>
      </w:r>
      <w:r w:rsidR="00086C08" w:rsidRPr="00CC562A">
        <w:rPr>
          <w:rFonts w:ascii="Cambria" w:hAnsi="Cambria"/>
          <w:iCs/>
          <w:sz w:val="20"/>
          <w:szCs w:val="20"/>
          <w:lang w:val="en-US"/>
        </w:rPr>
        <w:t xml:space="preserve"> 146,268 </w:t>
      </w:r>
      <w:r w:rsidR="00A7514B" w:rsidRPr="00CC562A">
        <w:rPr>
          <w:rFonts w:ascii="Cambria" w:hAnsi="Cambria"/>
          <w:iCs/>
          <w:sz w:val="20"/>
          <w:szCs w:val="20"/>
          <w:lang w:val="en-US"/>
        </w:rPr>
        <w:t>births. In the group of mothers aged nine to</w:t>
      </w:r>
      <w:r w:rsidR="00A7514B" w:rsidRPr="00CC562A">
        <w:rPr>
          <w:rFonts w:ascii="Cambria" w:hAnsi="Cambria"/>
          <w:iCs/>
          <w:color w:val="FF0000"/>
          <w:sz w:val="20"/>
          <w:szCs w:val="20"/>
          <w:lang w:val="en-US"/>
        </w:rPr>
        <w:t xml:space="preserve"> </w:t>
      </w:r>
      <w:r w:rsidR="00A7514B" w:rsidRPr="00CC562A">
        <w:rPr>
          <w:rFonts w:ascii="Cambria" w:hAnsi="Cambria"/>
          <w:iCs/>
          <w:sz w:val="20"/>
          <w:szCs w:val="20"/>
          <w:lang w:val="en-US"/>
        </w:rPr>
        <w:t>fourteen, there were</w:t>
      </w:r>
      <w:r w:rsidR="00086C08" w:rsidRPr="00CC562A">
        <w:rPr>
          <w:rFonts w:ascii="Cambria" w:hAnsi="Cambria"/>
          <w:iCs/>
          <w:sz w:val="20"/>
          <w:szCs w:val="20"/>
          <w:lang w:val="en-US"/>
        </w:rPr>
        <w:t xml:space="preserve"> 9,902 </w:t>
      </w:r>
      <w:r w:rsidR="00A7514B" w:rsidRPr="00CC562A">
        <w:rPr>
          <w:rFonts w:ascii="Cambria" w:hAnsi="Cambria"/>
          <w:iCs/>
          <w:sz w:val="20"/>
          <w:szCs w:val="20"/>
          <w:lang w:val="en-US"/>
        </w:rPr>
        <w:t>births. In addition, the State reported on the development of the</w:t>
      </w:r>
      <w:r w:rsidR="00274D55" w:rsidRPr="00CC562A">
        <w:rPr>
          <w:rFonts w:ascii="Cambria" w:hAnsi="Cambria"/>
          <w:iCs/>
          <w:sz w:val="20"/>
          <w:szCs w:val="20"/>
          <w:lang w:val="en-US"/>
        </w:rPr>
        <w:t xml:space="preserve"> National Protocol of Interinstitutional Coordination for the Protection of Children and Adolescent Victims of Violence within the framework of Mexico’s 2019-2024 Action Plan in the Global Alliance on putting an end to violence against children.</w:t>
      </w:r>
      <w:r w:rsidR="00086C08" w:rsidRPr="00CC562A">
        <w:rPr>
          <w:rStyle w:val="FootnoteReference"/>
          <w:rFonts w:ascii="Cambria" w:hAnsi="Cambria"/>
          <w:iCs/>
          <w:sz w:val="20"/>
          <w:szCs w:val="20"/>
          <w:lang w:val="en-US"/>
        </w:rPr>
        <w:footnoteReference w:id="66"/>
      </w:r>
    </w:p>
    <w:p w14:paraId="2E61982A" w14:textId="7141D732" w:rsidR="00D81150" w:rsidRPr="00CC562A" w:rsidRDefault="00F67D56" w:rsidP="00001918">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hAnsi="Cambria"/>
          <w:sz w:val="20"/>
          <w:szCs w:val="20"/>
          <w:lang w:val="en-US"/>
        </w:rPr>
        <w:t>With regard to</w:t>
      </w:r>
      <w:proofErr w:type="gramEnd"/>
      <w:r w:rsidR="320E09CA" w:rsidRPr="00CC562A">
        <w:rPr>
          <w:rFonts w:ascii="Cambria" w:hAnsi="Cambria"/>
          <w:b/>
          <w:bCs/>
          <w:sz w:val="20"/>
          <w:szCs w:val="20"/>
          <w:lang w:val="en-US"/>
        </w:rPr>
        <w:t xml:space="preserve"> migrants</w:t>
      </w:r>
      <w:r w:rsidR="320E09CA" w:rsidRPr="00CC562A">
        <w:rPr>
          <w:rFonts w:ascii="Cambria" w:hAnsi="Cambria"/>
          <w:sz w:val="20"/>
          <w:szCs w:val="20"/>
          <w:lang w:val="en-US"/>
        </w:rPr>
        <w:t xml:space="preserve">, </w:t>
      </w:r>
      <w:r w:rsidR="001029A9" w:rsidRPr="00CC562A">
        <w:rPr>
          <w:rFonts w:ascii="Cambria" w:hAnsi="Cambria"/>
          <w:sz w:val="20"/>
          <w:szCs w:val="20"/>
          <w:lang w:val="en-US"/>
        </w:rPr>
        <w:t>the State reported that the National Migration Institute</w:t>
      </w:r>
      <w:r w:rsidR="320E09CA" w:rsidRPr="00CC562A">
        <w:rPr>
          <w:rFonts w:ascii="Cambria" w:hAnsi="Cambria"/>
          <w:sz w:val="20"/>
          <w:szCs w:val="20"/>
          <w:lang w:val="en-US"/>
        </w:rPr>
        <w:t xml:space="preserve"> (INM)</w:t>
      </w:r>
      <w:r w:rsidR="001029A9" w:rsidRPr="00CC562A">
        <w:rPr>
          <w:rFonts w:ascii="Cambria" w:hAnsi="Cambria"/>
          <w:sz w:val="20"/>
          <w:szCs w:val="20"/>
          <w:lang w:val="en-US"/>
        </w:rPr>
        <w:t xml:space="preserve">, </w:t>
      </w:r>
      <w:r w:rsidR="003759C0" w:rsidRPr="00CC562A">
        <w:rPr>
          <w:rFonts w:ascii="Cambria" w:hAnsi="Cambria"/>
          <w:sz w:val="20"/>
          <w:szCs w:val="20"/>
          <w:lang w:val="en-US"/>
        </w:rPr>
        <w:t xml:space="preserve">in order to produce </w:t>
      </w:r>
      <w:r w:rsidR="001029A9" w:rsidRPr="00CC562A">
        <w:rPr>
          <w:rFonts w:ascii="Cambria" w:hAnsi="Cambria"/>
          <w:sz w:val="20"/>
          <w:szCs w:val="20"/>
          <w:lang w:val="en-US"/>
        </w:rPr>
        <w:t>a specialized registry on migrant children, developed the Information System and Registry of Children and Adolescents and Accompanying Adults</w:t>
      </w:r>
      <w:r w:rsidR="320E09CA" w:rsidRPr="00CC562A">
        <w:rPr>
          <w:rFonts w:ascii="Cambria" w:hAnsi="Cambria"/>
          <w:sz w:val="20"/>
          <w:szCs w:val="20"/>
          <w:lang w:val="en-US"/>
        </w:rPr>
        <w:t xml:space="preserve"> (SIRENNA) </w:t>
      </w:r>
      <w:r w:rsidR="001029A9" w:rsidRPr="00CC562A">
        <w:rPr>
          <w:rFonts w:ascii="Cambria" w:hAnsi="Cambria"/>
          <w:sz w:val="20"/>
          <w:szCs w:val="20"/>
          <w:lang w:val="en-US"/>
        </w:rPr>
        <w:t xml:space="preserve">whereby it will be possible to record the most relevant data on foreigners and provide prompt follow-up on migration-related administrative procedures, thus ensuring better attention and protection for them. The State also reported that it completed the creation of the Registry System. The implementation of that system by the </w:t>
      </w:r>
      <w:r w:rsidR="54467741" w:rsidRPr="00CC562A">
        <w:rPr>
          <w:rFonts w:ascii="Cambria" w:hAnsi="Cambria"/>
          <w:sz w:val="20"/>
          <w:szCs w:val="20"/>
          <w:lang w:val="en-US"/>
        </w:rPr>
        <w:t xml:space="preserve">INM </w:t>
      </w:r>
      <w:r w:rsidR="001029A9" w:rsidRPr="00CC562A">
        <w:rPr>
          <w:rFonts w:ascii="Cambria" w:hAnsi="Cambria"/>
          <w:sz w:val="20"/>
          <w:szCs w:val="20"/>
          <w:lang w:val="en-US"/>
        </w:rPr>
        <w:t>is pending and will be carried out gradually in the Representative Offices until completi</w:t>
      </w:r>
      <w:r w:rsidR="00365543" w:rsidRPr="00CC562A">
        <w:rPr>
          <w:rFonts w:ascii="Cambria" w:hAnsi="Cambria"/>
          <w:sz w:val="20"/>
          <w:szCs w:val="20"/>
          <w:lang w:val="en-US"/>
        </w:rPr>
        <w:t>on in</w:t>
      </w:r>
      <w:r w:rsidR="001029A9" w:rsidRPr="00CC562A">
        <w:rPr>
          <w:rFonts w:ascii="Cambria" w:hAnsi="Cambria"/>
          <w:sz w:val="20"/>
          <w:szCs w:val="20"/>
          <w:lang w:val="en-US"/>
        </w:rPr>
        <w:t xml:space="preserve"> the </w:t>
      </w:r>
      <w:r w:rsidR="54467741" w:rsidRPr="00CC562A">
        <w:rPr>
          <w:rFonts w:ascii="Cambria" w:hAnsi="Cambria"/>
          <w:sz w:val="20"/>
          <w:szCs w:val="20"/>
          <w:lang w:val="en-US"/>
        </w:rPr>
        <w:t>32</w:t>
      </w:r>
      <w:r w:rsidR="008E03CA" w:rsidRPr="00CC562A">
        <w:rPr>
          <w:rFonts w:ascii="Cambria" w:hAnsi="Cambria"/>
          <w:sz w:val="20"/>
          <w:szCs w:val="20"/>
          <w:lang w:val="en-US"/>
        </w:rPr>
        <w:t xml:space="preserve"> </w:t>
      </w:r>
      <w:r w:rsidR="00365543" w:rsidRPr="00CC562A">
        <w:rPr>
          <w:rFonts w:ascii="Cambria" w:hAnsi="Cambria"/>
          <w:sz w:val="20"/>
          <w:szCs w:val="20"/>
          <w:lang w:val="en-US"/>
        </w:rPr>
        <w:t>states.</w:t>
      </w:r>
      <w:r w:rsidR="320E09CA" w:rsidRPr="00CC562A">
        <w:rPr>
          <w:rFonts w:ascii="Cambria" w:hAnsi="Cambria"/>
          <w:sz w:val="20"/>
          <w:szCs w:val="20"/>
          <w:lang w:val="en-US"/>
        </w:rPr>
        <w:t xml:space="preserve"> </w:t>
      </w:r>
      <w:r w:rsidR="00274D55" w:rsidRPr="00CC562A">
        <w:rPr>
          <w:rFonts w:ascii="Cambria" w:hAnsi="Cambria"/>
          <w:sz w:val="20"/>
          <w:lang w:val="en-US"/>
        </w:rPr>
        <w:t xml:space="preserve">In addition, the State reported that it has the “For Your Rights” platform for recording information on girls, boys, and adolescents, for which the </w:t>
      </w:r>
      <w:r w:rsidR="00D3614A" w:rsidRPr="00CC562A">
        <w:rPr>
          <w:rFonts w:ascii="Cambria" w:hAnsi="Cambria"/>
          <w:sz w:val="20"/>
          <w:lang w:val="en-US"/>
        </w:rPr>
        <w:t>Attorney General’s Office for the Protection of Children and Adolescents</w:t>
      </w:r>
      <w:r w:rsidR="00086C08" w:rsidRPr="00CC562A">
        <w:rPr>
          <w:rFonts w:ascii="Cambria" w:hAnsi="Cambria"/>
          <w:sz w:val="20"/>
          <w:lang w:val="en-US"/>
        </w:rPr>
        <w:t xml:space="preserve"> (PFPNNA) </w:t>
      </w:r>
      <w:r w:rsidR="00D3614A" w:rsidRPr="00CC562A">
        <w:rPr>
          <w:rFonts w:ascii="Cambria" w:hAnsi="Cambria"/>
          <w:sz w:val="20"/>
          <w:lang w:val="en-US"/>
        </w:rPr>
        <w:t xml:space="preserve">is </w:t>
      </w:r>
      <w:r w:rsidR="00A92391" w:rsidRPr="00CC562A">
        <w:rPr>
          <w:rFonts w:ascii="Cambria" w:hAnsi="Cambria"/>
          <w:sz w:val="20"/>
          <w:lang w:val="en-US"/>
        </w:rPr>
        <w:t>responsible and</w:t>
      </w:r>
      <w:r w:rsidR="00D3614A" w:rsidRPr="00CC562A">
        <w:rPr>
          <w:rFonts w:ascii="Cambria" w:hAnsi="Cambria"/>
          <w:sz w:val="20"/>
          <w:lang w:val="en-US"/>
        </w:rPr>
        <w:t xml:space="preserve"> indicated that training sessions were conducted with those responsible for operating the system.</w:t>
      </w:r>
      <w:r w:rsidR="00086C08" w:rsidRPr="00CC562A">
        <w:rPr>
          <w:rStyle w:val="FootnoteReference"/>
          <w:rFonts w:ascii="Cambria" w:hAnsi="Cambria"/>
          <w:sz w:val="20"/>
          <w:lang w:val="en-US"/>
        </w:rPr>
        <w:footnoteReference w:id="67"/>
      </w:r>
    </w:p>
    <w:p w14:paraId="71174006" w14:textId="7F5687B0" w:rsidR="00D81150" w:rsidRPr="00CC562A" w:rsidRDefault="008E03C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 reported that the INM’s Directorate of Migrant Protection has the Simplified Migration Management System</w:t>
      </w:r>
      <w:r w:rsidR="69ABAFC2" w:rsidRPr="00CC562A">
        <w:rPr>
          <w:rFonts w:ascii="Cambria" w:hAnsi="Cambria"/>
          <w:sz w:val="20"/>
          <w:szCs w:val="20"/>
          <w:lang w:val="en-US"/>
        </w:rPr>
        <w:t xml:space="preserve"> </w:t>
      </w:r>
      <w:r w:rsidRPr="00CC562A">
        <w:rPr>
          <w:rFonts w:ascii="Cambria" w:hAnsi="Cambria"/>
          <w:sz w:val="20"/>
          <w:szCs w:val="20"/>
          <w:lang w:val="en-US"/>
        </w:rPr>
        <w:t>for concentration and analysis of information on the 22 Migrant Protection Beta Groups. In addition, it submits for publication the data on migrants served by these Beta Groups such as</w:t>
      </w:r>
      <w:r w:rsidR="69ABAFC2" w:rsidRPr="00CC562A">
        <w:rPr>
          <w:rFonts w:ascii="Cambria" w:hAnsi="Cambria"/>
          <w:sz w:val="20"/>
          <w:szCs w:val="20"/>
          <w:lang w:val="en-US"/>
        </w:rPr>
        <w:t xml:space="preserve">: </w:t>
      </w:r>
      <w:r w:rsidRPr="00CC562A">
        <w:rPr>
          <w:rFonts w:ascii="Cambria" w:hAnsi="Cambria"/>
          <w:sz w:val="20"/>
          <w:szCs w:val="20"/>
          <w:lang w:val="en-US"/>
        </w:rPr>
        <w:t>guidance</w:t>
      </w:r>
      <w:r w:rsidR="69ABAFC2" w:rsidRPr="00CC562A">
        <w:rPr>
          <w:rFonts w:ascii="Cambria" w:hAnsi="Cambria"/>
          <w:sz w:val="20"/>
          <w:szCs w:val="20"/>
          <w:lang w:val="en-US"/>
        </w:rPr>
        <w:t xml:space="preserve"> (informa</w:t>
      </w:r>
      <w:r w:rsidRPr="00CC562A">
        <w:rPr>
          <w:rFonts w:ascii="Cambria" w:hAnsi="Cambria"/>
          <w:sz w:val="20"/>
          <w:szCs w:val="20"/>
          <w:lang w:val="en-US"/>
        </w:rPr>
        <w:t>tion for migrants on their rights</w:t>
      </w:r>
      <w:r w:rsidR="69ABAFC2" w:rsidRPr="00CC562A">
        <w:rPr>
          <w:rFonts w:ascii="Cambria" w:hAnsi="Cambria"/>
          <w:sz w:val="20"/>
          <w:szCs w:val="20"/>
          <w:lang w:val="en-US"/>
        </w:rPr>
        <w:t xml:space="preserve">), </w:t>
      </w:r>
      <w:r w:rsidRPr="00CC562A">
        <w:rPr>
          <w:rFonts w:ascii="Cambria" w:hAnsi="Cambria"/>
          <w:sz w:val="20"/>
          <w:szCs w:val="20"/>
          <w:lang w:val="en-US"/>
        </w:rPr>
        <w:t>social assistance, first aid, migrants lost and located, repatriated persons served, legal assistance, rescues, coordination with agencies and institutions</w:t>
      </w:r>
      <w:r w:rsidR="003759C0" w:rsidRPr="00CC562A">
        <w:rPr>
          <w:rFonts w:ascii="Cambria" w:hAnsi="Cambria"/>
          <w:sz w:val="20"/>
          <w:szCs w:val="20"/>
          <w:lang w:val="en-US"/>
        </w:rPr>
        <w:t>,</w:t>
      </w:r>
      <w:r w:rsidRPr="00CC562A">
        <w:rPr>
          <w:rFonts w:ascii="Cambria" w:hAnsi="Cambria"/>
          <w:sz w:val="20"/>
          <w:szCs w:val="20"/>
          <w:lang w:val="en-US"/>
        </w:rPr>
        <w:t xml:space="preserve"> and </w:t>
      </w:r>
      <w:r w:rsidR="003759C0" w:rsidRPr="00CC562A">
        <w:rPr>
          <w:rFonts w:ascii="Cambria" w:hAnsi="Cambria"/>
          <w:sz w:val="20"/>
          <w:szCs w:val="20"/>
          <w:lang w:val="en-US"/>
        </w:rPr>
        <w:t>trips</w:t>
      </w:r>
      <w:r w:rsidRPr="00CC562A">
        <w:rPr>
          <w:rFonts w:ascii="Cambria" w:hAnsi="Cambria"/>
          <w:sz w:val="20"/>
          <w:szCs w:val="20"/>
          <w:lang w:val="en-US"/>
        </w:rPr>
        <w:t xml:space="preserve"> made</w:t>
      </w:r>
      <w:r w:rsidR="69ABAFC2" w:rsidRPr="00CC562A">
        <w:rPr>
          <w:rFonts w:ascii="Cambria" w:hAnsi="Cambria"/>
          <w:sz w:val="20"/>
          <w:szCs w:val="20"/>
          <w:lang w:val="en-US"/>
        </w:rPr>
        <w:t>.</w:t>
      </w:r>
    </w:p>
    <w:p w14:paraId="24000BEF" w14:textId="0EA6C0E3" w:rsidR="00D81150" w:rsidRPr="00CC562A" w:rsidRDefault="008E03C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It also established that actions were taken between the</w:t>
      </w:r>
      <w:r w:rsidR="320E09CA" w:rsidRPr="00CC562A">
        <w:rPr>
          <w:rFonts w:ascii="Cambria" w:hAnsi="Cambria"/>
          <w:sz w:val="20"/>
          <w:szCs w:val="20"/>
          <w:lang w:val="en-US"/>
        </w:rPr>
        <w:t xml:space="preserve"> </w:t>
      </w:r>
      <w:r w:rsidR="6D67AAC8" w:rsidRPr="00CC562A">
        <w:rPr>
          <w:rFonts w:ascii="Cambria" w:hAnsi="Cambria"/>
          <w:sz w:val="20"/>
          <w:szCs w:val="20"/>
          <w:lang w:val="en-US"/>
        </w:rPr>
        <w:t>INM</w:t>
      </w:r>
      <w:r w:rsidR="320E09CA" w:rsidRPr="00CC562A">
        <w:rPr>
          <w:rFonts w:ascii="Cambria" w:hAnsi="Cambria"/>
          <w:sz w:val="20"/>
          <w:szCs w:val="20"/>
          <w:lang w:val="en-US"/>
        </w:rPr>
        <w:t xml:space="preserve"> </w:t>
      </w:r>
      <w:r w:rsidRPr="00CC562A">
        <w:rPr>
          <w:rFonts w:ascii="Cambria" w:hAnsi="Cambria"/>
          <w:sz w:val="20"/>
          <w:szCs w:val="20"/>
          <w:lang w:val="en-US"/>
        </w:rPr>
        <w:t>and the National Commission for the Search for Persons</w:t>
      </w:r>
      <w:r w:rsidR="320E09CA" w:rsidRPr="00CC562A">
        <w:rPr>
          <w:rFonts w:ascii="Cambria" w:hAnsi="Cambria"/>
          <w:sz w:val="20"/>
          <w:szCs w:val="20"/>
          <w:lang w:val="en-US"/>
        </w:rPr>
        <w:t xml:space="preserve"> (CNBP) </w:t>
      </w:r>
      <w:r w:rsidRPr="00CC562A">
        <w:rPr>
          <w:rFonts w:ascii="Cambria" w:hAnsi="Cambria"/>
          <w:sz w:val="20"/>
          <w:szCs w:val="20"/>
          <w:lang w:val="en-US"/>
        </w:rPr>
        <w:t xml:space="preserve">to ensure the effectiveness of the search for nationals and foreigners </w:t>
      </w:r>
      <w:r w:rsidR="00C6685D" w:rsidRPr="00CC562A">
        <w:rPr>
          <w:rFonts w:ascii="Cambria" w:hAnsi="Cambria"/>
          <w:sz w:val="20"/>
          <w:szCs w:val="20"/>
          <w:lang w:val="en-US"/>
        </w:rPr>
        <w:t xml:space="preserve">who have disappeared or are </w:t>
      </w:r>
      <w:r w:rsidR="003759C0" w:rsidRPr="00CC562A">
        <w:rPr>
          <w:rFonts w:ascii="Cambria" w:hAnsi="Cambria"/>
          <w:sz w:val="20"/>
          <w:szCs w:val="20"/>
          <w:lang w:val="en-US"/>
        </w:rPr>
        <w:t>missing</w:t>
      </w:r>
      <w:r w:rsidR="00C6685D" w:rsidRPr="00CC562A">
        <w:rPr>
          <w:rFonts w:ascii="Cambria" w:hAnsi="Cambria"/>
          <w:sz w:val="20"/>
          <w:szCs w:val="20"/>
          <w:lang w:val="en-US"/>
        </w:rPr>
        <w:t>, regard</w:t>
      </w:r>
      <w:r w:rsidR="00D82CEF" w:rsidRPr="00CC562A">
        <w:rPr>
          <w:rFonts w:ascii="Cambria" w:hAnsi="Cambria"/>
          <w:sz w:val="20"/>
          <w:szCs w:val="20"/>
          <w:lang w:val="en-US"/>
        </w:rPr>
        <w:t xml:space="preserve">less </w:t>
      </w:r>
      <w:r w:rsidR="00C6685D" w:rsidRPr="00CC562A">
        <w:rPr>
          <w:rFonts w:ascii="Cambria" w:hAnsi="Cambria"/>
          <w:sz w:val="20"/>
          <w:szCs w:val="20"/>
          <w:lang w:val="en-US"/>
        </w:rPr>
        <w:t>of the migration status of foreigners. In addition, within the framework of the powers of the Migration Policy, Registry, and Identity of Persons Unit</w:t>
      </w:r>
      <w:r w:rsidR="320E09CA" w:rsidRPr="00CC562A">
        <w:rPr>
          <w:rFonts w:ascii="Cambria" w:hAnsi="Cambria"/>
          <w:sz w:val="20"/>
          <w:szCs w:val="20"/>
          <w:lang w:val="en-US"/>
        </w:rPr>
        <w:t xml:space="preserve"> (UPMRIP)</w:t>
      </w:r>
      <w:r w:rsidR="003759C0" w:rsidRPr="00CC562A">
        <w:rPr>
          <w:rFonts w:ascii="Cambria" w:hAnsi="Cambria"/>
          <w:sz w:val="20"/>
          <w:szCs w:val="20"/>
          <w:lang w:val="en-US"/>
        </w:rPr>
        <w:t>,</w:t>
      </w:r>
      <w:r w:rsidR="00C6685D" w:rsidRPr="00CC562A">
        <w:rPr>
          <w:rFonts w:ascii="Cambria" w:hAnsi="Cambria"/>
          <w:sz w:val="20"/>
          <w:szCs w:val="20"/>
          <w:lang w:val="en-US"/>
        </w:rPr>
        <w:t xml:space="preserve"> there is a monthly bulletin of statistical data on crimes.</w:t>
      </w:r>
      <w:r w:rsidR="00D81150" w:rsidRPr="00CC562A">
        <w:rPr>
          <w:rStyle w:val="FootnoteReference"/>
          <w:rFonts w:ascii="Cambria" w:hAnsi="Cambria"/>
          <w:sz w:val="20"/>
          <w:szCs w:val="20"/>
          <w:lang w:val="en-US"/>
        </w:rPr>
        <w:footnoteReference w:id="68"/>
      </w:r>
      <w:r w:rsidR="00C6685D" w:rsidRPr="00CC562A">
        <w:rPr>
          <w:rFonts w:ascii="Cambria" w:hAnsi="Cambria"/>
          <w:sz w:val="20"/>
          <w:szCs w:val="20"/>
          <w:lang w:val="en-US"/>
        </w:rPr>
        <w:t xml:space="preserve"> In addition, </w:t>
      </w:r>
      <w:r w:rsidR="320E09CA" w:rsidRPr="00CC562A">
        <w:rPr>
          <w:rFonts w:ascii="Cambria" w:eastAsia="Cambria" w:hAnsi="Cambria" w:cs="Cambria"/>
          <w:sz w:val="20"/>
          <w:szCs w:val="20"/>
          <w:lang w:val="en-US"/>
        </w:rPr>
        <w:t xml:space="preserve"> </w:t>
      </w:r>
      <w:r w:rsidR="00C6685D" w:rsidRPr="00CC562A">
        <w:rPr>
          <w:rFonts w:ascii="Cambria" w:eastAsia="Cambria" w:hAnsi="Cambria" w:cs="Cambria"/>
          <w:sz w:val="20"/>
          <w:szCs w:val="20"/>
          <w:lang w:val="en-US"/>
        </w:rPr>
        <w:t>the monthly statistical bulletin’s section on documentation and condition of stay, table</w:t>
      </w:r>
      <w:r w:rsidR="320E09CA" w:rsidRPr="00CC562A">
        <w:rPr>
          <w:rFonts w:ascii="Cambria" w:hAnsi="Cambria"/>
          <w:sz w:val="20"/>
          <w:szCs w:val="20"/>
          <w:lang w:val="en-US"/>
        </w:rPr>
        <w:t xml:space="preserve"> 2.10.3</w:t>
      </w:r>
      <w:r w:rsidR="00C6685D" w:rsidRPr="00CC562A">
        <w:rPr>
          <w:rFonts w:ascii="Cambria" w:hAnsi="Cambria"/>
          <w:sz w:val="20"/>
          <w:szCs w:val="20"/>
          <w:lang w:val="en-US"/>
        </w:rPr>
        <w:t>,</w:t>
      </w:r>
      <w:r w:rsidR="320E09CA" w:rsidRPr="00CC562A">
        <w:rPr>
          <w:rFonts w:ascii="Cambria" w:hAnsi="Cambria"/>
          <w:sz w:val="20"/>
          <w:szCs w:val="20"/>
          <w:lang w:val="en-US"/>
        </w:rPr>
        <w:t xml:space="preserve"> </w:t>
      </w:r>
      <w:r w:rsidR="00C6685D" w:rsidRPr="00CC562A">
        <w:rPr>
          <w:rFonts w:ascii="Cambria" w:hAnsi="Cambria"/>
          <w:sz w:val="20"/>
          <w:szCs w:val="20"/>
          <w:lang w:val="en-US"/>
        </w:rPr>
        <w:t>Visitor Cards for Humanitarian Reasons</w:t>
      </w:r>
      <w:r w:rsidR="320E09CA" w:rsidRPr="00CC562A">
        <w:rPr>
          <w:rFonts w:ascii="Cambria" w:hAnsi="Cambria"/>
          <w:sz w:val="20"/>
          <w:szCs w:val="20"/>
          <w:lang w:val="en-US"/>
        </w:rPr>
        <w:t xml:space="preserve"> (TVRH) </w:t>
      </w:r>
      <w:r w:rsidR="00C6685D" w:rsidRPr="00CC562A">
        <w:rPr>
          <w:rFonts w:ascii="Cambria" w:hAnsi="Cambria"/>
          <w:sz w:val="20"/>
          <w:szCs w:val="20"/>
          <w:lang w:val="en-US"/>
        </w:rPr>
        <w:t>issued, by continent, native country, gender, and reason for stay, identifies the dat</w:t>
      </w:r>
      <w:r w:rsidR="003759C0" w:rsidRPr="00CC562A">
        <w:rPr>
          <w:rFonts w:ascii="Cambria" w:hAnsi="Cambria"/>
          <w:sz w:val="20"/>
          <w:szCs w:val="20"/>
          <w:lang w:val="en-US"/>
        </w:rPr>
        <w:t>a</w:t>
      </w:r>
      <w:r w:rsidR="00C6685D" w:rsidRPr="00CC562A">
        <w:rPr>
          <w:rFonts w:ascii="Cambria" w:hAnsi="Cambria"/>
          <w:sz w:val="20"/>
          <w:szCs w:val="20"/>
          <w:lang w:val="en-US"/>
        </w:rPr>
        <w:t xml:space="preserve"> for those who were the victims or witnesses of</w:t>
      </w:r>
      <w:r w:rsidR="320E09CA" w:rsidRPr="00CC562A">
        <w:rPr>
          <w:rFonts w:ascii="Cambria" w:hAnsi="Cambria"/>
          <w:sz w:val="20"/>
          <w:szCs w:val="20"/>
          <w:lang w:val="en-US"/>
        </w:rPr>
        <w:t xml:space="preserve"> </w:t>
      </w:r>
      <w:r w:rsidR="00C6685D" w:rsidRPr="00CC562A">
        <w:rPr>
          <w:rFonts w:ascii="Cambria" w:hAnsi="Cambria"/>
          <w:sz w:val="20"/>
          <w:szCs w:val="20"/>
          <w:lang w:val="en-US"/>
        </w:rPr>
        <w:t xml:space="preserve"> crime in Mexico</w:t>
      </w:r>
      <w:r w:rsidR="320E09CA" w:rsidRPr="00CC562A">
        <w:rPr>
          <w:rFonts w:ascii="Cambria" w:hAnsi="Cambria"/>
          <w:sz w:val="20"/>
          <w:szCs w:val="20"/>
          <w:lang w:val="en-US"/>
        </w:rPr>
        <w:t>.</w:t>
      </w:r>
    </w:p>
    <w:p w14:paraId="30D69D14" w14:textId="34640AFE" w:rsidR="00D81150" w:rsidRPr="00CC562A" w:rsidRDefault="00C6685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Regar</w:t>
      </w:r>
      <w:r w:rsidR="00C46466" w:rsidRPr="00CC562A">
        <w:rPr>
          <w:rFonts w:ascii="Cambria" w:eastAsia="Cambria" w:hAnsi="Cambria" w:cs="Cambria"/>
          <w:sz w:val="20"/>
          <w:szCs w:val="20"/>
          <w:lang w:val="en-US"/>
        </w:rPr>
        <w:t>d</w:t>
      </w:r>
      <w:r w:rsidRPr="00CC562A">
        <w:rPr>
          <w:rFonts w:ascii="Cambria" w:eastAsia="Cambria" w:hAnsi="Cambria" w:cs="Cambria"/>
          <w:sz w:val="20"/>
          <w:szCs w:val="20"/>
          <w:lang w:val="en-US"/>
        </w:rPr>
        <w:t>ing</w:t>
      </w:r>
      <w:r w:rsidR="320E09CA" w:rsidRPr="00CC562A">
        <w:rPr>
          <w:rFonts w:ascii="Cambria" w:eastAsia="Cambria" w:hAnsi="Cambria" w:cs="Cambria"/>
          <w:b/>
          <w:bCs/>
          <w:sz w:val="20"/>
          <w:szCs w:val="20"/>
          <w:lang w:val="en-US"/>
        </w:rPr>
        <w:t xml:space="preserve"> LGBT</w:t>
      </w:r>
      <w:r w:rsidRPr="00CC562A">
        <w:rPr>
          <w:rFonts w:ascii="Cambria" w:eastAsia="Cambria" w:hAnsi="Cambria" w:cs="Cambria"/>
          <w:b/>
          <w:bCs/>
          <w:sz w:val="20"/>
          <w:szCs w:val="20"/>
          <w:lang w:val="en-US"/>
        </w:rPr>
        <w:t xml:space="preserve"> persons</w:t>
      </w:r>
      <w:r w:rsidR="320E09CA"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State reported that on June </w:t>
      </w:r>
      <w:r w:rsidR="320E09CA" w:rsidRPr="00CC562A">
        <w:rPr>
          <w:rFonts w:ascii="Cambria" w:hAnsi="Cambria"/>
          <w:sz w:val="20"/>
          <w:szCs w:val="20"/>
          <w:lang w:val="en-US"/>
        </w:rPr>
        <w:t>28</w:t>
      </w:r>
      <w:r w:rsidRPr="00CC562A">
        <w:rPr>
          <w:rFonts w:ascii="Cambria" w:hAnsi="Cambria"/>
          <w:sz w:val="20"/>
          <w:szCs w:val="20"/>
          <w:lang w:val="en-US"/>
        </w:rPr>
        <w:t>,</w:t>
      </w:r>
      <w:r w:rsidR="320E09CA" w:rsidRPr="00CC562A">
        <w:rPr>
          <w:rFonts w:ascii="Cambria" w:hAnsi="Cambria"/>
          <w:sz w:val="20"/>
          <w:szCs w:val="20"/>
          <w:lang w:val="en-US"/>
        </w:rPr>
        <w:t xml:space="preserve"> 2021, </w:t>
      </w:r>
      <w:r w:rsidRPr="00CC562A">
        <w:rPr>
          <w:rFonts w:ascii="Cambria" w:hAnsi="Cambria"/>
          <w:sz w:val="20"/>
          <w:szCs w:val="20"/>
          <w:lang w:val="en-US"/>
        </w:rPr>
        <w:t xml:space="preserve">in collaboration with the National </w:t>
      </w:r>
      <w:r w:rsidR="009A1439" w:rsidRPr="00CC562A">
        <w:rPr>
          <w:rFonts w:ascii="Cambria" w:hAnsi="Cambria"/>
          <w:sz w:val="20"/>
          <w:szCs w:val="20"/>
          <w:lang w:val="en-US"/>
        </w:rPr>
        <w:t>Institute of Statistics and Geography</w:t>
      </w:r>
      <w:r w:rsidR="320E09CA" w:rsidRPr="00CC562A">
        <w:rPr>
          <w:rFonts w:ascii="Cambria" w:hAnsi="Cambria"/>
          <w:sz w:val="20"/>
          <w:szCs w:val="20"/>
          <w:lang w:val="en-US"/>
        </w:rPr>
        <w:t xml:space="preserve"> (INEGI), </w:t>
      </w:r>
      <w:r w:rsidR="009A1439" w:rsidRPr="00CC562A">
        <w:rPr>
          <w:rFonts w:ascii="Cambria" w:hAnsi="Cambria"/>
          <w:sz w:val="20"/>
          <w:szCs w:val="20"/>
          <w:lang w:val="en-US"/>
        </w:rPr>
        <w:t xml:space="preserve">the </w:t>
      </w:r>
      <w:r w:rsidR="320E09CA" w:rsidRPr="00CC562A">
        <w:rPr>
          <w:rFonts w:ascii="Cambria" w:hAnsi="Cambria"/>
          <w:sz w:val="20"/>
          <w:szCs w:val="20"/>
          <w:lang w:val="en-US"/>
        </w:rPr>
        <w:t>CONAPRED conclu</w:t>
      </w:r>
      <w:r w:rsidR="009A1439" w:rsidRPr="00CC562A">
        <w:rPr>
          <w:rFonts w:ascii="Cambria" w:hAnsi="Cambria"/>
          <w:sz w:val="20"/>
          <w:szCs w:val="20"/>
          <w:lang w:val="en-US"/>
        </w:rPr>
        <w:t>ded the conceptual and operational analyses of the field test of the National Survey on Sexual Diversity and Gender Identity</w:t>
      </w:r>
      <w:r w:rsidR="320E09CA" w:rsidRPr="00CC562A">
        <w:rPr>
          <w:rFonts w:ascii="Cambria" w:hAnsi="Cambria"/>
          <w:sz w:val="20"/>
          <w:szCs w:val="20"/>
          <w:lang w:val="en-US"/>
        </w:rPr>
        <w:t xml:space="preserve"> (ENDISEG)</w:t>
      </w:r>
      <w:r w:rsidR="00C30659" w:rsidRPr="00CC562A">
        <w:rPr>
          <w:rFonts w:ascii="Cambria" w:hAnsi="Cambria"/>
          <w:sz w:val="20"/>
          <w:szCs w:val="20"/>
          <w:lang w:val="en-US"/>
        </w:rPr>
        <w:t>,</w:t>
      </w:r>
      <w:r w:rsidR="320E09CA" w:rsidRPr="00CC562A">
        <w:rPr>
          <w:rFonts w:ascii="Cambria" w:hAnsi="Cambria"/>
          <w:sz w:val="20"/>
          <w:szCs w:val="20"/>
          <w:lang w:val="en-US"/>
        </w:rPr>
        <w:t xml:space="preserve"> </w:t>
      </w:r>
      <w:r w:rsidR="009A1439" w:rsidRPr="00CC562A">
        <w:rPr>
          <w:rFonts w:ascii="Cambria" w:hAnsi="Cambria"/>
          <w:sz w:val="20"/>
          <w:szCs w:val="20"/>
          <w:lang w:val="en-US"/>
        </w:rPr>
        <w:t>which were presented in a public event held by the Ministry of the Interior</w:t>
      </w:r>
      <w:r w:rsidR="320E09CA" w:rsidRPr="00CC562A">
        <w:rPr>
          <w:rFonts w:ascii="Cambria" w:hAnsi="Cambria"/>
          <w:sz w:val="20"/>
          <w:szCs w:val="20"/>
          <w:lang w:val="en-US"/>
        </w:rPr>
        <w:t xml:space="preserve"> (SEGOB). Dur</w:t>
      </w:r>
      <w:r w:rsidR="009A1439" w:rsidRPr="00CC562A">
        <w:rPr>
          <w:rFonts w:ascii="Cambria" w:hAnsi="Cambria"/>
          <w:sz w:val="20"/>
          <w:szCs w:val="20"/>
          <w:lang w:val="en-US"/>
        </w:rPr>
        <w:t xml:space="preserve">ing the </w:t>
      </w:r>
      <w:r w:rsidR="005160F8" w:rsidRPr="00CC562A">
        <w:rPr>
          <w:rFonts w:ascii="Cambria" w:hAnsi="Cambria"/>
          <w:sz w:val="20"/>
          <w:szCs w:val="20"/>
          <w:lang w:val="en-US"/>
        </w:rPr>
        <w:t>six-month</w:t>
      </w:r>
      <w:r w:rsidR="009A1439" w:rsidRPr="00CC562A">
        <w:rPr>
          <w:rFonts w:ascii="Cambria" w:hAnsi="Cambria"/>
          <w:sz w:val="20"/>
          <w:szCs w:val="20"/>
          <w:lang w:val="en-US"/>
        </w:rPr>
        <w:t xml:space="preserve"> period (January-June</w:t>
      </w:r>
      <w:r w:rsidR="320E09CA" w:rsidRPr="00CC562A">
        <w:rPr>
          <w:rFonts w:ascii="Cambria" w:hAnsi="Cambria"/>
          <w:sz w:val="20"/>
          <w:szCs w:val="20"/>
          <w:lang w:val="en-US"/>
        </w:rPr>
        <w:t xml:space="preserve"> 2021) </w:t>
      </w:r>
      <w:r w:rsidR="009A1439" w:rsidRPr="00CC562A">
        <w:rPr>
          <w:rFonts w:ascii="Cambria" w:hAnsi="Cambria"/>
          <w:sz w:val="20"/>
          <w:szCs w:val="20"/>
          <w:lang w:val="en-US"/>
        </w:rPr>
        <w:t xml:space="preserve">work was also carried out to revise the questionnaire for taking the survey. It indicated that this statistical exercise </w:t>
      </w:r>
      <w:r w:rsidR="005160F8" w:rsidRPr="00CC562A">
        <w:rPr>
          <w:rFonts w:ascii="Cambria" w:hAnsi="Cambria"/>
          <w:sz w:val="20"/>
          <w:szCs w:val="20"/>
          <w:lang w:val="en-US"/>
        </w:rPr>
        <w:t>would</w:t>
      </w:r>
      <w:r w:rsidR="009A1439" w:rsidRPr="00CC562A">
        <w:rPr>
          <w:rFonts w:ascii="Cambria" w:hAnsi="Cambria"/>
          <w:sz w:val="20"/>
          <w:szCs w:val="20"/>
          <w:lang w:val="en-US"/>
        </w:rPr>
        <w:t xml:space="preserve"> make it possible for the first time to have representative information on the population with non-normative sexual orientations and gender identities in the country, as well as the discriminatory conditions they face. It is also a pioneer at the global level in the collection of information on the subject using probabilistic household surveys</w:t>
      </w:r>
      <w:r w:rsidR="320E09CA" w:rsidRPr="00CC562A">
        <w:rPr>
          <w:rFonts w:ascii="Cambria" w:hAnsi="Cambria"/>
          <w:sz w:val="20"/>
          <w:szCs w:val="20"/>
          <w:lang w:val="en-US"/>
        </w:rPr>
        <w:t>.</w:t>
      </w:r>
    </w:p>
    <w:p w14:paraId="3454C628" w14:textId="5BF7D7F9" w:rsidR="00D81150" w:rsidRPr="00CC562A" w:rsidRDefault="0098426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INEGI’s national survey was conducted between August </w:t>
      </w:r>
      <w:r w:rsidR="320E09CA" w:rsidRPr="00CC562A">
        <w:rPr>
          <w:rFonts w:ascii="Cambria" w:hAnsi="Cambria"/>
          <w:sz w:val="20"/>
          <w:szCs w:val="20"/>
          <w:lang w:val="en-US"/>
        </w:rPr>
        <w:t xml:space="preserve">2021 </w:t>
      </w:r>
      <w:r w:rsidRPr="00CC562A">
        <w:rPr>
          <w:rFonts w:ascii="Cambria" w:hAnsi="Cambria"/>
          <w:sz w:val="20"/>
          <w:szCs w:val="20"/>
          <w:lang w:val="en-US"/>
        </w:rPr>
        <w:t xml:space="preserve">and January 16, </w:t>
      </w:r>
      <w:r w:rsidR="320E09CA" w:rsidRPr="00CC562A">
        <w:rPr>
          <w:rFonts w:ascii="Cambria" w:hAnsi="Cambria"/>
          <w:sz w:val="20"/>
          <w:szCs w:val="20"/>
          <w:lang w:val="en-US"/>
        </w:rPr>
        <w:t xml:space="preserve">2022. </w:t>
      </w:r>
      <w:r w:rsidRPr="00CC562A">
        <w:rPr>
          <w:rFonts w:ascii="Cambria" w:hAnsi="Cambria"/>
          <w:sz w:val="20"/>
          <w:szCs w:val="20"/>
          <w:lang w:val="en-US"/>
        </w:rPr>
        <w:t>In addition, the Web ENDISEG was conducted between February 21 and April 12, with the participation of</w:t>
      </w:r>
      <w:r w:rsidR="320E09CA" w:rsidRPr="00CC562A">
        <w:rPr>
          <w:rFonts w:ascii="Cambria" w:hAnsi="Cambria"/>
          <w:sz w:val="20"/>
          <w:szCs w:val="20"/>
          <w:lang w:val="en-US"/>
        </w:rPr>
        <w:t xml:space="preserve"> 14</w:t>
      </w:r>
      <w:r w:rsidRPr="00CC562A">
        <w:rPr>
          <w:rFonts w:ascii="Cambria" w:hAnsi="Cambria"/>
          <w:sz w:val="20"/>
          <w:szCs w:val="20"/>
          <w:lang w:val="en-US"/>
        </w:rPr>
        <w:t>,</w:t>
      </w:r>
      <w:r w:rsidR="320E09CA" w:rsidRPr="00CC562A">
        <w:rPr>
          <w:rFonts w:ascii="Cambria" w:hAnsi="Cambria"/>
          <w:sz w:val="20"/>
          <w:szCs w:val="20"/>
          <w:lang w:val="en-US"/>
        </w:rPr>
        <w:t xml:space="preserve">364 </w:t>
      </w:r>
      <w:r w:rsidRPr="00CC562A">
        <w:rPr>
          <w:rFonts w:ascii="Cambria" w:hAnsi="Cambria"/>
          <w:sz w:val="20"/>
          <w:szCs w:val="20"/>
          <w:lang w:val="en-US"/>
        </w:rPr>
        <w:t>persons aged 15</w:t>
      </w:r>
      <w:r w:rsidR="320E09CA" w:rsidRPr="00CC562A">
        <w:rPr>
          <w:rFonts w:ascii="Cambria" w:hAnsi="Cambria"/>
          <w:sz w:val="20"/>
          <w:szCs w:val="20"/>
          <w:lang w:val="en-US"/>
        </w:rPr>
        <w:t>.</w:t>
      </w:r>
      <w:r w:rsidR="320E09CA"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They indicated that with the </w:t>
      </w:r>
      <w:r w:rsidR="320E09CA" w:rsidRPr="00CC562A">
        <w:rPr>
          <w:rFonts w:ascii="Cambria" w:hAnsi="Cambria"/>
          <w:sz w:val="20"/>
          <w:szCs w:val="20"/>
          <w:lang w:val="en-US"/>
        </w:rPr>
        <w:t>ENDISEG 2021</w:t>
      </w:r>
      <w:r w:rsidRPr="00CC562A">
        <w:rPr>
          <w:rFonts w:ascii="Cambria" w:hAnsi="Cambria"/>
          <w:sz w:val="20"/>
          <w:szCs w:val="20"/>
          <w:lang w:val="en-US"/>
        </w:rPr>
        <w:t xml:space="preserve"> project</w:t>
      </w:r>
      <w:r w:rsidR="00D81150" w:rsidRPr="00CC562A">
        <w:rPr>
          <w:rStyle w:val="FootnoteReference"/>
          <w:rFonts w:ascii="Cambria" w:hAnsi="Cambria"/>
          <w:sz w:val="20"/>
          <w:szCs w:val="20"/>
          <w:lang w:val="en-US"/>
        </w:rPr>
        <w:footnoteReference w:id="69"/>
      </w:r>
      <w:r w:rsidR="320E09CA" w:rsidRPr="00CC562A">
        <w:rPr>
          <w:rFonts w:ascii="Cambria" w:hAnsi="Cambria"/>
          <w:sz w:val="20"/>
          <w:szCs w:val="20"/>
          <w:lang w:val="en-US"/>
        </w:rPr>
        <w:t xml:space="preserve"> </w:t>
      </w:r>
      <w:r w:rsidRPr="00CC562A">
        <w:rPr>
          <w:rFonts w:ascii="Cambria" w:hAnsi="Cambria"/>
          <w:sz w:val="20"/>
          <w:szCs w:val="20"/>
          <w:lang w:val="en-US"/>
        </w:rPr>
        <w:t>the Mexican State</w:t>
      </w:r>
      <w:r w:rsidR="00D82CEF" w:rsidRPr="00CC562A">
        <w:rPr>
          <w:rFonts w:ascii="Cambria" w:hAnsi="Cambria"/>
          <w:sz w:val="20"/>
          <w:szCs w:val="20"/>
          <w:lang w:val="en-US"/>
        </w:rPr>
        <w:t xml:space="preserve"> is </w:t>
      </w:r>
      <w:r w:rsidRPr="00CC562A">
        <w:rPr>
          <w:rFonts w:ascii="Cambria" w:hAnsi="Cambria"/>
          <w:sz w:val="20"/>
          <w:szCs w:val="20"/>
          <w:lang w:val="en-US"/>
        </w:rPr>
        <w:t xml:space="preserve">in the international vanguard in the design and implementation of a specific statistical instrument for identifying the </w:t>
      </w:r>
      <w:r w:rsidR="320E09CA" w:rsidRPr="00CC562A">
        <w:rPr>
          <w:rFonts w:ascii="Cambria" w:hAnsi="Cambria"/>
          <w:sz w:val="20"/>
          <w:szCs w:val="20"/>
          <w:lang w:val="en-US"/>
        </w:rPr>
        <w:t xml:space="preserve">LGBTI </w:t>
      </w:r>
      <w:r w:rsidRPr="00CC562A">
        <w:rPr>
          <w:rFonts w:ascii="Cambria" w:hAnsi="Cambria"/>
          <w:sz w:val="20"/>
          <w:szCs w:val="20"/>
          <w:lang w:val="en-US"/>
        </w:rPr>
        <w:t>population in the country</w:t>
      </w:r>
      <w:r w:rsidR="320E09CA" w:rsidRPr="00CC562A">
        <w:rPr>
          <w:rFonts w:ascii="Cambria" w:hAnsi="Cambria"/>
          <w:sz w:val="20"/>
          <w:szCs w:val="20"/>
          <w:lang w:val="en-US"/>
        </w:rPr>
        <w:t>.</w:t>
      </w:r>
    </w:p>
    <w:p w14:paraId="5A0EA3B0" w14:textId="60B52B7A" w:rsidR="00563D8B" w:rsidRPr="00CC562A" w:rsidRDefault="0098426F" w:rsidP="00001918">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hAnsi="Cambria"/>
          <w:sz w:val="20"/>
          <w:szCs w:val="20"/>
          <w:lang w:val="en-US"/>
        </w:rPr>
        <w:t>With regard to</w:t>
      </w:r>
      <w:proofErr w:type="gramEnd"/>
      <w:r w:rsidR="320E09CA" w:rsidRPr="00CC562A">
        <w:rPr>
          <w:rFonts w:ascii="Cambria" w:hAnsi="Cambria"/>
          <w:b/>
          <w:bCs/>
          <w:sz w:val="20"/>
          <w:szCs w:val="20"/>
          <w:lang w:val="en-US"/>
        </w:rPr>
        <w:t xml:space="preserve"> ind</w:t>
      </w:r>
      <w:r w:rsidRPr="00CC562A">
        <w:rPr>
          <w:rFonts w:ascii="Cambria" w:hAnsi="Cambria"/>
          <w:b/>
          <w:bCs/>
          <w:sz w:val="20"/>
          <w:szCs w:val="20"/>
          <w:lang w:val="en-US"/>
        </w:rPr>
        <w:t>igenous and afro-descendant persons</w:t>
      </w:r>
      <w:r w:rsidR="320E09CA" w:rsidRPr="00CC562A">
        <w:rPr>
          <w:rFonts w:ascii="Cambria" w:hAnsi="Cambria"/>
          <w:sz w:val="20"/>
          <w:szCs w:val="20"/>
          <w:lang w:val="en-US"/>
        </w:rPr>
        <w:t xml:space="preserve">, </w:t>
      </w:r>
      <w:r w:rsidRPr="00CC562A">
        <w:rPr>
          <w:rFonts w:ascii="Cambria" w:hAnsi="Cambria"/>
          <w:sz w:val="20"/>
          <w:szCs w:val="20"/>
          <w:lang w:val="en-US"/>
        </w:rPr>
        <w:t>the State indicated that it is currently in the process of analyzing the 2022 National Survey on Discrimination</w:t>
      </w:r>
      <w:r w:rsidR="320E09CA" w:rsidRPr="00CC562A">
        <w:rPr>
          <w:rFonts w:ascii="Cambria" w:hAnsi="Cambria"/>
          <w:sz w:val="20"/>
          <w:szCs w:val="20"/>
          <w:lang w:val="en-US"/>
        </w:rPr>
        <w:t xml:space="preserve"> (ENADIS), </w:t>
      </w:r>
      <w:r w:rsidRPr="00CC562A">
        <w:rPr>
          <w:rFonts w:ascii="Cambria" w:hAnsi="Cambria"/>
          <w:sz w:val="20"/>
          <w:szCs w:val="20"/>
          <w:lang w:val="en-US"/>
        </w:rPr>
        <w:t xml:space="preserve">the results of which will be published during the first half of </w:t>
      </w:r>
      <w:r w:rsidR="320E09CA" w:rsidRPr="00CC562A">
        <w:rPr>
          <w:rFonts w:ascii="Cambria" w:hAnsi="Cambria"/>
          <w:sz w:val="20"/>
          <w:szCs w:val="20"/>
          <w:lang w:val="en-US"/>
        </w:rPr>
        <w:t xml:space="preserve">2023. </w:t>
      </w:r>
      <w:r w:rsidRPr="00CC562A">
        <w:rPr>
          <w:rFonts w:ascii="Cambria" w:hAnsi="Cambria"/>
          <w:sz w:val="20"/>
          <w:szCs w:val="20"/>
          <w:lang w:val="en-US"/>
        </w:rPr>
        <w:t xml:space="preserve">The new edition of the </w:t>
      </w:r>
      <w:r w:rsidR="320E09CA" w:rsidRPr="00CC562A">
        <w:rPr>
          <w:rFonts w:ascii="Cambria" w:hAnsi="Cambria"/>
          <w:sz w:val="20"/>
          <w:szCs w:val="20"/>
          <w:lang w:val="en-US"/>
        </w:rPr>
        <w:t xml:space="preserve">ENADIS </w:t>
      </w:r>
      <w:r w:rsidRPr="00CC562A">
        <w:rPr>
          <w:rFonts w:ascii="Cambria" w:hAnsi="Cambria"/>
          <w:sz w:val="20"/>
          <w:szCs w:val="20"/>
          <w:lang w:val="en-US"/>
        </w:rPr>
        <w:t>will make it possible to update the information on racist expressions and practices, as well as their effects on the violation of rights. The State also reported programmatic and budgetary information on the implementation of projects promoting the rights of indigenous peoples and Afro-Mexican people</w:t>
      </w:r>
      <w:r w:rsidR="00D3614A" w:rsidRPr="00CC562A">
        <w:rPr>
          <w:rFonts w:ascii="Cambria" w:hAnsi="Cambria"/>
          <w:sz w:val="20"/>
          <w:szCs w:val="20"/>
          <w:lang w:val="en-US"/>
        </w:rPr>
        <w:t>.</w:t>
      </w:r>
      <w:r w:rsidR="00086C08" w:rsidRPr="00CC562A">
        <w:rPr>
          <w:rStyle w:val="FootnoteReference"/>
          <w:rFonts w:ascii="Cambria" w:hAnsi="Cambria"/>
          <w:sz w:val="20"/>
          <w:lang w:val="es-CO"/>
        </w:rPr>
        <w:footnoteReference w:id="70"/>
      </w:r>
      <w:r w:rsidR="00D3614A" w:rsidRPr="00CC562A">
        <w:rPr>
          <w:rFonts w:ascii="Cambria" w:hAnsi="Cambria"/>
          <w:sz w:val="20"/>
          <w:lang w:val="en-US"/>
        </w:rPr>
        <w:t xml:space="preserve"> In addition, the State pointed out that the</w:t>
      </w:r>
      <w:r w:rsidR="007225A1" w:rsidRPr="00CC562A">
        <w:rPr>
          <w:rFonts w:ascii="Cambria" w:hAnsi="Cambria"/>
          <w:sz w:val="20"/>
          <w:lang w:val="en-US"/>
        </w:rPr>
        <w:t xml:space="preserve"> National Institute of Indigenous Persons (</w:t>
      </w:r>
      <w:r w:rsidR="00086C08" w:rsidRPr="00CC562A">
        <w:rPr>
          <w:rFonts w:ascii="Cambria" w:hAnsi="Cambria"/>
          <w:sz w:val="20"/>
          <w:szCs w:val="20"/>
          <w:lang w:val="en-US"/>
        </w:rPr>
        <w:t>INPI</w:t>
      </w:r>
      <w:r w:rsidR="007225A1" w:rsidRPr="00CC562A">
        <w:rPr>
          <w:rFonts w:ascii="Cambria" w:hAnsi="Cambria"/>
          <w:sz w:val="20"/>
          <w:szCs w:val="20"/>
          <w:lang w:val="en-US"/>
        </w:rPr>
        <w:t>) reports on the development of participatory diagnostics in which information is compiled regarding the structural violence endured by indigenous peoples, the purpose being to provide comprehensive care.</w:t>
      </w:r>
      <w:r w:rsidR="00086C08" w:rsidRPr="00CC562A">
        <w:rPr>
          <w:rStyle w:val="FootnoteReference"/>
          <w:rFonts w:ascii="Cambria" w:hAnsi="Cambria"/>
          <w:sz w:val="20"/>
          <w:szCs w:val="20"/>
          <w:lang w:val="en-US"/>
        </w:rPr>
        <w:footnoteReference w:id="71"/>
      </w:r>
    </w:p>
    <w:p w14:paraId="3257A00D" w14:textId="2AD58877" w:rsidR="00D81150" w:rsidRPr="00CC562A" w:rsidRDefault="320E09C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Re</w:t>
      </w:r>
      <w:r w:rsidR="00D04E57" w:rsidRPr="00CC562A">
        <w:rPr>
          <w:rFonts w:ascii="Cambria" w:hAnsi="Cambria"/>
          <w:sz w:val="20"/>
          <w:szCs w:val="20"/>
          <w:lang w:val="en-US"/>
        </w:rPr>
        <w:t xml:space="preserve">garding </w:t>
      </w:r>
      <w:r w:rsidR="00D04E57" w:rsidRPr="00CC562A">
        <w:rPr>
          <w:rFonts w:ascii="Cambria" w:hAnsi="Cambria"/>
          <w:b/>
          <w:bCs/>
          <w:sz w:val="20"/>
          <w:szCs w:val="20"/>
          <w:lang w:val="en-US"/>
        </w:rPr>
        <w:t>human rights defenders and journalists</w:t>
      </w:r>
      <w:r w:rsidRPr="00CC562A">
        <w:rPr>
          <w:rFonts w:ascii="Cambria" w:hAnsi="Cambria"/>
          <w:sz w:val="20"/>
          <w:szCs w:val="20"/>
          <w:lang w:val="en-US"/>
        </w:rPr>
        <w:t xml:space="preserve">, </w:t>
      </w:r>
      <w:r w:rsidR="00D04E57" w:rsidRPr="00CC562A">
        <w:rPr>
          <w:rFonts w:ascii="Cambria" w:hAnsi="Cambria"/>
          <w:sz w:val="20"/>
          <w:szCs w:val="20"/>
          <w:lang w:val="en-US"/>
        </w:rPr>
        <w:t>the State reported that through the Mechanism for the Protection of Human Rights Defenders and Journalists it has information on persons who have been subject to an assault, identifying the location of the assault, the generic gender identity, type of assault, and profile of the person assaulted. In addition, it indicated that by monitoring open sources it develops an annual report recording the incidents of assaults on human rights defenders and journalists. Distinctions are made based on the type of victim, type of assault, attackers, and georeferencing of the incidents. Along with other tools, it is a</w:t>
      </w:r>
      <w:r w:rsidR="00C30659" w:rsidRPr="00CC562A">
        <w:rPr>
          <w:rFonts w:ascii="Cambria" w:hAnsi="Cambria"/>
          <w:sz w:val="20"/>
          <w:szCs w:val="20"/>
          <w:lang w:val="en-US"/>
        </w:rPr>
        <w:t>n</w:t>
      </w:r>
      <w:r w:rsidR="00D04E57" w:rsidRPr="00CC562A">
        <w:rPr>
          <w:rFonts w:ascii="Cambria" w:hAnsi="Cambria"/>
          <w:sz w:val="20"/>
          <w:szCs w:val="20"/>
          <w:lang w:val="en-US"/>
        </w:rPr>
        <w:t xml:space="preserve"> analytical tool for launching strategic actions in specific locations</w:t>
      </w:r>
      <w:r w:rsidRPr="00CC562A">
        <w:rPr>
          <w:rFonts w:ascii="Cambria" w:hAnsi="Cambria"/>
          <w:sz w:val="20"/>
          <w:szCs w:val="20"/>
          <w:lang w:val="en-US"/>
        </w:rPr>
        <w:t>.</w:t>
      </w:r>
    </w:p>
    <w:p w14:paraId="66A3D302" w14:textId="17A0DC0B" w:rsidR="00D81150" w:rsidRPr="00CC562A" w:rsidRDefault="00D04E5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With respect to </w:t>
      </w:r>
      <w:r w:rsidR="320E09CA" w:rsidRPr="00CC562A">
        <w:rPr>
          <w:rFonts w:ascii="Cambria" w:hAnsi="Cambria"/>
          <w:b/>
          <w:bCs/>
          <w:sz w:val="20"/>
          <w:szCs w:val="20"/>
          <w:lang w:val="en-US"/>
        </w:rPr>
        <w:t>person</w:t>
      </w:r>
      <w:r w:rsidRPr="00CC562A">
        <w:rPr>
          <w:rFonts w:ascii="Cambria" w:hAnsi="Cambria"/>
          <w:b/>
          <w:bCs/>
          <w:sz w:val="20"/>
          <w:szCs w:val="20"/>
          <w:lang w:val="en-US"/>
        </w:rPr>
        <w:t>s deprived of liberty</w:t>
      </w:r>
      <w:r w:rsidR="320E09CA" w:rsidRPr="00CC562A">
        <w:rPr>
          <w:rFonts w:ascii="Cambria" w:hAnsi="Cambria"/>
          <w:sz w:val="20"/>
          <w:szCs w:val="20"/>
          <w:lang w:val="en-US"/>
        </w:rPr>
        <w:t xml:space="preserve">, </w:t>
      </w:r>
      <w:r w:rsidRPr="00CC562A">
        <w:rPr>
          <w:rFonts w:ascii="Cambria" w:hAnsi="Cambria"/>
          <w:sz w:val="20"/>
          <w:szCs w:val="20"/>
          <w:lang w:val="en-US"/>
        </w:rPr>
        <w:t xml:space="preserve">the State reported that in order to comply with the legal mandate contained in Article </w:t>
      </w:r>
      <w:r w:rsidR="320E09CA" w:rsidRPr="00CC562A">
        <w:rPr>
          <w:rFonts w:ascii="Cambria" w:hAnsi="Cambria"/>
          <w:sz w:val="20"/>
          <w:szCs w:val="20"/>
          <w:lang w:val="en-US"/>
        </w:rPr>
        <w:t xml:space="preserve">29 </w:t>
      </w:r>
      <w:r w:rsidRPr="00CC562A">
        <w:rPr>
          <w:rFonts w:ascii="Cambria" w:hAnsi="Cambria"/>
          <w:sz w:val="20"/>
          <w:szCs w:val="20"/>
          <w:lang w:val="en-US"/>
        </w:rPr>
        <w:t xml:space="preserve">of the National </w:t>
      </w:r>
      <w:r w:rsidR="003764B6" w:rsidRPr="00CC562A">
        <w:rPr>
          <w:rFonts w:ascii="Cambria" w:hAnsi="Cambria"/>
          <w:sz w:val="20"/>
          <w:szCs w:val="20"/>
          <w:lang w:val="en-US"/>
        </w:rPr>
        <w:t>Criminal Enforcement Law, the National Institute of Statistics</w:t>
      </w:r>
      <w:r w:rsidR="00C30659" w:rsidRPr="00CC562A">
        <w:rPr>
          <w:rFonts w:ascii="Cambria" w:hAnsi="Cambria"/>
          <w:sz w:val="20"/>
          <w:szCs w:val="20"/>
          <w:lang w:val="en-US"/>
        </w:rPr>
        <w:t xml:space="preserve"> </w:t>
      </w:r>
      <w:r w:rsidR="003764B6" w:rsidRPr="00CC562A">
        <w:rPr>
          <w:rFonts w:ascii="Cambria" w:hAnsi="Cambria"/>
          <w:sz w:val="20"/>
          <w:szCs w:val="20"/>
          <w:lang w:val="en-US"/>
        </w:rPr>
        <w:t>and Geograph</w:t>
      </w:r>
      <w:r w:rsidR="00C30659" w:rsidRPr="00CC562A">
        <w:rPr>
          <w:rFonts w:ascii="Cambria" w:hAnsi="Cambria"/>
          <w:sz w:val="20"/>
          <w:szCs w:val="20"/>
          <w:lang w:val="en-US"/>
        </w:rPr>
        <w:t>y</w:t>
      </w:r>
      <w:r w:rsidR="320E09CA" w:rsidRPr="00CC562A">
        <w:rPr>
          <w:rFonts w:ascii="Cambria" w:hAnsi="Cambria"/>
          <w:sz w:val="20"/>
          <w:szCs w:val="20"/>
          <w:lang w:val="en-US"/>
        </w:rPr>
        <w:t xml:space="preserve"> (INEGI) </w:t>
      </w:r>
      <w:r w:rsidR="003764B6" w:rsidRPr="00CC562A">
        <w:rPr>
          <w:rFonts w:ascii="Cambria" w:hAnsi="Cambria"/>
          <w:sz w:val="20"/>
          <w:szCs w:val="20"/>
          <w:lang w:val="en-US"/>
        </w:rPr>
        <w:t>conducted the 2021 National Survey of the Population Deprived of Liberty</w:t>
      </w:r>
      <w:r w:rsidR="320E09CA" w:rsidRPr="00CC562A">
        <w:rPr>
          <w:rFonts w:ascii="Cambria" w:hAnsi="Cambria"/>
          <w:sz w:val="20"/>
          <w:szCs w:val="20"/>
          <w:lang w:val="en-US"/>
        </w:rPr>
        <w:t xml:space="preserve"> (ENPOL) </w:t>
      </w:r>
      <w:r w:rsidR="00C30659" w:rsidRPr="00CC562A">
        <w:rPr>
          <w:rFonts w:ascii="Cambria" w:hAnsi="Cambria"/>
          <w:sz w:val="20"/>
          <w:szCs w:val="20"/>
          <w:lang w:val="en-US"/>
        </w:rPr>
        <w:t>in order to produce</w:t>
      </w:r>
      <w:r w:rsidR="003764B6" w:rsidRPr="00CC562A">
        <w:rPr>
          <w:rFonts w:ascii="Cambria" w:hAnsi="Cambria"/>
          <w:sz w:val="20"/>
          <w:szCs w:val="20"/>
          <w:lang w:val="en-US"/>
        </w:rPr>
        <w:t xml:space="preserve"> relevant statistical information on the prosecution and incarceration conditions of the population aged 18 or more who have been legally deprived of their liberty in penitentiaries for the alleged commission of a crime, their demographic and socio-economic profile, the crimes for which they were </w:t>
      </w:r>
      <w:r w:rsidR="00C30659" w:rsidRPr="00CC562A">
        <w:rPr>
          <w:rFonts w:ascii="Cambria" w:hAnsi="Cambria"/>
          <w:sz w:val="20"/>
          <w:szCs w:val="20"/>
          <w:lang w:val="en-US"/>
        </w:rPr>
        <w:t>tried</w:t>
      </w:r>
      <w:r w:rsidR="003764B6" w:rsidRPr="00CC562A">
        <w:rPr>
          <w:rFonts w:ascii="Cambria" w:hAnsi="Cambria"/>
          <w:sz w:val="20"/>
          <w:szCs w:val="20"/>
          <w:lang w:val="en-US"/>
        </w:rPr>
        <w:t xml:space="preserve"> and convicted, among other characteristics</w:t>
      </w:r>
      <w:r w:rsidR="320E09CA" w:rsidRPr="00CC562A">
        <w:rPr>
          <w:rFonts w:ascii="Cambria" w:hAnsi="Cambria"/>
          <w:sz w:val="20"/>
          <w:szCs w:val="20"/>
          <w:lang w:val="en-US"/>
        </w:rPr>
        <w:t>.</w:t>
      </w:r>
      <w:r w:rsidR="320E09CA" w:rsidRPr="00CC562A">
        <w:rPr>
          <w:rFonts w:ascii="Cambria" w:eastAsia="Cambria" w:hAnsi="Cambria" w:cs="Cambria"/>
          <w:sz w:val="20"/>
          <w:szCs w:val="20"/>
          <w:lang w:val="en-US"/>
        </w:rPr>
        <w:t xml:space="preserve"> </w:t>
      </w:r>
    </w:p>
    <w:p w14:paraId="35E2EE16" w14:textId="183D1182" w:rsidR="00D81150" w:rsidRPr="00CC562A" w:rsidRDefault="00AF43BA"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In addition, it indicated that the 2021</w:t>
      </w:r>
      <w:r w:rsidR="0B3944D6" w:rsidRPr="00CC562A">
        <w:rPr>
          <w:rFonts w:ascii="Cambria" w:hAnsi="Cambria"/>
          <w:sz w:val="20"/>
          <w:szCs w:val="20"/>
          <w:lang w:val="en-US"/>
        </w:rPr>
        <w:t xml:space="preserve"> </w:t>
      </w:r>
      <w:r w:rsidR="320E09CA" w:rsidRPr="00CC562A">
        <w:rPr>
          <w:rFonts w:ascii="Cambria" w:hAnsi="Cambria"/>
          <w:sz w:val="20"/>
          <w:szCs w:val="20"/>
          <w:lang w:val="en-US"/>
        </w:rPr>
        <w:t xml:space="preserve">ENPOL </w:t>
      </w:r>
      <w:r w:rsidRPr="00CC562A">
        <w:rPr>
          <w:rFonts w:ascii="Cambria" w:hAnsi="Cambria"/>
          <w:sz w:val="20"/>
          <w:szCs w:val="20"/>
          <w:lang w:val="en-US"/>
        </w:rPr>
        <w:t xml:space="preserve">is the second edition of this statistical program, complements the information </w:t>
      </w:r>
      <w:r w:rsidR="00C30659" w:rsidRPr="00CC562A">
        <w:rPr>
          <w:rFonts w:ascii="Cambria" w:hAnsi="Cambria"/>
          <w:sz w:val="20"/>
          <w:szCs w:val="20"/>
          <w:lang w:val="en-US"/>
        </w:rPr>
        <w:t>produced</w:t>
      </w:r>
      <w:r w:rsidRPr="00CC562A">
        <w:rPr>
          <w:rFonts w:ascii="Cambria" w:hAnsi="Cambria"/>
          <w:sz w:val="20"/>
          <w:szCs w:val="20"/>
          <w:lang w:val="en-US"/>
        </w:rPr>
        <w:t xml:space="preserve"> by the National Census of Public Security, Penitentiary Systems, </w:t>
      </w:r>
      <w:r w:rsidR="004738E4" w:rsidRPr="00CC562A">
        <w:rPr>
          <w:rFonts w:ascii="Cambria" w:hAnsi="Cambria"/>
          <w:sz w:val="20"/>
          <w:szCs w:val="20"/>
          <w:lang w:val="en-US"/>
        </w:rPr>
        <w:lastRenderedPageBreak/>
        <w:t xml:space="preserve">Administration and Enforcement of Justice conducted by </w:t>
      </w:r>
      <w:r w:rsidR="320E09CA" w:rsidRPr="00CC562A">
        <w:rPr>
          <w:rFonts w:ascii="Cambria" w:hAnsi="Cambria"/>
          <w:sz w:val="20"/>
          <w:szCs w:val="20"/>
          <w:lang w:val="en-US"/>
        </w:rPr>
        <w:t>INEGI, as</w:t>
      </w:r>
      <w:r w:rsidR="004738E4" w:rsidRPr="00CC562A">
        <w:rPr>
          <w:rFonts w:ascii="Cambria" w:hAnsi="Cambria"/>
          <w:sz w:val="20"/>
          <w:szCs w:val="20"/>
          <w:lang w:val="en-US"/>
        </w:rPr>
        <w:t xml:space="preserve"> well as the National Penitentiary Statistical Information produced by the Decentralized Administrative Body for </w:t>
      </w:r>
      <w:r w:rsidR="002E43B5" w:rsidRPr="00CC562A">
        <w:rPr>
          <w:rFonts w:ascii="Cambria" w:hAnsi="Cambria"/>
          <w:sz w:val="20"/>
          <w:szCs w:val="20"/>
          <w:lang w:val="en-US"/>
        </w:rPr>
        <w:t>Prevention and Social Rehabilitation, and the National Diagnosis of Penitentiary Supervision produced by the National Human Rights Commission</w:t>
      </w:r>
      <w:r w:rsidR="320E09CA" w:rsidRPr="00CC562A">
        <w:rPr>
          <w:rFonts w:ascii="Cambria" w:hAnsi="Cambria"/>
          <w:sz w:val="20"/>
          <w:szCs w:val="20"/>
          <w:lang w:val="en-US"/>
        </w:rPr>
        <w:t>.</w:t>
      </w:r>
    </w:p>
    <w:p w14:paraId="0868B807" w14:textId="299F5C84" w:rsidR="00A03DC3" w:rsidRPr="00CC562A" w:rsidRDefault="002E43B5"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For their part, civil society organizations indicated that according to the public version of the National </w:t>
      </w:r>
      <w:r w:rsidR="008E3BD0" w:rsidRPr="00CC562A">
        <w:rPr>
          <w:rFonts w:ascii="Cambria" w:hAnsi="Cambria"/>
          <w:sz w:val="20"/>
          <w:szCs w:val="20"/>
          <w:lang w:val="en-US"/>
        </w:rPr>
        <w:t>Register</w:t>
      </w:r>
      <w:r w:rsidR="7507A8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of Disappeared and Missing Persons</w:t>
      </w:r>
      <w:r w:rsidR="008D030D" w:rsidRPr="00CC562A">
        <w:rPr>
          <w:rStyle w:val="FootnoteReference"/>
          <w:rFonts w:ascii="Cambria" w:eastAsia="Cambria" w:hAnsi="Cambria" w:cs="Cambria"/>
          <w:sz w:val="20"/>
          <w:szCs w:val="20"/>
          <w:lang w:val="en-US"/>
        </w:rPr>
        <w:footnoteReference w:id="72"/>
      </w:r>
      <w:r w:rsidRPr="00CC562A">
        <w:rPr>
          <w:rFonts w:ascii="Cambria" w:eastAsia="Cambria" w:hAnsi="Cambria" w:cs="Cambria"/>
          <w:sz w:val="20"/>
          <w:szCs w:val="20"/>
          <w:lang w:val="en-US"/>
        </w:rPr>
        <w:t xml:space="preserve"> as of August 30, </w:t>
      </w:r>
      <w:r w:rsidR="7507A87D" w:rsidRPr="00CC562A">
        <w:rPr>
          <w:rFonts w:ascii="Cambria" w:eastAsia="Cambria" w:hAnsi="Cambria" w:cs="Cambria"/>
          <w:sz w:val="20"/>
          <w:szCs w:val="20"/>
          <w:lang w:val="en-US"/>
        </w:rPr>
        <w:t xml:space="preserve">2022, 105,082 persons </w:t>
      </w:r>
      <w:r w:rsidR="00CA4094" w:rsidRPr="00CC562A">
        <w:rPr>
          <w:rFonts w:ascii="Cambria" w:eastAsia="Cambria" w:hAnsi="Cambria" w:cs="Cambria"/>
          <w:sz w:val="20"/>
          <w:szCs w:val="20"/>
          <w:lang w:val="en-US"/>
        </w:rPr>
        <w:t>were disappeared or missing</w:t>
      </w:r>
      <w:r w:rsidR="00C30659" w:rsidRPr="00CC562A">
        <w:rPr>
          <w:rFonts w:ascii="Cambria" w:eastAsia="Cambria" w:hAnsi="Cambria" w:cs="Cambria"/>
          <w:sz w:val="20"/>
          <w:szCs w:val="20"/>
          <w:lang w:val="en-US"/>
        </w:rPr>
        <w:t>. Of</w:t>
      </w:r>
      <w:r w:rsidR="00CA4094" w:rsidRPr="00CC562A">
        <w:rPr>
          <w:rFonts w:ascii="Cambria" w:eastAsia="Cambria" w:hAnsi="Cambria" w:cs="Cambria"/>
          <w:sz w:val="20"/>
          <w:szCs w:val="20"/>
          <w:lang w:val="en-US"/>
        </w:rPr>
        <w:t xml:space="preserve"> these, at least</w:t>
      </w:r>
      <w:r w:rsidR="7507A87D" w:rsidRPr="00CC562A">
        <w:rPr>
          <w:rFonts w:ascii="Cambria" w:eastAsia="Cambria" w:hAnsi="Cambria" w:cs="Cambria"/>
          <w:sz w:val="20"/>
          <w:szCs w:val="20"/>
          <w:lang w:val="en-US"/>
        </w:rPr>
        <w:t xml:space="preserve"> 88,551 </w:t>
      </w:r>
      <w:r w:rsidR="00CA4094" w:rsidRPr="00CC562A">
        <w:rPr>
          <w:rFonts w:ascii="Cambria" w:eastAsia="Cambria" w:hAnsi="Cambria" w:cs="Cambria"/>
          <w:sz w:val="20"/>
          <w:szCs w:val="20"/>
          <w:lang w:val="en-US"/>
        </w:rPr>
        <w:t xml:space="preserve">have disappeared since the year </w:t>
      </w:r>
      <w:r w:rsidR="7507A87D" w:rsidRPr="00CC562A">
        <w:rPr>
          <w:rFonts w:ascii="Cambria" w:eastAsia="Cambria" w:hAnsi="Cambria" w:cs="Cambria"/>
          <w:sz w:val="20"/>
          <w:szCs w:val="20"/>
          <w:lang w:val="en-US"/>
        </w:rPr>
        <w:t xml:space="preserve">2006, </w:t>
      </w:r>
      <w:r w:rsidR="00CA4094" w:rsidRPr="00CC562A">
        <w:rPr>
          <w:rFonts w:ascii="Cambria" w:eastAsia="Cambria" w:hAnsi="Cambria" w:cs="Cambria"/>
          <w:sz w:val="20"/>
          <w:szCs w:val="20"/>
          <w:lang w:val="en-US"/>
        </w:rPr>
        <w:t>including</w:t>
      </w:r>
      <w:r w:rsidR="7507A87D" w:rsidRPr="00CC562A">
        <w:rPr>
          <w:rFonts w:ascii="Cambria" w:eastAsia="Cambria" w:hAnsi="Cambria" w:cs="Cambria"/>
          <w:sz w:val="20"/>
          <w:szCs w:val="20"/>
          <w:lang w:val="en-US"/>
        </w:rPr>
        <w:t xml:space="preserve"> 21,113 </w:t>
      </w:r>
      <w:r w:rsidR="00CA4094" w:rsidRPr="00CC562A">
        <w:rPr>
          <w:rFonts w:ascii="Cambria" w:eastAsia="Cambria" w:hAnsi="Cambria" w:cs="Cambria"/>
          <w:sz w:val="20"/>
          <w:szCs w:val="20"/>
          <w:lang w:val="en-US"/>
        </w:rPr>
        <w:t>women</w:t>
      </w:r>
      <w:r w:rsidR="7507A87D" w:rsidRPr="00CC562A">
        <w:rPr>
          <w:rFonts w:ascii="Cambria" w:eastAsia="Cambria" w:hAnsi="Cambria" w:cs="Cambria"/>
          <w:sz w:val="20"/>
          <w:szCs w:val="20"/>
          <w:lang w:val="en-US"/>
        </w:rPr>
        <w:t xml:space="preserve"> (23.84%). </w:t>
      </w:r>
      <w:r w:rsidR="00CA4094" w:rsidRPr="00CC562A">
        <w:rPr>
          <w:rFonts w:ascii="Cambria" w:eastAsia="Cambria" w:hAnsi="Cambria" w:cs="Cambria"/>
          <w:sz w:val="20"/>
          <w:szCs w:val="20"/>
          <w:lang w:val="en-US"/>
        </w:rPr>
        <w:t xml:space="preserve">Men who have disappeared are mostly concentrated in the </w:t>
      </w:r>
      <w:r w:rsidR="005160F8" w:rsidRPr="00CC562A">
        <w:rPr>
          <w:rFonts w:ascii="Cambria" w:eastAsia="Cambria" w:hAnsi="Cambria" w:cs="Cambria"/>
          <w:sz w:val="20"/>
          <w:szCs w:val="20"/>
          <w:lang w:val="en-US"/>
        </w:rPr>
        <w:t>25–29-year-old</w:t>
      </w:r>
      <w:r w:rsidR="00C30659" w:rsidRPr="00CC562A">
        <w:rPr>
          <w:rFonts w:ascii="Cambria" w:eastAsia="Cambria" w:hAnsi="Cambria" w:cs="Cambria"/>
          <w:sz w:val="20"/>
          <w:szCs w:val="20"/>
          <w:lang w:val="en-US"/>
        </w:rPr>
        <w:t xml:space="preserve"> age range</w:t>
      </w:r>
      <w:r w:rsidR="7507A87D" w:rsidRPr="00CC562A">
        <w:rPr>
          <w:rFonts w:ascii="Cambria" w:eastAsia="Cambria" w:hAnsi="Cambria" w:cs="Cambria"/>
          <w:sz w:val="20"/>
          <w:szCs w:val="20"/>
          <w:lang w:val="en-US"/>
        </w:rPr>
        <w:t xml:space="preserve"> (15% </w:t>
      </w:r>
      <w:r w:rsidR="00CA4094" w:rsidRPr="00CC562A">
        <w:rPr>
          <w:rFonts w:ascii="Cambria" w:eastAsia="Cambria" w:hAnsi="Cambria" w:cs="Cambria"/>
          <w:sz w:val="20"/>
          <w:szCs w:val="20"/>
          <w:lang w:val="en-US"/>
        </w:rPr>
        <w:t>of male cases</w:t>
      </w:r>
      <w:r w:rsidR="7507A87D" w:rsidRPr="00CC562A">
        <w:rPr>
          <w:rFonts w:ascii="Cambria" w:eastAsia="Cambria" w:hAnsi="Cambria" w:cs="Cambria"/>
          <w:sz w:val="20"/>
          <w:szCs w:val="20"/>
          <w:lang w:val="en-US"/>
        </w:rPr>
        <w:t xml:space="preserve">), </w:t>
      </w:r>
      <w:r w:rsidR="00CA4094" w:rsidRPr="00CC562A">
        <w:rPr>
          <w:rFonts w:ascii="Cambria" w:eastAsia="Cambria" w:hAnsi="Cambria" w:cs="Cambria"/>
          <w:sz w:val="20"/>
          <w:szCs w:val="20"/>
          <w:lang w:val="en-US"/>
        </w:rPr>
        <w:t>while women most commonly disappear between the ages of 15 and 19</w:t>
      </w:r>
      <w:r w:rsidR="7507A87D" w:rsidRPr="00CC562A">
        <w:rPr>
          <w:rFonts w:ascii="Cambria" w:eastAsia="Cambria" w:hAnsi="Cambria" w:cs="Cambria"/>
          <w:sz w:val="20"/>
          <w:szCs w:val="20"/>
          <w:lang w:val="en-US"/>
        </w:rPr>
        <w:t xml:space="preserve"> (26% </w:t>
      </w:r>
      <w:r w:rsidR="00CA4094" w:rsidRPr="00CC562A">
        <w:rPr>
          <w:rFonts w:ascii="Cambria" w:eastAsia="Cambria" w:hAnsi="Cambria" w:cs="Cambria"/>
          <w:sz w:val="20"/>
          <w:szCs w:val="20"/>
          <w:lang w:val="en-US"/>
        </w:rPr>
        <w:t>of female cases</w:t>
      </w:r>
      <w:r w:rsidR="7507A87D" w:rsidRPr="00CC562A">
        <w:rPr>
          <w:rFonts w:ascii="Cambria" w:eastAsia="Cambria" w:hAnsi="Cambria" w:cs="Cambria"/>
          <w:sz w:val="20"/>
          <w:szCs w:val="20"/>
          <w:lang w:val="en-US"/>
        </w:rPr>
        <w:t>)</w:t>
      </w:r>
      <w:r w:rsidR="00C30659" w:rsidRPr="00CC562A">
        <w:rPr>
          <w:rFonts w:ascii="Cambria" w:eastAsia="Cambria" w:hAnsi="Cambria" w:cs="Cambria"/>
          <w:sz w:val="20"/>
          <w:szCs w:val="20"/>
          <w:lang w:val="en-US"/>
        </w:rPr>
        <w:t>. This</w:t>
      </w:r>
      <w:r w:rsidR="00CA4094" w:rsidRPr="00CC562A">
        <w:rPr>
          <w:rFonts w:ascii="Cambria" w:eastAsia="Cambria" w:hAnsi="Cambria" w:cs="Cambria"/>
          <w:sz w:val="20"/>
          <w:szCs w:val="20"/>
          <w:lang w:val="en-US"/>
        </w:rPr>
        <w:t xml:space="preserve"> means that the dynamics of disappearance vary according to the gender of the victim. During the first eight months of</w:t>
      </w:r>
      <w:r w:rsidR="7507A87D" w:rsidRPr="00CC562A">
        <w:rPr>
          <w:rFonts w:ascii="Cambria" w:eastAsia="Cambria" w:hAnsi="Cambria" w:cs="Cambria"/>
          <w:sz w:val="20"/>
          <w:szCs w:val="20"/>
          <w:lang w:val="en-US"/>
        </w:rPr>
        <w:t xml:space="preserve"> 2022</w:t>
      </w:r>
      <w:r w:rsidR="00CA4094" w:rsidRPr="00CC562A">
        <w:rPr>
          <w:rFonts w:ascii="Cambria" w:eastAsia="Cambria" w:hAnsi="Cambria" w:cs="Cambria"/>
          <w:sz w:val="20"/>
          <w:szCs w:val="20"/>
          <w:lang w:val="en-US"/>
        </w:rPr>
        <w:t>,</w:t>
      </w:r>
      <w:r w:rsidR="7507A87D" w:rsidRPr="00CC562A">
        <w:rPr>
          <w:rFonts w:ascii="Cambria" w:eastAsia="Cambria" w:hAnsi="Cambria" w:cs="Cambria"/>
          <w:sz w:val="20"/>
          <w:szCs w:val="20"/>
          <w:lang w:val="en-US"/>
        </w:rPr>
        <w:t xml:space="preserve"> 1,991 reports </w:t>
      </w:r>
      <w:r w:rsidR="00CA4094" w:rsidRPr="00CC562A">
        <w:rPr>
          <w:rFonts w:ascii="Cambria" w:eastAsia="Cambria" w:hAnsi="Cambria" w:cs="Cambria"/>
          <w:sz w:val="20"/>
          <w:szCs w:val="20"/>
          <w:lang w:val="en-US"/>
        </w:rPr>
        <w:t xml:space="preserve">of women were recorded compared to </w:t>
      </w:r>
      <w:r w:rsidR="7507A87D" w:rsidRPr="00CC562A">
        <w:rPr>
          <w:rFonts w:ascii="Cambria" w:eastAsia="Cambria" w:hAnsi="Cambria" w:cs="Cambria"/>
          <w:sz w:val="20"/>
          <w:szCs w:val="20"/>
          <w:lang w:val="en-US"/>
        </w:rPr>
        <w:t xml:space="preserve">4,255 </w:t>
      </w:r>
      <w:r w:rsidR="00CA4094" w:rsidRPr="00CC562A">
        <w:rPr>
          <w:rFonts w:ascii="Cambria" w:eastAsia="Cambria" w:hAnsi="Cambria" w:cs="Cambria"/>
          <w:sz w:val="20"/>
          <w:szCs w:val="20"/>
          <w:lang w:val="en-US"/>
        </w:rPr>
        <w:t>men</w:t>
      </w:r>
      <w:r w:rsidR="7507A87D" w:rsidRPr="00CC562A">
        <w:rPr>
          <w:rFonts w:ascii="Cambria" w:eastAsia="Cambria" w:hAnsi="Cambria" w:cs="Cambria"/>
          <w:sz w:val="20"/>
          <w:szCs w:val="20"/>
          <w:lang w:val="en-US"/>
        </w:rPr>
        <w:t xml:space="preserve"> (</w:t>
      </w:r>
      <w:r w:rsidR="00CA4094" w:rsidRPr="00CC562A">
        <w:rPr>
          <w:rFonts w:ascii="Cambria" w:eastAsia="Cambria" w:hAnsi="Cambria" w:cs="Cambria"/>
          <w:sz w:val="20"/>
          <w:szCs w:val="20"/>
          <w:lang w:val="en-US"/>
        </w:rPr>
        <w:t>plus eight persons whose gender was undetermined</w:t>
      </w:r>
      <w:r w:rsidR="7507A87D" w:rsidRPr="00CC562A">
        <w:rPr>
          <w:rFonts w:ascii="Cambria" w:eastAsia="Cambria" w:hAnsi="Cambria" w:cs="Cambria"/>
          <w:sz w:val="20"/>
          <w:szCs w:val="20"/>
          <w:lang w:val="en-US"/>
        </w:rPr>
        <w:t xml:space="preserve">); </w:t>
      </w:r>
      <w:r w:rsidR="00CA4094" w:rsidRPr="00CC562A">
        <w:rPr>
          <w:rFonts w:ascii="Cambria" w:eastAsia="Cambria" w:hAnsi="Cambria" w:cs="Cambria"/>
          <w:sz w:val="20"/>
          <w:szCs w:val="20"/>
          <w:lang w:val="en-US"/>
        </w:rPr>
        <w:t xml:space="preserve">this means that women represent </w:t>
      </w:r>
      <w:r w:rsidR="7507A87D" w:rsidRPr="00CC562A">
        <w:rPr>
          <w:rFonts w:ascii="Cambria" w:eastAsia="Cambria" w:hAnsi="Cambria" w:cs="Cambria"/>
          <w:sz w:val="20"/>
          <w:szCs w:val="20"/>
          <w:lang w:val="en-US"/>
        </w:rPr>
        <w:t xml:space="preserve">31.84% </w:t>
      </w:r>
      <w:r w:rsidR="00CA4094" w:rsidRPr="00CC562A">
        <w:rPr>
          <w:rFonts w:ascii="Cambria" w:eastAsia="Cambria" w:hAnsi="Cambria" w:cs="Cambria"/>
          <w:sz w:val="20"/>
          <w:szCs w:val="20"/>
          <w:lang w:val="en-US"/>
        </w:rPr>
        <w:t xml:space="preserve">of disappeared and missing </w:t>
      </w:r>
      <w:r w:rsidR="00C30659" w:rsidRPr="00CC562A">
        <w:rPr>
          <w:rFonts w:ascii="Cambria" w:eastAsia="Cambria" w:hAnsi="Cambria" w:cs="Cambria"/>
          <w:sz w:val="20"/>
          <w:szCs w:val="20"/>
          <w:lang w:val="en-US"/>
        </w:rPr>
        <w:t>persons</w:t>
      </w:r>
      <w:r w:rsidR="00CA4094" w:rsidRPr="00CC562A">
        <w:rPr>
          <w:rFonts w:ascii="Cambria" w:eastAsia="Cambria" w:hAnsi="Cambria" w:cs="Cambria"/>
          <w:sz w:val="20"/>
          <w:szCs w:val="20"/>
          <w:lang w:val="en-US"/>
        </w:rPr>
        <w:t xml:space="preserve"> during this year, while in</w:t>
      </w:r>
      <w:r w:rsidR="7507A87D" w:rsidRPr="00CC562A">
        <w:rPr>
          <w:rFonts w:ascii="Cambria" w:eastAsia="Cambria" w:hAnsi="Cambria" w:cs="Cambria"/>
          <w:sz w:val="20"/>
          <w:szCs w:val="20"/>
          <w:lang w:val="en-US"/>
        </w:rPr>
        <w:t xml:space="preserve"> 2010 </w:t>
      </w:r>
      <w:r w:rsidR="00CA4094" w:rsidRPr="00CC562A">
        <w:rPr>
          <w:rFonts w:ascii="Cambria" w:eastAsia="Cambria" w:hAnsi="Cambria" w:cs="Cambria"/>
          <w:sz w:val="20"/>
          <w:szCs w:val="20"/>
          <w:lang w:val="en-US"/>
        </w:rPr>
        <w:t xml:space="preserve">they represented </w:t>
      </w:r>
      <w:r w:rsidR="7507A87D" w:rsidRPr="00CC562A">
        <w:rPr>
          <w:rFonts w:ascii="Cambria" w:eastAsia="Cambria" w:hAnsi="Cambria" w:cs="Cambria"/>
          <w:sz w:val="20"/>
          <w:szCs w:val="20"/>
          <w:lang w:val="en-US"/>
        </w:rPr>
        <w:t xml:space="preserve">15.9% </w:t>
      </w:r>
      <w:r w:rsidR="00CA4094" w:rsidRPr="00CC562A">
        <w:rPr>
          <w:rFonts w:ascii="Cambria" w:eastAsia="Cambria" w:hAnsi="Cambria" w:cs="Cambria"/>
          <w:sz w:val="20"/>
          <w:szCs w:val="20"/>
          <w:lang w:val="en-US"/>
        </w:rPr>
        <w:t>of the reports</w:t>
      </w:r>
      <w:r w:rsidR="7507A87D" w:rsidRPr="00CC562A">
        <w:rPr>
          <w:rFonts w:ascii="Cambria" w:eastAsia="Cambria" w:hAnsi="Cambria" w:cs="Cambria"/>
          <w:sz w:val="20"/>
          <w:szCs w:val="20"/>
          <w:lang w:val="en-US"/>
        </w:rPr>
        <w:t xml:space="preserve">. </w:t>
      </w:r>
    </w:p>
    <w:p w14:paraId="2C09C41A" w14:textId="7C6CA3BD" w:rsidR="00D33CF4" w:rsidRPr="00CC562A" w:rsidRDefault="00237642"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IACHR appreciates the information on the creation of the </w:t>
      </w:r>
      <w:r w:rsidR="0B3944D6" w:rsidRPr="00CC562A">
        <w:rPr>
          <w:rFonts w:ascii="Cambria" w:eastAsia="Cambria" w:hAnsi="Cambria" w:cs="Cambria"/>
          <w:sz w:val="20"/>
          <w:szCs w:val="20"/>
          <w:lang w:val="en-US"/>
        </w:rPr>
        <w:t xml:space="preserve">SIRENNA </w:t>
      </w:r>
      <w:r w:rsidRPr="00CC562A">
        <w:rPr>
          <w:rFonts w:ascii="Cambria" w:eastAsia="Cambria" w:hAnsi="Cambria" w:cs="Cambria"/>
          <w:sz w:val="20"/>
          <w:szCs w:val="20"/>
          <w:lang w:val="en-US"/>
        </w:rPr>
        <w:t>and awaits updated information regarding its implementation</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On this subject, it recalls how important it is that any information and data compilation program include as one of its components the violence that affects the population being analyzed, as </w:t>
      </w:r>
      <w:r w:rsidR="00E11A2E" w:rsidRPr="00CC562A">
        <w:rPr>
          <w:rFonts w:ascii="Cambria" w:eastAsia="Cambria" w:hAnsi="Cambria" w:cs="Cambria"/>
          <w:sz w:val="20"/>
          <w:szCs w:val="20"/>
          <w:lang w:val="en-US"/>
        </w:rPr>
        <w:t xml:space="preserve">an </w:t>
      </w:r>
      <w:r w:rsidRPr="00CC562A">
        <w:rPr>
          <w:rFonts w:ascii="Cambria" w:eastAsia="Cambria" w:hAnsi="Cambria" w:cs="Cambria"/>
          <w:sz w:val="20"/>
          <w:szCs w:val="20"/>
          <w:lang w:val="en-US"/>
        </w:rPr>
        <w:t>item separate from the person’s conditions or the specifics of the case. Although the IACHR sees progress in compliance with the recommendation with respect to women; children and adolescents</w:t>
      </w:r>
      <w:r w:rsidR="5374E58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migrants; defenders;</w:t>
      </w:r>
      <w:r w:rsidR="5374E589" w:rsidRPr="00CC562A">
        <w:rPr>
          <w:rFonts w:ascii="Cambria" w:eastAsia="Cambria" w:hAnsi="Cambria" w:cs="Cambria"/>
          <w:sz w:val="20"/>
          <w:szCs w:val="20"/>
          <w:lang w:val="en-US"/>
        </w:rPr>
        <w:t xml:space="preserve"> LGBTI</w:t>
      </w:r>
      <w:r w:rsidRPr="00CC562A">
        <w:rPr>
          <w:rFonts w:ascii="Cambria" w:eastAsia="Cambria" w:hAnsi="Cambria" w:cs="Cambria"/>
          <w:sz w:val="20"/>
          <w:szCs w:val="20"/>
          <w:lang w:val="en-US"/>
        </w:rPr>
        <w:t xml:space="preserve"> persons, indigenous </w:t>
      </w:r>
      <w:r w:rsidR="00C80FE5" w:rsidRPr="00CC562A">
        <w:rPr>
          <w:rFonts w:ascii="Cambria" w:eastAsia="Cambria" w:hAnsi="Cambria" w:cs="Cambria"/>
          <w:sz w:val="20"/>
          <w:szCs w:val="20"/>
          <w:lang w:val="en-US"/>
        </w:rPr>
        <w:t>peoples,</w:t>
      </w:r>
      <w:r w:rsidRPr="00CC562A">
        <w:rPr>
          <w:rFonts w:ascii="Cambria" w:eastAsia="Cambria" w:hAnsi="Cambria" w:cs="Cambria"/>
          <w:sz w:val="20"/>
          <w:szCs w:val="20"/>
          <w:lang w:val="en-US"/>
        </w:rPr>
        <w:t xml:space="preserve"> and </w:t>
      </w:r>
      <w:r w:rsidR="005160F8" w:rsidRPr="00CC562A">
        <w:rPr>
          <w:rFonts w:ascii="Cambria" w:eastAsia="Cambria" w:hAnsi="Cambria" w:cs="Cambria"/>
          <w:sz w:val="20"/>
          <w:szCs w:val="20"/>
          <w:lang w:val="en-US"/>
        </w:rPr>
        <w:t>afro descendants</w:t>
      </w:r>
      <w:r w:rsidRPr="00CC562A">
        <w:rPr>
          <w:rFonts w:ascii="Cambria" w:eastAsia="Cambria" w:hAnsi="Cambria" w:cs="Cambria"/>
          <w:sz w:val="20"/>
          <w:szCs w:val="20"/>
          <w:lang w:val="en-US"/>
        </w:rPr>
        <w:t>; and persons deprived of liberty, compliance with the recommendation is pending with respect to justice operators</w:t>
      </w:r>
      <w:r w:rsidR="0B3944D6"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Based on the foregoing, it declares that the measure is still the subject of</w:t>
      </w:r>
      <w:r w:rsidR="0B3944D6" w:rsidRPr="00CC562A">
        <w:rPr>
          <w:rFonts w:ascii="Cambria" w:eastAsia="Cambria" w:hAnsi="Cambria" w:cs="Cambria"/>
          <w:b/>
          <w:bCs/>
          <w:sz w:val="20"/>
          <w:szCs w:val="20"/>
          <w:lang w:val="en-US"/>
        </w:rPr>
        <w:t xml:space="preserve"> par</w:t>
      </w:r>
      <w:r w:rsidRPr="00CC562A">
        <w:rPr>
          <w:rFonts w:ascii="Cambria" w:eastAsia="Cambria" w:hAnsi="Cambria" w:cs="Cambria"/>
          <w:b/>
          <w:bCs/>
          <w:sz w:val="20"/>
          <w:szCs w:val="20"/>
          <w:lang w:val="en-US"/>
        </w:rPr>
        <w:t>tial compliance</w:t>
      </w:r>
      <w:r w:rsidR="0B3944D6" w:rsidRPr="00CC562A">
        <w:rPr>
          <w:rFonts w:ascii="Cambria" w:eastAsia="Cambria" w:hAnsi="Cambria" w:cs="Cambria"/>
          <w:b/>
          <w:bCs/>
          <w:sz w:val="20"/>
          <w:szCs w:val="20"/>
          <w:lang w:val="en-US"/>
        </w:rPr>
        <w:t>.</w:t>
      </w:r>
      <w:r w:rsidR="0B3944D6" w:rsidRPr="00CC562A">
        <w:rPr>
          <w:rFonts w:ascii="Cambria" w:eastAsia="Cambria" w:hAnsi="Cambria" w:cs="Cambria"/>
          <w:sz w:val="20"/>
          <w:szCs w:val="20"/>
          <w:lang w:val="en-US"/>
        </w:rPr>
        <w:t xml:space="preserve">  </w:t>
      </w:r>
    </w:p>
    <w:p w14:paraId="7B256087" w14:textId="77777777" w:rsidR="00A92391" w:rsidRPr="00CC562A" w:rsidRDefault="00237642" w:rsidP="00A92391">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addition,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guide the implementation of this recommendation, the Commission urges th</w:t>
      </w:r>
      <w:r w:rsidR="00E11A2E" w:rsidRPr="00CC562A">
        <w:rPr>
          <w:rFonts w:ascii="Cambria" w:eastAsia="Cambria" w:hAnsi="Cambria" w:cs="Cambria"/>
          <w:sz w:val="20"/>
          <w:szCs w:val="20"/>
          <w:lang w:val="en-US"/>
        </w:rPr>
        <w:t>e</w:t>
      </w:r>
      <w:r w:rsidRPr="00CC562A">
        <w:rPr>
          <w:rFonts w:ascii="Cambria" w:eastAsia="Cambria" w:hAnsi="Cambria" w:cs="Cambria"/>
          <w:sz w:val="20"/>
          <w:szCs w:val="20"/>
          <w:lang w:val="en-US"/>
        </w:rPr>
        <w:t xml:space="preserve"> State to create a uniform registry with disaggregated information to facilitate an accounting of the current context with respect to guarantees for the human rights of women, children, and adolescents, </w:t>
      </w:r>
      <w:r w:rsidR="0D4376B3" w:rsidRPr="00CC562A">
        <w:rPr>
          <w:rFonts w:ascii="Cambria" w:eastAsia="Cambria" w:hAnsi="Cambria" w:cs="Cambria"/>
          <w:sz w:val="20"/>
          <w:szCs w:val="20"/>
          <w:lang w:val="en-US"/>
        </w:rPr>
        <w:t>LGBTI</w:t>
      </w:r>
      <w:r w:rsidRPr="00CC562A">
        <w:rPr>
          <w:rFonts w:ascii="Cambria" w:eastAsia="Cambria" w:hAnsi="Cambria" w:cs="Cambria"/>
          <w:sz w:val="20"/>
          <w:szCs w:val="20"/>
          <w:lang w:val="en-US"/>
        </w:rPr>
        <w:t xml:space="preserve"> persons, defenders, migrants, indigenous peoples, and persons deprived of liberty. In this regard, the</w:t>
      </w:r>
      <w:r w:rsidR="004E0AB7" w:rsidRPr="00CC562A">
        <w:rPr>
          <w:rFonts w:ascii="Cambria" w:eastAsia="Cambria" w:hAnsi="Cambria" w:cs="Cambria"/>
          <w:sz w:val="20"/>
          <w:szCs w:val="20"/>
          <w:lang w:val="en-US"/>
        </w:rPr>
        <w:t xml:space="preserve"> implementa</w:t>
      </w:r>
      <w:r w:rsidRPr="00CC562A">
        <w:rPr>
          <w:rFonts w:ascii="Cambria" w:eastAsia="Cambria" w:hAnsi="Cambria" w:cs="Cambria"/>
          <w:sz w:val="20"/>
          <w:szCs w:val="20"/>
          <w:lang w:val="en-US"/>
        </w:rPr>
        <w:t xml:space="preserve">tion of this recommendation will be enhanced to the extent that this registry allows authorities with access to information in this regard to contribute to and </w:t>
      </w:r>
      <w:r w:rsidR="00E11A2E" w:rsidRPr="00CC562A">
        <w:rPr>
          <w:rFonts w:ascii="Cambria" w:eastAsia="Cambria" w:hAnsi="Cambria" w:cs="Cambria"/>
          <w:sz w:val="20"/>
          <w:szCs w:val="20"/>
          <w:lang w:val="en-US"/>
        </w:rPr>
        <w:t>enhance</w:t>
      </w:r>
      <w:r w:rsidRPr="00CC562A">
        <w:rPr>
          <w:rFonts w:ascii="Cambria" w:eastAsia="Cambria" w:hAnsi="Cambria" w:cs="Cambria"/>
          <w:sz w:val="20"/>
          <w:szCs w:val="20"/>
          <w:lang w:val="en-US"/>
        </w:rPr>
        <w:t xml:space="preserve"> its updating</w:t>
      </w:r>
      <w:r w:rsidR="0D4376B3" w:rsidRPr="00CC562A">
        <w:rPr>
          <w:rFonts w:ascii="Cambria" w:eastAsia="Cambria" w:hAnsi="Cambria" w:cs="Cambria"/>
          <w:sz w:val="20"/>
          <w:szCs w:val="20"/>
          <w:lang w:val="en-US"/>
        </w:rPr>
        <w:t xml:space="preserve">. </w:t>
      </w:r>
      <w:r w:rsidR="00B114BB" w:rsidRPr="00CC562A">
        <w:rPr>
          <w:rFonts w:ascii="Cambria" w:hAnsi="Cambria"/>
          <w:sz w:val="20"/>
          <w:lang w:val="en-US"/>
        </w:rPr>
        <w:t xml:space="preserve">To do this, institutions must work in coordination and the disaggregated information systems </w:t>
      </w:r>
      <w:r w:rsidR="00650BEB" w:rsidRPr="00CC562A">
        <w:rPr>
          <w:rFonts w:ascii="Cambria" w:hAnsi="Cambria"/>
          <w:sz w:val="20"/>
          <w:lang w:val="en-US"/>
        </w:rPr>
        <w:t>of</w:t>
      </w:r>
      <w:r w:rsidR="00B114BB" w:rsidRPr="00CC562A">
        <w:rPr>
          <w:rFonts w:ascii="Cambria" w:hAnsi="Cambria"/>
          <w:sz w:val="20"/>
          <w:lang w:val="en-US"/>
        </w:rPr>
        <w:t xml:space="preserve"> each system need to be uniformly systematized in a single database that allows for an accounting of content and information with respect to the entire civil service. Similarly, the IACHR asks the State to provide specific information on the development of the “For Your Rights” platform.</w:t>
      </w:r>
    </w:p>
    <w:p w14:paraId="1A64665E" w14:textId="79382D0E" w:rsidR="00725290" w:rsidRPr="00CC562A" w:rsidRDefault="00237642" w:rsidP="00A92391">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With regard to</w:t>
      </w:r>
      <w:proofErr w:type="gramEnd"/>
      <w:r w:rsidRPr="00CC562A">
        <w:rPr>
          <w:rFonts w:ascii="Cambria" w:eastAsia="Cambria" w:hAnsi="Cambria" w:cs="Cambria"/>
          <w:sz w:val="20"/>
          <w:szCs w:val="20"/>
          <w:lang w:val="en-US"/>
        </w:rPr>
        <w:t xml:space="preserve"> </w:t>
      </w:r>
      <w:r w:rsidRPr="00CC562A">
        <w:rPr>
          <w:rFonts w:ascii="Cambria" w:eastAsia="Cambria" w:hAnsi="Cambria" w:cs="Cambria"/>
          <w:b/>
          <w:bCs/>
          <w:sz w:val="20"/>
          <w:szCs w:val="20"/>
          <w:lang w:val="en-US"/>
        </w:rPr>
        <w:t xml:space="preserve">reorienting the approach to the drug issue, </w:t>
      </w:r>
      <w:r w:rsidRPr="00CC562A">
        <w:rPr>
          <w:rFonts w:ascii="Cambria" w:eastAsia="Cambria" w:hAnsi="Cambria" w:cs="Cambria"/>
          <w:sz w:val="20"/>
          <w:szCs w:val="20"/>
          <w:lang w:val="en-US"/>
        </w:rPr>
        <w:t xml:space="preserve">the State indicated that in Mexico the </w:t>
      </w:r>
      <w:r w:rsidR="00344810" w:rsidRPr="00CC562A">
        <w:rPr>
          <w:rFonts w:ascii="Cambria" w:eastAsia="Cambria" w:hAnsi="Cambria" w:cs="Cambria"/>
          <w:sz w:val="20"/>
          <w:szCs w:val="20"/>
          <w:lang w:val="en-US"/>
        </w:rPr>
        <w:t xml:space="preserve">“focus on militarization and frontal combat” using government forces is shifting to a comprehensive, human rights and public health approach with regard to addiction and </w:t>
      </w:r>
      <w:r w:rsidR="00E11A2E" w:rsidRPr="00CC562A">
        <w:rPr>
          <w:rFonts w:ascii="Cambria" w:eastAsia="Cambria" w:hAnsi="Cambria" w:cs="Cambria"/>
          <w:sz w:val="20"/>
          <w:szCs w:val="20"/>
          <w:lang w:val="en-US"/>
        </w:rPr>
        <w:t>use of drugs</w:t>
      </w:r>
      <w:r w:rsidR="00344810" w:rsidRPr="00CC562A">
        <w:rPr>
          <w:rFonts w:ascii="Cambria" w:eastAsia="Cambria" w:hAnsi="Cambria" w:cs="Cambria"/>
          <w:sz w:val="20"/>
          <w:szCs w:val="20"/>
          <w:lang w:val="en-US"/>
        </w:rPr>
        <w:t xml:space="preserve"> not intended for distribution. In this regard, discussions are held in </w:t>
      </w:r>
      <w:r w:rsidR="00E11A2E" w:rsidRPr="00CC562A">
        <w:rPr>
          <w:rFonts w:ascii="Cambria" w:eastAsia="Cambria" w:hAnsi="Cambria" w:cs="Cambria"/>
          <w:sz w:val="20"/>
          <w:szCs w:val="20"/>
          <w:lang w:val="en-US"/>
        </w:rPr>
        <w:t xml:space="preserve">basic </w:t>
      </w:r>
      <w:r w:rsidR="00344810" w:rsidRPr="00CC562A">
        <w:rPr>
          <w:rFonts w:ascii="Cambria" w:eastAsia="Cambria" w:hAnsi="Cambria" w:cs="Cambria"/>
          <w:sz w:val="20"/>
          <w:szCs w:val="20"/>
          <w:lang w:val="en-US"/>
        </w:rPr>
        <w:t xml:space="preserve">and higher education </w:t>
      </w:r>
      <w:r w:rsidR="00E11A2E" w:rsidRPr="00CC562A">
        <w:rPr>
          <w:rFonts w:ascii="Cambria" w:eastAsia="Cambria" w:hAnsi="Cambria" w:cs="Cambria"/>
          <w:sz w:val="20"/>
          <w:szCs w:val="20"/>
          <w:lang w:val="en-US"/>
        </w:rPr>
        <w:t xml:space="preserve">institutions </w:t>
      </w:r>
      <w:proofErr w:type="gramStart"/>
      <w:r w:rsidR="00344810" w:rsidRPr="00CC562A">
        <w:rPr>
          <w:rFonts w:ascii="Cambria" w:eastAsia="Cambria" w:hAnsi="Cambria" w:cs="Cambria"/>
          <w:sz w:val="20"/>
          <w:szCs w:val="20"/>
          <w:lang w:val="en-US"/>
        </w:rPr>
        <w:t>in order to</w:t>
      </w:r>
      <w:proofErr w:type="gramEnd"/>
      <w:r w:rsidR="00344810" w:rsidRPr="00CC562A">
        <w:rPr>
          <w:rFonts w:ascii="Cambria" w:eastAsia="Cambria" w:hAnsi="Cambria" w:cs="Cambria"/>
          <w:sz w:val="20"/>
          <w:szCs w:val="20"/>
          <w:lang w:val="en-US"/>
        </w:rPr>
        <w:t xml:space="preserve"> create awareness of drug use and its consequences. It also indicated that </w:t>
      </w:r>
      <w:r w:rsidR="00632A4C" w:rsidRPr="00CC562A">
        <w:rPr>
          <w:rFonts w:ascii="Cambria" w:eastAsia="Cambria" w:hAnsi="Cambria" w:cs="Cambria"/>
          <w:sz w:val="20"/>
          <w:szCs w:val="20"/>
          <w:lang w:val="en-US"/>
        </w:rPr>
        <w:t xml:space="preserve">during the period from October 2021 to September 2022 </w:t>
      </w:r>
      <w:r w:rsidR="00344810" w:rsidRPr="00CC562A">
        <w:rPr>
          <w:rFonts w:ascii="Cambria" w:eastAsia="Cambria" w:hAnsi="Cambria" w:cs="Cambria"/>
          <w:sz w:val="20"/>
          <w:szCs w:val="20"/>
          <w:lang w:val="en-US"/>
        </w:rPr>
        <w:t>the FGR’s</w:t>
      </w:r>
      <w:r w:rsidR="00632A4C" w:rsidRPr="00CC562A">
        <w:rPr>
          <w:rFonts w:ascii="Cambria" w:eastAsia="Cambria" w:hAnsi="Cambria" w:cs="Cambria"/>
          <w:sz w:val="20"/>
          <w:szCs w:val="20"/>
          <w:lang w:val="en-US"/>
        </w:rPr>
        <w:t xml:space="preserve"> Ge</w:t>
      </w:r>
      <w:r w:rsidR="1A8E4DE8" w:rsidRPr="00CC562A">
        <w:rPr>
          <w:rFonts w:ascii="Cambria" w:eastAsia="Cambria" w:hAnsi="Cambria" w:cs="Cambria"/>
          <w:sz w:val="20"/>
          <w:szCs w:val="20"/>
          <w:lang w:val="en-US"/>
        </w:rPr>
        <w:t xml:space="preserve">neral </w:t>
      </w:r>
      <w:r w:rsidR="00632A4C" w:rsidRPr="00CC562A">
        <w:rPr>
          <w:rFonts w:ascii="Cambria" w:eastAsia="Cambria" w:hAnsi="Cambria" w:cs="Cambria"/>
          <w:sz w:val="20"/>
          <w:szCs w:val="20"/>
          <w:lang w:val="en-US"/>
        </w:rPr>
        <w:t>Directorate for the Promotion of Culture and Human Rights, Complaints, and Inspections trained a total of</w:t>
      </w:r>
      <w:r w:rsidR="1A8E4DE8" w:rsidRPr="00CC562A">
        <w:rPr>
          <w:rFonts w:ascii="Cambria" w:eastAsia="Cambria" w:hAnsi="Cambria" w:cs="Cambria"/>
          <w:sz w:val="20"/>
          <w:szCs w:val="20"/>
          <w:lang w:val="en-US"/>
        </w:rPr>
        <w:t xml:space="preserve"> 4,496 participants (</w:t>
      </w:r>
      <w:r w:rsidR="00632A4C" w:rsidRPr="00CC562A">
        <w:rPr>
          <w:rFonts w:ascii="Cambria" w:eastAsia="Cambria" w:hAnsi="Cambria" w:cs="Cambria"/>
          <w:sz w:val="20"/>
          <w:szCs w:val="20"/>
          <w:lang w:val="en-US"/>
        </w:rPr>
        <w:t>civil servants</w:t>
      </w:r>
      <w:r w:rsidR="1A8E4DE8" w:rsidRPr="00CC562A">
        <w:rPr>
          <w:rFonts w:ascii="Cambria" w:eastAsia="Cambria" w:hAnsi="Cambria" w:cs="Cambria"/>
          <w:sz w:val="20"/>
          <w:szCs w:val="20"/>
          <w:lang w:val="en-US"/>
        </w:rPr>
        <w:t>)</w:t>
      </w:r>
      <w:r w:rsidR="00632A4C" w:rsidRPr="00CC562A">
        <w:rPr>
          <w:rFonts w:ascii="Cambria" w:eastAsia="Cambria" w:hAnsi="Cambria" w:cs="Cambria"/>
          <w:sz w:val="20"/>
          <w:szCs w:val="20"/>
          <w:lang w:val="en-US"/>
        </w:rPr>
        <w:t xml:space="preserve">. It did so by means </w:t>
      </w:r>
      <w:r w:rsidR="005160F8" w:rsidRPr="00CC562A">
        <w:rPr>
          <w:rFonts w:ascii="Cambria" w:eastAsia="Cambria" w:hAnsi="Cambria" w:cs="Cambria"/>
          <w:sz w:val="20"/>
          <w:szCs w:val="20"/>
          <w:lang w:val="en-US"/>
        </w:rPr>
        <w:t>of 94</w:t>
      </w:r>
      <w:r w:rsidR="1A8E4DE8" w:rsidRPr="00CC562A">
        <w:rPr>
          <w:rFonts w:ascii="Cambria" w:eastAsia="Cambria" w:hAnsi="Cambria" w:cs="Cambria"/>
          <w:sz w:val="20"/>
          <w:szCs w:val="20"/>
          <w:lang w:val="en-US"/>
        </w:rPr>
        <w:t xml:space="preserve"> </w:t>
      </w:r>
      <w:r w:rsidR="00632A4C" w:rsidRPr="00CC562A">
        <w:rPr>
          <w:rFonts w:ascii="Cambria" w:eastAsia="Cambria" w:hAnsi="Cambria" w:cs="Cambria"/>
          <w:sz w:val="20"/>
          <w:szCs w:val="20"/>
          <w:lang w:val="en-US"/>
        </w:rPr>
        <w:t xml:space="preserve">activities included in </w:t>
      </w:r>
      <w:r w:rsidR="1A8E4DE8" w:rsidRPr="00CC562A">
        <w:rPr>
          <w:rFonts w:ascii="Cambria" w:eastAsia="Cambria" w:hAnsi="Cambria" w:cs="Cambria"/>
          <w:sz w:val="20"/>
          <w:szCs w:val="20"/>
          <w:lang w:val="en-US"/>
        </w:rPr>
        <w:t xml:space="preserve">26 </w:t>
      </w:r>
      <w:r w:rsidR="00632A4C" w:rsidRPr="00CC562A">
        <w:rPr>
          <w:rFonts w:ascii="Cambria" w:eastAsia="Cambria" w:hAnsi="Cambria" w:cs="Cambria"/>
          <w:sz w:val="20"/>
          <w:szCs w:val="20"/>
          <w:lang w:val="en-US"/>
        </w:rPr>
        <w:t xml:space="preserve">courses in this area. During the period from October </w:t>
      </w:r>
      <w:r w:rsidR="1A8E4DE8" w:rsidRPr="00CC562A">
        <w:rPr>
          <w:rFonts w:ascii="Cambria" w:eastAsia="Cambria" w:hAnsi="Cambria" w:cs="Cambria"/>
          <w:sz w:val="20"/>
          <w:szCs w:val="20"/>
          <w:lang w:val="en-US"/>
        </w:rPr>
        <w:t>2021</w:t>
      </w:r>
      <w:r w:rsidR="00632A4C" w:rsidRPr="00CC562A">
        <w:rPr>
          <w:rFonts w:ascii="Cambria" w:eastAsia="Cambria" w:hAnsi="Cambria" w:cs="Cambria"/>
          <w:sz w:val="20"/>
          <w:szCs w:val="20"/>
          <w:lang w:val="en-US"/>
        </w:rPr>
        <w:t xml:space="preserve"> to September </w:t>
      </w:r>
      <w:r w:rsidR="1A8E4DE8" w:rsidRPr="00CC562A">
        <w:rPr>
          <w:rFonts w:ascii="Cambria" w:eastAsia="Cambria" w:hAnsi="Cambria" w:cs="Cambria"/>
          <w:sz w:val="20"/>
          <w:szCs w:val="20"/>
          <w:lang w:val="en-US"/>
        </w:rPr>
        <w:t xml:space="preserve">2022, </w:t>
      </w:r>
      <w:r w:rsidR="00632A4C" w:rsidRPr="00CC562A">
        <w:rPr>
          <w:rFonts w:ascii="Cambria" w:eastAsia="Cambria" w:hAnsi="Cambria" w:cs="Cambria"/>
          <w:sz w:val="20"/>
          <w:szCs w:val="20"/>
          <w:lang w:val="en-US"/>
        </w:rPr>
        <w:t>the FGR’s General Directorate on Crime Prevention and Community Services conducted a total of</w:t>
      </w:r>
      <w:r w:rsidR="1A8E4DE8" w:rsidRPr="00CC562A">
        <w:rPr>
          <w:rFonts w:ascii="Cambria" w:eastAsia="Cambria" w:hAnsi="Cambria" w:cs="Cambria"/>
          <w:sz w:val="20"/>
          <w:szCs w:val="20"/>
          <w:lang w:val="en-US"/>
        </w:rPr>
        <w:t xml:space="preserve"> 749 </w:t>
      </w:r>
      <w:r w:rsidR="00632A4C" w:rsidRPr="00CC562A">
        <w:rPr>
          <w:rFonts w:ascii="Cambria" w:eastAsia="Cambria" w:hAnsi="Cambria" w:cs="Cambria"/>
          <w:sz w:val="20"/>
          <w:szCs w:val="20"/>
          <w:lang w:val="en-US"/>
        </w:rPr>
        <w:t xml:space="preserve">informative sessions with </w:t>
      </w:r>
      <w:r w:rsidR="005160F8" w:rsidRPr="00CC562A">
        <w:rPr>
          <w:rFonts w:ascii="Cambria" w:eastAsia="Cambria" w:hAnsi="Cambria" w:cs="Cambria"/>
          <w:sz w:val="20"/>
          <w:szCs w:val="20"/>
          <w:lang w:val="en-US"/>
        </w:rPr>
        <w:t>54,700 people</w:t>
      </w:r>
      <w:r w:rsidR="00632A4C" w:rsidRPr="00CC562A">
        <w:rPr>
          <w:rFonts w:ascii="Cambria" w:eastAsia="Cambria" w:hAnsi="Cambria" w:cs="Cambria"/>
          <w:sz w:val="20"/>
          <w:szCs w:val="20"/>
          <w:lang w:val="en-US"/>
        </w:rPr>
        <w:t xml:space="preserve"> in attendance; these sessions relate to various crime prevention topics</w:t>
      </w:r>
      <w:r w:rsidR="1A8E4DE8" w:rsidRPr="00CC562A">
        <w:rPr>
          <w:rFonts w:ascii="Cambria" w:eastAsia="Cambria" w:hAnsi="Cambria" w:cs="Cambria"/>
          <w:sz w:val="20"/>
          <w:szCs w:val="20"/>
          <w:lang w:val="en-US"/>
        </w:rPr>
        <w:t xml:space="preserve"> </w:t>
      </w:r>
      <w:proofErr w:type="gramStart"/>
      <w:r w:rsidR="00E11A2E" w:rsidRPr="00CC562A">
        <w:rPr>
          <w:rFonts w:ascii="Cambria" w:eastAsia="Cambria" w:hAnsi="Cambria" w:cs="Cambria"/>
          <w:sz w:val="20"/>
          <w:szCs w:val="20"/>
          <w:lang w:val="en-US"/>
        </w:rPr>
        <w:t>and also</w:t>
      </w:r>
      <w:proofErr w:type="gramEnd"/>
      <w:r w:rsidR="00E11A2E" w:rsidRPr="00CC562A">
        <w:rPr>
          <w:rFonts w:ascii="Cambria" w:eastAsia="Cambria" w:hAnsi="Cambria" w:cs="Cambria"/>
          <w:sz w:val="20"/>
          <w:szCs w:val="20"/>
          <w:lang w:val="en-US"/>
        </w:rPr>
        <w:t xml:space="preserve"> focus</w:t>
      </w:r>
      <w:r w:rsidR="00632A4C" w:rsidRPr="00CC562A">
        <w:rPr>
          <w:rFonts w:ascii="Cambria" w:eastAsia="Cambria" w:hAnsi="Cambria" w:cs="Cambria"/>
          <w:sz w:val="20"/>
          <w:szCs w:val="20"/>
          <w:lang w:val="en-US"/>
        </w:rPr>
        <w:t xml:space="preserve"> on the use of psychoactive substances </w:t>
      </w:r>
      <w:r w:rsidR="00E11A2E" w:rsidRPr="00CC562A">
        <w:rPr>
          <w:rFonts w:ascii="Cambria" w:eastAsia="Cambria" w:hAnsi="Cambria" w:cs="Cambria"/>
          <w:sz w:val="20"/>
          <w:szCs w:val="20"/>
          <w:lang w:val="en-US"/>
        </w:rPr>
        <w:t>in</w:t>
      </w:r>
      <w:r w:rsidR="00632A4C" w:rsidRPr="00CC562A">
        <w:rPr>
          <w:rFonts w:ascii="Cambria" w:eastAsia="Cambria" w:hAnsi="Cambria" w:cs="Cambria"/>
          <w:sz w:val="20"/>
          <w:szCs w:val="20"/>
          <w:lang w:val="en-US"/>
        </w:rPr>
        <w:t xml:space="preserve"> various sectors of the population in different locations at the national level</w:t>
      </w:r>
      <w:r w:rsidR="1A8E4DE8" w:rsidRPr="00CC562A">
        <w:rPr>
          <w:rFonts w:ascii="Cambria" w:eastAsia="Cambria" w:hAnsi="Cambria" w:cs="Cambria"/>
          <w:sz w:val="20"/>
          <w:szCs w:val="20"/>
          <w:lang w:val="en-US"/>
        </w:rPr>
        <w:t>.</w:t>
      </w:r>
      <w:r w:rsidR="77CBAE0C" w:rsidRPr="00CC562A">
        <w:rPr>
          <w:rFonts w:ascii="Cambria" w:eastAsia="Cambria" w:hAnsi="Cambria" w:cs="Cambria"/>
          <w:sz w:val="20"/>
          <w:szCs w:val="20"/>
          <w:lang w:val="en-US"/>
        </w:rPr>
        <w:t xml:space="preserve"> </w:t>
      </w:r>
      <w:r w:rsidR="00F93CD6" w:rsidRPr="00CC562A">
        <w:rPr>
          <w:rFonts w:ascii="Cambria" w:hAnsi="Cambria"/>
          <w:sz w:val="20"/>
          <w:lang w:val="en-US"/>
        </w:rPr>
        <w:lastRenderedPageBreak/>
        <w:t>Similarly, the</w:t>
      </w:r>
      <w:r w:rsidR="00086C08" w:rsidRPr="00CC562A">
        <w:rPr>
          <w:rFonts w:ascii="Cambria" w:hAnsi="Cambria"/>
          <w:sz w:val="20"/>
          <w:lang w:val="en-US"/>
        </w:rPr>
        <w:t xml:space="preserve"> FGR </w:t>
      </w:r>
      <w:r w:rsidR="00F93CD6" w:rsidRPr="00CC562A">
        <w:rPr>
          <w:rFonts w:ascii="Cambria" w:hAnsi="Cambria"/>
          <w:sz w:val="20"/>
          <w:lang w:val="en-US"/>
        </w:rPr>
        <w:t>emphasized that Article</w:t>
      </w:r>
      <w:r w:rsidR="00086C08" w:rsidRPr="00CC562A">
        <w:rPr>
          <w:rFonts w:ascii="Cambria" w:hAnsi="Cambria"/>
          <w:sz w:val="20"/>
          <w:lang w:val="en-US"/>
        </w:rPr>
        <w:t xml:space="preserve"> 479 </w:t>
      </w:r>
      <w:r w:rsidR="00F93CD6" w:rsidRPr="00CC562A">
        <w:rPr>
          <w:rFonts w:ascii="Cambria" w:hAnsi="Cambria"/>
          <w:sz w:val="20"/>
          <w:lang w:val="en-US"/>
        </w:rPr>
        <w:t xml:space="preserve">of the General Health Law has since 2009 established the quantities that must not be exceeded </w:t>
      </w:r>
      <w:proofErr w:type="gramStart"/>
      <w:r w:rsidR="00F93CD6" w:rsidRPr="00CC562A">
        <w:rPr>
          <w:rFonts w:ascii="Cambria" w:hAnsi="Cambria"/>
          <w:sz w:val="20"/>
          <w:lang w:val="en-US"/>
        </w:rPr>
        <w:t>in order for</w:t>
      </w:r>
      <w:proofErr w:type="gramEnd"/>
      <w:r w:rsidR="00F93CD6" w:rsidRPr="00CC562A">
        <w:rPr>
          <w:rFonts w:ascii="Cambria" w:hAnsi="Cambria"/>
          <w:sz w:val="20"/>
          <w:lang w:val="en-US"/>
        </w:rPr>
        <w:t xml:space="preserve"> narcotics to be considered strictly for personal use.</w:t>
      </w:r>
      <w:r w:rsidR="00086C08" w:rsidRPr="00CC562A">
        <w:rPr>
          <w:rStyle w:val="FootnoteReference"/>
          <w:rFonts w:ascii="Cambria" w:hAnsi="Cambria"/>
          <w:sz w:val="20"/>
          <w:lang w:val="en-US"/>
        </w:rPr>
        <w:footnoteReference w:id="73"/>
      </w:r>
    </w:p>
    <w:p w14:paraId="23185E32" w14:textId="24089C5E" w:rsidR="00BB21C9" w:rsidRPr="00CC562A" w:rsidRDefault="00F93CD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lang w:val="en-US"/>
        </w:rPr>
        <w:t>Similarly,</w:t>
      </w:r>
      <w:r w:rsidR="00086C08" w:rsidRPr="00CC562A">
        <w:rPr>
          <w:rFonts w:ascii="Cambria" w:hAnsi="Cambria"/>
          <w:sz w:val="20"/>
          <w:lang w:val="en-US"/>
        </w:rPr>
        <w:t xml:space="preserve"> the</w:t>
      </w:r>
      <w:r w:rsidR="00632A4C" w:rsidRPr="00CC562A">
        <w:rPr>
          <w:rFonts w:ascii="Cambria" w:eastAsia="Cambria" w:hAnsi="Cambria" w:cs="Cambria"/>
          <w:sz w:val="20"/>
          <w:szCs w:val="20"/>
          <w:lang w:val="en-US"/>
        </w:rPr>
        <w:t xml:space="preserve"> State indicated that during the last quarter of </w:t>
      </w:r>
      <w:r w:rsidR="1A8E4DE8" w:rsidRPr="00CC562A">
        <w:rPr>
          <w:rFonts w:ascii="Cambria" w:eastAsia="Cambria" w:hAnsi="Cambria" w:cs="Cambria"/>
          <w:sz w:val="20"/>
          <w:szCs w:val="20"/>
          <w:lang w:val="en-US"/>
        </w:rPr>
        <w:t>2021</w:t>
      </w:r>
      <w:r w:rsidR="00632A4C" w:rsidRPr="00CC562A">
        <w:rPr>
          <w:rFonts w:ascii="Cambria" w:eastAsia="Cambria" w:hAnsi="Cambria" w:cs="Cambria"/>
          <w:sz w:val="20"/>
          <w:szCs w:val="20"/>
          <w:lang w:val="en-US"/>
        </w:rPr>
        <w:t xml:space="preserve"> and the first three quarters of </w:t>
      </w:r>
      <w:r w:rsidR="1A8E4DE8" w:rsidRPr="00CC562A">
        <w:rPr>
          <w:rFonts w:ascii="Cambria" w:eastAsia="Cambria" w:hAnsi="Cambria" w:cs="Cambria"/>
          <w:sz w:val="20"/>
          <w:szCs w:val="20"/>
          <w:lang w:val="en-US"/>
        </w:rPr>
        <w:t xml:space="preserve">2022, </w:t>
      </w:r>
      <w:r w:rsidR="00A61040" w:rsidRPr="00CC562A">
        <w:rPr>
          <w:rFonts w:ascii="Cambria" w:eastAsia="Cambria" w:hAnsi="Cambria" w:cs="Cambria"/>
          <w:sz w:val="20"/>
          <w:szCs w:val="20"/>
          <w:lang w:val="en-US"/>
        </w:rPr>
        <w:t xml:space="preserve">three working meetings were held in the months of November </w:t>
      </w:r>
      <w:r w:rsidR="1A8E4DE8" w:rsidRPr="00CC562A">
        <w:rPr>
          <w:rFonts w:ascii="Cambria" w:eastAsia="Cambria" w:hAnsi="Cambria" w:cs="Cambria"/>
          <w:sz w:val="20"/>
          <w:szCs w:val="20"/>
          <w:lang w:val="en-US"/>
        </w:rPr>
        <w:t>2021</w:t>
      </w:r>
      <w:r w:rsidR="00A61040" w:rsidRPr="00CC562A">
        <w:rPr>
          <w:rFonts w:ascii="Cambria" w:eastAsia="Cambria" w:hAnsi="Cambria" w:cs="Cambria"/>
          <w:sz w:val="20"/>
          <w:szCs w:val="20"/>
          <w:lang w:val="en-US"/>
        </w:rPr>
        <w:t xml:space="preserve"> and January</w:t>
      </w:r>
      <w:r w:rsidR="1A8E4DE8" w:rsidRPr="00CC562A">
        <w:rPr>
          <w:rFonts w:ascii="Cambria" w:eastAsia="Cambria" w:hAnsi="Cambria" w:cs="Cambria"/>
          <w:sz w:val="20"/>
          <w:szCs w:val="20"/>
          <w:lang w:val="en-US"/>
        </w:rPr>
        <w:t xml:space="preserve"> 2022</w:t>
      </w:r>
      <w:r w:rsidR="00E11A2E" w:rsidRPr="00CC562A">
        <w:rPr>
          <w:rFonts w:ascii="Cambria" w:eastAsia="Cambria" w:hAnsi="Cambria" w:cs="Cambria"/>
          <w:sz w:val="20"/>
          <w:szCs w:val="20"/>
          <w:lang w:val="en-US"/>
        </w:rPr>
        <w:t>. A</w:t>
      </w:r>
      <w:r w:rsidR="00A61040" w:rsidRPr="00CC562A">
        <w:rPr>
          <w:rFonts w:ascii="Cambria" w:eastAsia="Cambria" w:hAnsi="Cambria" w:cs="Cambria"/>
          <w:sz w:val="20"/>
          <w:szCs w:val="20"/>
          <w:lang w:val="en-US"/>
        </w:rPr>
        <w:t xml:space="preserve">t the first meeting, it was agreed that the facilitator’s manual and tools for the </w:t>
      </w:r>
      <w:proofErr w:type="spellStart"/>
      <w:r w:rsidR="00A61040" w:rsidRPr="00CC562A">
        <w:rPr>
          <w:rFonts w:ascii="Cambria" w:eastAsia="Cambria" w:hAnsi="Cambria" w:cs="Cambria"/>
          <w:i/>
          <w:iCs/>
          <w:sz w:val="20"/>
          <w:szCs w:val="20"/>
          <w:lang w:val="en-US"/>
        </w:rPr>
        <w:t>Repensar</w:t>
      </w:r>
      <w:proofErr w:type="spellEnd"/>
      <w:r w:rsidR="00A61040" w:rsidRPr="00CC562A">
        <w:rPr>
          <w:rFonts w:ascii="Cambria" w:eastAsia="Cambria" w:hAnsi="Cambria" w:cs="Cambria"/>
          <w:sz w:val="20"/>
          <w:szCs w:val="20"/>
          <w:lang w:val="en-US"/>
        </w:rPr>
        <w:t xml:space="preserve"> program would be sent </w:t>
      </w:r>
      <w:proofErr w:type="gramStart"/>
      <w:r w:rsidR="00A61040" w:rsidRPr="00CC562A">
        <w:rPr>
          <w:rFonts w:ascii="Cambria" w:eastAsia="Cambria" w:hAnsi="Cambria" w:cs="Cambria"/>
          <w:sz w:val="20"/>
          <w:szCs w:val="20"/>
          <w:lang w:val="en-US"/>
        </w:rPr>
        <w:t>in order to</w:t>
      </w:r>
      <w:proofErr w:type="gramEnd"/>
      <w:r w:rsidR="00A61040" w:rsidRPr="00CC562A">
        <w:rPr>
          <w:rFonts w:ascii="Cambria" w:eastAsia="Cambria" w:hAnsi="Cambria" w:cs="Cambria"/>
          <w:sz w:val="20"/>
          <w:szCs w:val="20"/>
          <w:lang w:val="en-US"/>
        </w:rPr>
        <w:t xml:space="preserve"> strengthen the program</w:t>
      </w:r>
      <w:r w:rsidR="00E11A2E" w:rsidRPr="00CC562A">
        <w:rPr>
          <w:rFonts w:ascii="Cambria" w:eastAsia="Cambria" w:hAnsi="Cambria" w:cs="Cambria"/>
          <w:sz w:val="20"/>
          <w:szCs w:val="20"/>
          <w:lang w:val="en-US"/>
        </w:rPr>
        <w:t>. T</w:t>
      </w:r>
      <w:r w:rsidR="00A61040" w:rsidRPr="00CC562A">
        <w:rPr>
          <w:rFonts w:ascii="Cambria" w:eastAsia="Cambria" w:hAnsi="Cambria" w:cs="Cambria"/>
          <w:sz w:val="20"/>
          <w:szCs w:val="20"/>
          <w:lang w:val="en-US"/>
        </w:rPr>
        <w:t>he second meeting addressed the activities report that the Prosecution sent to</w:t>
      </w:r>
      <w:r w:rsidR="1A8E4DE8" w:rsidRPr="00CC562A">
        <w:rPr>
          <w:rFonts w:ascii="Cambria" w:eastAsia="Cambria" w:hAnsi="Cambria" w:cs="Cambria"/>
          <w:sz w:val="20"/>
          <w:szCs w:val="20"/>
          <w:lang w:val="en-US"/>
        </w:rPr>
        <w:t xml:space="preserve"> CONADIC, as</w:t>
      </w:r>
      <w:r w:rsidR="00A61040" w:rsidRPr="00CC562A">
        <w:rPr>
          <w:rFonts w:ascii="Cambria" w:eastAsia="Cambria" w:hAnsi="Cambria" w:cs="Cambria"/>
          <w:sz w:val="20"/>
          <w:szCs w:val="20"/>
          <w:lang w:val="en-US"/>
        </w:rPr>
        <w:t xml:space="preserve"> well </w:t>
      </w:r>
      <w:r w:rsidR="004C6B86" w:rsidRPr="00CC562A">
        <w:rPr>
          <w:rFonts w:ascii="Cambria" w:eastAsia="Cambria" w:hAnsi="Cambria" w:cs="Cambria"/>
          <w:sz w:val="20"/>
          <w:szCs w:val="20"/>
          <w:lang w:val="en-US"/>
        </w:rPr>
        <w:t xml:space="preserve">the </w:t>
      </w:r>
      <w:r w:rsidR="00A61040" w:rsidRPr="00CC562A">
        <w:rPr>
          <w:rFonts w:ascii="Cambria" w:eastAsia="Cambria" w:hAnsi="Cambria" w:cs="Cambria"/>
          <w:sz w:val="20"/>
          <w:szCs w:val="20"/>
          <w:lang w:val="en-US"/>
        </w:rPr>
        <w:t>RENASME format as a</w:t>
      </w:r>
      <w:r w:rsidR="004C6B86" w:rsidRPr="00CC562A">
        <w:rPr>
          <w:rFonts w:ascii="Cambria" w:eastAsia="Cambria" w:hAnsi="Cambria" w:cs="Cambria"/>
          <w:sz w:val="20"/>
          <w:szCs w:val="20"/>
          <w:lang w:val="en-US"/>
        </w:rPr>
        <w:t xml:space="preserve">n </w:t>
      </w:r>
      <w:r w:rsidR="00A61040" w:rsidRPr="00CC562A">
        <w:rPr>
          <w:rFonts w:ascii="Cambria" w:eastAsia="Cambria" w:hAnsi="Cambria" w:cs="Cambria"/>
          <w:sz w:val="20"/>
          <w:szCs w:val="20"/>
          <w:lang w:val="en-US"/>
        </w:rPr>
        <w:t xml:space="preserve">alternative </w:t>
      </w:r>
      <w:r w:rsidR="004C6B86" w:rsidRPr="00CC562A">
        <w:rPr>
          <w:rFonts w:ascii="Cambria" w:eastAsia="Cambria" w:hAnsi="Cambria" w:cs="Cambria"/>
          <w:sz w:val="20"/>
          <w:szCs w:val="20"/>
          <w:lang w:val="en-US"/>
        </w:rPr>
        <w:t xml:space="preserve">report </w:t>
      </w:r>
      <w:r w:rsidR="00A61040" w:rsidRPr="00CC562A">
        <w:rPr>
          <w:rFonts w:ascii="Cambria" w:eastAsia="Cambria" w:hAnsi="Cambria" w:cs="Cambria"/>
          <w:sz w:val="20"/>
          <w:szCs w:val="20"/>
          <w:lang w:val="en-US"/>
        </w:rPr>
        <w:t xml:space="preserve">to standardize the information </w:t>
      </w:r>
      <w:r w:rsidR="00937F99" w:rsidRPr="00CC562A">
        <w:rPr>
          <w:rFonts w:ascii="Cambria" w:eastAsia="Cambria" w:hAnsi="Cambria" w:cs="Cambria"/>
          <w:sz w:val="20"/>
          <w:szCs w:val="20"/>
          <w:lang w:val="en-US"/>
        </w:rPr>
        <w:t>provided by institutions in addition to the National Strategy</w:t>
      </w:r>
      <w:r w:rsidR="004C6B86" w:rsidRPr="00CC562A">
        <w:rPr>
          <w:rFonts w:ascii="Cambria" w:eastAsia="Cambria" w:hAnsi="Cambria" w:cs="Cambria"/>
          <w:sz w:val="20"/>
          <w:szCs w:val="20"/>
          <w:lang w:val="en-US"/>
        </w:rPr>
        <w:t>. T</w:t>
      </w:r>
      <w:r w:rsidR="00937F99" w:rsidRPr="00CC562A">
        <w:rPr>
          <w:rFonts w:ascii="Cambria" w:eastAsia="Cambria" w:hAnsi="Cambria" w:cs="Cambria"/>
          <w:sz w:val="20"/>
          <w:szCs w:val="20"/>
          <w:lang w:val="en-US"/>
        </w:rPr>
        <w:t xml:space="preserve">he third meeting agreed to establish the linkage between </w:t>
      </w:r>
      <w:r w:rsidR="1A8E4DE8" w:rsidRPr="00CC562A">
        <w:rPr>
          <w:rFonts w:ascii="Cambria" w:eastAsia="Cambria" w:hAnsi="Cambria" w:cs="Cambria"/>
          <w:sz w:val="20"/>
          <w:szCs w:val="20"/>
          <w:lang w:val="en-US"/>
        </w:rPr>
        <w:t xml:space="preserve">REPENSAR </w:t>
      </w:r>
      <w:r w:rsidR="00937F99" w:rsidRPr="00CC562A">
        <w:rPr>
          <w:rFonts w:ascii="Cambria" w:eastAsia="Cambria" w:hAnsi="Cambria" w:cs="Cambria"/>
          <w:sz w:val="20"/>
          <w:szCs w:val="20"/>
          <w:lang w:val="en-US"/>
        </w:rPr>
        <w:t>and other mental health and addictions programs on behalf of the program’s beneficiaries</w:t>
      </w:r>
      <w:r w:rsidR="1A8E4DE8" w:rsidRPr="00CC562A">
        <w:rPr>
          <w:rFonts w:ascii="Cambria" w:eastAsia="Cambria" w:hAnsi="Cambria" w:cs="Cambria"/>
          <w:sz w:val="20"/>
          <w:szCs w:val="20"/>
          <w:lang w:val="en-US"/>
        </w:rPr>
        <w:t>.</w:t>
      </w:r>
      <w:r w:rsidR="00937F99" w:rsidRPr="00CC562A">
        <w:rPr>
          <w:rFonts w:ascii="Cambria" w:eastAsia="Cambria" w:hAnsi="Cambria" w:cs="Cambria"/>
          <w:sz w:val="20"/>
          <w:szCs w:val="20"/>
          <w:lang w:val="en-US"/>
        </w:rPr>
        <w:t xml:space="preserve"> A meeting is planned </w:t>
      </w:r>
      <w:r w:rsidR="004C6B86" w:rsidRPr="00CC562A">
        <w:rPr>
          <w:rFonts w:ascii="Cambria" w:eastAsia="Cambria" w:hAnsi="Cambria" w:cs="Cambria"/>
          <w:sz w:val="20"/>
          <w:szCs w:val="20"/>
          <w:lang w:val="en-US"/>
        </w:rPr>
        <w:t xml:space="preserve">for </w:t>
      </w:r>
      <w:r w:rsidR="00937F99" w:rsidRPr="00CC562A">
        <w:rPr>
          <w:rFonts w:ascii="Cambria" w:eastAsia="Cambria" w:hAnsi="Cambria" w:cs="Cambria"/>
          <w:sz w:val="20"/>
          <w:szCs w:val="20"/>
          <w:lang w:val="en-US"/>
        </w:rPr>
        <w:t xml:space="preserve">follow-up as well as </w:t>
      </w:r>
      <w:r w:rsidR="004C6B86" w:rsidRPr="00CC562A">
        <w:rPr>
          <w:rFonts w:ascii="Cambria" w:eastAsia="Cambria" w:hAnsi="Cambria" w:cs="Cambria"/>
          <w:sz w:val="20"/>
          <w:szCs w:val="20"/>
          <w:lang w:val="en-US"/>
        </w:rPr>
        <w:t>to evaluate</w:t>
      </w:r>
      <w:r w:rsidR="00937F99" w:rsidRPr="00CC562A">
        <w:rPr>
          <w:rFonts w:ascii="Cambria" w:eastAsia="Cambria" w:hAnsi="Cambria" w:cs="Cambria"/>
          <w:sz w:val="20"/>
          <w:szCs w:val="20"/>
          <w:lang w:val="en-US"/>
        </w:rPr>
        <w:t xml:space="preserve"> the agreements reached in the previous three meetings.</w:t>
      </w:r>
      <w:r w:rsidR="00886665" w:rsidRPr="00CC562A">
        <w:rPr>
          <w:rStyle w:val="FootnoteReference"/>
          <w:rFonts w:ascii="Cambria" w:eastAsia="Cambria" w:hAnsi="Cambria" w:cs="Cambria"/>
          <w:sz w:val="20"/>
          <w:szCs w:val="20"/>
          <w:lang w:val="en-US"/>
        </w:rPr>
        <w:footnoteReference w:id="74"/>
      </w:r>
      <w:r w:rsidR="00086C08" w:rsidRPr="00CC562A">
        <w:rPr>
          <w:rFonts w:ascii="Cambria" w:hAnsi="Cambria"/>
          <w:sz w:val="20"/>
          <w:lang w:val="en-US"/>
        </w:rPr>
        <w:t xml:space="preserve"> </w:t>
      </w:r>
      <w:r w:rsidRPr="00CC562A">
        <w:rPr>
          <w:rFonts w:ascii="Cambria" w:hAnsi="Cambria"/>
          <w:sz w:val="20"/>
          <w:lang w:val="en-US"/>
        </w:rPr>
        <w:t xml:space="preserve">In addition, the State indicated that in recent years the National Commission against Addictions has carried out various activities to include the topic </w:t>
      </w:r>
      <w:r w:rsidR="00A92391" w:rsidRPr="00CC562A">
        <w:rPr>
          <w:rFonts w:ascii="Cambria" w:hAnsi="Cambria"/>
          <w:sz w:val="20"/>
          <w:lang w:val="en-US"/>
        </w:rPr>
        <w:t>of human</w:t>
      </w:r>
      <w:r w:rsidRPr="00CC562A">
        <w:rPr>
          <w:rFonts w:ascii="Cambria" w:hAnsi="Cambria"/>
          <w:sz w:val="20"/>
          <w:lang w:val="en-US"/>
        </w:rPr>
        <w:t xml:space="preserve"> rights for those working in residential facilities. It also indicated that a </w:t>
      </w:r>
      <w:r w:rsidR="007E4B76" w:rsidRPr="00CC562A">
        <w:rPr>
          <w:rFonts w:ascii="Cambria" w:hAnsi="Cambria"/>
          <w:sz w:val="20"/>
          <w:lang w:val="en-US"/>
        </w:rPr>
        <w:t>strategy has been implemented that conducts interviews with drug users in residential facilities to identify practices that violate human rights. It also pointed out that the guidelines for the Recognition and Approval of residential facilities have been updated to include</w:t>
      </w:r>
      <w:r w:rsidR="00086C08" w:rsidRPr="00CC562A">
        <w:rPr>
          <w:rFonts w:ascii="Cambria" w:hAnsi="Cambria"/>
          <w:sz w:val="20"/>
          <w:lang w:val="en-US"/>
        </w:rPr>
        <w:t xml:space="preserve"> conceptualiza</w:t>
      </w:r>
      <w:r w:rsidR="007E4B76" w:rsidRPr="00CC562A">
        <w:rPr>
          <w:rFonts w:ascii="Cambria" w:hAnsi="Cambria"/>
          <w:sz w:val="20"/>
          <w:lang w:val="en-US"/>
        </w:rPr>
        <w:t>tions of human rights</w:t>
      </w:r>
      <w:r w:rsidR="00F411EB" w:rsidRPr="00CC562A">
        <w:rPr>
          <w:rFonts w:ascii="Cambria" w:hAnsi="Cambria"/>
          <w:sz w:val="20"/>
          <w:lang w:val="en-US"/>
        </w:rPr>
        <w:t>.</w:t>
      </w:r>
      <w:r w:rsidR="00086C08" w:rsidRPr="00CC562A">
        <w:rPr>
          <w:rStyle w:val="FootnoteReference"/>
          <w:rFonts w:ascii="Cambria" w:hAnsi="Cambria"/>
          <w:sz w:val="20"/>
          <w:lang w:val="en-US"/>
        </w:rPr>
        <w:footnoteReference w:id="75"/>
      </w:r>
    </w:p>
    <w:p w14:paraId="0A1224DE" w14:textId="381C7AC7" w:rsidR="00086C08" w:rsidRPr="00CC562A" w:rsidRDefault="007E4B76"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 xml:space="preserve">Similarly, in its observations regarding this report, the State reported that training sessions were conducted for civil servants on the subject of access to justice with respect to the recommendations made by the </w:t>
      </w:r>
      <w:r w:rsidR="00086C08" w:rsidRPr="00CC562A">
        <w:rPr>
          <w:rFonts w:ascii="Cambria" w:hAnsi="Cambria"/>
          <w:sz w:val="20"/>
          <w:lang w:val="en-US"/>
        </w:rPr>
        <w:t xml:space="preserve">CNDH </w:t>
      </w:r>
      <w:r w:rsidRPr="00CC562A">
        <w:rPr>
          <w:rFonts w:ascii="Cambria" w:hAnsi="Cambria"/>
          <w:sz w:val="20"/>
          <w:lang w:val="en-US"/>
        </w:rPr>
        <w:t xml:space="preserve">and that the General Directorate on Crime Prevention and Community Services has </w:t>
      </w:r>
      <w:r w:rsidR="00D84563" w:rsidRPr="00CC562A">
        <w:rPr>
          <w:rFonts w:ascii="Cambria" w:hAnsi="Cambria"/>
          <w:sz w:val="20"/>
          <w:lang w:val="en-US"/>
        </w:rPr>
        <w:t>conducted</w:t>
      </w:r>
      <w:r w:rsidRPr="00CC562A">
        <w:rPr>
          <w:rFonts w:ascii="Cambria" w:hAnsi="Cambria"/>
          <w:sz w:val="20"/>
          <w:lang w:val="en-US"/>
        </w:rPr>
        <w:t xml:space="preserve"> informative sessions with topics that include the use of psychoactive substances, in addition to working</w:t>
      </w:r>
      <w:r w:rsidR="00D84563" w:rsidRPr="00CC562A">
        <w:rPr>
          <w:rFonts w:ascii="Cambria" w:hAnsi="Cambria"/>
          <w:sz w:val="20"/>
          <w:lang w:val="en-US"/>
        </w:rPr>
        <w:t xml:space="preserve"> meetings with the National Commission against Addictions to plan and evaluate the conduct of workshops on the subject. In addition, the State reported on the implementation of the National Addiction Prevention </w:t>
      </w:r>
      <w:r w:rsidR="00A92391" w:rsidRPr="00CC562A">
        <w:rPr>
          <w:rFonts w:ascii="Cambria" w:hAnsi="Cambria"/>
          <w:sz w:val="20"/>
          <w:lang w:val="en-US"/>
        </w:rPr>
        <w:t>Strategy (</w:t>
      </w:r>
      <w:r w:rsidR="00086C08" w:rsidRPr="00CC562A">
        <w:rPr>
          <w:rFonts w:ascii="Cambria" w:hAnsi="Cambria"/>
          <w:sz w:val="20"/>
          <w:lang w:val="en-US"/>
        </w:rPr>
        <w:t>ENPA) “</w:t>
      </w:r>
      <w:r w:rsidR="00D84563" w:rsidRPr="00CC562A">
        <w:rPr>
          <w:rFonts w:ascii="Cambria" w:hAnsi="Cambria"/>
          <w:sz w:val="20"/>
          <w:lang w:val="en-US"/>
        </w:rPr>
        <w:t>Together for Peace,” on July 5,</w:t>
      </w:r>
      <w:r w:rsidR="00086C08" w:rsidRPr="00CC562A">
        <w:rPr>
          <w:rFonts w:ascii="Cambria" w:hAnsi="Cambria"/>
          <w:sz w:val="20"/>
          <w:lang w:val="en-US"/>
        </w:rPr>
        <w:t xml:space="preserve"> 2019, </w:t>
      </w:r>
      <w:r w:rsidR="00D84563" w:rsidRPr="00CC562A">
        <w:rPr>
          <w:rFonts w:ascii="Cambria" w:hAnsi="Cambria"/>
          <w:sz w:val="20"/>
          <w:lang w:val="en-US"/>
        </w:rPr>
        <w:t xml:space="preserve">to put the community at the center of efforts for peace, health, well-being, and democracy </w:t>
      </w:r>
      <w:proofErr w:type="gramStart"/>
      <w:r w:rsidR="00D84563" w:rsidRPr="00CC562A">
        <w:rPr>
          <w:rFonts w:ascii="Cambria" w:hAnsi="Cambria"/>
          <w:sz w:val="20"/>
          <w:lang w:val="en-US"/>
        </w:rPr>
        <w:t>in order to</w:t>
      </w:r>
      <w:proofErr w:type="gramEnd"/>
      <w:r w:rsidR="00D84563" w:rsidRPr="00CC562A">
        <w:rPr>
          <w:rFonts w:ascii="Cambria" w:hAnsi="Cambria"/>
          <w:sz w:val="20"/>
          <w:lang w:val="en-US"/>
        </w:rPr>
        <w:t xml:space="preserve"> address the problem of addictions and have an impact on preventing and reducing the use of psychoactive substances in childhood, leaving behind a policy of criminalization</w:t>
      </w:r>
      <w:r w:rsidR="00086C08" w:rsidRPr="00CC562A">
        <w:rPr>
          <w:rFonts w:ascii="Cambria" w:hAnsi="Cambria"/>
          <w:sz w:val="20"/>
          <w:lang w:val="en-US"/>
        </w:rPr>
        <w:t xml:space="preserve">. </w:t>
      </w:r>
      <w:r w:rsidR="00D84563" w:rsidRPr="00CC562A">
        <w:rPr>
          <w:rFonts w:ascii="Cambria" w:hAnsi="Cambria"/>
          <w:sz w:val="20"/>
          <w:lang w:val="en-US"/>
        </w:rPr>
        <w:t>On the</w:t>
      </w:r>
      <w:r w:rsidR="00086C08" w:rsidRPr="00CC562A">
        <w:rPr>
          <w:rFonts w:ascii="Cambria" w:hAnsi="Cambria"/>
          <w:sz w:val="20"/>
          <w:lang w:val="en-US"/>
        </w:rPr>
        <w:t xml:space="preserve"> ENPA, </w:t>
      </w:r>
      <w:r w:rsidR="00D84563" w:rsidRPr="00CC562A">
        <w:rPr>
          <w:rFonts w:ascii="Cambria" w:hAnsi="Cambria"/>
          <w:sz w:val="20"/>
          <w:lang w:val="en-US"/>
        </w:rPr>
        <w:t xml:space="preserve">the State reported that this strategy seeks coordination among the three levels of government </w:t>
      </w:r>
      <w:proofErr w:type="gramStart"/>
      <w:r w:rsidR="00D84563" w:rsidRPr="00CC562A">
        <w:rPr>
          <w:rFonts w:ascii="Cambria" w:hAnsi="Cambria"/>
          <w:sz w:val="20"/>
          <w:lang w:val="en-US"/>
        </w:rPr>
        <w:t>in order to</w:t>
      </w:r>
      <w:proofErr w:type="gramEnd"/>
      <w:r w:rsidR="00D84563" w:rsidRPr="00CC562A">
        <w:rPr>
          <w:rFonts w:ascii="Cambria" w:hAnsi="Cambria"/>
          <w:sz w:val="20"/>
          <w:lang w:val="en-US"/>
        </w:rPr>
        <w:t xml:space="preserve"> promote reconstruction of the social fabric with the participation of different entities and</w:t>
      </w:r>
      <w:r w:rsidR="00E04948" w:rsidRPr="00CC562A">
        <w:rPr>
          <w:rFonts w:ascii="Cambria" w:hAnsi="Cambria"/>
          <w:sz w:val="20"/>
          <w:lang w:val="en-US"/>
        </w:rPr>
        <w:t xml:space="preserve"> addressing the factors underlying the problem, combating discrimination and stigmas, and giving priority to mental health. Notable components of the ENPA’s lines of work include the subject of violence and the National Suicide Prevention Program.</w:t>
      </w:r>
      <w:r w:rsidR="00086C08" w:rsidRPr="00CC562A">
        <w:rPr>
          <w:rStyle w:val="FootnoteReference"/>
          <w:rFonts w:ascii="Cambria" w:hAnsi="Cambria"/>
          <w:sz w:val="20"/>
          <w:lang w:val="en-US"/>
        </w:rPr>
        <w:footnoteReference w:id="76"/>
      </w:r>
    </w:p>
    <w:p w14:paraId="33AFD0AB" w14:textId="749E4EFE" w:rsidR="00A03DC3" w:rsidRPr="00CC562A" w:rsidRDefault="00937F99" w:rsidP="00D82CEF">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w:t>
      </w:r>
      <w:r w:rsidR="1A8E4DE8" w:rsidRPr="00CC562A">
        <w:rPr>
          <w:rFonts w:ascii="Cambria" w:eastAsia="Cambria" w:hAnsi="Cambria" w:cs="Cambria"/>
          <w:sz w:val="20"/>
          <w:szCs w:val="20"/>
          <w:lang w:val="en-US"/>
        </w:rPr>
        <w:t xml:space="preserve"> </w:t>
      </w:r>
      <w:r w:rsidR="08506A8C" w:rsidRPr="00CC562A">
        <w:rPr>
          <w:rFonts w:ascii="Cambria" w:eastAsia="Cambria" w:hAnsi="Cambria" w:cs="Cambria"/>
          <w:sz w:val="20"/>
          <w:szCs w:val="20"/>
          <w:lang w:val="en-US"/>
        </w:rPr>
        <w:t>CMDPDH</w:t>
      </w:r>
      <w:r w:rsidRPr="00CC562A">
        <w:rPr>
          <w:rFonts w:ascii="Cambria" w:eastAsia="Cambria" w:hAnsi="Cambria" w:cs="Cambria"/>
          <w:sz w:val="20"/>
          <w:szCs w:val="20"/>
          <w:lang w:val="en-US"/>
        </w:rPr>
        <w:t xml:space="preserve"> reported</w:t>
      </w:r>
      <w:r w:rsidR="005B1595" w:rsidRPr="00CC562A">
        <w:rPr>
          <w:rStyle w:val="FootnoteReference"/>
          <w:rFonts w:ascii="Cambria" w:eastAsia="Cambria" w:hAnsi="Cambria" w:cs="Cambria"/>
          <w:sz w:val="20"/>
          <w:szCs w:val="20"/>
          <w:lang w:val="en-US"/>
        </w:rPr>
        <w:footnoteReference w:id="77"/>
      </w:r>
      <w:r w:rsidR="08506A8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that the government’s priority in the public security strategy is</w:t>
      </w:r>
      <w:r w:rsidR="004C6B86" w:rsidRPr="00CC562A">
        <w:rPr>
          <w:rFonts w:ascii="Cambria" w:eastAsia="Cambria" w:hAnsi="Cambria" w:cs="Cambria"/>
          <w:sz w:val="20"/>
          <w:szCs w:val="20"/>
          <w:lang w:val="en-US"/>
        </w:rPr>
        <w:t xml:space="preserve"> to combat</w:t>
      </w:r>
      <w:r w:rsidRPr="00CC562A">
        <w:rPr>
          <w:rFonts w:ascii="Cambria" w:eastAsia="Cambria" w:hAnsi="Cambria" w:cs="Cambria"/>
          <w:sz w:val="20"/>
          <w:szCs w:val="20"/>
          <w:lang w:val="en-US"/>
        </w:rPr>
        <w:t xml:space="preserve"> drugs and drug trafficking. They reported tha</w:t>
      </w:r>
      <w:r w:rsidR="004C6B86"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 the proposal to legalize recreational use of marijuana again failed to gain approval </w:t>
      </w:r>
      <w:r w:rsidR="004C6B86" w:rsidRPr="00CC562A">
        <w:rPr>
          <w:rFonts w:ascii="Cambria" w:eastAsia="Cambria" w:hAnsi="Cambria" w:cs="Cambria"/>
          <w:sz w:val="20"/>
          <w:szCs w:val="20"/>
          <w:lang w:val="en-US"/>
        </w:rPr>
        <w:t xml:space="preserve">in the Congress </w:t>
      </w:r>
      <w:r w:rsidRPr="00CC562A">
        <w:rPr>
          <w:rFonts w:ascii="Cambria" w:eastAsia="Cambria" w:hAnsi="Cambria" w:cs="Cambria"/>
          <w:sz w:val="20"/>
          <w:szCs w:val="20"/>
          <w:lang w:val="en-US"/>
        </w:rPr>
        <w:t xml:space="preserve">this year. Nonetheless, </w:t>
      </w:r>
      <w:r w:rsidR="00B7013E" w:rsidRPr="00CC562A">
        <w:rPr>
          <w:rFonts w:ascii="Cambria" w:eastAsia="Cambria" w:hAnsi="Cambria" w:cs="Cambria"/>
          <w:sz w:val="20"/>
          <w:szCs w:val="20"/>
          <w:lang w:val="en-US"/>
        </w:rPr>
        <w:t xml:space="preserve">in a decision issued on June </w:t>
      </w:r>
      <w:r w:rsidR="77BC9EAC" w:rsidRPr="00CC562A">
        <w:rPr>
          <w:rFonts w:ascii="Cambria" w:eastAsia="Cambria" w:hAnsi="Cambria" w:cs="Cambria"/>
          <w:sz w:val="20"/>
          <w:szCs w:val="20"/>
          <w:lang w:val="en-US"/>
        </w:rPr>
        <w:t>28</w:t>
      </w:r>
      <w:r w:rsidR="00B7013E" w:rsidRPr="00CC562A">
        <w:rPr>
          <w:rFonts w:ascii="Cambria" w:eastAsia="Cambria" w:hAnsi="Cambria" w:cs="Cambria"/>
          <w:sz w:val="20"/>
          <w:szCs w:val="20"/>
          <w:lang w:val="en-US"/>
        </w:rPr>
        <w:t>,</w:t>
      </w:r>
      <w:r w:rsidR="77BC9EAC" w:rsidRPr="00CC562A">
        <w:rPr>
          <w:rFonts w:ascii="Cambria" w:eastAsia="Cambria" w:hAnsi="Cambria" w:cs="Cambria"/>
          <w:sz w:val="20"/>
          <w:szCs w:val="20"/>
          <w:lang w:val="en-US"/>
        </w:rPr>
        <w:t xml:space="preserve"> 2021, </w:t>
      </w:r>
      <w:r w:rsidR="00B7013E" w:rsidRPr="00CC562A">
        <w:rPr>
          <w:rFonts w:ascii="Cambria" w:eastAsia="Cambria" w:hAnsi="Cambria" w:cs="Cambria"/>
          <w:sz w:val="20"/>
          <w:szCs w:val="20"/>
          <w:lang w:val="en-US"/>
        </w:rPr>
        <w:t>the</w:t>
      </w:r>
      <w:r w:rsidR="77BC9EAC" w:rsidRPr="00CC562A">
        <w:rPr>
          <w:rFonts w:ascii="Cambria" w:eastAsia="Cambria" w:hAnsi="Cambria" w:cs="Cambria"/>
          <w:sz w:val="20"/>
          <w:szCs w:val="20"/>
          <w:lang w:val="en-US"/>
        </w:rPr>
        <w:t xml:space="preserve"> SCJN elimin</w:t>
      </w:r>
      <w:r w:rsidR="00B7013E" w:rsidRPr="00CC562A">
        <w:rPr>
          <w:rFonts w:ascii="Cambria" w:eastAsia="Cambria" w:hAnsi="Cambria" w:cs="Cambria"/>
          <w:sz w:val="20"/>
          <w:szCs w:val="20"/>
          <w:lang w:val="en-US"/>
        </w:rPr>
        <w:t>ate</w:t>
      </w:r>
      <w:r w:rsidR="004C6B86" w:rsidRPr="00CC562A">
        <w:rPr>
          <w:rFonts w:ascii="Cambria" w:eastAsia="Cambria" w:hAnsi="Cambria" w:cs="Cambria"/>
          <w:sz w:val="20"/>
          <w:szCs w:val="20"/>
          <w:lang w:val="en-US"/>
        </w:rPr>
        <w:t>d</w:t>
      </w:r>
      <w:r w:rsidR="00B7013E" w:rsidRPr="00CC562A">
        <w:rPr>
          <w:rFonts w:ascii="Cambria" w:eastAsia="Cambria" w:hAnsi="Cambria" w:cs="Cambria"/>
          <w:sz w:val="20"/>
          <w:szCs w:val="20"/>
          <w:lang w:val="en-US"/>
        </w:rPr>
        <w:t xml:space="preserve"> the prohibition on the recreational use of marijuana in Mexico</w:t>
      </w:r>
      <w:r w:rsidR="7BD8277A" w:rsidRPr="00CC562A">
        <w:rPr>
          <w:rFonts w:ascii="Cambria" w:eastAsia="Cambria" w:hAnsi="Cambria" w:cs="Cambria"/>
          <w:sz w:val="20"/>
          <w:szCs w:val="20"/>
          <w:lang w:val="en-US"/>
        </w:rPr>
        <w:t xml:space="preserve"> </w:t>
      </w:r>
      <w:r w:rsidR="00B7013E" w:rsidRPr="00CC562A">
        <w:rPr>
          <w:rFonts w:ascii="Cambria" w:eastAsia="Cambria" w:hAnsi="Cambria" w:cs="Cambria"/>
          <w:sz w:val="20"/>
          <w:szCs w:val="20"/>
          <w:lang w:val="en-US"/>
        </w:rPr>
        <w:t>in small amounts, in that it does not support its import, sale, and distribution</w:t>
      </w:r>
      <w:r w:rsidR="77BC9EAC" w:rsidRPr="00CC562A">
        <w:rPr>
          <w:rFonts w:ascii="Cambria" w:eastAsia="Cambria" w:hAnsi="Cambria" w:cs="Cambria"/>
          <w:sz w:val="20"/>
          <w:szCs w:val="20"/>
          <w:lang w:val="en-US"/>
        </w:rPr>
        <w:t xml:space="preserve">. </w:t>
      </w:r>
    </w:p>
    <w:p w14:paraId="682D80EF" w14:textId="5ACDCB01" w:rsidR="003770AC" w:rsidRPr="00CC562A" w:rsidRDefault="2D308A46"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B7013E" w:rsidRPr="00CC562A">
        <w:rPr>
          <w:rFonts w:ascii="Cambria" w:eastAsia="Cambria" w:hAnsi="Cambria" w:cs="Cambria"/>
          <w:sz w:val="20"/>
          <w:szCs w:val="20"/>
          <w:lang w:val="en-US"/>
        </w:rPr>
        <w:t xml:space="preserve">The IACHR notes that the direction of the drug policy adopted by the Mexican State continues to follow a prohibitionist strategy in that the current drug policy is not being designed, implemented, or </w:t>
      </w:r>
      <w:r w:rsidR="00B7013E" w:rsidRPr="00CC562A">
        <w:rPr>
          <w:rFonts w:ascii="Cambria" w:eastAsia="Cambria" w:hAnsi="Cambria" w:cs="Cambria"/>
          <w:sz w:val="20"/>
          <w:szCs w:val="20"/>
          <w:lang w:val="en-US"/>
        </w:rPr>
        <w:lastRenderedPageBreak/>
        <w:t>evaluated from a public policy perspective focused on</w:t>
      </w:r>
      <w:r w:rsidR="257DDA80" w:rsidRPr="00CC562A">
        <w:rPr>
          <w:rFonts w:ascii="Cambria" w:eastAsia="Cambria" w:hAnsi="Cambria" w:cs="Cambria"/>
          <w:sz w:val="20"/>
          <w:szCs w:val="20"/>
          <w:lang w:val="en-US"/>
        </w:rPr>
        <w:t xml:space="preserve"> </w:t>
      </w:r>
      <w:r w:rsidR="00FD4270" w:rsidRPr="00CC562A">
        <w:rPr>
          <w:rFonts w:ascii="Cambria" w:eastAsia="Cambria" w:hAnsi="Cambria" w:cs="Cambria"/>
          <w:sz w:val="20"/>
          <w:szCs w:val="20"/>
          <w:lang w:val="en-US"/>
        </w:rPr>
        <w:t>human rights</w:t>
      </w:r>
      <w:r w:rsidR="257DDA80" w:rsidRPr="00CC562A">
        <w:rPr>
          <w:rFonts w:ascii="Cambria" w:eastAsia="Cambria" w:hAnsi="Cambria" w:cs="Cambria"/>
          <w:sz w:val="20"/>
          <w:szCs w:val="20"/>
          <w:lang w:val="en-US"/>
        </w:rPr>
        <w:t xml:space="preserve">. </w:t>
      </w:r>
      <w:r w:rsidR="00FD4270" w:rsidRPr="00CC562A">
        <w:rPr>
          <w:rFonts w:ascii="Cambria" w:eastAsia="Cambria" w:hAnsi="Cambria" w:cs="Cambria"/>
          <w:sz w:val="20"/>
          <w:szCs w:val="20"/>
          <w:lang w:val="en-US"/>
        </w:rPr>
        <w:t>According to the United Nations Office on Drugs and Crime</w:t>
      </w:r>
      <w:r w:rsidR="61E1F7F8" w:rsidRPr="00CC562A">
        <w:rPr>
          <w:rFonts w:ascii="Cambria" w:eastAsia="Cambria" w:hAnsi="Cambria" w:cs="Cambria"/>
          <w:sz w:val="20"/>
          <w:szCs w:val="20"/>
          <w:lang w:val="en-US"/>
        </w:rPr>
        <w:t xml:space="preserve"> (UNODC)</w:t>
      </w:r>
      <w:r w:rsidR="00FD4270" w:rsidRPr="00CC562A">
        <w:rPr>
          <w:rFonts w:ascii="Cambria" w:eastAsia="Cambria" w:hAnsi="Cambria" w:cs="Cambria"/>
          <w:sz w:val="20"/>
          <w:szCs w:val="20"/>
          <w:lang w:val="en-US"/>
        </w:rPr>
        <w:t>, that policy has generated a series of “unanticipated negative consequences,” notably including the creation of an enormous criminal market, displacement of production and trafficking toward new areas</w:t>
      </w:r>
      <w:r w:rsidR="61E1F7F8" w:rsidRPr="00CC562A">
        <w:rPr>
          <w:rFonts w:ascii="Cambria" w:eastAsia="Cambria" w:hAnsi="Cambria" w:cs="Cambria"/>
          <w:sz w:val="20"/>
          <w:szCs w:val="20"/>
          <w:lang w:val="en-US"/>
        </w:rPr>
        <w:t xml:space="preserve"> (</w:t>
      </w:r>
      <w:r w:rsidR="00FD4270" w:rsidRPr="00CC562A">
        <w:rPr>
          <w:rFonts w:ascii="Cambria" w:eastAsia="Cambria" w:hAnsi="Cambria" w:cs="Cambria"/>
          <w:sz w:val="20"/>
          <w:szCs w:val="20"/>
          <w:lang w:val="en-US"/>
        </w:rPr>
        <w:t>balloon effect</w:t>
      </w:r>
      <w:r w:rsidR="61E1F7F8" w:rsidRPr="00CC562A">
        <w:rPr>
          <w:rFonts w:ascii="Cambria" w:eastAsia="Cambria" w:hAnsi="Cambria" w:cs="Cambria"/>
          <w:sz w:val="20"/>
          <w:szCs w:val="20"/>
          <w:lang w:val="en-US"/>
        </w:rPr>
        <w:t xml:space="preserve">), </w:t>
      </w:r>
      <w:r w:rsidR="00FD4270" w:rsidRPr="00CC562A">
        <w:rPr>
          <w:rFonts w:ascii="Cambria" w:eastAsia="Cambria" w:hAnsi="Cambria" w:cs="Cambria"/>
          <w:sz w:val="20"/>
          <w:szCs w:val="20"/>
          <w:lang w:val="en-US"/>
        </w:rPr>
        <w:t xml:space="preserve">diversion of resources from the area of health to law enforcement, </w:t>
      </w:r>
      <w:r w:rsidR="004C6B86" w:rsidRPr="00CC562A">
        <w:rPr>
          <w:rFonts w:ascii="Cambria" w:eastAsia="Cambria" w:hAnsi="Cambria" w:cs="Cambria"/>
          <w:sz w:val="20"/>
          <w:szCs w:val="20"/>
          <w:lang w:val="en-US"/>
        </w:rPr>
        <w:t>a trend</w:t>
      </w:r>
      <w:r w:rsidR="00FD4270" w:rsidRPr="00CC562A">
        <w:rPr>
          <w:rFonts w:ascii="Cambria" w:eastAsia="Cambria" w:hAnsi="Cambria" w:cs="Cambria"/>
          <w:sz w:val="20"/>
          <w:szCs w:val="20"/>
          <w:lang w:val="en-US"/>
        </w:rPr>
        <w:t xml:space="preserve"> toward the use of new drugs, and stigmatization and marginalization of drug users.</w:t>
      </w:r>
      <w:r w:rsidR="00CC2D52" w:rsidRPr="00CC562A">
        <w:rPr>
          <w:rStyle w:val="FootnoteReference"/>
          <w:rFonts w:ascii="Cambria" w:eastAsia="Cambria" w:hAnsi="Cambria" w:cs="Cambria"/>
          <w:sz w:val="20"/>
          <w:szCs w:val="20"/>
          <w:lang w:val="en-US"/>
        </w:rPr>
        <w:footnoteReference w:id="78"/>
      </w:r>
    </w:p>
    <w:p w14:paraId="7FEB7EEF" w14:textId="21DF34F6" w:rsidR="00522749" w:rsidRPr="00CC562A" w:rsidRDefault="00FD4270" w:rsidP="00001918">
      <w:pPr>
        <w:numPr>
          <w:ilvl w:val="0"/>
          <w:numId w:val="2"/>
        </w:numPr>
        <w:shd w:val="clear" w:color="auto" w:fill="FFFFFF" w:themeFill="background1"/>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In this regard, the IACHR considers that human rights should be an integral part of the development, implementation, and evaluation of any policy on drugs. Based on the foregoing, the IACHR find that the recommendation is the subject of </w:t>
      </w:r>
      <w:r w:rsidRPr="00CC562A">
        <w:rPr>
          <w:rFonts w:ascii="Cambria" w:eastAsia="Cambria" w:hAnsi="Cambria" w:cs="Cambria"/>
          <w:b/>
          <w:bCs/>
          <w:sz w:val="20"/>
          <w:szCs w:val="20"/>
          <w:lang w:val="en-US"/>
        </w:rPr>
        <w:t>partial compliance</w:t>
      </w:r>
      <w:r w:rsidR="1427B88F" w:rsidRPr="00CC562A">
        <w:rPr>
          <w:rFonts w:ascii="Cambria" w:hAnsi="Cambria"/>
          <w:b/>
          <w:bCs/>
          <w:sz w:val="20"/>
          <w:szCs w:val="20"/>
          <w:lang w:val="en-US"/>
        </w:rPr>
        <w:t xml:space="preserve">. </w:t>
      </w:r>
    </w:p>
    <w:p w14:paraId="69B92C75" w14:textId="60C8C508" w:rsidR="00522749" w:rsidRPr="00CC562A" w:rsidRDefault="00FD4270" w:rsidP="00001918">
      <w:pPr>
        <w:numPr>
          <w:ilvl w:val="0"/>
          <w:numId w:val="2"/>
        </w:numPr>
        <w:shd w:val="clear" w:color="auto" w:fill="FFFFFF" w:themeFill="background1"/>
        <w:spacing w:before="240" w:line="240" w:lineRule="auto"/>
        <w:ind w:left="0" w:firstLine="720"/>
        <w:jc w:val="both"/>
        <w:rPr>
          <w:rFonts w:ascii="Cambria" w:eastAsia="Cambria" w:hAnsi="Cambria" w:cs="Cambria"/>
          <w:b/>
          <w:bCs/>
          <w:sz w:val="20"/>
          <w:szCs w:val="20"/>
          <w:lang w:val="en-US"/>
        </w:rPr>
      </w:pP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guide the implementation of this recommendation, the Commission urges the State to adopt compliance measures intended to strengthen public policies from a human rights perspective, </w:t>
      </w:r>
      <w:r w:rsidR="00AC4036" w:rsidRPr="00CC562A">
        <w:rPr>
          <w:rFonts w:ascii="Cambria" w:hAnsi="Cambria"/>
          <w:sz w:val="20"/>
          <w:szCs w:val="20"/>
          <w:lang w:val="en-US"/>
        </w:rPr>
        <w:t>allowing the reorientation of the prohibitionist approach of Mexico’s drug policy.</w:t>
      </w:r>
    </w:p>
    <w:p w14:paraId="4957EF94" w14:textId="1684A76E" w:rsidR="000E2D37" w:rsidRPr="00CC562A" w:rsidRDefault="00852994" w:rsidP="000654DE">
      <w:pPr>
        <w:pStyle w:val="Heading2"/>
        <w:numPr>
          <w:ilvl w:val="0"/>
          <w:numId w:val="5"/>
        </w:numPr>
        <w:spacing w:before="24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D</w:t>
      </w:r>
      <w:r w:rsidR="00AC4036" w:rsidRPr="00CC562A">
        <w:rPr>
          <w:rFonts w:ascii="Cambria" w:hAnsi="Cambria"/>
          <w:b/>
          <w:bCs/>
          <w:color w:val="000000" w:themeColor="text1"/>
          <w:sz w:val="22"/>
          <w:szCs w:val="22"/>
          <w:lang w:val="en-US"/>
        </w:rPr>
        <w:t>isappearances and Forced Disappearances</w:t>
      </w:r>
    </w:p>
    <w:p w14:paraId="15565950" w14:textId="4DB4A38A" w:rsidR="00852994" w:rsidRPr="00CC562A" w:rsidRDefault="00852994" w:rsidP="00001918">
      <w:pPr>
        <w:numPr>
          <w:ilvl w:val="0"/>
          <w:numId w:val="4"/>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eastAsia="Cambria" w:hAnsi="Cambria" w:cs="Cambria"/>
          <w:sz w:val="20"/>
          <w:szCs w:val="20"/>
          <w:lang w:val="en-US"/>
        </w:rPr>
        <w:t>Adopt</w:t>
      </w:r>
      <w:r w:rsidR="001514A4" w:rsidRPr="00CC562A">
        <w:rPr>
          <w:rFonts w:ascii="Cambria" w:eastAsia="Cambria" w:hAnsi="Cambria" w:cs="Cambria"/>
          <w:sz w:val="20"/>
          <w:szCs w:val="20"/>
          <w:lang w:val="en-US"/>
        </w:rPr>
        <w:t xml:space="preserve"> a General Law on Disappearances and </w:t>
      </w:r>
      <w:r w:rsidR="00507873" w:rsidRPr="00CC562A">
        <w:rPr>
          <w:rFonts w:ascii="Cambria" w:eastAsia="Cambria" w:hAnsi="Cambria" w:cs="Cambria"/>
          <w:sz w:val="20"/>
          <w:szCs w:val="20"/>
          <w:lang w:val="en-US"/>
        </w:rPr>
        <w:t>F</w:t>
      </w:r>
      <w:r w:rsidR="001514A4" w:rsidRPr="00CC562A">
        <w:rPr>
          <w:rFonts w:ascii="Cambria" w:eastAsia="Cambria" w:hAnsi="Cambria" w:cs="Cambria"/>
          <w:sz w:val="20"/>
          <w:szCs w:val="20"/>
          <w:lang w:val="en-US"/>
        </w:rPr>
        <w:t>orced Disappearances</w:t>
      </w:r>
      <w:r w:rsidRPr="00CC562A">
        <w:rPr>
          <w:rFonts w:ascii="Cambria" w:eastAsia="Cambria" w:hAnsi="Cambria" w:cs="Cambria"/>
          <w:sz w:val="20"/>
          <w:szCs w:val="20"/>
          <w:lang w:val="en-US"/>
        </w:rPr>
        <w:t xml:space="preserve">, </w:t>
      </w:r>
      <w:r w:rsidR="001514A4" w:rsidRPr="00CC562A">
        <w:rPr>
          <w:rFonts w:ascii="Cambria" w:eastAsia="Cambria" w:hAnsi="Cambria" w:cs="Cambria"/>
          <w:sz w:val="20"/>
          <w:szCs w:val="20"/>
          <w:lang w:val="en-US"/>
        </w:rPr>
        <w:t xml:space="preserve">and take all necessary measures to ensure that, at both the federal and state levels, legislation and practices </w:t>
      </w:r>
      <w:r w:rsidR="004C6B86" w:rsidRPr="00CC562A">
        <w:rPr>
          <w:rFonts w:ascii="Cambria" w:eastAsia="Cambria" w:hAnsi="Cambria" w:cs="Cambria"/>
          <w:sz w:val="20"/>
          <w:szCs w:val="20"/>
          <w:lang w:val="en-US"/>
        </w:rPr>
        <w:t>conform</w:t>
      </w:r>
      <w:r w:rsidR="001514A4" w:rsidRPr="00CC562A">
        <w:rPr>
          <w:rFonts w:ascii="Cambria" w:eastAsia="Cambria" w:hAnsi="Cambria" w:cs="Cambria"/>
          <w:sz w:val="20"/>
          <w:szCs w:val="20"/>
          <w:lang w:val="en-US"/>
        </w:rPr>
        <w:t xml:space="preserve"> to international standards in this area</w:t>
      </w:r>
      <w:r w:rsidRPr="00CC562A">
        <w:rPr>
          <w:rFonts w:ascii="Cambria" w:eastAsia="Cambria" w:hAnsi="Cambria" w:cs="Cambria"/>
          <w:sz w:val="20"/>
          <w:szCs w:val="20"/>
          <w:lang w:val="en-US"/>
        </w:rPr>
        <w:t>.</w:t>
      </w:r>
    </w:p>
    <w:p w14:paraId="52813A3A" w14:textId="7D2A4062" w:rsidR="00E931C6" w:rsidRPr="00CC562A" w:rsidRDefault="00E931C6" w:rsidP="00001918">
      <w:pPr>
        <w:numPr>
          <w:ilvl w:val="0"/>
          <w:numId w:val="4"/>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Establ</w:t>
      </w:r>
      <w:r w:rsidR="001514A4" w:rsidRPr="00CC562A">
        <w:rPr>
          <w:rFonts w:ascii="Cambria" w:eastAsia="Cambria" w:hAnsi="Cambria" w:cs="Cambria"/>
          <w:sz w:val="20"/>
          <w:szCs w:val="20"/>
          <w:lang w:val="en-US"/>
        </w:rPr>
        <w:t>ish immediate search mechanisms for missing persons throughout the national territory</w:t>
      </w:r>
      <w:r w:rsidRPr="00CC562A">
        <w:rPr>
          <w:rFonts w:ascii="Cambria" w:eastAsia="Cambria" w:hAnsi="Cambria" w:cs="Cambria"/>
          <w:sz w:val="20"/>
          <w:szCs w:val="20"/>
          <w:lang w:val="en-US"/>
        </w:rPr>
        <w:t xml:space="preserve">. </w:t>
      </w:r>
    </w:p>
    <w:p w14:paraId="42A3A47A" w14:textId="2DFC7A58" w:rsidR="00E931C6" w:rsidRPr="00CC562A" w:rsidRDefault="001514A4" w:rsidP="00001918">
      <w:pPr>
        <w:numPr>
          <w:ilvl w:val="0"/>
          <w:numId w:val="4"/>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Improve the </w:t>
      </w:r>
      <w:r w:rsidR="008E3BD0" w:rsidRPr="00CC562A">
        <w:rPr>
          <w:rFonts w:ascii="Cambria" w:eastAsia="Cambria" w:hAnsi="Cambria" w:cs="Cambria"/>
          <w:sz w:val="20"/>
          <w:szCs w:val="20"/>
          <w:lang w:val="en-US"/>
        </w:rPr>
        <w:t>National Register</w:t>
      </w:r>
      <w:r w:rsidRPr="00CC562A">
        <w:rPr>
          <w:rFonts w:ascii="Cambria" w:eastAsia="Cambria" w:hAnsi="Cambria" w:cs="Cambria"/>
          <w:sz w:val="20"/>
          <w:szCs w:val="20"/>
          <w:lang w:val="en-US"/>
        </w:rPr>
        <w:t xml:space="preserve"> of Missing Persons as a single registry of disappearances th</w:t>
      </w:r>
      <w:r w:rsidR="004C6B86" w:rsidRPr="00CC562A">
        <w:rPr>
          <w:rFonts w:ascii="Cambria" w:eastAsia="Cambria" w:hAnsi="Cambria" w:cs="Cambria"/>
          <w:sz w:val="20"/>
          <w:szCs w:val="20"/>
          <w:lang w:val="en-US"/>
        </w:rPr>
        <w:t>a</w:t>
      </w:r>
      <w:r w:rsidRPr="00CC562A">
        <w:rPr>
          <w:rFonts w:ascii="Cambria" w:eastAsia="Cambria" w:hAnsi="Cambria" w:cs="Cambria"/>
          <w:sz w:val="20"/>
          <w:szCs w:val="20"/>
          <w:lang w:val="en-US"/>
        </w:rPr>
        <w:t>t also allow</w:t>
      </w:r>
      <w:r w:rsidR="004C6B86"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registering a person as a victim of forced disappearance.</w:t>
      </w:r>
      <w:r w:rsidR="00E931C6" w:rsidRPr="00CC562A">
        <w:rPr>
          <w:rFonts w:ascii="Cambria" w:eastAsia="Cambria" w:hAnsi="Cambria" w:cs="Cambria"/>
          <w:sz w:val="20"/>
          <w:szCs w:val="20"/>
          <w:lang w:val="en-US"/>
        </w:rPr>
        <w:t xml:space="preserve"> </w:t>
      </w:r>
      <w:r w:rsidR="000A2B60" w:rsidRPr="00CC562A">
        <w:rPr>
          <w:rFonts w:ascii="Cambria" w:eastAsia="Cambria" w:hAnsi="Cambria" w:cs="Cambria"/>
          <w:sz w:val="20"/>
          <w:szCs w:val="20"/>
          <w:lang w:val="en-US"/>
        </w:rPr>
        <w:t xml:space="preserve">A database should contain personal information on missing persons, the </w:t>
      </w:r>
      <w:r w:rsidR="004C6B86" w:rsidRPr="00CC562A">
        <w:rPr>
          <w:rFonts w:ascii="Cambria" w:eastAsia="Cambria" w:hAnsi="Cambria" w:cs="Cambria"/>
          <w:sz w:val="20"/>
          <w:szCs w:val="20"/>
          <w:lang w:val="en-US"/>
        </w:rPr>
        <w:t>personal data needed</w:t>
      </w:r>
      <w:r w:rsidR="000A2B60" w:rsidRPr="00CC562A">
        <w:rPr>
          <w:rFonts w:ascii="Cambria" w:eastAsia="Cambria" w:hAnsi="Cambria" w:cs="Cambria"/>
          <w:sz w:val="20"/>
          <w:szCs w:val="20"/>
          <w:lang w:val="en-US"/>
        </w:rPr>
        <w:t xml:space="preserve"> – mainly genetic and cellular samples – information regarding the relatives of missing persons, obtained with their consent; and </w:t>
      </w:r>
      <w:r w:rsidR="005160F8" w:rsidRPr="00CC562A">
        <w:rPr>
          <w:rFonts w:ascii="Cambria" w:eastAsia="Cambria" w:hAnsi="Cambria" w:cs="Cambria"/>
          <w:sz w:val="20"/>
          <w:szCs w:val="20"/>
          <w:lang w:val="en-US"/>
        </w:rPr>
        <w:t>genetic and</w:t>
      </w:r>
      <w:r w:rsidR="000A2B60" w:rsidRPr="00CC562A">
        <w:rPr>
          <w:rFonts w:ascii="Cambria" w:eastAsia="Cambria" w:hAnsi="Cambria" w:cs="Cambria"/>
          <w:sz w:val="20"/>
          <w:szCs w:val="20"/>
          <w:lang w:val="en-US"/>
        </w:rPr>
        <w:t xml:space="preserve"> cellular samples from the bodies of any unidentified persons who were deprived of life.</w:t>
      </w:r>
      <w:r w:rsidR="00E931C6" w:rsidRPr="00CC562A">
        <w:rPr>
          <w:rFonts w:ascii="Cambria" w:eastAsia="Cambria" w:hAnsi="Cambria" w:cs="Cambria"/>
          <w:sz w:val="20"/>
          <w:szCs w:val="20"/>
          <w:lang w:val="en-US"/>
        </w:rPr>
        <w:t xml:space="preserve"> </w:t>
      </w:r>
      <w:r w:rsidR="000A2B60" w:rsidRPr="00CC562A">
        <w:rPr>
          <w:rFonts w:ascii="Cambria" w:eastAsia="Cambria" w:hAnsi="Cambria" w:cs="Cambria"/>
          <w:sz w:val="20"/>
          <w:szCs w:val="20"/>
          <w:lang w:val="en-US"/>
        </w:rPr>
        <w:t>Such personal information shall be protected</w:t>
      </w:r>
      <w:r w:rsidR="00E931C6" w:rsidRPr="00CC562A">
        <w:rPr>
          <w:rFonts w:ascii="Cambria" w:eastAsia="Cambria" w:hAnsi="Cambria" w:cs="Cambria"/>
          <w:sz w:val="20"/>
          <w:szCs w:val="20"/>
          <w:lang w:val="en-US"/>
        </w:rPr>
        <w:t xml:space="preserve"> </w:t>
      </w:r>
      <w:r w:rsidR="000A2B60" w:rsidRPr="00CC562A">
        <w:rPr>
          <w:rFonts w:ascii="Cambria" w:eastAsia="Cambria" w:hAnsi="Cambria" w:cs="Cambria"/>
          <w:sz w:val="20"/>
          <w:szCs w:val="20"/>
          <w:lang w:val="en-US"/>
        </w:rPr>
        <w:t>on the Registry’s website in accordance with international standards on access to information</w:t>
      </w:r>
      <w:r w:rsidR="00E931C6" w:rsidRPr="00CC562A">
        <w:rPr>
          <w:rFonts w:ascii="Cambria" w:eastAsia="Cambria" w:hAnsi="Cambria" w:cs="Cambria"/>
          <w:sz w:val="20"/>
          <w:szCs w:val="20"/>
          <w:lang w:val="en-US"/>
        </w:rPr>
        <w:t xml:space="preserve">. </w:t>
      </w:r>
    </w:p>
    <w:p w14:paraId="1AE9BB42" w14:textId="0C6F2201" w:rsidR="00E931C6" w:rsidRPr="00CC562A" w:rsidRDefault="000A2B60" w:rsidP="00001918">
      <w:pPr>
        <w:numPr>
          <w:ilvl w:val="0"/>
          <w:numId w:val="4"/>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Strengthen existing early warning and urgent search mechanisms in cases of disappearance of women and girls to ensure their effective application at the federal, state, and municipal level. Likewise, strengthen the </w:t>
      </w:r>
      <w:r w:rsidR="008E3BD0" w:rsidRPr="00CC562A">
        <w:rPr>
          <w:rFonts w:ascii="Cambria" w:eastAsia="Cambria" w:hAnsi="Cambria" w:cs="Cambria"/>
          <w:sz w:val="20"/>
          <w:szCs w:val="20"/>
          <w:lang w:val="en-US"/>
        </w:rPr>
        <w:t>National Register</w:t>
      </w:r>
      <w:r w:rsidRPr="00CC562A">
        <w:rPr>
          <w:rFonts w:ascii="Cambria" w:eastAsia="Cambria" w:hAnsi="Cambria" w:cs="Cambria"/>
          <w:sz w:val="20"/>
          <w:szCs w:val="20"/>
          <w:lang w:val="en-US"/>
        </w:rPr>
        <w:t xml:space="preserve"> of Data on Missing or Disappeared Persons so that it provides accurate and reliable information on missing and forcibly disappeared women and girls</w:t>
      </w:r>
      <w:r w:rsidR="00E931C6" w:rsidRPr="00CC562A">
        <w:rPr>
          <w:rFonts w:ascii="Cambria" w:eastAsia="Cambria" w:hAnsi="Cambria" w:cs="Cambria"/>
          <w:sz w:val="20"/>
          <w:szCs w:val="20"/>
          <w:lang w:val="en-US"/>
        </w:rPr>
        <w:t xml:space="preserve">. </w:t>
      </w:r>
    </w:p>
    <w:p w14:paraId="3BC834A5" w14:textId="2469ECE6" w:rsidR="00852994" w:rsidRPr="00CC562A" w:rsidRDefault="000A2B60" w:rsidP="00001918">
      <w:pPr>
        <w:numPr>
          <w:ilvl w:val="0"/>
          <w:numId w:val="4"/>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Comply with the recommendations of the </w:t>
      </w:r>
      <w:r w:rsidR="00E931C6" w:rsidRPr="00CC562A">
        <w:rPr>
          <w:rFonts w:ascii="Cambria" w:eastAsia="Cambria" w:hAnsi="Cambria" w:cs="Cambria"/>
          <w:sz w:val="20"/>
          <w:szCs w:val="20"/>
          <w:lang w:val="en-US"/>
        </w:rPr>
        <w:t xml:space="preserve">GIEI </w:t>
      </w:r>
      <w:r w:rsidRPr="00CC562A">
        <w:rPr>
          <w:rFonts w:ascii="Cambria" w:eastAsia="Cambria" w:hAnsi="Cambria" w:cs="Cambria"/>
          <w:sz w:val="20"/>
          <w:szCs w:val="20"/>
          <w:lang w:val="en-US"/>
        </w:rPr>
        <w:t xml:space="preserve">in accordance with its mandate, specifically its </w:t>
      </w:r>
      <w:r w:rsidR="004C6B86" w:rsidRPr="00CC562A">
        <w:rPr>
          <w:rFonts w:ascii="Cambria" w:eastAsia="Cambria" w:hAnsi="Cambria" w:cs="Cambria"/>
          <w:sz w:val="20"/>
          <w:szCs w:val="20"/>
          <w:lang w:val="en-US"/>
        </w:rPr>
        <w:t>repeated</w:t>
      </w:r>
      <w:r w:rsidRPr="00CC562A">
        <w:rPr>
          <w:rFonts w:ascii="Cambria" w:eastAsia="Cambria" w:hAnsi="Cambria" w:cs="Cambria"/>
          <w:sz w:val="20"/>
          <w:szCs w:val="20"/>
          <w:lang w:val="en-US"/>
        </w:rPr>
        <w:t xml:space="preserve"> request to meet with members of the </w:t>
      </w:r>
      <w:r w:rsidR="004C6B86" w:rsidRPr="00CC562A">
        <w:rPr>
          <w:rFonts w:ascii="Cambria" w:eastAsia="Cambria" w:hAnsi="Cambria" w:cs="Cambria"/>
          <w:sz w:val="20"/>
          <w:szCs w:val="20"/>
          <w:lang w:val="en-US"/>
        </w:rPr>
        <w:t>a</w:t>
      </w:r>
      <w:r w:rsidRPr="00CC562A">
        <w:rPr>
          <w:rFonts w:ascii="Cambria" w:eastAsia="Cambria" w:hAnsi="Cambria" w:cs="Cambria"/>
          <w:sz w:val="20"/>
          <w:szCs w:val="20"/>
          <w:lang w:val="en-US"/>
        </w:rPr>
        <w:t>rmy, as well as to visit Battalion</w:t>
      </w:r>
      <w:r w:rsidR="00E931C6" w:rsidRPr="00CC562A">
        <w:rPr>
          <w:rFonts w:ascii="Cambria" w:eastAsia="Cambria" w:hAnsi="Cambria" w:cs="Cambria"/>
          <w:sz w:val="20"/>
          <w:szCs w:val="20"/>
          <w:lang w:val="en-US"/>
        </w:rPr>
        <w:t xml:space="preserve"> 27 </w:t>
      </w:r>
      <w:r w:rsidRPr="00CC562A">
        <w:rPr>
          <w:rFonts w:ascii="Cambria" w:eastAsia="Cambria" w:hAnsi="Cambria" w:cs="Cambria"/>
          <w:sz w:val="20"/>
          <w:szCs w:val="20"/>
          <w:lang w:val="en-US"/>
        </w:rPr>
        <w:t>and continue the investigation in the case. Consider using similar mechanisms for other cases of gross human rights violations</w:t>
      </w:r>
      <w:r w:rsidR="00E931C6" w:rsidRPr="00CC562A">
        <w:rPr>
          <w:rFonts w:ascii="Cambria" w:eastAsia="Cambria" w:hAnsi="Cambria" w:cs="Cambria"/>
          <w:sz w:val="20"/>
          <w:szCs w:val="20"/>
          <w:lang w:val="en-US"/>
        </w:rPr>
        <w:t xml:space="preserve">. </w:t>
      </w:r>
    </w:p>
    <w:p w14:paraId="03A4E7DC" w14:textId="58E18685" w:rsidR="000E2D37" w:rsidRPr="00CC562A" w:rsidRDefault="000A2B60" w:rsidP="00086C0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Regarding the recommendation to </w:t>
      </w:r>
      <w:r w:rsidR="3D64DAD8" w:rsidRPr="00CC562A">
        <w:rPr>
          <w:rFonts w:ascii="Cambria" w:hAnsi="Cambria"/>
          <w:b/>
          <w:bCs/>
          <w:sz w:val="20"/>
          <w:szCs w:val="20"/>
          <w:lang w:val="en-US"/>
        </w:rPr>
        <w:t>adopt</w:t>
      </w:r>
      <w:r w:rsidRPr="00CC562A">
        <w:rPr>
          <w:rFonts w:ascii="Cambria" w:hAnsi="Cambria"/>
          <w:b/>
          <w:bCs/>
          <w:sz w:val="20"/>
          <w:szCs w:val="20"/>
          <w:lang w:val="en-US"/>
        </w:rPr>
        <w:t xml:space="preserve"> a General Law on Disappearance and </w:t>
      </w:r>
      <w:r w:rsidR="00507873" w:rsidRPr="00CC562A">
        <w:rPr>
          <w:rFonts w:ascii="Cambria" w:hAnsi="Cambria"/>
          <w:b/>
          <w:bCs/>
          <w:sz w:val="20"/>
          <w:szCs w:val="20"/>
          <w:lang w:val="en-US"/>
        </w:rPr>
        <w:t>F</w:t>
      </w:r>
      <w:r w:rsidRPr="00CC562A">
        <w:rPr>
          <w:rFonts w:ascii="Cambria" w:hAnsi="Cambria"/>
          <w:b/>
          <w:bCs/>
          <w:sz w:val="20"/>
          <w:szCs w:val="20"/>
          <w:lang w:val="en-US"/>
        </w:rPr>
        <w:t xml:space="preserve">orced Disappearance, and to adopt all necessary measures to ensure that, at both the federal and state levels, </w:t>
      </w:r>
      <w:r w:rsidR="001274AD" w:rsidRPr="00CC562A">
        <w:rPr>
          <w:rFonts w:ascii="Cambria" w:hAnsi="Cambria"/>
          <w:b/>
          <w:bCs/>
          <w:sz w:val="20"/>
          <w:szCs w:val="20"/>
          <w:lang w:val="en-US"/>
        </w:rPr>
        <w:t>legislation and practices are in line with international standards on the matter</w:t>
      </w:r>
      <w:r w:rsidR="3D64DAD8" w:rsidRPr="00CC562A">
        <w:rPr>
          <w:rFonts w:ascii="Cambria" w:hAnsi="Cambria"/>
          <w:sz w:val="20"/>
          <w:szCs w:val="20"/>
          <w:lang w:val="en-US"/>
        </w:rPr>
        <w:t xml:space="preserve">, </w:t>
      </w:r>
      <w:r w:rsidR="001274AD" w:rsidRPr="00CC562A">
        <w:rPr>
          <w:rFonts w:ascii="Cambria" w:hAnsi="Cambria"/>
          <w:sz w:val="20"/>
          <w:szCs w:val="20"/>
          <w:lang w:val="en-US"/>
        </w:rPr>
        <w:t xml:space="preserve">as already reported earlier, the State reported that the General Law on </w:t>
      </w:r>
      <w:r w:rsidR="00507873" w:rsidRPr="00CC562A">
        <w:rPr>
          <w:rFonts w:ascii="Cambria" w:hAnsi="Cambria"/>
          <w:sz w:val="20"/>
          <w:szCs w:val="20"/>
          <w:lang w:val="en-US"/>
        </w:rPr>
        <w:t>F</w:t>
      </w:r>
      <w:r w:rsidR="001274AD" w:rsidRPr="00CC562A">
        <w:rPr>
          <w:rFonts w:ascii="Cambria" w:hAnsi="Cambria"/>
          <w:sz w:val="20"/>
          <w:szCs w:val="20"/>
          <w:lang w:val="en-US"/>
        </w:rPr>
        <w:t xml:space="preserve">orced Disappearance, Disappearance Committed by Private </w:t>
      </w:r>
      <w:r w:rsidR="001274AD" w:rsidRPr="00CC562A">
        <w:rPr>
          <w:rFonts w:ascii="Cambria" w:hAnsi="Cambria"/>
          <w:sz w:val="20"/>
          <w:szCs w:val="20"/>
          <w:lang w:val="en-US"/>
        </w:rPr>
        <w:lastRenderedPageBreak/>
        <w:t xml:space="preserve">Parties, and the National System for the Search for Persons was adopted in </w:t>
      </w:r>
      <w:r w:rsidR="1A8E4DE8" w:rsidRPr="00CC562A">
        <w:rPr>
          <w:rFonts w:ascii="Cambria" w:eastAsia="Cambria" w:hAnsi="Cambria" w:cs="Cambria"/>
          <w:sz w:val="20"/>
          <w:szCs w:val="20"/>
          <w:lang w:val="en-US"/>
        </w:rPr>
        <w:t>2017</w:t>
      </w:r>
      <w:r w:rsidR="00086C08" w:rsidRPr="00CC562A">
        <w:rPr>
          <w:rFonts w:ascii="Cambria" w:eastAsia="Cambria" w:hAnsi="Cambria" w:cs="Cambria"/>
          <w:sz w:val="20"/>
          <w:szCs w:val="20"/>
          <w:lang w:val="en-US"/>
        </w:rPr>
        <w:t xml:space="preserve">. </w:t>
      </w:r>
      <w:r w:rsidR="00CC64EC" w:rsidRPr="00CC562A">
        <w:rPr>
          <w:rFonts w:ascii="Cambria" w:hAnsi="Cambria"/>
          <w:sz w:val="20"/>
          <w:lang w:val="en-US"/>
        </w:rPr>
        <w:t>In accordance with the Law on the Attorney General’s Office</w:t>
      </w:r>
      <w:r w:rsidR="00086C08" w:rsidRPr="00CC562A">
        <w:rPr>
          <w:rFonts w:ascii="Cambria" w:hAnsi="Cambria"/>
          <w:sz w:val="20"/>
          <w:lang w:val="en-US"/>
        </w:rPr>
        <w:t xml:space="preserve"> (FGR), </w:t>
      </w:r>
      <w:r w:rsidR="00CC64EC" w:rsidRPr="00CC562A">
        <w:rPr>
          <w:rFonts w:ascii="Cambria" w:hAnsi="Cambria"/>
          <w:sz w:val="20"/>
          <w:lang w:val="en-US"/>
        </w:rPr>
        <w:t>the State indicated that the Special Prosecutor’s Office on Human Rights shall be responsible for the prosecution of these crimes.</w:t>
      </w:r>
      <w:r w:rsidR="00086C08" w:rsidRPr="00CC562A">
        <w:rPr>
          <w:rStyle w:val="FootnoteReference"/>
          <w:rFonts w:ascii="Cambria" w:hAnsi="Cambria"/>
          <w:sz w:val="20"/>
          <w:lang w:val="en-US"/>
        </w:rPr>
        <w:footnoteReference w:id="79"/>
      </w:r>
      <w:r w:rsidR="00CC64EC" w:rsidRPr="00CC562A">
        <w:rPr>
          <w:rFonts w:ascii="Cambria" w:hAnsi="Cambria"/>
          <w:sz w:val="20"/>
          <w:lang w:val="en-US"/>
        </w:rPr>
        <w:t xml:space="preserve"> </w:t>
      </w:r>
      <w:r w:rsidR="00086C08" w:rsidRPr="00CC562A">
        <w:rPr>
          <w:rFonts w:ascii="Cambria" w:eastAsia="Cambria" w:hAnsi="Cambria" w:cs="Cambria"/>
          <w:sz w:val="20"/>
          <w:szCs w:val="20"/>
          <w:lang w:val="en-US"/>
        </w:rPr>
        <w:t>The law</w:t>
      </w:r>
      <w:r w:rsidR="001274AD" w:rsidRPr="00CC562A">
        <w:rPr>
          <w:rFonts w:ascii="Cambria" w:eastAsia="Cambria" w:hAnsi="Cambria" w:cs="Cambria"/>
          <w:sz w:val="20"/>
          <w:szCs w:val="20"/>
          <w:lang w:val="en-US"/>
        </w:rPr>
        <w:t xml:space="preserve"> has been amended four times so far. The latest amendment dates from May </w:t>
      </w:r>
      <w:r w:rsidR="1A8E4DE8" w:rsidRPr="00CC562A">
        <w:rPr>
          <w:rFonts w:ascii="Cambria" w:eastAsia="Cambria" w:hAnsi="Cambria" w:cs="Cambria"/>
          <w:sz w:val="20"/>
          <w:szCs w:val="20"/>
          <w:lang w:val="en-US"/>
        </w:rPr>
        <w:t>2022</w:t>
      </w:r>
      <w:r w:rsidR="001274AD" w:rsidRPr="00CC562A">
        <w:rPr>
          <w:rFonts w:ascii="Cambria" w:eastAsia="Cambria" w:hAnsi="Cambria" w:cs="Cambria"/>
          <w:sz w:val="20"/>
          <w:szCs w:val="20"/>
          <w:lang w:val="en-US"/>
        </w:rPr>
        <w:t xml:space="preserve"> and creates the National Center for Human Identification (hereinafter</w:t>
      </w:r>
      <w:r w:rsidR="26DC8A8B" w:rsidRPr="00CC562A">
        <w:rPr>
          <w:rFonts w:ascii="Cambria" w:eastAsia="Cambria" w:hAnsi="Cambria" w:cs="Cambria"/>
          <w:sz w:val="20"/>
          <w:szCs w:val="20"/>
          <w:lang w:val="en-US"/>
        </w:rPr>
        <w:t xml:space="preserve"> “</w:t>
      </w:r>
      <w:r w:rsidR="1A8E4DE8" w:rsidRPr="00CC562A">
        <w:rPr>
          <w:rFonts w:ascii="Cambria" w:eastAsia="Cambria" w:hAnsi="Cambria" w:cs="Cambria"/>
          <w:sz w:val="20"/>
          <w:szCs w:val="20"/>
          <w:lang w:val="en-US"/>
        </w:rPr>
        <w:t>CNIH</w:t>
      </w:r>
      <w:r w:rsidR="26DC8A8B"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w:t>
      </w:r>
      <w:r w:rsidR="00086C08" w:rsidRPr="00CC562A">
        <w:rPr>
          <w:rFonts w:ascii="Cambria" w:eastAsia="Cambria" w:hAnsi="Cambria" w:cs="Cambria"/>
          <w:sz w:val="20"/>
          <w:szCs w:val="20"/>
          <w:lang w:val="en-US"/>
        </w:rPr>
        <w:t xml:space="preserve"> </w:t>
      </w:r>
      <w:r w:rsidR="001274AD" w:rsidRPr="00CC562A">
        <w:rPr>
          <w:rFonts w:ascii="Cambria" w:eastAsia="Cambria" w:hAnsi="Cambria" w:cs="Cambria"/>
          <w:sz w:val="20"/>
          <w:szCs w:val="20"/>
          <w:lang w:val="en-US"/>
        </w:rPr>
        <w:t>The State indicated that in July 2022 a regular meeting of the National Search System unanimously approved the Guidelines for the External Support Mechanism for Search and Investigation (hereinafter</w:t>
      </w:r>
      <w:r w:rsidR="26DC8A8B" w:rsidRPr="00CC562A">
        <w:rPr>
          <w:rFonts w:ascii="Cambria" w:eastAsia="Cambria" w:hAnsi="Cambria" w:cs="Cambria"/>
          <w:sz w:val="20"/>
          <w:szCs w:val="20"/>
          <w:lang w:val="en-US"/>
        </w:rPr>
        <w:t xml:space="preserve"> “</w:t>
      </w:r>
      <w:r w:rsidR="1A8E4DE8" w:rsidRPr="00CC562A">
        <w:rPr>
          <w:rFonts w:ascii="Cambria" w:eastAsia="Cambria" w:hAnsi="Cambria" w:cs="Cambria"/>
          <w:sz w:val="20"/>
          <w:szCs w:val="20"/>
          <w:lang w:val="en-US"/>
        </w:rPr>
        <w:t>MAEBI</w:t>
      </w:r>
      <w:r w:rsidR="26DC8A8B"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 xml:space="preserve">), </w:t>
      </w:r>
      <w:r w:rsidR="001274AD" w:rsidRPr="00CC562A">
        <w:rPr>
          <w:rFonts w:ascii="Cambria" w:eastAsia="Cambria" w:hAnsi="Cambria" w:cs="Cambria"/>
          <w:sz w:val="20"/>
          <w:szCs w:val="20"/>
          <w:lang w:val="en-US"/>
        </w:rPr>
        <w:t xml:space="preserve">the purposes of which include ensuring that all embassies, consulates, and attaché offices in Mexico will </w:t>
      </w:r>
      <w:proofErr w:type="gramStart"/>
      <w:r w:rsidR="001274AD" w:rsidRPr="00CC562A">
        <w:rPr>
          <w:rFonts w:ascii="Cambria" w:eastAsia="Cambria" w:hAnsi="Cambria" w:cs="Cambria"/>
          <w:sz w:val="20"/>
          <w:szCs w:val="20"/>
          <w:lang w:val="en-US"/>
        </w:rPr>
        <w:t>provide assistance to</w:t>
      </w:r>
      <w:proofErr w:type="gramEnd"/>
      <w:r w:rsidR="001274AD" w:rsidRPr="00CC562A">
        <w:rPr>
          <w:rFonts w:ascii="Cambria" w:eastAsia="Cambria" w:hAnsi="Cambria" w:cs="Cambria"/>
          <w:sz w:val="20"/>
          <w:szCs w:val="20"/>
          <w:lang w:val="en-US"/>
        </w:rPr>
        <w:t xml:space="preserve"> the families of the disappeared in Mexico</w:t>
      </w:r>
      <w:r w:rsidR="1A8E4DE8" w:rsidRPr="00CC562A">
        <w:rPr>
          <w:rFonts w:ascii="Cambria" w:eastAsia="Cambria" w:hAnsi="Cambria" w:cs="Cambria"/>
          <w:sz w:val="20"/>
          <w:szCs w:val="20"/>
          <w:lang w:val="en-US"/>
        </w:rPr>
        <w:t xml:space="preserve"> </w:t>
      </w:r>
      <w:r w:rsidR="00341AA6" w:rsidRPr="00CC562A">
        <w:rPr>
          <w:rFonts w:ascii="Cambria" w:eastAsia="Cambria" w:hAnsi="Cambria" w:cs="Cambria"/>
          <w:sz w:val="20"/>
          <w:szCs w:val="20"/>
          <w:lang w:val="en-US"/>
        </w:rPr>
        <w:t xml:space="preserve">in the search and in </w:t>
      </w:r>
      <w:r w:rsidR="004C6B86" w:rsidRPr="00CC562A">
        <w:rPr>
          <w:rFonts w:ascii="Cambria" w:eastAsia="Cambria" w:hAnsi="Cambria" w:cs="Cambria"/>
          <w:sz w:val="20"/>
          <w:szCs w:val="20"/>
          <w:lang w:val="en-US"/>
        </w:rPr>
        <w:t>initiating</w:t>
      </w:r>
      <w:r w:rsidR="00341AA6" w:rsidRPr="00CC562A">
        <w:rPr>
          <w:rFonts w:ascii="Cambria" w:eastAsia="Cambria" w:hAnsi="Cambria" w:cs="Cambria"/>
          <w:sz w:val="20"/>
          <w:szCs w:val="20"/>
          <w:lang w:val="en-US"/>
        </w:rPr>
        <w:t xml:space="preserve"> procedures following their disappearance. In addition, on March 31, </w:t>
      </w:r>
      <w:r w:rsidR="1A8E4DE8" w:rsidRPr="00CC562A">
        <w:rPr>
          <w:rFonts w:ascii="Cambria" w:eastAsia="Cambria" w:hAnsi="Cambria" w:cs="Cambria"/>
          <w:sz w:val="20"/>
          <w:szCs w:val="20"/>
          <w:lang w:val="en-US"/>
        </w:rPr>
        <w:t xml:space="preserve">2022, </w:t>
      </w:r>
      <w:r w:rsidR="00341AA6" w:rsidRPr="00CC562A">
        <w:rPr>
          <w:rFonts w:ascii="Cambria" w:eastAsia="Cambria" w:hAnsi="Cambria" w:cs="Cambria"/>
          <w:sz w:val="20"/>
          <w:szCs w:val="20"/>
          <w:lang w:val="en-US"/>
        </w:rPr>
        <w:t xml:space="preserve">the President sent to the Chamber of Deputies an initiative on reform of the General Law on Disappearances, in which he suggested the creation of </w:t>
      </w:r>
      <w:r w:rsidR="00462F09" w:rsidRPr="00CC562A">
        <w:rPr>
          <w:rFonts w:ascii="Cambria" w:eastAsia="Cambria" w:hAnsi="Cambria" w:cs="Cambria"/>
          <w:sz w:val="20"/>
          <w:szCs w:val="20"/>
          <w:lang w:val="en-US"/>
        </w:rPr>
        <w:t xml:space="preserve">a </w:t>
      </w:r>
      <w:r w:rsidR="00341AA6" w:rsidRPr="00CC562A">
        <w:rPr>
          <w:rFonts w:ascii="Cambria" w:eastAsia="Cambria" w:hAnsi="Cambria" w:cs="Cambria"/>
          <w:sz w:val="20"/>
          <w:szCs w:val="20"/>
          <w:lang w:val="en-US"/>
        </w:rPr>
        <w:t>National Human Identification Center</w:t>
      </w:r>
      <w:r w:rsidR="1A8E4DE8" w:rsidRPr="00CC562A">
        <w:rPr>
          <w:rFonts w:ascii="Cambria" w:eastAsia="Cambria" w:hAnsi="Cambria" w:cs="Cambria"/>
          <w:sz w:val="20"/>
          <w:szCs w:val="20"/>
          <w:lang w:val="en-US"/>
        </w:rPr>
        <w:t xml:space="preserve"> (</w:t>
      </w:r>
      <w:r w:rsidR="00341AA6" w:rsidRPr="00CC562A">
        <w:rPr>
          <w:rFonts w:ascii="Cambria" w:eastAsia="Cambria" w:hAnsi="Cambria" w:cs="Cambria"/>
          <w:sz w:val="20"/>
          <w:szCs w:val="20"/>
          <w:lang w:val="en-US"/>
        </w:rPr>
        <w:t>hereinafter</w:t>
      </w:r>
      <w:r w:rsidR="26DC8A8B" w:rsidRPr="00CC562A">
        <w:rPr>
          <w:rFonts w:ascii="Cambria" w:eastAsia="Cambria" w:hAnsi="Cambria" w:cs="Cambria"/>
          <w:sz w:val="20"/>
          <w:szCs w:val="20"/>
          <w:lang w:val="en-US"/>
        </w:rPr>
        <w:t xml:space="preserve"> “</w:t>
      </w:r>
      <w:r w:rsidR="1A8E4DE8" w:rsidRPr="00CC562A">
        <w:rPr>
          <w:rFonts w:ascii="Cambria" w:eastAsia="Cambria" w:hAnsi="Cambria" w:cs="Cambria"/>
          <w:sz w:val="20"/>
          <w:szCs w:val="20"/>
          <w:lang w:val="en-US"/>
        </w:rPr>
        <w:t>CNIH</w:t>
      </w:r>
      <w:r w:rsidR="26DC8A8B"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w:t>
      </w:r>
      <w:r w:rsidR="00341AA6" w:rsidRPr="00CC562A">
        <w:rPr>
          <w:rFonts w:ascii="Cambria" w:eastAsia="Cambria" w:hAnsi="Cambria" w:cs="Cambria"/>
          <w:sz w:val="20"/>
          <w:szCs w:val="20"/>
          <w:lang w:val="en-US"/>
        </w:rPr>
        <w:t xml:space="preserve"> in addition to assigning some forensic capabilities to the </w:t>
      </w:r>
      <w:r w:rsidR="1A8E4DE8" w:rsidRPr="00CC562A">
        <w:rPr>
          <w:rFonts w:ascii="Cambria" w:eastAsia="Cambria" w:hAnsi="Cambria" w:cs="Cambria"/>
          <w:sz w:val="20"/>
          <w:szCs w:val="20"/>
          <w:lang w:val="en-US"/>
        </w:rPr>
        <w:t xml:space="preserve">CNBP. </w:t>
      </w:r>
      <w:r w:rsidR="00341AA6" w:rsidRPr="00CC562A">
        <w:rPr>
          <w:rFonts w:ascii="Cambria" w:eastAsia="Cambria" w:hAnsi="Cambria" w:cs="Cambria"/>
          <w:sz w:val="20"/>
          <w:szCs w:val="20"/>
          <w:lang w:val="en-US"/>
        </w:rPr>
        <w:t xml:space="preserve">The work of the </w:t>
      </w:r>
      <w:r w:rsidR="1A8E4DE8" w:rsidRPr="00CC562A">
        <w:rPr>
          <w:rFonts w:ascii="Cambria" w:eastAsia="Cambria" w:hAnsi="Cambria" w:cs="Cambria"/>
          <w:sz w:val="20"/>
          <w:szCs w:val="20"/>
          <w:lang w:val="en-US"/>
        </w:rPr>
        <w:t>CNIH</w:t>
      </w:r>
      <w:r w:rsidR="00341AA6" w:rsidRPr="00CC562A">
        <w:rPr>
          <w:rFonts w:ascii="Cambria" w:eastAsia="Cambria" w:hAnsi="Cambria" w:cs="Cambria"/>
          <w:sz w:val="20"/>
          <w:szCs w:val="20"/>
          <w:lang w:val="en-US"/>
        </w:rPr>
        <w:t xml:space="preserve"> will begin with mass focused training of its personnel, as well as with the implementation of concrete and </w:t>
      </w:r>
      <w:r w:rsidR="005160F8" w:rsidRPr="00CC562A">
        <w:rPr>
          <w:rFonts w:ascii="Cambria" w:eastAsia="Cambria" w:hAnsi="Cambria" w:cs="Cambria"/>
          <w:sz w:val="20"/>
          <w:szCs w:val="20"/>
          <w:lang w:val="en-US"/>
        </w:rPr>
        <w:t>varied actions</w:t>
      </w:r>
      <w:r w:rsidR="00341AA6" w:rsidRPr="00CC562A">
        <w:rPr>
          <w:rFonts w:ascii="Cambria" w:eastAsia="Cambria" w:hAnsi="Cambria" w:cs="Cambria"/>
          <w:sz w:val="20"/>
          <w:szCs w:val="20"/>
          <w:lang w:val="en-US"/>
        </w:rPr>
        <w:t xml:space="preserve"> in coordination with already existing human identification centers, parallel to the adaptation of the building</w:t>
      </w:r>
      <w:r w:rsidR="1A8E4DE8" w:rsidRPr="00CC562A">
        <w:rPr>
          <w:rFonts w:ascii="Cambria" w:eastAsia="Cambria" w:hAnsi="Cambria" w:cs="Cambria"/>
          <w:sz w:val="20"/>
          <w:szCs w:val="20"/>
          <w:lang w:val="en-US"/>
        </w:rPr>
        <w:t xml:space="preserve">. </w:t>
      </w:r>
    </w:p>
    <w:p w14:paraId="23202AD6" w14:textId="55FFCD60" w:rsidR="00BB21C9" w:rsidRPr="00CC562A" w:rsidRDefault="00341AA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 in the area of the administration of justice, the State indicated that the</w:t>
      </w:r>
      <w:r w:rsidR="1A8E4DE8" w:rsidRPr="00CC562A">
        <w:rPr>
          <w:rFonts w:ascii="Cambria" w:eastAsia="Cambria" w:hAnsi="Cambria" w:cs="Cambria"/>
          <w:sz w:val="20"/>
          <w:szCs w:val="20"/>
          <w:lang w:val="en-US"/>
        </w:rPr>
        <w:t xml:space="preserve"> </w:t>
      </w:r>
      <w:r w:rsidR="6D84D614" w:rsidRPr="00CC562A">
        <w:rPr>
          <w:rFonts w:ascii="Cambria" w:eastAsia="Cambria" w:hAnsi="Cambria" w:cs="Cambria"/>
          <w:sz w:val="20"/>
          <w:szCs w:val="20"/>
          <w:lang w:val="en-US"/>
        </w:rPr>
        <w:t>SCJN</w:t>
      </w:r>
      <w:r w:rsidR="1A8E4DE8" w:rsidRPr="00CC562A">
        <w:rPr>
          <w:rFonts w:ascii="Cambria" w:eastAsia="Cambria" w:hAnsi="Cambria" w:cs="Cambria"/>
          <w:sz w:val="20"/>
          <w:szCs w:val="20"/>
          <w:lang w:val="en-US"/>
        </w:rPr>
        <w:t xml:space="preserve"> </w:t>
      </w:r>
      <w:r w:rsidR="00346278" w:rsidRPr="00CC562A">
        <w:rPr>
          <w:rFonts w:ascii="Cambria" w:eastAsia="Cambria" w:hAnsi="Cambria" w:cs="Cambria"/>
          <w:sz w:val="20"/>
          <w:szCs w:val="20"/>
          <w:lang w:val="en-US"/>
        </w:rPr>
        <w:t>through Amparo in Review</w:t>
      </w:r>
      <w:r w:rsidR="1A8E4DE8" w:rsidRPr="00CC562A">
        <w:rPr>
          <w:rFonts w:ascii="Cambria" w:eastAsia="Cambria" w:hAnsi="Cambria" w:cs="Cambria"/>
          <w:sz w:val="20"/>
          <w:szCs w:val="20"/>
          <w:lang w:val="en-US"/>
        </w:rPr>
        <w:t xml:space="preserve"> 51/2020 </w:t>
      </w:r>
      <w:r w:rsidR="306DB65F" w:rsidRPr="00CC562A">
        <w:rPr>
          <w:rFonts w:ascii="Cambria" w:eastAsia="Cambria" w:hAnsi="Cambria" w:cs="Cambria"/>
          <w:sz w:val="20"/>
          <w:szCs w:val="20"/>
          <w:lang w:val="en-US"/>
        </w:rPr>
        <w:t>determin</w:t>
      </w:r>
      <w:r w:rsidR="00346278" w:rsidRPr="00CC562A">
        <w:rPr>
          <w:rFonts w:ascii="Cambria" w:eastAsia="Cambria" w:hAnsi="Cambria" w:cs="Cambria"/>
          <w:sz w:val="20"/>
          <w:szCs w:val="20"/>
          <w:lang w:val="en-US"/>
        </w:rPr>
        <w:t>ed that when analyzing forced disappearance as a human rights violation, the amparo judge must adhere to an attenuated standard of proof</w:t>
      </w:r>
      <w:r w:rsidR="0093477C" w:rsidRPr="00CC562A">
        <w:rPr>
          <w:rFonts w:ascii="Cambria" w:eastAsia="Cambria" w:hAnsi="Cambria" w:cs="Cambria"/>
          <w:sz w:val="20"/>
          <w:szCs w:val="20"/>
          <w:lang w:val="en-US"/>
        </w:rPr>
        <w:t xml:space="preserve"> that allows him to analyze evidence and indirect proof and witness testimony regarding the context in which the events occurred, in that forced disappearance is characterized by a lack of direct evidence. Thus, </w:t>
      </w:r>
      <w:proofErr w:type="gramStart"/>
      <w:r w:rsidR="0093477C" w:rsidRPr="00CC562A">
        <w:rPr>
          <w:rFonts w:ascii="Cambria" w:eastAsia="Cambria" w:hAnsi="Cambria" w:cs="Cambria"/>
          <w:sz w:val="20"/>
          <w:szCs w:val="20"/>
          <w:lang w:val="en-US"/>
        </w:rPr>
        <w:t>in order to</w:t>
      </w:r>
      <w:proofErr w:type="gramEnd"/>
      <w:r w:rsidR="0093477C" w:rsidRPr="00CC562A">
        <w:rPr>
          <w:rFonts w:ascii="Cambria" w:eastAsia="Cambria" w:hAnsi="Cambria" w:cs="Cambria"/>
          <w:sz w:val="20"/>
          <w:szCs w:val="20"/>
          <w:lang w:val="en-US"/>
        </w:rPr>
        <w:t xml:space="preserve"> have certainty regarding the acts claimed in the amparo appeal, on the subject of forced disappearance, it is not necessary to have first demonstrated the criminal responsibility of the public servants involved. In addition, in cases of forced disappearance, the </w:t>
      </w:r>
      <w:r w:rsidR="0093477C" w:rsidRPr="00CC562A">
        <w:rPr>
          <w:rFonts w:ascii="Cambria" w:eastAsia="Cambria" w:hAnsi="Cambria" w:cs="Cambria"/>
          <w:i/>
          <w:iCs/>
          <w:sz w:val="20"/>
          <w:szCs w:val="20"/>
          <w:lang w:val="en-US"/>
        </w:rPr>
        <w:t>amparo</w:t>
      </w:r>
      <w:r w:rsidR="0093477C" w:rsidRPr="00CC562A">
        <w:rPr>
          <w:rFonts w:ascii="Cambria" w:eastAsia="Cambria" w:hAnsi="Cambria" w:cs="Cambria"/>
          <w:sz w:val="20"/>
          <w:szCs w:val="20"/>
          <w:lang w:val="en-US"/>
        </w:rPr>
        <w:t xml:space="preserve"> authorities may establish measures designed to achieve comprehensive reparations, given the nature of these actions, as they involve one of the most serious human rights violations.</w:t>
      </w:r>
      <w:r w:rsidR="00886665" w:rsidRPr="00CC562A">
        <w:rPr>
          <w:rStyle w:val="FootnoteReference"/>
          <w:rFonts w:ascii="Cambria" w:eastAsia="Cambria" w:hAnsi="Cambria" w:cs="Cambria"/>
          <w:sz w:val="20"/>
          <w:szCs w:val="20"/>
          <w:lang w:val="en-US"/>
        </w:rPr>
        <w:footnoteReference w:id="80"/>
      </w:r>
    </w:p>
    <w:p w14:paraId="5176CF1D" w14:textId="3F3AEA4B" w:rsidR="00086C08" w:rsidRPr="00CC562A" w:rsidRDefault="00CC64EC"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 xml:space="preserve">The State also indicated that on December 22, </w:t>
      </w:r>
      <w:r w:rsidR="00086C08" w:rsidRPr="00CC562A">
        <w:rPr>
          <w:rFonts w:ascii="Cambria" w:hAnsi="Cambria"/>
          <w:sz w:val="20"/>
          <w:lang w:val="en-US"/>
        </w:rPr>
        <w:t xml:space="preserve">2022, </w:t>
      </w:r>
      <w:r w:rsidRPr="00CC562A">
        <w:rPr>
          <w:rFonts w:ascii="Cambria" w:hAnsi="Cambria"/>
          <w:sz w:val="20"/>
          <w:lang w:val="en-US"/>
        </w:rPr>
        <w:t>under agreement</w:t>
      </w:r>
      <w:r w:rsidR="00086C08" w:rsidRPr="00CC562A">
        <w:rPr>
          <w:rFonts w:ascii="Cambria" w:hAnsi="Cambria"/>
          <w:sz w:val="20"/>
          <w:lang w:val="en-US"/>
        </w:rPr>
        <w:t xml:space="preserve"> CNPJ/XLVII/01/2022, </w:t>
      </w:r>
      <w:r w:rsidRPr="00CC562A">
        <w:rPr>
          <w:rFonts w:ascii="Cambria" w:hAnsi="Cambria"/>
          <w:sz w:val="20"/>
          <w:lang w:val="en-US"/>
        </w:rPr>
        <w:t>the</w:t>
      </w:r>
      <w:r w:rsidR="00086C08" w:rsidRPr="00CC562A">
        <w:rPr>
          <w:rFonts w:ascii="Cambria" w:hAnsi="Cambria"/>
          <w:sz w:val="20"/>
          <w:lang w:val="en-US"/>
        </w:rPr>
        <w:t xml:space="preserve"> XLVII </w:t>
      </w:r>
      <w:r w:rsidRPr="00CC562A">
        <w:rPr>
          <w:rFonts w:ascii="Cambria" w:hAnsi="Cambria"/>
          <w:sz w:val="20"/>
          <w:lang w:val="en-US"/>
        </w:rPr>
        <w:t>Plenary Assembly of the</w:t>
      </w:r>
      <w:r w:rsidR="00523DF8" w:rsidRPr="00CC562A">
        <w:rPr>
          <w:rFonts w:ascii="Cambria" w:hAnsi="Cambria"/>
          <w:sz w:val="20"/>
          <w:lang w:val="en-US"/>
        </w:rPr>
        <w:t xml:space="preserve"> National Conference of Judicial Prosecutors (hereinafter “</w:t>
      </w:r>
      <w:r w:rsidR="00086C08" w:rsidRPr="00CC562A">
        <w:rPr>
          <w:rFonts w:ascii="Cambria" w:hAnsi="Cambria"/>
          <w:sz w:val="20"/>
          <w:lang w:val="en-US"/>
        </w:rPr>
        <w:t>CNPJ</w:t>
      </w:r>
      <w:r w:rsidR="00523DF8" w:rsidRPr="00CC562A">
        <w:rPr>
          <w:rFonts w:ascii="Cambria" w:hAnsi="Cambria"/>
          <w:sz w:val="20"/>
          <w:lang w:val="en-US"/>
        </w:rPr>
        <w:t>”) unanimously approved the collaborative bases for the operation of the National Forensic Database; the</w:t>
      </w:r>
      <w:r w:rsidR="00086C08" w:rsidRPr="00CC562A">
        <w:rPr>
          <w:rFonts w:ascii="Cambria" w:hAnsi="Cambria"/>
          <w:sz w:val="20"/>
          <w:lang w:val="en-US"/>
        </w:rPr>
        <w:t xml:space="preserve"> </w:t>
      </w:r>
      <w:r w:rsidR="00523DF8" w:rsidRPr="00CC562A">
        <w:rPr>
          <w:rFonts w:ascii="Cambria" w:hAnsi="Cambria"/>
          <w:sz w:val="20"/>
          <w:lang w:val="en-US"/>
        </w:rPr>
        <w:t>National Register of Unidentified and Unclaimed Deceased Persons;</w:t>
      </w:r>
      <w:r w:rsidR="00086C08" w:rsidRPr="00CC562A">
        <w:rPr>
          <w:rFonts w:ascii="Cambria" w:hAnsi="Cambria"/>
          <w:sz w:val="20"/>
          <w:lang w:val="en-US"/>
        </w:rPr>
        <w:t xml:space="preserve"> </w:t>
      </w:r>
      <w:r w:rsidR="00523DF8" w:rsidRPr="00CC562A">
        <w:rPr>
          <w:rFonts w:ascii="Cambria" w:hAnsi="Cambria"/>
          <w:sz w:val="20"/>
          <w:lang w:val="en-US"/>
        </w:rPr>
        <w:t>the National Register of Common Graves and Clandestine Graves; and the National Genetic Database.</w:t>
      </w:r>
      <w:r w:rsidR="00086C08" w:rsidRPr="00CC562A">
        <w:rPr>
          <w:rStyle w:val="FootnoteReference"/>
          <w:rFonts w:ascii="Cambria" w:hAnsi="Cambria"/>
          <w:sz w:val="20"/>
          <w:lang w:val="en-US"/>
        </w:rPr>
        <w:footnoteReference w:id="81"/>
      </w:r>
    </w:p>
    <w:p w14:paraId="5324DC87" w14:textId="4D090F5C" w:rsidR="00760AF7" w:rsidRPr="00CC562A" w:rsidRDefault="005160F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CMDPDH</w:t>
      </w:r>
      <w:r w:rsidR="75E820EB" w:rsidRPr="00CC562A">
        <w:rPr>
          <w:rFonts w:ascii="Cambria" w:eastAsia="Cambria" w:hAnsi="Cambria" w:cs="Cambria"/>
          <w:sz w:val="20"/>
          <w:szCs w:val="20"/>
          <w:lang w:val="en-US"/>
        </w:rPr>
        <w:t xml:space="preserve"> repor</w:t>
      </w:r>
      <w:r w:rsidR="0093477C" w:rsidRPr="00CC562A">
        <w:rPr>
          <w:rFonts w:ascii="Cambria" w:eastAsia="Cambria" w:hAnsi="Cambria" w:cs="Cambria"/>
          <w:sz w:val="20"/>
          <w:szCs w:val="20"/>
          <w:lang w:val="en-US"/>
        </w:rPr>
        <w:t>ted</w:t>
      </w:r>
      <w:r w:rsidR="00511EF3" w:rsidRPr="00CC562A">
        <w:rPr>
          <w:rStyle w:val="FootnoteReference"/>
          <w:rFonts w:ascii="Cambria" w:eastAsia="Cambria" w:hAnsi="Cambria" w:cs="Cambria"/>
          <w:sz w:val="20"/>
          <w:szCs w:val="20"/>
          <w:lang w:val="en-US"/>
        </w:rPr>
        <w:footnoteReference w:id="82"/>
      </w:r>
      <w:r w:rsidR="75E820EB" w:rsidRPr="00CC562A">
        <w:rPr>
          <w:rFonts w:ascii="Cambria" w:eastAsia="Cambria" w:hAnsi="Cambria" w:cs="Cambria"/>
          <w:sz w:val="20"/>
          <w:szCs w:val="20"/>
          <w:lang w:val="en-US"/>
        </w:rPr>
        <w:t xml:space="preserve"> </w:t>
      </w:r>
      <w:r w:rsidR="0093477C" w:rsidRPr="00CC562A">
        <w:rPr>
          <w:rFonts w:ascii="Cambria" w:eastAsia="Cambria" w:hAnsi="Cambria" w:cs="Cambria"/>
          <w:sz w:val="20"/>
          <w:szCs w:val="20"/>
          <w:lang w:val="en-US"/>
        </w:rPr>
        <w:t>that the law in this area has not been fully implemented. They indicate that, on the contrary, it is increasingly more common for the</w:t>
      </w:r>
      <w:r w:rsidR="48A9567A" w:rsidRPr="00CC562A">
        <w:rPr>
          <w:rFonts w:ascii="Cambria" w:eastAsia="Cambria" w:hAnsi="Cambria" w:cs="Cambria"/>
          <w:sz w:val="20"/>
          <w:szCs w:val="20"/>
          <w:lang w:val="en-US"/>
        </w:rPr>
        <w:t xml:space="preserve"> FGR </w:t>
      </w:r>
      <w:r w:rsidR="0093477C" w:rsidRPr="00CC562A">
        <w:rPr>
          <w:rFonts w:ascii="Cambria" w:eastAsia="Cambria" w:hAnsi="Cambria" w:cs="Cambria"/>
          <w:sz w:val="20"/>
          <w:szCs w:val="20"/>
          <w:lang w:val="en-US"/>
        </w:rPr>
        <w:t xml:space="preserve">to refrain from hearing cases of disappearances and to send </w:t>
      </w:r>
      <w:r w:rsidR="00066287" w:rsidRPr="00CC562A">
        <w:rPr>
          <w:rFonts w:ascii="Cambria" w:eastAsia="Cambria" w:hAnsi="Cambria" w:cs="Cambria"/>
          <w:sz w:val="20"/>
          <w:szCs w:val="20"/>
          <w:lang w:val="en-US"/>
        </w:rPr>
        <w:t xml:space="preserve">them to the local jurisdiction, even though federal officials may be involved in the disappearances; or the attraction of the investigations may be rejected. They indicated that the necessary National Forensic Data Bank of the National </w:t>
      </w:r>
      <w:r w:rsidR="006F04FD" w:rsidRPr="00CC562A">
        <w:rPr>
          <w:rFonts w:ascii="Cambria" w:eastAsia="Cambria" w:hAnsi="Cambria" w:cs="Cambria"/>
          <w:sz w:val="20"/>
          <w:szCs w:val="20"/>
          <w:lang w:val="en-US"/>
        </w:rPr>
        <w:t>System for the Search for Persons (SNBP) had not been established</w:t>
      </w:r>
      <w:r w:rsidR="7D2FDB86" w:rsidRPr="00CC562A">
        <w:rPr>
          <w:rFonts w:ascii="Cambria" w:eastAsia="Cambria" w:hAnsi="Cambria" w:cs="Cambria"/>
          <w:sz w:val="20"/>
          <w:szCs w:val="20"/>
          <w:lang w:val="en-US"/>
        </w:rPr>
        <w:t xml:space="preserve">. </w:t>
      </w:r>
      <w:r w:rsidR="006F04FD" w:rsidRPr="00CC562A">
        <w:rPr>
          <w:rFonts w:ascii="Cambria" w:eastAsia="Cambria" w:hAnsi="Cambria" w:cs="Cambria"/>
          <w:sz w:val="20"/>
          <w:szCs w:val="20"/>
          <w:lang w:val="en-US"/>
        </w:rPr>
        <w:t>They indicated that although the government approved the creation of the CNIH in April, it has not been launched. There is only a Regional Human Identification Center in</w:t>
      </w:r>
      <w:r w:rsidR="7D2FDB86" w:rsidRPr="00CC562A">
        <w:rPr>
          <w:rFonts w:ascii="Cambria" w:eastAsia="Cambria" w:hAnsi="Cambria" w:cs="Cambria"/>
          <w:sz w:val="20"/>
          <w:szCs w:val="20"/>
          <w:lang w:val="en-US"/>
        </w:rPr>
        <w:t xml:space="preserve"> Coahuila. </w:t>
      </w:r>
      <w:r w:rsidR="006F04FD" w:rsidRPr="00CC562A">
        <w:rPr>
          <w:rFonts w:ascii="Cambria" w:eastAsia="Cambria" w:hAnsi="Cambria" w:cs="Cambria"/>
          <w:sz w:val="20"/>
          <w:szCs w:val="20"/>
          <w:lang w:val="en-US"/>
        </w:rPr>
        <w:t xml:space="preserve">It reported that the </w:t>
      </w:r>
      <w:r w:rsidR="306DB65F" w:rsidRPr="00CC562A">
        <w:rPr>
          <w:rFonts w:ascii="Cambria" w:eastAsia="Cambria" w:hAnsi="Cambria" w:cs="Cambria"/>
          <w:sz w:val="20"/>
          <w:szCs w:val="20"/>
          <w:lang w:val="en-US"/>
        </w:rPr>
        <w:t>FGR</w:t>
      </w:r>
      <w:r w:rsidR="7D2FDB86" w:rsidRPr="00CC562A">
        <w:rPr>
          <w:rFonts w:ascii="Cambria" w:eastAsia="Cambria" w:hAnsi="Cambria" w:cs="Cambria"/>
          <w:sz w:val="20"/>
          <w:szCs w:val="20"/>
          <w:lang w:val="en-US"/>
        </w:rPr>
        <w:t xml:space="preserve"> </w:t>
      </w:r>
      <w:r w:rsidR="006F04FD" w:rsidRPr="00CC562A">
        <w:rPr>
          <w:rFonts w:ascii="Cambria" w:eastAsia="Cambria" w:hAnsi="Cambria" w:cs="Cambria"/>
          <w:sz w:val="20"/>
          <w:szCs w:val="20"/>
          <w:lang w:val="en-US"/>
        </w:rPr>
        <w:t>owned a previous genetic database that consisted of</w:t>
      </w:r>
      <w:r w:rsidR="7D2FDB86" w:rsidRPr="00CC562A">
        <w:rPr>
          <w:rFonts w:ascii="Cambria" w:eastAsia="Cambria" w:hAnsi="Cambria" w:cs="Cambria"/>
          <w:sz w:val="20"/>
          <w:szCs w:val="20"/>
          <w:lang w:val="en-US"/>
        </w:rPr>
        <w:t xml:space="preserve"> 63</w:t>
      </w:r>
      <w:r w:rsidR="006F04FD" w:rsidRPr="00CC562A">
        <w:rPr>
          <w:rFonts w:ascii="Cambria" w:eastAsia="Cambria" w:hAnsi="Cambria" w:cs="Cambria"/>
          <w:sz w:val="20"/>
          <w:szCs w:val="20"/>
          <w:lang w:val="en-US"/>
        </w:rPr>
        <w:t>,</w:t>
      </w:r>
      <w:r w:rsidR="7D2FDB86" w:rsidRPr="00CC562A">
        <w:rPr>
          <w:rFonts w:ascii="Cambria" w:eastAsia="Cambria" w:hAnsi="Cambria" w:cs="Cambria"/>
          <w:sz w:val="20"/>
          <w:szCs w:val="20"/>
          <w:lang w:val="en-US"/>
        </w:rPr>
        <w:t>000 p</w:t>
      </w:r>
      <w:r w:rsidR="006F04FD" w:rsidRPr="00CC562A">
        <w:rPr>
          <w:rFonts w:ascii="Cambria" w:eastAsia="Cambria" w:hAnsi="Cambria" w:cs="Cambria"/>
          <w:sz w:val="20"/>
          <w:szCs w:val="20"/>
          <w:lang w:val="en-US"/>
        </w:rPr>
        <w:t xml:space="preserve">rofiles and was responsible for the new </w:t>
      </w:r>
      <w:r w:rsidR="00F84FED" w:rsidRPr="00CC562A">
        <w:rPr>
          <w:rFonts w:ascii="Cambria" w:eastAsia="Cambria" w:hAnsi="Cambria" w:cs="Cambria"/>
          <w:sz w:val="20"/>
          <w:szCs w:val="20"/>
          <w:lang w:val="en-US"/>
        </w:rPr>
        <w:t>database</w:t>
      </w:r>
      <w:r w:rsidR="006F04FD" w:rsidRPr="00CC562A">
        <w:rPr>
          <w:rFonts w:ascii="Cambria" w:eastAsia="Cambria" w:hAnsi="Cambria" w:cs="Cambria"/>
          <w:sz w:val="20"/>
          <w:szCs w:val="20"/>
          <w:lang w:val="en-US"/>
        </w:rPr>
        <w:t>. They reported that the previous platform lacked interconnectivity among the states and was unsuccessful in effectively connect</w:t>
      </w:r>
      <w:r w:rsidR="00462F09" w:rsidRPr="00CC562A">
        <w:rPr>
          <w:rFonts w:ascii="Cambria" w:eastAsia="Cambria" w:hAnsi="Cambria" w:cs="Cambria"/>
          <w:sz w:val="20"/>
          <w:szCs w:val="20"/>
          <w:lang w:val="en-US"/>
        </w:rPr>
        <w:t>ing</w:t>
      </w:r>
      <w:r w:rsidR="006F04FD" w:rsidRPr="00CC562A">
        <w:rPr>
          <w:rFonts w:ascii="Cambria" w:eastAsia="Cambria" w:hAnsi="Cambria" w:cs="Cambria"/>
          <w:sz w:val="20"/>
          <w:szCs w:val="20"/>
          <w:lang w:val="en-US"/>
        </w:rPr>
        <w:t xml:space="preserve"> families with the remains of their disappeared relatives</w:t>
      </w:r>
      <w:r w:rsidR="7D2FDB86" w:rsidRPr="00CC562A">
        <w:rPr>
          <w:rFonts w:ascii="Cambria" w:eastAsia="Cambria" w:hAnsi="Cambria" w:cs="Cambria"/>
          <w:sz w:val="20"/>
          <w:szCs w:val="20"/>
          <w:lang w:val="en-US"/>
        </w:rPr>
        <w:t xml:space="preserve">. </w:t>
      </w:r>
    </w:p>
    <w:p w14:paraId="0BA405D4" w14:textId="0F2F068F" w:rsidR="00852994" w:rsidRPr="00CC562A" w:rsidRDefault="006F04F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 xml:space="preserve">For its part, the PRODH Center emphasized that the </w:t>
      </w:r>
      <w:r w:rsidR="00F84FED" w:rsidRPr="00CC562A">
        <w:rPr>
          <w:rFonts w:ascii="Cambria" w:eastAsia="Cambria" w:hAnsi="Cambria" w:cs="Cambria"/>
          <w:sz w:val="20"/>
          <w:szCs w:val="20"/>
          <w:lang w:val="en-US"/>
        </w:rPr>
        <w:t xml:space="preserve">United Nations Committee on </w:t>
      </w:r>
      <w:r w:rsidR="00507873" w:rsidRPr="00CC562A">
        <w:rPr>
          <w:rFonts w:ascii="Cambria" w:eastAsia="Cambria" w:hAnsi="Cambria" w:cs="Cambria"/>
          <w:sz w:val="20"/>
          <w:szCs w:val="20"/>
          <w:lang w:val="en-US"/>
        </w:rPr>
        <w:t>F</w:t>
      </w:r>
      <w:r w:rsidR="00F84FED" w:rsidRPr="00CC562A">
        <w:rPr>
          <w:rFonts w:ascii="Cambria" w:eastAsia="Cambria" w:hAnsi="Cambria" w:cs="Cambria"/>
          <w:sz w:val="20"/>
          <w:szCs w:val="20"/>
          <w:lang w:val="en-US"/>
        </w:rPr>
        <w:t>orced Disappearances (</w:t>
      </w:r>
      <w:r w:rsidR="5E992440" w:rsidRPr="00CC562A">
        <w:rPr>
          <w:rFonts w:ascii="Cambria" w:eastAsia="Cambria" w:hAnsi="Cambria" w:cs="Cambria"/>
          <w:sz w:val="20"/>
          <w:szCs w:val="20"/>
          <w:lang w:val="en-US"/>
        </w:rPr>
        <w:t>CED</w:t>
      </w:r>
      <w:r w:rsidR="00F84FED" w:rsidRPr="00CC562A">
        <w:rPr>
          <w:rFonts w:ascii="Cambria" w:eastAsia="Cambria" w:hAnsi="Cambria" w:cs="Cambria"/>
          <w:sz w:val="20"/>
          <w:szCs w:val="20"/>
          <w:lang w:val="en-US"/>
        </w:rPr>
        <w:t>)</w:t>
      </w:r>
      <w:r w:rsidR="0083457D" w:rsidRPr="00CC562A">
        <w:rPr>
          <w:rFonts w:ascii="Cambria" w:eastAsia="Cambria" w:hAnsi="Cambria" w:cs="Cambria"/>
          <w:sz w:val="20"/>
          <w:szCs w:val="20"/>
          <w:lang w:val="en-US"/>
        </w:rPr>
        <w:t>, in its report on its visit to Mexico in 2021,</w:t>
      </w:r>
      <w:r w:rsidR="5E992440" w:rsidRPr="00CC562A">
        <w:rPr>
          <w:rFonts w:ascii="Cambria" w:eastAsia="Cambria" w:hAnsi="Cambria" w:cs="Cambria"/>
          <w:sz w:val="20"/>
          <w:szCs w:val="20"/>
          <w:lang w:val="en-US"/>
        </w:rPr>
        <w:t xml:space="preserve"> lament</w:t>
      </w:r>
      <w:r w:rsidRPr="00CC562A">
        <w:rPr>
          <w:rFonts w:ascii="Cambria" w:eastAsia="Cambria" w:hAnsi="Cambria" w:cs="Cambria"/>
          <w:sz w:val="20"/>
          <w:szCs w:val="20"/>
          <w:lang w:val="en-US"/>
        </w:rPr>
        <w:t>ed the fac</w:t>
      </w:r>
      <w:r w:rsidR="00F84FED"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 that four years after the entry into force of the General Law on Disappearance</w:t>
      </w:r>
      <w:r w:rsidR="00F84FED" w:rsidRPr="00CC562A">
        <w:rPr>
          <w:rFonts w:ascii="Cambria" w:eastAsia="Cambria" w:hAnsi="Cambria" w:cs="Cambria"/>
          <w:sz w:val="20"/>
          <w:szCs w:val="20"/>
          <w:lang w:val="en-US"/>
        </w:rPr>
        <w:t>s the regulations for that law have still not been published.</w:t>
      </w:r>
      <w:r w:rsidR="00A06F2A" w:rsidRPr="00CC562A">
        <w:rPr>
          <w:rFonts w:ascii="Cambria" w:eastAsia="Cambria" w:hAnsi="Cambria" w:cs="Cambria"/>
          <w:sz w:val="20"/>
          <w:szCs w:val="20"/>
          <w:vertAlign w:val="superscript"/>
          <w:lang w:val="en-US"/>
        </w:rPr>
        <w:footnoteReference w:id="83"/>
      </w:r>
      <w:r w:rsidR="5E992440" w:rsidRPr="00CC562A">
        <w:rPr>
          <w:rFonts w:ascii="Cambria" w:eastAsia="Cambria" w:hAnsi="Cambria" w:cs="Cambria"/>
          <w:sz w:val="20"/>
          <w:szCs w:val="20"/>
          <w:lang w:val="en-US"/>
        </w:rPr>
        <w:t xml:space="preserve"> </w:t>
      </w:r>
      <w:r w:rsidR="00F84FED" w:rsidRPr="00CC562A">
        <w:rPr>
          <w:rFonts w:ascii="Cambria" w:eastAsia="Cambria" w:hAnsi="Cambria" w:cs="Cambria"/>
          <w:sz w:val="20"/>
          <w:szCs w:val="20"/>
          <w:lang w:val="en-US"/>
        </w:rPr>
        <w:t>It also emphasized that most federal entities do not have a public policy on the subject of disappearances and some have not harmonized their legal frameworks with the General Law.</w:t>
      </w:r>
      <w:r w:rsidR="00A06F2A" w:rsidRPr="00CC562A">
        <w:rPr>
          <w:rFonts w:ascii="Cambria" w:eastAsia="Cambria" w:hAnsi="Cambria" w:cs="Cambria"/>
          <w:sz w:val="20"/>
          <w:szCs w:val="20"/>
          <w:vertAlign w:val="superscript"/>
          <w:lang w:val="en-US"/>
        </w:rPr>
        <w:footnoteReference w:id="84"/>
      </w:r>
      <w:r w:rsidR="00F84FED" w:rsidRPr="00CC562A">
        <w:rPr>
          <w:rFonts w:ascii="Cambria" w:eastAsia="Cambria" w:hAnsi="Cambria" w:cs="Cambria"/>
          <w:sz w:val="20"/>
          <w:szCs w:val="20"/>
          <w:lang w:val="en-US"/>
        </w:rPr>
        <w:t xml:space="preserve"> Other </w:t>
      </w:r>
      <w:r w:rsidR="0083457D" w:rsidRPr="00CC562A">
        <w:rPr>
          <w:rFonts w:ascii="Cambria" w:eastAsia="Cambria" w:hAnsi="Cambria" w:cs="Cambria"/>
          <w:sz w:val="20"/>
          <w:szCs w:val="20"/>
          <w:lang w:val="en-US"/>
        </w:rPr>
        <w:t>shortfalls</w:t>
      </w:r>
      <w:r w:rsidR="00F84FED" w:rsidRPr="00CC562A">
        <w:rPr>
          <w:rFonts w:ascii="Cambria" w:eastAsia="Cambria" w:hAnsi="Cambria" w:cs="Cambria"/>
          <w:sz w:val="20"/>
          <w:szCs w:val="20"/>
          <w:lang w:val="en-US"/>
        </w:rPr>
        <w:t xml:space="preserve"> in the implementation of the law are the failure to create the National Forensic Data Bank and the </w:t>
      </w:r>
      <w:r w:rsidR="008E3BD0" w:rsidRPr="00CC562A">
        <w:rPr>
          <w:rFonts w:ascii="Cambria" w:eastAsia="Cambria" w:hAnsi="Cambria" w:cs="Cambria"/>
          <w:sz w:val="20"/>
          <w:szCs w:val="20"/>
          <w:lang w:val="en-US"/>
        </w:rPr>
        <w:t>National Register</w:t>
      </w:r>
      <w:r w:rsidR="00F84FED" w:rsidRPr="00CC562A">
        <w:rPr>
          <w:rFonts w:ascii="Cambria" w:eastAsia="Cambria" w:hAnsi="Cambria" w:cs="Cambria"/>
          <w:sz w:val="20"/>
          <w:szCs w:val="20"/>
          <w:lang w:val="en-US"/>
        </w:rPr>
        <w:t xml:space="preserve"> of </w:t>
      </w:r>
      <w:r w:rsidR="5E992440" w:rsidRPr="00CC562A">
        <w:rPr>
          <w:rFonts w:ascii="Cambria" w:eastAsia="Cambria" w:hAnsi="Cambria" w:cs="Cambria"/>
          <w:sz w:val="20"/>
          <w:szCs w:val="20"/>
          <w:lang w:val="en-US"/>
        </w:rPr>
        <w:t xml:space="preserve"> </w:t>
      </w:r>
      <w:r w:rsidR="00621E9E" w:rsidRPr="00CC562A">
        <w:rPr>
          <w:rFonts w:ascii="Cambria" w:eastAsia="Cambria" w:hAnsi="Cambria" w:cs="Cambria"/>
          <w:sz w:val="20"/>
          <w:szCs w:val="20"/>
          <w:lang w:val="en-US"/>
        </w:rPr>
        <w:t xml:space="preserve">Unidentified Dead, for which the FGR is responsible. These should have been in operation since January 2019 but have not materialized to date. In response to this, on October 5, </w:t>
      </w:r>
      <w:r w:rsidR="5E992440" w:rsidRPr="00CC562A">
        <w:rPr>
          <w:rFonts w:ascii="Cambria" w:eastAsia="Cambria" w:hAnsi="Cambria" w:cs="Cambria"/>
          <w:sz w:val="20"/>
          <w:szCs w:val="20"/>
          <w:lang w:val="en-US"/>
        </w:rPr>
        <w:t>2022,</w:t>
      </w:r>
      <w:r w:rsidR="00621E9E" w:rsidRPr="00CC562A">
        <w:rPr>
          <w:rFonts w:ascii="Cambria" w:eastAsia="Cambria" w:hAnsi="Cambria" w:cs="Cambria"/>
          <w:sz w:val="20"/>
          <w:szCs w:val="20"/>
          <w:lang w:val="en-US"/>
        </w:rPr>
        <w:t xml:space="preserve"> the First District Court of the Ninth Region Auxiliary Center granted an amparo appeal</w:t>
      </w:r>
      <w:r w:rsidR="00A06F2A" w:rsidRPr="00CC562A">
        <w:rPr>
          <w:rFonts w:ascii="Cambria" w:eastAsia="Cambria" w:hAnsi="Cambria" w:cs="Cambria"/>
          <w:sz w:val="20"/>
          <w:szCs w:val="20"/>
          <w:vertAlign w:val="superscript"/>
          <w:lang w:val="en-US"/>
        </w:rPr>
        <w:footnoteReference w:id="85"/>
      </w:r>
      <w:r w:rsidR="5E992440" w:rsidRPr="00CC562A">
        <w:rPr>
          <w:rFonts w:ascii="Cambria" w:eastAsia="Cambria" w:hAnsi="Cambria" w:cs="Cambria"/>
          <w:sz w:val="20"/>
          <w:szCs w:val="20"/>
          <w:lang w:val="en-US"/>
        </w:rPr>
        <w:t xml:space="preserve"> </w:t>
      </w:r>
      <w:r w:rsidR="00621E9E" w:rsidRPr="00CC562A">
        <w:rPr>
          <w:rFonts w:ascii="Cambria" w:eastAsia="Cambria" w:hAnsi="Cambria" w:cs="Cambria"/>
          <w:sz w:val="20"/>
          <w:szCs w:val="20"/>
          <w:lang w:val="en-US"/>
        </w:rPr>
        <w:t>in favor a relative of a disappeared person in response to the FGR’s failure</w:t>
      </w:r>
      <w:r w:rsidR="0083457D" w:rsidRPr="00CC562A">
        <w:rPr>
          <w:rFonts w:ascii="Cambria" w:eastAsia="Cambria" w:hAnsi="Cambria" w:cs="Cambria"/>
          <w:sz w:val="20"/>
          <w:szCs w:val="20"/>
          <w:lang w:val="en-US"/>
        </w:rPr>
        <w:t xml:space="preserve"> to create</w:t>
      </w:r>
      <w:r w:rsidR="00621E9E" w:rsidRPr="00CC562A">
        <w:rPr>
          <w:rFonts w:ascii="Cambria" w:eastAsia="Cambria" w:hAnsi="Cambria" w:cs="Cambria"/>
          <w:sz w:val="20"/>
          <w:szCs w:val="20"/>
          <w:lang w:val="en-US"/>
        </w:rPr>
        <w:t xml:space="preserve"> the Bank and Registry and ordered the </w:t>
      </w:r>
      <w:r w:rsidR="000E6B56" w:rsidRPr="00CC562A">
        <w:rPr>
          <w:rFonts w:ascii="Cambria" w:eastAsia="Cambria" w:hAnsi="Cambria" w:cs="Cambria"/>
          <w:sz w:val="20"/>
          <w:szCs w:val="20"/>
          <w:lang w:val="en-US"/>
        </w:rPr>
        <w:t>FGR</w:t>
      </w:r>
      <w:r w:rsidR="00621E9E" w:rsidRPr="00CC562A">
        <w:rPr>
          <w:rFonts w:ascii="Cambria" w:eastAsia="Cambria" w:hAnsi="Cambria" w:cs="Cambria"/>
          <w:sz w:val="20"/>
          <w:szCs w:val="20"/>
          <w:lang w:val="en-US"/>
        </w:rPr>
        <w:t xml:space="preserve"> to implement those tools within a period of 40 days after the judgment became enforceable,</w:t>
      </w:r>
      <w:r w:rsidR="00A06F2A" w:rsidRPr="00CC562A">
        <w:rPr>
          <w:rFonts w:ascii="Cambria" w:eastAsia="Cambria" w:hAnsi="Cambria" w:cs="Cambria"/>
          <w:sz w:val="20"/>
          <w:szCs w:val="20"/>
          <w:vertAlign w:val="superscript"/>
          <w:lang w:val="en-US"/>
        </w:rPr>
        <w:footnoteReference w:id="86"/>
      </w:r>
      <w:r w:rsidR="00621E9E" w:rsidRPr="00CC562A">
        <w:rPr>
          <w:rFonts w:ascii="Cambria" w:eastAsia="Cambria" w:hAnsi="Cambria" w:cs="Cambria"/>
          <w:sz w:val="20"/>
          <w:szCs w:val="20"/>
          <w:lang w:val="en-US"/>
        </w:rPr>
        <w:t xml:space="preserve"> which judgment was appealed by the </w:t>
      </w:r>
      <w:r w:rsidR="5E38B5DD" w:rsidRPr="00CC562A">
        <w:rPr>
          <w:rFonts w:ascii="Cambria" w:eastAsia="Cambria" w:hAnsi="Cambria" w:cs="Cambria"/>
          <w:sz w:val="20"/>
          <w:szCs w:val="20"/>
          <w:lang w:val="en-US"/>
        </w:rPr>
        <w:t>FGR.</w:t>
      </w:r>
      <w:r w:rsidR="5E992440" w:rsidRPr="00CC562A">
        <w:rPr>
          <w:rFonts w:ascii="Cambria" w:eastAsia="Cambria" w:hAnsi="Cambria" w:cs="Cambria"/>
          <w:sz w:val="20"/>
          <w:szCs w:val="20"/>
          <w:lang w:val="en-US"/>
        </w:rPr>
        <w:t xml:space="preserve"> </w:t>
      </w:r>
    </w:p>
    <w:p w14:paraId="69E0E3D7" w14:textId="0D83BCC7" w:rsidR="00676BA4" w:rsidRPr="00CC562A" w:rsidRDefault="000E6B56"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In this regard, the IACHR emphasizes the </w:t>
      </w:r>
      <w:r w:rsidR="0083457D" w:rsidRPr="00CC562A">
        <w:rPr>
          <w:rFonts w:ascii="Cambria" w:hAnsi="Cambria"/>
          <w:sz w:val="20"/>
          <w:szCs w:val="20"/>
          <w:lang w:val="en-US"/>
        </w:rPr>
        <w:t xml:space="preserve">human identification work done by </w:t>
      </w:r>
      <w:r w:rsidRPr="00CC562A">
        <w:rPr>
          <w:rFonts w:ascii="Cambria" w:hAnsi="Cambria"/>
          <w:sz w:val="20"/>
          <w:szCs w:val="20"/>
          <w:lang w:val="en-US"/>
        </w:rPr>
        <w:t>the</w:t>
      </w:r>
      <w:r w:rsidR="1CCB4D17" w:rsidRPr="00CC562A">
        <w:rPr>
          <w:rFonts w:ascii="Cambria" w:hAnsi="Cambria"/>
          <w:sz w:val="20"/>
          <w:szCs w:val="20"/>
          <w:lang w:val="en-US"/>
        </w:rPr>
        <w:t xml:space="preserve"> </w:t>
      </w:r>
      <w:r w:rsidR="3714A18A" w:rsidRPr="00CC562A">
        <w:rPr>
          <w:rFonts w:ascii="Cambria" w:hAnsi="Cambria"/>
          <w:sz w:val="20"/>
          <w:szCs w:val="20"/>
          <w:lang w:val="en-US"/>
        </w:rPr>
        <w:t xml:space="preserve">CNB </w:t>
      </w:r>
      <w:r w:rsidR="0083457D" w:rsidRPr="00CC562A">
        <w:rPr>
          <w:rFonts w:ascii="Cambria" w:hAnsi="Cambria"/>
          <w:sz w:val="20"/>
          <w:szCs w:val="20"/>
          <w:lang w:val="en-US"/>
        </w:rPr>
        <w:t>by</w:t>
      </w:r>
      <w:r w:rsidRPr="00CC562A">
        <w:rPr>
          <w:rFonts w:ascii="Cambria" w:hAnsi="Cambria"/>
          <w:sz w:val="20"/>
          <w:szCs w:val="20"/>
          <w:lang w:val="en-US"/>
        </w:rPr>
        <w:t xml:space="preserve"> strengthening </w:t>
      </w:r>
      <w:r w:rsidR="0083457D" w:rsidRPr="00CC562A">
        <w:rPr>
          <w:rFonts w:ascii="Cambria" w:hAnsi="Cambria"/>
          <w:sz w:val="20"/>
          <w:szCs w:val="20"/>
          <w:lang w:val="en-US"/>
        </w:rPr>
        <w:t>the</w:t>
      </w:r>
      <w:r w:rsidRPr="00CC562A">
        <w:rPr>
          <w:rFonts w:ascii="Cambria" w:hAnsi="Cambria"/>
          <w:sz w:val="20"/>
          <w:szCs w:val="20"/>
          <w:lang w:val="en-US"/>
        </w:rPr>
        <w:t xml:space="preserve"> forensic capabilities of </w:t>
      </w:r>
      <w:r w:rsidR="00365543" w:rsidRPr="00CC562A">
        <w:rPr>
          <w:rFonts w:ascii="Cambria" w:hAnsi="Cambria"/>
          <w:sz w:val="20"/>
          <w:szCs w:val="20"/>
          <w:lang w:val="en-US"/>
        </w:rPr>
        <w:t>states</w:t>
      </w:r>
      <w:r w:rsidRPr="00CC562A">
        <w:rPr>
          <w:rFonts w:ascii="Cambria" w:hAnsi="Cambria"/>
          <w:sz w:val="20"/>
          <w:szCs w:val="20"/>
          <w:lang w:val="en-US"/>
        </w:rPr>
        <w:t xml:space="preserve"> with federal subsidies. Based on follow-up of the recommendations analyzed in this report, the IACHR considers that one of the central axes for the appropriate implementation of the General </w:t>
      </w:r>
      <w:r w:rsidR="0083457D" w:rsidRPr="00CC562A">
        <w:rPr>
          <w:rFonts w:ascii="Cambria" w:hAnsi="Cambria"/>
          <w:sz w:val="20"/>
          <w:szCs w:val="20"/>
          <w:lang w:val="en-US"/>
        </w:rPr>
        <w:t>Law</w:t>
      </w:r>
      <w:r w:rsidRPr="00CC562A">
        <w:rPr>
          <w:rFonts w:ascii="Cambria" w:hAnsi="Cambria"/>
          <w:sz w:val="20"/>
          <w:szCs w:val="20"/>
          <w:lang w:val="en-US"/>
        </w:rPr>
        <w:t xml:space="preserve"> is the adoption of positive measures </w:t>
      </w:r>
      <w:r w:rsidR="0083457D" w:rsidRPr="00CC562A">
        <w:rPr>
          <w:rFonts w:ascii="Cambria" w:hAnsi="Cambria"/>
          <w:sz w:val="20"/>
          <w:szCs w:val="20"/>
          <w:lang w:val="en-US"/>
        </w:rPr>
        <w:t>to create</w:t>
      </w:r>
      <w:r w:rsidRPr="00CC562A">
        <w:rPr>
          <w:rFonts w:ascii="Cambria" w:hAnsi="Cambria"/>
          <w:sz w:val="20"/>
          <w:szCs w:val="20"/>
          <w:lang w:val="en-US"/>
        </w:rPr>
        <w:t xml:space="preserve"> institutional structures specializing in the search for the disappeared and the investigation of crimes </w:t>
      </w:r>
      <w:r w:rsidR="0083457D" w:rsidRPr="00CC562A">
        <w:rPr>
          <w:rFonts w:ascii="Cambria" w:hAnsi="Cambria"/>
          <w:sz w:val="20"/>
          <w:szCs w:val="20"/>
          <w:lang w:val="en-US"/>
        </w:rPr>
        <w:t>related to</w:t>
      </w:r>
      <w:r w:rsidRPr="00CC562A">
        <w:rPr>
          <w:rFonts w:ascii="Cambria" w:hAnsi="Cambria"/>
          <w:sz w:val="20"/>
          <w:szCs w:val="20"/>
          <w:lang w:val="en-US"/>
        </w:rPr>
        <w:t xml:space="preserve"> disappearance, as well as the operational launch of the tools on the disappearance of persons</w:t>
      </w:r>
      <w:r w:rsidR="71C23256" w:rsidRPr="00CC562A">
        <w:rPr>
          <w:rFonts w:ascii="Cambria" w:hAnsi="Cambria"/>
          <w:sz w:val="20"/>
          <w:szCs w:val="20"/>
          <w:lang w:val="en-US"/>
        </w:rPr>
        <w:t xml:space="preserve">. </w:t>
      </w:r>
    </w:p>
    <w:p w14:paraId="50B518D1" w14:textId="7A72233E" w:rsidR="0080524A" w:rsidRPr="00CC562A" w:rsidRDefault="000E6B5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IACHR notes that five years after the entry </w:t>
      </w:r>
      <w:r w:rsidR="0083457D" w:rsidRPr="00CC562A">
        <w:rPr>
          <w:rFonts w:ascii="Cambria" w:hAnsi="Cambria"/>
          <w:sz w:val="20"/>
          <w:szCs w:val="20"/>
          <w:lang w:val="en-US"/>
        </w:rPr>
        <w:t>into</w:t>
      </w:r>
      <w:r w:rsidRPr="00CC562A">
        <w:rPr>
          <w:rFonts w:ascii="Cambria" w:hAnsi="Cambria"/>
          <w:sz w:val="20"/>
          <w:szCs w:val="20"/>
          <w:lang w:val="en-US"/>
        </w:rPr>
        <w:t xml:space="preserve"> force of the General Law, it </w:t>
      </w:r>
      <w:r w:rsidR="0083457D" w:rsidRPr="00CC562A">
        <w:rPr>
          <w:rFonts w:ascii="Cambria" w:hAnsi="Cambria"/>
          <w:sz w:val="20"/>
          <w:szCs w:val="20"/>
          <w:lang w:val="en-US"/>
        </w:rPr>
        <w:t>still has no</w:t>
      </w:r>
      <w:r w:rsidRPr="00CC562A">
        <w:rPr>
          <w:rFonts w:ascii="Cambria" w:hAnsi="Cambria"/>
          <w:sz w:val="20"/>
          <w:szCs w:val="20"/>
          <w:lang w:val="en-US"/>
        </w:rPr>
        <w:t xml:space="preserve"> regulations. </w:t>
      </w:r>
      <w:r w:rsidR="0083457D" w:rsidRPr="00CC562A">
        <w:rPr>
          <w:rFonts w:ascii="Cambria" w:hAnsi="Cambria"/>
          <w:sz w:val="20"/>
          <w:szCs w:val="20"/>
          <w:lang w:val="en-US"/>
        </w:rPr>
        <w:t>Moreover</w:t>
      </w:r>
      <w:r w:rsidRPr="00CC562A">
        <w:rPr>
          <w:rFonts w:ascii="Cambria" w:hAnsi="Cambria"/>
          <w:sz w:val="20"/>
          <w:szCs w:val="20"/>
          <w:lang w:val="en-US"/>
        </w:rPr>
        <w:t xml:space="preserve">, the national forensic data bank, the </w:t>
      </w:r>
      <w:r w:rsidR="008E3BD0" w:rsidRPr="00CC562A">
        <w:rPr>
          <w:rFonts w:ascii="Cambria" w:hAnsi="Cambria"/>
          <w:sz w:val="20"/>
          <w:szCs w:val="20"/>
          <w:lang w:val="en-US"/>
        </w:rPr>
        <w:t>National Register</w:t>
      </w:r>
      <w:r w:rsidRPr="00CC562A">
        <w:rPr>
          <w:rFonts w:ascii="Cambria" w:hAnsi="Cambria"/>
          <w:sz w:val="20"/>
          <w:szCs w:val="20"/>
          <w:lang w:val="en-US"/>
        </w:rPr>
        <w:t xml:space="preserve"> of unidentified and unclaimed dead persons, the </w:t>
      </w:r>
      <w:r w:rsidR="008E3BD0" w:rsidRPr="00CC562A">
        <w:rPr>
          <w:rFonts w:ascii="Cambria" w:hAnsi="Cambria"/>
          <w:sz w:val="20"/>
          <w:szCs w:val="20"/>
          <w:lang w:val="en-US"/>
        </w:rPr>
        <w:t>National Register</w:t>
      </w:r>
      <w:r w:rsidRPr="00CC562A">
        <w:rPr>
          <w:rFonts w:ascii="Cambria" w:hAnsi="Cambria"/>
          <w:sz w:val="20"/>
          <w:szCs w:val="20"/>
          <w:lang w:val="en-US"/>
        </w:rPr>
        <w:t xml:space="preserve"> of </w:t>
      </w:r>
      <w:r w:rsidR="0083457D" w:rsidRPr="00CC562A">
        <w:rPr>
          <w:rFonts w:ascii="Cambria" w:hAnsi="Cambria"/>
          <w:sz w:val="20"/>
          <w:szCs w:val="20"/>
          <w:lang w:val="en-US"/>
        </w:rPr>
        <w:t>G</w:t>
      </w:r>
      <w:r w:rsidRPr="00CC562A">
        <w:rPr>
          <w:rFonts w:ascii="Cambria" w:hAnsi="Cambria"/>
          <w:sz w:val="20"/>
          <w:szCs w:val="20"/>
          <w:lang w:val="en-US"/>
        </w:rPr>
        <w:t>raves, and the National Exhumations Program have not been created.</w:t>
      </w:r>
      <w:r w:rsidR="009A44DE" w:rsidRPr="00CC562A">
        <w:rPr>
          <w:rStyle w:val="FootnoteReference"/>
          <w:rFonts w:ascii="Cambria" w:hAnsi="Cambria"/>
          <w:sz w:val="20"/>
          <w:szCs w:val="20"/>
          <w:lang w:val="en-US"/>
        </w:rPr>
        <w:footnoteReference w:id="87"/>
      </w:r>
      <w:r w:rsidR="4F661918" w:rsidRPr="00CC562A">
        <w:rPr>
          <w:rFonts w:ascii="Cambria" w:hAnsi="Cambria"/>
          <w:sz w:val="20"/>
          <w:szCs w:val="20"/>
          <w:lang w:val="en-US"/>
        </w:rPr>
        <w:t xml:space="preserve"> </w:t>
      </w:r>
      <w:r w:rsidRPr="00CC562A">
        <w:rPr>
          <w:rFonts w:ascii="Cambria" w:hAnsi="Cambria"/>
          <w:sz w:val="20"/>
          <w:szCs w:val="20"/>
          <w:lang w:val="en-US"/>
        </w:rPr>
        <w:t>Added to this, the</w:t>
      </w:r>
      <w:r w:rsidR="71C23256" w:rsidRPr="00CC562A">
        <w:rPr>
          <w:rFonts w:ascii="Cambria" w:hAnsi="Cambria"/>
          <w:sz w:val="20"/>
          <w:szCs w:val="20"/>
          <w:lang w:val="en-US"/>
        </w:rPr>
        <w:t xml:space="preserve"> CED </w:t>
      </w:r>
      <w:r w:rsidRPr="00CC562A">
        <w:rPr>
          <w:rFonts w:ascii="Cambria" w:hAnsi="Cambria"/>
          <w:sz w:val="20"/>
          <w:szCs w:val="20"/>
          <w:lang w:val="en-US"/>
        </w:rPr>
        <w:t>expressed its concern over the fact that many of the tools available continue to be unknown and are not used. Few prosecutors develop the contextual analysis or apply the search and investigation protocols. Moreover, lamentably, very few judges</w:t>
      </w:r>
      <w:r w:rsidR="71C23256" w:rsidRPr="00CC562A">
        <w:rPr>
          <w:rFonts w:ascii="Cambria" w:hAnsi="Cambria"/>
          <w:sz w:val="20"/>
          <w:szCs w:val="20"/>
          <w:lang w:val="en-US"/>
        </w:rPr>
        <w:t xml:space="preserve"> </w:t>
      </w:r>
      <w:r w:rsidR="005160F8" w:rsidRPr="00CC562A">
        <w:rPr>
          <w:rFonts w:ascii="Cambria" w:hAnsi="Cambria"/>
          <w:sz w:val="20"/>
          <w:szCs w:val="20"/>
          <w:lang w:val="en-US"/>
        </w:rPr>
        <w:t xml:space="preserve">apply </w:t>
      </w:r>
      <w:r w:rsidR="005160F8" w:rsidRPr="00CC562A">
        <w:rPr>
          <w:rFonts w:ascii="Cambria" w:hAnsi="Cambria"/>
          <w:i/>
          <w:iCs/>
          <w:sz w:val="20"/>
          <w:szCs w:val="20"/>
          <w:lang w:val="en-US"/>
        </w:rPr>
        <w:t>habeas</w:t>
      </w:r>
      <w:r w:rsidR="71C23256" w:rsidRPr="00CC562A">
        <w:rPr>
          <w:rFonts w:ascii="Cambria" w:hAnsi="Cambria"/>
          <w:i/>
          <w:iCs/>
          <w:sz w:val="20"/>
          <w:szCs w:val="20"/>
          <w:lang w:val="en-US"/>
        </w:rPr>
        <w:t xml:space="preserve"> corpus </w:t>
      </w:r>
      <w:r w:rsidR="005613F3" w:rsidRPr="00CC562A">
        <w:rPr>
          <w:rFonts w:ascii="Cambria" w:hAnsi="Cambria"/>
          <w:sz w:val="20"/>
          <w:szCs w:val="20"/>
          <w:lang w:val="en-US"/>
        </w:rPr>
        <w:t>or the “</w:t>
      </w:r>
      <w:r w:rsidR="005613F3" w:rsidRPr="00CC562A">
        <w:rPr>
          <w:rFonts w:ascii="Cambria" w:hAnsi="Cambria"/>
          <w:i/>
          <w:iCs/>
          <w:sz w:val="20"/>
          <w:szCs w:val="20"/>
          <w:lang w:val="en-US"/>
        </w:rPr>
        <w:t xml:space="preserve">amparo </w:t>
      </w:r>
      <w:proofErr w:type="spellStart"/>
      <w:r w:rsidR="005613F3" w:rsidRPr="00CC562A">
        <w:rPr>
          <w:rFonts w:ascii="Cambria" w:hAnsi="Cambria"/>
          <w:i/>
          <w:iCs/>
          <w:sz w:val="20"/>
          <w:szCs w:val="20"/>
          <w:lang w:val="en-US"/>
        </w:rPr>
        <w:t>buscador</w:t>
      </w:r>
      <w:proofErr w:type="spellEnd"/>
      <w:r w:rsidR="005613F3" w:rsidRPr="00CC562A">
        <w:rPr>
          <w:rFonts w:ascii="Cambria" w:hAnsi="Cambria"/>
          <w:i/>
          <w:iCs/>
          <w:sz w:val="20"/>
          <w:szCs w:val="20"/>
          <w:lang w:val="en-US"/>
        </w:rPr>
        <w:t>.</w:t>
      </w:r>
      <w:r w:rsidR="000F1A47" w:rsidRPr="00CC562A">
        <w:rPr>
          <w:rStyle w:val="FootnoteReference"/>
          <w:rFonts w:ascii="Cambria" w:hAnsi="Cambria"/>
          <w:sz w:val="20"/>
          <w:szCs w:val="20"/>
          <w:lang w:val="en-US"/>
        </w:rPr>
        <w:footnoteReference w:id="88"/>
      </w:r>
      <w:r w:rsidR="005613F3" w:rsidRPr="00CC562A">
        <w:rPr>
          <w:rFonts w:ascii="Cambria" w:hAnsi="Cambria"/>
          <w:sz w:val="20"/>
          <w:szCs w:val="20"/>
          <w:lang w:val="en-US"/>
        </w:rPr>
        <w:t xml:space="preserve"> Along the same lines, according to the information provided by the State Party, as of November 26, </w:t>
      </w:r>
      <w:r w:rsidR="005160F8" w:rsidRPr="00CC562A">
        <w:rPr>
          <w:rFonts w:ascii="Cambria" w:hAnsi="Cambria"/>
          <w:sz w:val="20"/>
          <w:szCs w:val="20"/>
          <w:lang w:val="en-US"/>
        </w:rPr>
        <w:t>2021,</w:t>
      </w:r>
      <w:r w:rsidR="4E2B1DF2" w:rsidRPr="00CC562A">
        <w:rPr>
          <w:rFonts w:ascii="Cambria" w:hAnsi="Cambria"/>
          <w:sz w:val="20"/>
          <w:szCs w:val="20"/>
          <w:lang w:val="en-US"/>
        </w:rPr>
        <w:t xml:space="preserve"> </w:t>
      </w:r>
      <w:r w:rsidR="005613F3" w:rsidRPr="00CC562A">
        <w:rPr>
          <w:rFonts w:ascii="Cambria" w:hAnsi="Cambria"/>
          <w:sz w:val="20"/>
          <w:szCs w:val="20"/>
          <w:lang w:val="en-US"/>
        </w:rPr>
        <w:t>only a very small percentage of cases involving disappeared persons, between</w:t>
      </w:r>
      <w:r w:rsidR="4E2B1DF2" w:rsidRPr="00CC562A">
        <w:rPr>
          <w:rFonts w:ascii="Cambria" w:hAnsi="Cambria"/>
          <w:sz w:val="20"/>
          <w:szCs w:val="20"/>
          <w:lang w:val="en-US"/>
        </w:rPr>
        <w:t xml:space="preserve"> 2% </w:t>
      </w:r>
      <w:r w:rsidR="005613F3" w:rsidRPr="00CC562A">
        <w:rPr>
          <w:rFonts w:ascii="Cambria" w:hAnsi="Cambria"/>
          <w:sz w:val="20"/>
          <w:szCs w:val="20"/>
          <w:lang w:val="en-US"/>
        </w:rPr>
        <w:t xml:space="preserve">and </w:t>
      </w:r>
      <w:r w:rsidR="4E2B1DF2" w:rsidRPr="00CC562A">
        <w:rPr>
          <w:rFonts w:ascii="Cambria" w:hAnsi="Cambria"/>
          <w:sz w:val="20"/>
          <w:szCs w:val="20"/>
          <w:lang w:val="en-US"/>
        </w:rPr>
        <w:t xml:space="preserve">6%, </w:t>
      </w:r>
      <w:r w:rsidR="005613F3" w:rsidRPr="00CC562A">
        <w:rPr>
          <w:rFonts w:ascii="Cambria" w:hAnsi="Cambria"/>
          <w:sz w:val="20"/>
          <w:szCs w:val="20"/>
          <w:lang w:val="en-US"/>
        </w:rPr>
        <w:t>have been prosecuted and only 36 judgments have been handed down in cases of the disappeared at the national level.</w:t>
      </w:r>
      <w:r w:rsidR="007C05EB" w:rsidRPr="00CC562A">
        <w:rPr>
          <w:rStyle w:val="FootnoteReference"/>
          <w:rFonts w:ascii="Cambria" w:hAnsi="Cambria"/>
          <w:sz w:val="20"/>
          <w:szCs w:val="20"/>
          <w:lang w:val="en-US"/>
        </w:rPr>
        <w:footnoteReference w:id="89"/>
      </w:r>
      <w:r w:rsidR="4E2B1DF2" w:rsidRPr="00CC562A">
        <w:rPr>
          <w:rFonts w:ascii="Cambria" w:hAnsi="Cambria"/>
          <w:sz w:val="20"/>
          <w:szCs w:val="20"/>
          <w:lang w:val="en-US"/>
        </w:rPr>
        <w:t xml:space="preserve"> </w:t>
      </w:r>
    </w:p>
    <w:p w14:paraId="08DB8247" w14:textId="751306AC" w:rsidR="0080524A" w:rsidRPr="00CC562A" w:rsidRDefault="007E243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In relation to the forensic crisis, the IACHR notes that  the CED, in its 2022 report, emphasized that according to public data</w:t>
      </w:r>
      <w:r w:rsidR="00D509CC" w:rsidRPr="00CC562A">
        <w:rPr>
          <w:rFonts w:ascii="Cambria" w:hAnsi="Cambria"/>
          <w:sz w:val="20"/>
          <w:szCs w:val="20"/>
          <w:lang w:val="en-US"/>
        </w:rPr>
        <w:t xml:space="preserve"> </w:t>
      </w:r>
      <w:r w:rsidRPr="00CC562A">
        <w:rPr>
          <w:rFonts w:ascii="Cambria" w:hAnsi="Cambria"/>
          <w:sz w:val="20"/>
          <w:szCs w:val="20"/>
          <w:lang w:val="en-US"/>
        </w:rPr>
        <w:t>more than</w:t>
      </w:r>
      <w:r w:rsidR="4E2B1DF2" w:rsidRPr="00CC562A">
        <w:rPr>
          <w:rFonts w:ascii="Cambria" w:hAnsi="Cambria"/>
          <w:sz w:val="20"/>
          <w:szCs w:val="20"/>
          <w:lang w:val="en-US"/>
        </w:rPr>
        <w:t xml:space="preserve"> 52</w:t>
      </w:r>
      <w:r w:rsidRPr="00CC562A">
        <w:rPr>
          <w:rFonts w:ascii="Cambria" w:hAnsi="Cambria"/>
          <w:sz w:val="20"/>
          <w:szCs w:val="20"/>
          <w:lang w:val="en-US"/>
        </w:rPr>
        <w:t>,</w:t>
      </w:r>
      <w:r w:rsidR="4E2B1DF2" w:rsidRPr="00CC562A">
        <w:rPr>
          <w:rFonts w:ascii="Cambria" w:hAnsi="Cambria"/>
          <w:sz w:val="20"/>
          <w:szCs w:val="20"/>
          <w:lang w:val="en-US"/>
        </w:rPr>
        <w:t xml:space="preserve">000 </w:t>
      </w:r>
      <w:r w:rsidR="30EF0336" w:rsidRPr="00CC562A">
        <w:rPr>
          <w:rFonts w:ascii="Cambria" w:hAnsi="Cambria"/>
          <w:sz w:val="20"/>
          <w:szCs w:val="20"/>
          <w:lang w:val="en-US"/>
        </w:rPr>
        <w:t>r</w:t>
      </w:r>
      <w:r w:rsidRPr="00CC562A">
        <w:rPr>
          <w:rFonts w:ascii="Cambria" w:hAnsi="Cambria"/>
          <w:sz w:val="20"/>
          <w:szCs w:val="20"/>
          <w:lang w:val="en-US"/>
        </w:rPr>
        <w:t>emains of deceased persons are being kept in state custody using various methods.</w:t>
      </w:r>
      <w:r w:rsidR="007C05EB" w:rsidRPr="00CC562A">
        <w:rPr>
          <w:rStyle w:val="FootnoteReference"/>
          <w:rFonts w:ascii="Cambria" w:hAnsi="Cambria"/>
          <w:sz w:val="20"/>
          <w:szCs w:val="20"/>
          <w:lang w:val="en-US"/>
        </w:rPr>
        <w:footnoteReference w:id="90"/>
      </w:r>
      <w:r w:rsidRPr="00CC562A">
        <w:rPr>
          <w:rFonts w:ascii="Cambria" w:hAnsi="Cambria"/>
          <w:sz w:val="20"/>
          <w:szCs w:val="20"/>
          <w:lang w:val="en-US"/>
        </w:rPr>
        <w:t xml:space="preserve"> This figure, despite its magnitude, does not include bodies that have still not been </w:t>
      </w:r>
      <w:r w:rsidR="00D509CC" w:rsidRPr="00CC562A">
        <w:rPr>
          <w:rFonts w:ascii="Cambria" w:hAnsi="Cambria"/>
          <w:sz w:val="20"/>
          <w:szCs w:val="20"/>
          <w:lang w:val="en-US"/>
        </w:rPr>
        <w:t xml:space="preserve">found not </w:t>
      </w:r>
      <w:r w:rsidRPr="00CC562A">
        <w:rPr>
          <w:rFonts w:ascii="Cambria" w:hAnsi="Cambria"/>
          <w:sz w:val="20"/>
          <w:szCs w:val="20"/>
          <w:lang w:val="en-US"/>
        </w:rPr>
        <w:t>the thousands of fragments of human remains that families and search commissions gather each week in clandestine graves</w:t>
      </w:r>
      <w:r w:rsidR="6BA4E118" w:rsidRPr="00CC562A">
        <w:rPr>
          <w:rFonts w:ascii="Cambria" w:hAnsi="Cambria"/>
          <w:sz w:val="20"/>
          <w:szCs w:val="20"/>
          <w:lang w:val="en-US"/>
        </w:rPr>
        <w:t>.</w:t>
      </w:r>
      <w:r w:rsidR="4E2B1DF2" w:rsidRPr="00CC562A">
        <w:rPr>
          <w:rFonts w:ascii="Cambria" w:hAnsi="Cambria"/>
          <w:sz w:val="20"/>
          <w:szCs w:val="20"/>
          <w:lang w:val="en-US"/>
        </w:rPr>
        <w:t xml:space="preserve"> </w:t>
      </w:r>
    </w:p>
    <w:p w14:paraId="478808CE" w14:textId="77777777" w:rsidR="00086C08" w:rsidRPr="00CC562A" w:rsidRDefault="007E243D"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In summary, although the Commission</w:t>
      </w:r>
      <w:r w:rsidR="00D509CC" w:rsidRPr="00CC562A">
        <w:rPr>
          <w:rFonts w:ascii="Cambria" w:hAnsi="Cambria"/>
          <w:sz w:val="20"/>
          <w:szCs w:val="20"/>
          <w:lang w:val="en-US"/>
        </w:rPr>
        <w:t xml:space="preserve"> a</w:t>
      </w:r>
      <w:r w:rsidRPr="00CC562A">
        <w:rPr>
          <w:rFonts w:ascii="Cambria" w:hAnsi="Cambria"/>
          <w:sz w:val="20"/>
          <w:szCs w:val="20"/>
          <w:lang w:val="en-US"/>
        </w:rPr>
        <w:t xml:space="preserve">ppreciates that Mexico </w:t>
      </w:r>
      <w:r w:rsidR="00D509CC" w:rsidRPr="00CC562A">
        <w:rPr>
          <w:rFonts w:ascii="Cambria" w:hAnsi="Cambria"/>
          <w:sz w:val="20"/>
          <w:szCs w:val="20"/>
          <w:lang w:val="en-US"/>
        </w:rPr>
        <w:t>continues</w:t>
      </w:r>
      <w:r w:rsidRPr="00CC562A">
        <w:rPr>
          <w:rFonts w:ascii="Cambria" w:hAnsi="Cambria"/>
          <w:sz w:val="20"/>
          <w:szCs w:val="20"/>
          <w:lang w:val="en-US"/>
        </w:rPr>
        <w:t xml:space="preserve"> to adopt measures </w:t>
      </w:r>
      <w:r w:rsidR="00D509CC" w:rsidRPr="00CC562A">
        <w:rPr>
          <w:rFonts w:ascii="Cambria" w:hAnsi="Cambria"/>
          <w:sz w:val="20"/>
          <w:szCs w:val="20"/>
          <w:lang w:val="en-US"/>
        </w:rPr>
        <w:t>for</w:t>
      </w:r>
      <w:r w:rsidRPr="00CC562A">
        <w:rPr>
          <w:rFonts w:ascii="Cambria" w:hAnsi="Cambria"/>
          <w:sz w:val="20"/>
          <w:szCs w:val="20"/>
          <w:lang w:val="en-US"/>
        </w:rPr>
        <w:t xml:space="preserve"> the full implementation of the General Law on Disappearances, in concrete terms</w:t>
      </w:r>
      <w:r w:rsidR="00D509CC" w:rsidRPr="00CC562A">
        <w:rPr>
          <w:rFonts w:ascii="Cambria" w:hAnsi="Cambria"/>
          <w:sz w:val="20"/>
          <w:szCs w:val="20"/>
          <w:lang w:val="en-US"/>
        </w:rPr>
        <w:t xml:space="preserve"> </w:t>
      </w:r>
      <w:r w:rsidRPr="00CC562A">
        <w:rPr>
          <w:rFonts w:ascii="Cambria" w:hAnsi="Cambria"/>
          <w:sz w:val="20"/>
          <w:szCs w:val="20"/>
          <w:lang w:val="en-US"/>
        </w:rPr>
        <w:t>the installations and operation of all the Local Search Commission</w:t>
      </w:r>
      <w:r w:rsidR="00D509CC" w:rsidRPr="00CC562A">
        <w:rPr>
          <w:rFonts w:ascii="Cambria" w:hAnsi="Cambria"/>
          <w:sz w:val="20"/>
          <w:szCs w:val="20"/>
          <w:lang w:val="en-US"/>
        </w:rPr>
        <w:t>s</w:t>
      </w:r>
      <w:r w:rsidRPr="00CC562A">
        <w:rPr>
          <w:rFonts w:ascii="Cambria" w:hAnsi="Cambria"/>
          <w:sz w:val="20"/>
          <w:szCs w:val="20"/>
          <w:lang w:val="en-US"/>
        </w:rPr>
        <w:t xml:space="preserve">, the creation of the National Panel on the Search for Disappeared </w:t>
      </w:r>
      <w:r w:rsidRPr="00CC562A">
        <w:rPr>
          <w:rFonts w:ascii="Cambria" w:hAnsi="Cambria"/>
          <w:sz w:val="20"/>
          <w:szCs w:val="20"/>
          <w:lang w:val="en-US"/>
        </w:rPr>
        <w:lastRenderedPageBreak/>
        <w:t>Migrants</w:t>
      </w:r>
      <w:r w:rsidR="6BA4E118" w:rsidRPr="00CC562A">
        <w:rPr>
          <w:rFonts w:ascii="Cambria" w:hAnsi="Cambria"/>
          <w:sz w:val="20"/>
          <w:szCs w:val="20"/>
          <w:lang w:val="en-US"/>
        </w:rPr>
        <w:t xml:space="preserve">, </w:t>
      </w:r>
      <w:r w:rsidRPr="00CC562A">
        <w:rPr>
          <w:rFonts w:ascii="Cambria" w:hAnsi="Cambria"/>
          <w:sz w:val="20"/>
          <w:szCs w:val="20"/>
          <w:lang w:val="en-US"/>
        </w:rPr>
        <w:t>as well as the publication of the</w:t>
      </w:r>
      <w:r w:rsidR="6BA4E118" w:rsidRPr="00CC562A">
        <w:rPr>
          <w:rFonts w:ascii="Cambria" w:hAnsi="Cambria"/>
          <w:sz w:val="20"/>
          <w:szCs w:val="20"/>
          <w:lang w:val="en-US"/>
        </w:rPr>
        <w:t xml:space="preserve"> PABNNA</w:t>
      </w:r>
      <w:r w:rsidRPr="00CC562A">
        <w:rPr>
          <w:rFonts w:ascii="Cambria" w:hAnsi="Cambria"/>
          <w:sz w:val="20"/>
          <w:szCs w:val="20"/>
          <w:lang w:val="en-US"/>
        </w:rPr>
        <w:t xml:space="preserve"> are pending with respect to the publication of the regulations of the </w:t>
      </w:r>
      <w:r w:rsidR="6BA4E118" w:rsidRPr="00CC562A">
        <w:rPr>
          <w:rFonts w:ascii="Cambria" w:hAnsi="Cambria"/>
          <w:sz w:val="20"/>
          <w:szCs w:val="20"/>
          <w:lang w:val="en-US"/>
        </w:rPr>
        <w:t>CNB,</w:t>
      </w:r>
      <w:r w:rsidRPr="00CC562A">
        <w:rPr>
          <w:rFonts w:ascii="Cambria" w:hAnsi="Cambria"/>
          <w:sz w:val="20"/>
          <w:szCs w:val="20"/>
          <w:lang w:val="en-US"/>
        </w:rPr>
        <w:t xml:space="preserve"> public policies at the local level on the subject of disappearances, as well as </w:t>
      </w:r>
      <w:r w:rsidR="6BA4E118" w:rsidRPr="00CC562A">
        <w:rPr>
          <w:rFonts w:ascii="Cambria" w:hAnsi="Cambria"/>
          <w:sz w:val="20"/>
          <w:szCs w:val="20"/>
          <w:lang w:val="en-US"/>
        </w:rPr>
        <w:t xml:space="preserve"> </w:t>
      </w:r>
      <w:r w:rsidRPr="00CC562A">
        <w:rPr>
          <w:rFonts w:ascii="Cambria" w:hAnsi="Cambria"/>
          <w:sz w:val="20"/>
          <w:szCs w:val="20"/>
          <w:lang w:val="en-US"/>
        </w:rPr>
        <w:t xml:space="preserve">the harmonization of local laws. Added to this, the IACHR recognizes that extraordinary measures have been taken to strengthen the forensic capabilities of the various </w:t>
      </w:r>
      <w:r w:rsidR="00365543" w:rsidRPr="00CC562A">
        <w:rPr>
          <w:rFonts w:ascii="Cambria" w:hAnsi="Cambria"/>
          <w:sz w:val="20"/>
          <w:szCs w:val="20"/>
          <w:lang w:val="en-US"/>
        </w:rPr>
        <w:t>states</w:t>
      </w:r>
      <w:r w:rsidRPr="00CC562A">
        <w:rPr>
          <w:rFonts w:ascii="Cambria" w:hAnsi="Cambria"/>
          <w:sz w:val="20"/>
          <w:szCs w:val="20"/>
          <w:lang w:val="en-US"/>
        </w:rPr>
        <w:t xml:space="preserve"> through the human identification centers, but it also notes with concern that the operational launch of the Extraordinary Mechanism</w:t>
      </w:r>
      <w:r w:rsidR="005404E4" w:rsidRPr="00CC562A">
        <w:rPr>
          <w:rFonts w:ascii="Cambria" w:hAnsi="Cambria"/>
          <w:sz w:val="20"/>
          <w:szCs w:val="20"/>
          <w:lang w:val="en-US"/>
        </w:rPr>
        <w:t xml:space="preserve"> for Forensic Identification (hereinafter </w:t>
      </w:r>
      <w:r w:rsidR="6BA4E118" w:rsidRPr="00CC562A">
        <w:rPr>
          <w:rFonts w:ascii="Cambria" w:eastAsia="Cambria" w:hAnsi="Cambria" w:cs="Cambria"/>
          <w:sz w:val="20"/>
          <w:szCs w:val="20"/>
          <w:lang w:val="en-US"/>
        </w:rPr>
        <w:t>“MEIF”)</w:t>
      </w:r>
      <w:r w:rsidR="5BA42926" w:rsidRPr="00CC562A">
        <w:rPr>
          <w:rFonts w:ascii="Cambria" w:eastAsia="Cambria" w:hAnsi="Cambria" w:cs="Cambria"/>
          <w:sz w:val="20"/>
          <w:szCs w:val="20"/>
          <w:lang w:val="en-US"/>
        </w:rPr>
        <w:t xml:space="preserve"> ha</w:t>
      </w:r>
      <w:r w:rsidR="005404E4" w:rsidRPr="00CC562A">
        <w:rPr>
          <w:rFonts w:ascii="Cambria" w:eastAsia="Cambria" w:hAnsi="Cambria" w:cs="Cambria"/>
          <w:sz w:val="20"/>
          <w:szCs w:val="20"/>
          <w:lang w:val="en-US"/>
        </w:rPr>
        <w:t>s lost its initial momentum and its composition in the Coordinating Group has been reduced.</w:t>
      </w:r>
      <w:r w:rsidR="003D2F43" w:rsidRPr="00CC562A">
        <w:rPr>
          <w:rStyle w:val="FootnoteReference"/>
          <w:rFonts w:ascii="Cambria" w:eastAsia="Cambria" w:hAnsi="Cambria" w:cs="Cambria"/>
          <w:sz w:val="20"/>
          <w:szCs w:val="20"/>
          <w:lang w:val="en-US"/>
        </w:rPr>
        <w:footnoteReference w:id="91"/>
      </w:r>
      <w:r w:rsidR="005404E4" w:rsidRPr="00CC562A">
        <w:rPr>
          <w:rFonts w:ascii="Cambria" w:hAnsi="Cambria"/>
          <w:sz w:val="20"/>
          <w:szCs w:val="20"/>
          <w:lang w:val="en-US"/>
        </w:rPr>
        <w:t xml:space="preserve"> </w:t>
      </w:r>
    </w:p>
    <w:p w14:paraId="66F53A1F" w14:textId="293A958D" w:rsidR="00522749" w:rsidRPr="00CC562A" w:rsidRDefault="005404E4"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In addition, the Commission notes the advances made for the development of the National Search Program and the National Exhumation and Identification Program</w:t>
      </w:r>
      <w:r w:rsidR="6BA4E118" w:rsidRPr="00CC562A">
        <w:rPr>
          <w:rFonts w:ascii="Cambria" w:hAnsi="Cambria"/>
          <w:sz w:val="20"/>
          <w:szCs w:val="20"/>
          <w:lang w:val="en-US"/>
        </w:rPr>
        <w:t>, as</w:t>
      </w:r>
      <w:r w:rsidRPr="00CC562A">
        <w:rPr>
          <w:rFonts w:ascii="Cambria" w:hAnsi="Cambria"/>
          <w:sz w:val="20"/>
          <w:szCs w:val="20"/>
          <w:lang w:val="en-US"/>
        </w:rPr>
        <w:t xml:space="preserve"> well as for the launch of the National Forensic Data Bank, the </w:t>
      </w:r>
      <w:r w:rsidR="008E3BD0" w:rsidRPr="00CC562A">
        <w:rPr>
          <w:rFonts w:ascii="Cambria" w:hAnsi="Cambria"/>
          <w:sz w:val="20"/>
          <w:szCs w:val="20"/>
          <w:lang w:val="en-US"/>
        </w:rPr>
        <w:t>National Register</w:t>
      </w:r>
      <w:r w:rsidRPr="00CC562A">
        <w:rPr>
          <w:rFonts w:ascii="Cambria" w:hAnsi="Cambria"/>
          <w:sz w:val="20"/>
          <w:szCs w:val="20"/>
          <w:lang w:val="en-US"/>
        </w:rPr>
        <w:t xml:space="preserve"> of Unidentified Deceased Persons, and the </w:t>
      </w:r>
      <w:r w:rsidR="008E3BD0" w:rsidRPr="00CC562A">
        <w:rPr>
          <w:rFonts w:ascii="Cambria" w:hAnsi="Cambria"/>
          <w:sz w:val="20"/>
          <w:szCs w:val="20"/>
          <w:lang w:val="en-US"/>
        </w:rPr>
        <w:t>National Register</w:t>
      </w:r>
      <w:r w:rsidRPr="00CC562A">
        <w:rPr>
          <w:rFonts w:ascii="Cambria" w:hAnsi="Cambria"/>
          <w:sz w:val="20"/>
          <w:szCs w:val="20"/>
          <w:lang w:val="en-US"/>
        </w:rPr>
        <w:t xml:space="preserve"> of Graves.  No</w:t>
      </w:r>
      <w:r w:rsidR="00D509CC" w:rsidRPr="00CC562A">
        <w:rPr>
          <w:rFonts w:ascii="Cambria" w:hAnsi="Cambria"/>
          <w:sz w:val="20"/>
          <w:szCs w:val="20"/>
          <w:lang w:val="en-US"/>
        </w:rPr>
        <w:t>netheless</w:t>
      </w:r>
      <w:r w:rsidRPr="00CC562A">
        <w:rPr>
          <w:rFonts w:ascii="Cambria" w:hAnsi="Cambria"/>
          <w:sz w:val="20"/>
          <w:szCs w:val="20"/>
          <w:lang w:val="en-US"/>
        </w:rPr>
        <w:t xml:space="preserve">, the IACHR notes that the </w:t>
      </w:r>
      <w:proofErr w:type="gramStart"/>
      <w:r w:rsidRPr="00CC562A">
        <w:rPr>
          <w:rFonts w:ascii="Cambria" w:hAnsi="Cambria"/>
          <w:sz w:val="20"/>
          <w:szCs w:val="20"/>
          <w:lang w:val="en-US"/>
        </w:rPr>
        <w:t>aforementioned programs</w:t>
      </w:r>
      <w:proofErr w:type="gramEnd"/>
      <w:r w:rsidRPr="00CC562A">
        <w:rPr>
          <w:rFonts w:ascii="Cambria" w:hAnsi="Cambria"/>
          <w:sz w:val="20"/>
          <w:szCs w:val="20"/>
          <w:lang w:val="en-US"/>
        </w:rPr>
        <w:t xml:space="preserve"> and databases have not been created </w:t>
      </w:r>
      <w:r w:rsidR="005160F8" w:rsidRPr="00CC562A">
        <w:rPr>
          <w:rFonts w:ascii="Cambria" w:hAnsi="Cambria"/>
          <w:sz w:val="20"/>
          <w:szCs w:val="20"/>
          <w:lang w:val="en-US"/>
        </w:rPr>
        <w:t>yet</w:t>
      </w:r>
      <w:r w:rsidRPr="00CC562A">
        <w:rPr>
          <w:rFonts w:ascii="Cambria" w:hAnsi="Cambria"/>
          <w:sz w:val="20"/>
          <w:szCs w:val="20"/>
          <w:lang w:val="en-US"/>
        </w:rPr>
        <w:t xml:space="preserve">. </w:t>
      </w:r>
      <w:r w:rsidR="00D509CC" w:rsidRPr="00CC562A">
        <w:rPr>
          <w:rFonts w:ascii="Cambria" w:hAnsi="Cambria"/>
          <w:sz w:val="20"/>
          <w:szCs w:val="20"/>
          <w:lang w:val="en-US"/>
        </w:rPr>
        <w:t>Likewise</w:t>
      </w:r>
      <w:r w:rsidRPr="00CC562A">
        <w:rPr>
          <w:rFonts w:ascii="Cambria" w:hAnsi="Cambria"/>
          <w:sz w:val="20"/>
          <w:szCs w:val="20"/>
          <w:lang w:val="en-US"/>
        </w:rPr>
        <w:t xml:space="preserve">, it is a matter of concern to the Commission that, despite the creation of a comprehensive institutional and legislative framework, various deficiencies </w:t>
      </w:r>
      <w:r w:rsidR="005160F8" w:rsidRPr="00CC562A">
        <w:rPr>
          <w:rFonts w:ascii="Cambria" w:hAnsi="Cambria"/>
          <w:sz w:val="20"/>
          <w:szCs w:val="20"/>
          <w:lang w:val="en-US"/>
        </w:rPr>
        <w:t>persist</w:t>
      </w:r>
      <w:r w:rsidRPr="00CC562A">
        <w:rPr>
          <w:rFonts w:ascii="Cambria" w:hAnsi="Cambria"/>
          <w:sz w:val="20"/>
          <w:szCs w:val="20"/>
          <w:lang w:val="en-US"/>
        </w:rPr>
        <w:t xml:space="preserve"> in the search and investigation processes. This is due to the lack of a comprehensive strategy for </w:t>
      </w:r>
      <w:r w:rsidR="00D509CC" w:rsidRPr="00CC562A">
        <w:rPr>
          <w:rFonts w:ascii="Cambria" w:hAnsi="Cambria"/>
          <w:sz w:val="20"/>
          <w:szCs w:val="20"/>
          <w:lang w:val="en-US"/>
        </w:rPr>
        <w:t>developing searches</w:t>
      </w:r>
      <w:r w:rsidRPr="00CC562A">
        <w:rPr>
          <w:rFonts w:ascii="Cambria" w:hAnsi="Cambria"/>
          <w:sz w:val="20"/>
          <w:szCs w:val="20"/>
          <w:lang w:val="en-US"/>
        </w:rPr>
        <w:t xml:space="preserve"> and investigations, despite the instructions to promote the use of this type of strategy contained in the standardized protocols. In view of the foregoing, the Commission finds that </w:t>
      </w:r>
      <w:r w:rsidRPr="00CC562A">
        <w:rPr>
          <w:rFonts w:ascii="Cambria" w:hAnsi="Cambria"/>
          <w:b/>
          <w:bCs/>
          <w:sz w:val="20"/>
          <w:szCs w:val="20"/>
          <w:lang w:val="en-US"/>
        </w:rPr>
        <w:t>substanti</w:t>
      </w:r>
      <w:r w:rsidR="00AB6BFD" w:rsidRPr="00CC562A">
        <w:rPr>
          <w:rFonts w:ascii="Cambria" w:hAnsi="Cambria"/>
          <w:b/>
          <w:bCs/>
          <w:sz w:val="20"/>
          <w:szCs w:val="20"/>
          <w:lang w:val="en-US"/>
        </w:rPr>
        <w:t>al</w:t>
      </w:r>
      <w:r w:rsidRPr="00CC562A">
        <w:rPr>
          <w:rFonts w:ascii="Cambria" w:hAnsi="Cambria"/>
          <w:b/>
          <w:bCs/>
          <w:sz w:val="20"/>
          <w:szCs w:val="20"/>
          <w:lang w:val="en-US"/>
        </w:rPr>
        <w:t xml:space="preserve"> compliance </w:t>
      </w:r>
      <w:r w:rsidRPr="00CC562A">
        <w:rPr>
          <w:rFonts w:ascii="Cambria" w:hAnsi="Cambria"/>
          <w:sz w:val="20"/>
          <w:szCs w:val="20"/>
          <w:lang w:val="en-US"/>
        </w:rPr>
        <w:t>with the recommendation</w:t>
      </w:r>
      <w:r w:rsidR="00D820AC" w:rsidRPr="00CC562A">
        <w:rPr>
          <w:rFonts w:ascii="Cambria" w:hAnsi="Cambria"/>
          <w:sz w:val="20"/>
          <w:szCs w:val="20"/>
          <w:lang w:val="en-US"/>
        </w:rPr>
        <w:t xml:space="preserve"> remains </w:t>
      </w:r>
      <w:r w:rsidR="00D820AC" w:rsidRPr="00CC562A">
        <w:rPr>
          <w:rFonts w:ascii="Cambria" w:hAnsi="Cambria"/>
          <w:b/>
          <w:bCs/>
          <w:sz w:val="20"/>
          <w:szCs w:val="20"/>
          <w:lang w:val="en-US"/>
        </w:rPr>
        <w:t>partial</w:t>
      </w:r>
      <w:r w:rsidR="6BA4E118" w:rsidRPr="00CC562A">
        <w:rPr>
          <w:rFonts w:ascii="Cambria" w:hAnsi="Cambria"/>
          <w:b/>
          <w:bCs/>
          <w:sz w:val="20"/>
          <w:szCs w:val="20"/>
          <w:lang w:val="en-US"/>
        </w:rPr>
        <w:t xml:space="preserve">. </w:t>
      </w:r>
    </w:p>
    <w:p w14:paraId="0A6EBACE" w14:textId="761AA2A0" w:rsidR="00852994" w:rsidRPr="00CC562A" w:rsidRDefault="005404E4" w:rsidP="0000191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To guide the implementation of this recommendation, the Commission </w:t>
      </w:r>
      <w:r w:rsidR="00E66B3F" w:rsidRPr="00CC562A">
        <w:rPr>
          <w:rFonts w:ascii="Cambria" w:eastAsia="Cambria" w:hAnsi="Cambria" w:cs="Cambria"/>
          <w:sz w:val="20"/>
          <w:szCs w:val="20"/>
          <w:lang w:val="en-US"/>
        </w:rPr>
        <w:t xml:space="preserve">takes the liberty of expressing how important it is for the State to adopt measures </w:t>
      </w:r>
      <w:r w:rsidR="00D509CC" w:rsidRPr="00CC562A">
        <w:rPr>
          <w:rFonts w:ascii="Cambria" w:eastAsia="Cambria" w:hAnsi="Cambria" w:cs="Cambria"/>
          <w:sz w:val="20"/>
          <w:szCs w:val="20"/>
          <w:lang w:val="en-US"/>
        </w:rPr>
        <w:t>ensuring</w:t>
      </w:r>
      <w:r w:rsidR="00E66B3F" w:rsidRPr="00CC562A">
        <w:rPr>
          <w:rFonts w:ascii="Cambria" w:eastAsia="Cambria" w:hAnsi="Cambria" w:cs="Cambria"/>
          <w:sz w:val="20"/>
          <w:szCs w:val="20"/>
          <w:lang w:val="en-US"/>
        </w:rPr>
        <w:t xml:space="preserve"> the harmonization of the legislative framework not only at the federal but at the local level as well, and to take actions to ensure that this framework is also implemented by the authorities charged with the pursuit of justice. In addition, the Commission urges the State to implement the regulations subject to the recommendation through preventive measures to address the structural problem of disappearances in Mexico.</w:t>
      </w:r>
    </w:p>
    <w:p w14:paraId="5697BC1F" w14:textId="336C151C" w:rsidR="00647FB5" w:rsidRPr="00CC562A" w:rsidRDefault="0053007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6BA4E118" w:rsidRPr="00CC562A">
        <w:rPr>
          <w:rFonts w:ascii="Cambria" w:eastAsia="Cambria" w:hAnsi="Cambria" w:cs="Cambria"/>
          <w:sz w:val="20"/>
          <w:szCs w:val="20"/>
          <w:lang w:val="en-US"/>
        </w:rPr>
        <w:t>Re</w:t>
      </w:r>
      <w:r w:rsidR="00BE4807" w:rsidRPr="00CC562A">
        <w:rPr>
          <w:rFonts w:ascii="Cambria" w:eastAsia="Cambria" w:hAnsi="Cambria" w:cs="Cambria"/>
          <w:sz w:val="20"/>
          <w:szCs w:val="20"/>
          <w:lang w:val="en-US"/>
        </w:rPr>
        <w:t xml:space="preserve">garding the recommendation to </w:t>
      </w:r>
      <w:r w:rsidR="6BA4E118" w:rsidRPr="00CC562A">
        <w:rPr>
          <w:rFonts w:ascii="Cambria" w:hAnsi="Cambria"/>
          <w:b/>
          <w:bCs/>
          <w:sz w:val="20"/>
          <w:szCs w:val="20"/>
          <w:lang w:val="en-US"/>
        </w:rPr>
        <w:t>establ</w:t>
      </w:r>
      <w:r w:rsidR="00BE4807" w:rsidRPr="00CC562A">
        <w:rPr>
          <w:rFonts w:ascii="Cambria" w:hAnsi="Cambria"/>
          <w:b/>
          <w:bCs/>
          <w:sz w:val="20"/>
          <w:szCs w:val="20"/>
          <w:lang w:val="en-US"/>
        </w:rPr>
        <w:t>ish immediate search mechanisms for missing persons</w:t>
      </w:r>
      <w:r w:rsidR="6BA4E118" w:rsidRPr="00CC562A">
        <w:rPr>
          <w:rFonts w:ascii="Cambria" w:hAnsi="Cambria"/>
          <w:b/>
          <w:bCs/>
          <w:sz w:val="20"/>
          <w:szCs w:val="20"/>
          <w:lang w:val="en-US"/>
        </w:rPr>
        <w:t xml:space="preserve">, </w:t>
      </w:r>
      <w:r w:rsidR="00BE4807" w:rsidRPr="00CC562A">
        <w:rPr>
          <w:rFonts w:ascii="Cambria" w:hAnsi="Cambria"/>
          <w:sz w:val="20"/>
          <w:szCs w:val="20"/>
          <w:lang w:val="en-US"/>
        </w:rPr>
        <w:t>the State indicated that provision is made for the mechanism in the General Law on Disappearances. In addition to the existence of the Alba Protocol and the Amber Alerts, the State indicated that the gradual implementation of the Alba Protocol has allowed for coordination among local and federal authorities. The</w:t>
      </w:r>
      <w:r w:rsidR="1A8E4DE8" w:rsidRPr="00CC562A">
        <w:rPr>
          <w:rFonts w:ascii="Cambria" w:eastAsia="Cambria" w:hAnsi="Cambria" w:cs="Cambria"/>
          <w:sz w:val="20"/>
          <w:szCs w:val="20"/>
          <w:lang w:val="en-US"/>
        </w:rPr>
        <w:t xml:space="preserve"> FGR</w:t>
      </w:r>
      <w:r w:rsidR="00ACD0FD" w:rsidRPr="00CC562A">
        <w:rPr>
          <w:rFonts w:ascii="Cambria" w:eastAsia="Cambria" w:hAnsi="Cambria" w:cs="Cambria"/>
          <w:sz w:val="20"/>
          <w:szCs w:val="20"/>
          <w:lang w:val="en-US"/>
        </w:rPr>
        <w:t xml:space="preserve"> </w:t>
      </w:r>
      <w:r w:rsidR="00BE4807" w:rsidRPr="00CC562A">
        <w:rPr>
          <w:rFonts w:ascii="Cambria" w:eastAsia="Cambria" w:hAnsi="Cambria" w:cs="Cambria"/>
          <w:sz w:val="20"/>
          <w:szCs w:val="20"/>
          <w:lang w:val="en-US"/>
        </w:rPr>
        <w:t>has the “Have you seen?” institutional dissemination system, the objective of which is to provide support to the families of the disappeared</w:t>
      </w:r>
      <w:r w:rsidR="00D509CC" w:rsidRPr="00CC562A">
        <w:rPr>
          <w:rFonts w:ascii="Cambria" w:eastAsia="Cambria" w:hAnsi="Cambria" w:cs="Cambria"/>
          <w:sz w:val="20"/>
          <w:szCs w:val="20"/>
          <w:lang w:val="en-US"/>
        </w:rPr>
        <w:t xml:space="preserve">, which </w:t>
      </w:r>
      <w:r w:rsidR="00BE4807" w:rsidRPr="00CC562A">
        <w:rPr>
          <w:rFonts w:ascii="Cambria" w:eastAsia="Cambria" w:hAnsi="Cambria" w:cs="Cambria"/>
          <w:sz w:val="20"/>
          <w:szCs w:val="20"/>
          <w:lang w:val="en-US"/>
        </w:rPr>
        <w:t xml:space="preserve">began to operate in June </w:t>
      </w:r>
      <w:r w:rsidR="1A8E4DE8" w:rsidRPr="00CC562A">
        <w:rPr>
          <w:rFonts w:ascii="Cambria" w:eastAsia="Cambria" w:hAnsi="Cambria" w:cs="Cambria"/>
          <w:sz w:val="20"/>
          <w:szCs w:val="20"/>
          <w:lang w:val="en-US"/>
        </w:rPr>
        <w:t>2015</w:t>
      </w:r>
      <w:r w:rsidR="00ACD0FD" w:rsidRPr="00CC562A">
        <w:rPr>
          <w:rFonts w:ascii="Cambria" w:eastAsia="Cambria" w:hAnsi="Cambria" w:cs="Cambria"/>
          <w:sz w:val="20"/>
          <w:szCs w:val="20"/>
          <w:lang w:val="en-US"/>
        </w:rPr>
        <w:t xml:space="preserve">. </w:t>
      </w:r>
      <w:r w:rsidR="00BE4807" w:rsidRPr="00CC562A">
        <w:rPr>
          <w:rFonts w:ascii="Cambria" w:eastAsia="Cambria" w:hAnsi="Cambria" w:cs="Cambria"/>
          <w:sz w:val="20"/>
          <w:szCs w:val="20"/>
          <w:lang w:val="en-US"/>
        </w:rPr>
        <w:t xml:space="preserve">The State emphasized that in addition to the mechanisms mentioned, </w:t>
      </w:r>
      <w:r w:rsidR="008231A2" w:rsidRPr="00CC562A">
        <w:rPr>
          <w:rFonts w:ascii="Cambria" w:eastAsia="Cambria" w:hAnsi="Cambria" w:cs="Cambria"/>
          <w:sz w:val="20"/>
          <w:szCs w:val="20"/>
          <w:lang w:val="en-US"/>
        </w:rPr>
        <w:t xml:space="preserve">calls for searches are issued in </w:t>
      </w:r>
      <w:proofErr w:type="gramStart"/>
      <w:r w:rsidR="008231A2" w:rsidRPr="00CC562A">
        <w:rPr>
          <w:rFonts w:ascii="Cambria" w:eastAsia="Cambria" w:hAnsi="Cambria" w:cs="Cambria"/>
          <w:sz w:val="20"/>
          <w:szCs w:val="20"/>
          <w:lang w:val="en-US"/>
        </w:rPr>
        <w:t>all of</w:t>
      </w:r>
      <w:proofErr w:type="gramEnd"/>
      <w:r w:rsidR="008231A2" w:rsidRPr="00CC562A">
        <w:rPr>
          <w:rFonts w:ascii="Cambria" w:eastAsia="Cambria" w:hAnsi="Cambria" w:cs="Cambria"/>
          <w:sz w:val="20"/>
          <w:szCs w:val="20"/>
          <w:lang w:val="en-US"/>
        </w:rPr>
        <w:t xml:space="preserve"> the FGR’s state offices</w:t>
      </w:r>
      <w:r w:rsidR="1A8E4DE8" w:rsidRPr="00CC562A">
        <w:rPr>
          <w:rFonts w:ascii="Cambria" w:eastAsia="Cambria" w:hAnsi="Cambria" w:cs="Cambria"/>
          <w:sz w:val="20"/>
          <w:szCs w:val="20"/>
          <w:lang w:val="en-US"/>
        </w:rPr>
        <w:t>.</w:t>
      </w:r>
      <w:r w:rsidR="00ACD0FD" w:rsidRPr="00CC562A">
        <w:rPr>
          <w:rFonts w:ascii="Cambria" w:eastAsia="Cambria" w:hAnsi="Cambria" w:cs="Cambria"/>
          <w:sz w:val="20"/>
          <w:szCs w:val="20"/>
          <w:lang w:val="en-US"/>
        </w:rPr>
        <w:t xml:space="preserve"> </w:t>
      </w:r>
    </w:p>
    <w:p w14:paraId="23637FCB" w14:textId="30BAC534" w:rsidR="00775FE1" w:rsidRPr="00CC562A" w:rsidRDefault="0036554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8231A2" w:rsidRPr="00CC562A">
        <w:rPr>
          <w:rFonts w:ascii="Cambria" w:eastAsia="Cambria" w:hAnsi="Cambria" w:cs="Cambria"/>
          <w:sz w:val="20"/>
          <w:szCs w:val="20"/>
          <w:lang w:val="en-US"/>
        </w:rPr>
        <w:t xml:space="preserve">The State indicated that it adopted the guidelines for granting subsidies to the </w:t>
      </w:r>
      <w:r w:rsidRPr="00CC562A">
        <w:rPr>
          <w:rFonts w:ascii="Cambria" w:eastAsia="Cambria" w:hAnsi="Cambria" w:cs="Cambria"/>
          <w:sz w:val="20"/>
          <w:szCs w:val="20"/>
          <w:lang w:val="en-US"/>
        </w:rPr>
        <w:t>states</w:t>
      </w:r>
      <w:r w:rsidR="008231A2" w:rsidRPr="00CC562A">
        <w:rPr>
          <w:rFonts w:ascii="Cambria" w:eastAsia="Cambria" w:hAnsi="Cambria" w:cs="Cambria"/>
          <w:sz w:val="20"/>
          <w:szCs w:val="20"/>
          <w:lang w:val="en-US"/>
        </w:rPr>
        <w:t xml:space="preserve"> through their State Search Commissions (</w:t>
      </w:r>
      <w:r w:rsidR="27D4D651" w:rsidRPr="00CC562A">
        <w:rPr>
          <w:rFonts w:ascii="Cambria" w:eastAsia="Cambria" w:hAnsi="Cambria" w:cs="Cambria"/>
          <w:sz w:val="20"/>
          <w:szCs w:val="20"/>
          <w:lang w:val="en-US"/>
        </w:rPr>
        <w:t>CLB</w:t>
      </w:r>
      <w:r w:rsidR="008231A2" w:rsidRPr="00CC562A">
        <w:rPr>
          <w:rFonts w:ascii="Cambria" w:eastAsia="Cambria" w:hAnsi="Cambria" w:cs="Cambria"/>
          <w:sz w:val="20"/>
          <w:szCs w:val="20"/>
          <w:lang w:val="en-US"/>
        </w:rPr>
        <w:t>s)</w:t>
      </w:r>
      <w:r w:rsidR="1A8E4DE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for conducting</w:t>
      </w:r>
      <w:r w:rsidR="008231A2" w:rsidRPr="00CC562A">
        <w:rPr>
          <w:rFonts w:ascii="Cambria" w:eastAsia="Cambria" w:hAnsi="Cambria" w:cs="Cambria"/>
          <w:sz w:val="20"/>
          <w:szCs w:val="20"/>
          <w:lang w:val="en-US"/>
        </w:rPr>
        <w:t xml:space="preserve"> actions to search for individuals in the context of the General Law on Disappearances for fiscal year </w:t>
      </w:r>
      <w:r w:rsidR="1A8E4DE8" w:rsidRPr="00CC562A">
        <w:rPr>
          <w:rFonts w:ascii="Cambria" w:eastAsia="Cambria" w:hAnsi="Cambria" w:cs="Cambria"/>
          <w:sz w:val="20"/>
          <w:szCs w:val="20"/>
          <w:lang w:val="en-US"/>
        </w:rPr>
        <w:t xml:space="preserve">2022. </w:t>
      </w:r>
      <w:r w:rsidR="008231A2" w:rsidRPr="00CC562A">
        <w:rPr>
          <w:rFonts w:ascii="Cambria" w:eastAsia="Cambria" w:hAnsi="Cambria" w:cs="Cambria"/>
          <w:sz w:val="20"/>
          <w:szCs w:val="20"/>
          <w:lang w:val="en-US"/>
        </w:rPr>
        <w:t>In addition, the Specialized Prosecutor’s Office for the Investigation of Forced Disappearance Crimes (hereinafter</w:t>
      </w:r>
      <w:r w:rsidR="00ACD0FD" w:rsidRPr="00CC562A">
        <w:rPr>
          <w:rFonts w:ascii="Cambria" w:eastAsia="Cambria" w:hAnsi="Cambria" w:cs="Cambria"/>
          <w:sz w:val="20"/>
          <w:szCs w:val="20"/>
          <w:lang w:val="en-US"/>
        </w:rPr>
        <w:t xml:space="preserve"> “</w:t>
      </w:r>
      <w:r w:rsidR="1A8E4DE8" w:rsidRPr="00CC562A">
        <w:rPr>
          <w:rFonts w:ascii="Cambria" w:eastAsia="Cambria" w:hAnsi="Cambria" w:cs="Cambria"/>
          <w:sz w:val="20"/>
          <w:szCs w:val="20"/>
          <w:lang w:val="en-US"/>
        </w:rPr>
        <w:t>FEIDDF</w:t>
      </w:r>
      <w:r w:rsidR="00ACD0FD"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 xml:space="preserve">) </w:t>
      </w:r>
      <w:r w:rsidR="005E5D4D" w:rsidRPr="00CC562A">
        <w:rPr>
          <w:rFonts w:ascii="Cambria" w:eastAsia="Cambria" w:hAnsi="Cambria" w:cs="Cambria"/>
          <w:sz w:val="20"/>
          <w:szCs w:val="20"/>
          <w:lang w:val="en-US"/>
        </w:rPr>
        <w:t>reported that the Standardized Protocol for the Investigation of the Crimes of  Forced Disappearance and Disappearance Committed by Private Parties specifies the process for receiving the search report and initiating the investigation of the crimes of disappearance within the process of receiving notice of the incident, as well as the conduct of urgent and immediate actions for promptly locating the person who has disappeared within the Investigative Acts Process.</w:t>
      </w:r>
      <w:r w:rsidR="00886665" w:rsidRPr="00CC562A">
        <w:rPr>
          <w:rStyle w:val="FootnoteReference"/>
          <w:rFonts w:ascii="Cambria" w:eastAsia="Cambria" w:hAnsi="Cambria" w:cs="Cambria"/>
          <w:sz w:val="20"/>
          <w:szCs w:val="20"/>
          <w:lang w:val="en-US"/>
        </w:rPr>
        <w:footnoteReference w:id="92"/>
      </w:r>
    </w:p>
    <w:p w14:paraId="082C36C8" w14:textId="45718A7D" w:rsidR="00086C08" w:rsidRPr="00CC562A" w:rsidRDefault="008D1ACC"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For its part, the</w:t>
      </w:r>
      <w:r w:rsidR="00086C08" w:rsidRPr="00CC562A">
        <w:rPr>
          <w:rFonts w:ascii="Cambria" w:hAnsi="Cambria"/>
          <w:sz w:val="20"/>
          <w:lang w:val="en-US"/>
        </w:rPr>
        <w:t xml:space="preserve"> FGR indic</w:t>
      </w:r>
      <w:r w:rsidRPr="00CC562A">
        <w:rPr>
          <w:rFonts w:ascii="Cambria" w:hAnsi="Cambria"/>
          <w:sz w:val="20"/>
          <w:lang w:val="en-US"/>
        </w:rPr>
        <w:t>ated that, on an exceptional basis, the Specialized Unit on the Investigation of Kidnapping Crimes</w:t>
      </w:r>
      <w:r w:rsidR="00086C08" w:rsidRPr="00CC562A">
        <w:rPr>
          <w:rFonts w:ascii="Cambria" w:hAnsi="Cambria"/>
          <w:sz w:val="20"/>
          <w:lang w:val="en-US"/>
        </w:rPr>
        <w:t xml:space="preserve"> (UEIDMS) </w:t>
      </w:r>
      <w:r w:rsidRPr="00CC562A">
        <w:rPr>
          <w:rFonts w:ascii="Cambria" w:hAnsi="Cambria"/>
          <w:sz w:val="20"/>
          <w:lang w:val="en-US"/>
        </w:rPr>
        <w:t>of the Special Prosecutor’s Office on Organized Crime Matter</w:t>
      </w:r>
      <w:r w:rsidR="008F36FF" w:rsidRPr="00CC562A">
        <w:rPr>
          <w:rFonts w:ascii="Cambria" w:hAnsi="Cambria"/>
          <w:sz w:val="20"/>
          <w:lang w:val="en-US"/>
        </w:rPr>
        <w:t>s</w:t>
      </w:r>
      <w:r w:rsidRPr="00CC562A">
        <w:rPr>
          <w:rFonts w:ascii="Cambria" w:hAnsi="Cambria"/>
          <w:sz w:val="20"/>
          <w:lang w:val="en-US"/>
        </w:rPr>
        <w:t xml:space="preserve"> </w:t>
      </w:r>
      <w:r w:rsidRPr="00CC562A">
        <w:rPr>
          <w:rFonts w:ascii="Cambria" w:hAnsi="Cambria"/>
          <w:sz w:val="20"/>
          <w:lang w:val="en-US"/>
        </w:rPr>
        <w:lastRenderedPageBreak/>
        <w:t>participates in search work, consistent with the guidelines of the Standardized Protocol on the Search for Disappeared and Missing Persons</w:t>
      </w:r>
      <w:r w:rsidR="00086C08" w:rsidRPr="00CC562A">
        <w:rPr>
          <w:rFonts w:ascii="Cambria" w:hAnsi="Cambria"/>
          <w:sz w:val="20"/>
          <w:lang w:val="en-US"/>
        </w:rPr>
        <w:t xml:space="preserve"> (PHB) publi</w:t>
      </w:r>
      <w:r w:rsidRPr="00CC562A">
        <w:rPr>
          <w:rFonts w:ascii="Cambria" w:hAnsi="Cambria"/>
          <w:sz w:val="20"/>
          <w:lang w:val="en-US"/>
        </w:rPr>
        <w:t xml:space="preserve">shed on October 6, </w:t>
      </w:r>
      <w:r w:rsidR="00086C08" w:rsidRPr="00CC562A">
        <w:rPr>
          <w:rFonts w:ascii="Cambria" w:hAnsi="Cambria"/>
          <w:sz w:val="20"/>
          <w:lang w:val="en-US"/>
        </w:rPr>
        <w:t>2020</w:t>
      </w:r>
      <w:r w:rsidRPr="00CC562A">
        <w:rPr>
          <w:rFonts w:ascii="Cambria" w:hAnsi="Cambria"/>
          <w:sz w:val="20"/>
          <w:lang w:val="en-US"/>
        </w:rPr>
        <w:t>.</w:t>
      </w:r>
      <w:r w:rsidR="00086C08" w:rsidRPr="00CC562A">
        <w:rPr>
          <w:rStyle w:val="FootnoteReference"/>
          <w:rFonts w:ascii="Cambria" w:hAnsi="Cambria"/>
          <w:sz w:val="20"/>
          <w:lang w:val="en-US"/>
        </w:rPr>
        <w:footnoteReference w:id="93"/>
      </w:r>
    </w:p>
    <w:p w14:paraId="526616C3" w14:textId="74D0EA51" w:rsidR="00852994" w:rsidRPr="00CC562A" w:rsidRDefault="005E5D4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this regard, the IACHR indicated that i</w:t>
      </w:r>
      <w:r w:rsidR="00365543"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 has the National Information System on Unidentified Missing and Deceased Persons, which facilitates collaboration in the search for the disappeared. </w:t>
      </w:r>
      <w:r w:rsidR="007B7106" w:rsidRPr="00CC562A">
        <w:rPr>
          <w:rFonts w:ascii="Cambria" w:eastAsia="Cambria" w:hAnsi="Cambria" w:cs="Cambria"/>
          <w:sz w:val="20"/>
          <w:szCs w:val="20"/>
          <w:lang w:val="en-US"/>
        </w:rPr>
        <w:t xml:space="preserve">Thus, </w:t>
      </w:r>
      <w:r w:rsidR="009D44E0" w:rsidRPr="00CC562A">
        <w:rPr>
          <w:rFonts w:ascii="Cambria" w:eastAsia="Cambria" w:hAnsi="Cambria" w:cs="Cambria"/>
          <w:sz w:val="20"/>
          <w:szCs w:val="20"/>
          <w:lang w:val="en-US"/>
        </w:rPr>
        <w:t>when</w:t>
      </w:r>
      <w:r w:rsidR="007B7106" w:rsidRPr="00CC562A">
        <w:rPr>
          <w:rFonts w:ascii="Cambria" w:eastAsia="Cambria" w:hAnsi="Cambria" w:cs="Cambria"/>
          <w:sz w:val="20"/>
          <w:szCs w:val="20"/>
          <w:lang w:val="en-US"/>
        </w:rPr>
        <w:t xml:space="preserve"> reports on disappeared persons become known to the </w:t>
      </w:r>
      <w:r w:rsidR="5A53E149" w:rsidRPr="00CC562A">
        <w:rPr>
          <w:rFonts w:ascii="Cambria" w:eastAsia="Cambria" w:hAnsi="Cambria" w:cs="Cambria"/>
          <w:sz w:val="20"/>
          <w:szCs w:val="20"/>
          <w:lang w:val="en-US"/>
        </w:rPr>
        <w:t xml:space="preserve">CNDH, </w:t>
      </w:r>
      <w:r w:rsidR="007B7106" w:rsidRPr="00CC562A">
        <w:rPr>
          <w:rFonts w:ascii="Cambria" w:eastAsia="Cambria" w:hAnsi="Cambria" w:cs="Cambria"/>
          <w:sz w:val="20"/>
          <w:szCs w:val="20"/>
          <w:lang w:val="en-US"/>
        </w:rPr>
        <w:t xml:space="preserve">their data are entered in the </w:t>
      </w:r>
      <w:r w:rsidR="5A53E149" w:rsidRPr="00CC562A">
        <w:rPr>
          <w:rFonts w:ascii="Cambria" w:eastAsia="Cambria" w:hAnsi="Cambria" w:cs="Cambria"/>
          <w:sz w:val="20"/>
          <w:szCs w:val="20"/>
          <w:lang w:val="en-US"/>
        </w:rPr>
        <w:t xml:space="preserve">SINPEF </w:t>
      </w:r>
      <w:r w:rsidR="007B7106" w:rsidRPr="00CC562A">
        <w:rPr>
          <w:rFonts w:ascii="Cambria" w:eastAsia="Cambria" w:hAnsi="Cambria" w:cs="Cambria"/>
          <w:sz w:val="20"/>
          <w:szCs w:val="20"/>
          <w:lang w:val="en-US"/>
        </w:rPr>
        <w:t xml:space="preserve">database and are transmitted for purposes of various procedures </w:t>
      </w:r>
      <w:r w:rsidR="009D44E0" w:rsidRPr="00CC562A">
        <w:rPr>
          <w:rFonts w:ascii="Cambria" w:eastAsia="Cambria" w:hAnsi="Cambria" w:cs="Cambria"/>
          <w:sz w:val="20"/>
          <w:szCs w:val="20"/>
          <w:lang w:val="en-US"/>
        </w:rPr>
        <w:t>in</w:t>
      </w:r>
      <w:r w:rsidR="007B7106" w:rsidRPr="00CC562A">
        <w:rPr>
          <w:rFonts w:ascii="Cambria" w:eastAsia="Cambria" w:hAnsi="Cambria" w:cs="Cambria"/>
          <w:sz w:val="20"/>
          <w:szCs w:val="20"/>
          <w:lang w:val="en-US"/>
        </w:rPr>
        <w:t xml:space="preserve"> primary federal and state authorities </w:t>
      </w:r>
      <w:r w:rsidR="009D44E0" w:rsidRPr="00CC562A">
        <w:rPr>
          <w:rFonts w:ascii="Cambria" w:eastAsia="Cambria" w:hAnsi="Cambria" w:cs="Cambria"/>
          <w:sz w:val="20"/>
          <w:szCs w:val="20"/>
          <w:lang w:val="en-US"/>
        </w:rPr>
        <w:t xml:space="preserve">to provide them with </w:t>
      </w:r>
      <w:r w:rsidR="007B7106" w:rsidRPr="00CC562A">
        <w:rPr>
          <w:rFonts w:ascii="Cambria" w:eastAsia="Cambria" w:hAnsi="Cambria" w:cs="Cambria"/>
          <w:sz w:val="20"/>
          <w:szCs w:val="20"/>
          <w:lang w:val="en-US"/>
        </w:rPr>
        <w:t>the respective information on the person who has disappeared.</w:t>
      </w:r>
      <w:r w:rsidR="00775FE1" w:rsidRPr="00CC562A">
        <w:rPr>
          <w:rStyle w:val="FootnoteReference"/>
          <w:rFonts w:ascii="Cambria" w:eastAsia="Cambria" w:hAnsi="Cambria" w:cs="Cambria"/>
          <w:sz w:val="20"/>
          <w:szCs w:val="20"/>
          <w:lang w:val="en-US"/>
        </w:rPr>
        <w:footnoteReference w:id="94"/>
      </w:r>
    </w:p>
    <w:p w14:paraId="67A199B0" w14:textId="2C7C27FF" w:rsidR="00522749" w:rsidRPr="00CC562A" w:rsidRDefault="007B7106" w:rsidP="00001918">
      <w:pPr>
        <w:numPr>
          <w:ilvl w:val="0"/>
          <w:numId w:val="2"/>
        </w:numPr>
        <w:spacing w:before="240" w:line="240" w:lineRule="auto"/>
        <w:ind w:left="0" w:firstLine="720"/>
        <w:jc w:val="both"/>
        <w:rPr>
          <w:rFonts w:ascii="Cambria" w:eastAsia="Cambria" w:hAnsi="Cambria" w:cs="Cambria"/>
          <w:b/>
          <w:bCs/>
          <w:sz w:val="20"/>
          <w:szCs w:val="20"/>
          <w:lang w:val="en-US"/>
        </w:rPr>
      </w:pPr>
      <w:proofErr w:type="gramStart"/>
      <w:r w:rsidRPr="00CC562A">
        <w:rPr>
          <w:rFonts w:ascii="Cambria" w:hAnsi="Cambria"/>
          <w:sz w:val="20"/>
          <w:szCs w:val="20"/>
          <w:lang w:val="en-US"/>
        </w:rPr>
        <w:t>With regard to</w:t>
      </w:r>
      <w:proofErr w:type="gramEnd"/>
      <w:r w:rsidRPr="00CC562A">
        <w:rPr>
          <w:rFonts w:ascii="Cambria" w:hAnsi="Cambria"/>
          <w:sz w:val="20"/>
          <w:szCs w:val="20"/>
          <w:lang w:val="en-US"/>
        </w:rPr>
        <w:t xml:space="preserve"> this recommendation, the Commission reiterates its observations </w:t>
      </w:r>
      <w:r w:rsidR="009D44E0" w:rsidRPr="00CC562A">
        <w:rPr>
          <w:rFonts w:ascii="Cambria" w:hAnsi="Cambria"/>
          <w:sz w:val="20"/>
          <w:szCs w:val="20"/>
          <w:lang w:val="en-US"/>
        </w:rPr>
        <w:t>that</w:t>
      </w:r>
      <w:r w:rsidRPr="00CC562A">
        <w:rPr>
          <w:rFonts w:ascii="Cambria" w:hAnsi="Cambria"/>
          <w:sz w:val="20"/>
          <w:szCs w:val="20"/>
          <w:lang w:val="en-US"/>
        </w:rPr>
        <w:t xml:space="preserve"> the Standardized Search Protocol </w:t>
      </w:r>
      <w:r w:rsidR="009D44E0" w:rsidRPr="00CC562A">
        <w:rPr>
          <w:rFonts w:ascii="Cambria" w:hAnsi="Cambria"/>
          <w:sz w:val="20"/>
          <w:szCs w:val="20"/>
          <w:lang w:val="en-US"/>
        </w:rPr>
        <w:t xml:space="preserve">makes provision </w:t>
      </w:r>
      <w:r w:rsidRPr="00CC562A">
        <w:rPr>
          <w:rFonts w:ascii="Cambria" w:hAnsi="Cambria"/>
          <w:sz w:val="20"/>
          <w:szCs w:val="20"/>
          <w:lang w:val="en-US"/>
        </w:rPr>
        <w:t xml:space="preserve">for an immediate search mechanism. </w:t>
      </w:r>
      <w:r w:rsidR="009D44E0" w:rsidRPr="00CC562A">
        <w:rPr>
          <w:rFonts w:ascii="Cambria" w:hAnsi="Cambria"/>
          <w:sz w:val="20"/>
          <w:szCs w:val="20"/>
          <w:lang w:val="en-US"/>
        </w:rPr>
        <w:t>Nonetheless,</w:t>
      </w:r>
      <w:r w:rsidRPr="00CC562A">
        <w:rPr>
          <w:rFonts w:ascii="Cambria" w:hAnsi="Cambria"/>
          <w:sz w:val="20"/>
          <w:szCs w:val="20"/>
          <w:lang w:val="en-US"/>
        </w:rPr>
        <w:t xml:space="preserve"> the Commission continues to receive reports regarding obstacles in inter-institutional coordination for implement</w:t>
      </w:r>
      <w:r w:rsidR="009D44E0" w:rsidRPr="00CC562A">
        <w:rPr>
          <w:rFonts w:ascii="Cambria" w:hAnsi="Cambria"/>
          <w:sz w:val="20"/>
          <w:szCs w:val="20"/>
          <w:lang w:val="en-US"/>
        </w:rPr>
        <w:t>ing</w:t>
      </w:r>
      <w:r w:rsidRPr="00CC562A">
        <w:rPr>
          <w:rFonts w:ascii="Cambria" w:hAnsi="Cambria"/>
          <w:sz w:val="20"/>
          <w:szCs w:val="20"/>
          <w:lang w:val="en-US"/>
        </w:rPr>
        <w:t xml:space="preserve"> the Standardized Search Protocol (</w:t>
      </w:r>
      <w:r w:rsidR="59BC828D" w:rsidRPr="00CC562A">
        <w:rPr>
          <w:rFonts w:ascii="Cambria" w:hAnsi="Cambria"/>
          <w:sz w:val="20"/>
          <w:szCs w:val="20"/>
          <w:lang w:val="en-US"/>
        </w:rPr>
        <w:t>PHB</w:t>
      </w:r>
      <w:r w:rsidRPr="00CC562A">
        <w:rPr>
          <w:rFonts w:ascii="Cambria" w:hAnsi="Cambria"/>
          <w:sz w:val="20"/>
          <w:szCs w:val="20"/>
          <w:lang w:val="en-US"/>
        </w:rPr>
        <w:t>), particularly with respect to law enforcement officials.</w:t>
      </w:r>
      <w:r w:rsidR="00D00CFB" w:rsidRPr="00CC562A">
        <w:rPr>
          <w:rStyle w:val="FootnoteReference"/>
          <w:rFonts w:ascii="Cambria" w:hAnsi="Cambria"/>
          <w:sz w:val="20"/>
          <w:szCs w:val="20"/>
          <w:lang w:val="en-US"/>
        </w:rPr>
        <w:footnoteReference w:id="95"/>
      </w:r>
      <w:r w:rsidRPr="00CC562A">
        <w:rPr>
          <w:rFonts w:ascii="Cambria" w:hAnsi="Cambria"/>
          <w:sz w:val="20"/>
          <w:szCs w:val="20"/>
          <w:lang w:val="en-US"/>
        </w:rPr>
        <w:t xml:space="preserve"> For these reasons, the IACHR considers it important to continue following up the implementation of the</w:t>
      </w:r>
      <w:r w:rsidR="59BC828D" w:rsidRPr="00CC562A">
        <w:rPr>
          <w:rFonts w:ascii="Cambria" w:hAnsi="Cambria"/>
          <w:sz w:val="20"/>
          <w:szCs w:val="20"/>
          <w:lang w:val="en-US"/>
        </w:rPr>
        <w:t xml:space="preserve"> PHB </w:t>
      </w:r>
      <w:r w:rsidRPr="00CC562A">
        <w:rPr>
          <w:rFonts w:ascii="Cambria" w:hAnsi="Cambria"/>
          <w:sz w:val="20"/>
          <w:szCs w:val="20"/>
          <w:lang w:val="en-US"/>
        </w:rPr>
        <w:t xml:space="preserve">during the next year, particularly </w:t>
      </w:r>
      <w:r w:rsidR="00D820AC" w:rsidRPr="00CC562A">
        <w:rPr>
          <w:rFonts w:ascii="Cambria" w:hAnsi="Cambria"/>
          <w:sz w:val="20"/>
          <w:szCs w:val="20"/>
          <w:lang w:val="en-US"/>
        </w:rPr>
        <w:t xml:space="preserve">with respect to immediate search actions deployed by subject officials in the area of their jurisdiction, and hopes that the State will report in its next report on the measures adopted in this regard. Based on the foregoing, the IACHR considers that </w:t>
      </w:r>
      <w:r w:rsidR="00D820AC" w:rsidRPr="00CC562A">
        <w:rPr>
          <w:rFonts w:ascii="Cambria" w:hAnsi="Cambria"/>
          <w:b/>
          <w:bCs/>
          <w:sz w:val="20"/>
          <w:szCs w:val="20"/>
          <w:lang w:val="en-US"/>
        </w:rPr>
        <w:t xml:space="preserve">substantial compliance </w:t>
      </w:r>
      <w:r w:rsidR="00D820AC" w:rsidRPr="00CC562A">
        <w:rPr>
          <w:rFonts w:ascii="Cambria" w:hAnsi="Cambria"/>
          <w:sz w:val="20"/>
          <w:szCs w:val="20"/>
          <w:lang w:val="en-US"/>
        </w:rPr>
        <w:t xml:space="preserve">with the recommendation remains </w:t>
      </w:r>
      <w:r w:rsidR="00D820AC" w:rsidRPr="00CC562A">
        <w:rPr>
          <w:rFonts w:ascii="Cambria" w:hAnsi="Cambria"/>
          <w:b/>
          <w:bCs/>
          <w:sz w:val="20"/>
          <w:szCs w:val="20"/>
          <w:lang w:val="en-US"/>
        </w:rPr>
        <w:t>partial</w:t>
      </w:r>
      <w:r w:rsidR="59BC828D" w:rsidRPr="00CC562A">
        <w:rPr>
          <w:rFonts w:ascii="Cambria" w:hAnsi="Cambria"/>
          <w:b/>
          <w:bCs/>
          <w:sz w:val="20"/>
          <w:szCs w:val="20"/>
          <w:lang w:val="en-US"/>
        </w:rPr>
        <w:t>.</w:t>
      </w:r>
    </w:p>
    <w:p w14:paraId="03397EFA" w14:textId="3919219F" w:rsidR="00852994" w:rsidRPr="00CC562A" w:rsidRDefault="00D820AC" w:rsidP="00001918">
      <w:pPr>
        <w:numPr>
          <w:ilvl w:val="0"/>
          <w:numId w:val="2"/>
        </w:numPr>
        <w:spacing w:before="240" w:line="240" w:lineRule="auto"/>
        <w:ind w:left="0" w:firstLine="720"/>
        <w:jc w:val="both"/>
        <w:rPr>
          <w:rFonts w:ascii="Cambria" w:eastAsia="Cambria" w:hAnsi="Cambria" w:cs="Cambria"/>
          <w:b/>
          <w:bCs/>
          <w:sz w:val="20"/>
          <w:szCs w:val="20"/>
          <w:lang w:val="en-US"/>
        </w:rPr>
      </w:pP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guide progress in the implementation of this recommendation, the IACHR urges the State to adopt measures ensuring the effective implementation of the Standardized Search Protocol and its provisions in the area of immediate search, including various institutional strengthening actions. In this regard, it will be useful to adopt mechanisms ensuring the </w:t>
      </w:r>
      <w:r w:rsidR="009D44E0" w:rsidRPr="00CC562A">
        <w:rPr>
          <w:rFonts w:ascii="Cambria" w:eastAsia="Cambria" w:hAnsi="Cambria" w:cs="Cambria"/>
          <w:sz w:val="20"/>
          <w:szCs w:val="20"/>
          <w:lang w:val="en-US"/>
        </w:rPr>
        <w:t>implementation</w:t>
      </w:r>
      <w:r w:rsidRPr="00CC562A">
        <w:rPr>
          <w:rFonts w:ascii="Cambria" w:eastAsia="Cambria" w:hAnsi="Cambria" w:cs="Cambria"/>
          <w:sz w:val="20"/>
          <w:szCs w:val="20"/>
          <w:lang w:val="en-US"/>
        </w:rPr>
        <w:t xml:space="preserve"> of this instrument</w:t>
      </w:r>
      <w:r w:rsidR="009D44E0" w:rsidRPr="00CC562A">
        <w:rPr>
          <w:rFonts w:ascii="Cambria" w:eastAsia="Cambria" w:hAnsi="Cambria" w:cs="Cambria"/>
          <w:sz w:val="20"/>
          <w:szCs w:val="20"/>
          <w:lang w:val="en-US"/>
        </w:rPr>
        <w:t xml:space="preserve"> and to provide</w:t>
      </w:r>
      <w:r w:rsidRPr="00CC562A">
        <w:rPr>
          <w:rFonts w:ascii="Cambria" w:eastAsia="Cambria" w:hAnsi="Cambria" w:cs="Cambria"/>
          <w:sz w:val="20"/>
          <w:szCs w:val="20"/>
          <w:lang w:val="en-US"/>
        </w:rPr>
        <w:t xml:space="preserve"> information on the </w:t>
      </w:r>
      <w:r w:rsidR="009D44E0" w:rsidRPr="00CC562A">
        <w:rPr>
          <w:rFonts w:ascii="Cambria" w:eastAsia="Cambria" w:hAnsi="Cambria" w:cs="Cambria"/>
          <w:sz w:val="20"/>
          <w:szCs w:val="20"/>
          <w:lang w:val="en-US"/>
        </w:rPr>
        <w:t>implementation</w:t>
      </w:r>
      <w:r w:rsidRPr="00CC562A">
        <w:rPr>
          <w:rFonts w:ascii="Cambria" w:eastAsia="Cambria" w:hAnsi="Cambria" w:cs="Cambria"/>
          <w:sz w:val="20"/>
          <w:szCs w:val="20"/>
          <w:lang w:val="en-US"/>
        </w:rPr>
        <w:t xml:space="preserve"> of the</w:t>
      </w:r>
      <w:r w:rsidR="758D50BB" w:rsidRPr="00CC562A">
        <w:rPr>
          <w:rFonts w:ascii="Cambria" w:eastAsia="Cambria" w:hAnsi="Cambria" w:cs="Cambria"/>
          <w:sz w:val="20"/>
          <w:szCs w:val="20"/>
          <w:lang w:val="en-US"/>
        </w:rPr>
        <w:t xml:space="preserve"> PHB</w:t>
      </w:r>
      <w:r w:rsidRPr="00CC562A">
        <w:rPr>
          <w:rFonts w:ascii="Cambria" w:eastAsia="Cambria" w:hAnsi="Cambria" w:cs="Cambria"/>
          <w:sz w:val="20"/>
          <w:szCs w:val="20"/>
          <w:lang w:val="en-US"/>
        </w:rPr>
        <w:t xml:space="preserve"> and how it has strengthened immediate search processes in Mexico.</w:t>
      </w:r>
      <w:r w:rsidR="0AB6F298" w:rsidRPr="00CC562A">
        <w:rPr>
          <w:rFonts w:ascii="Cambria" w:eastAsia="Cambria" w:hAnsi="Cambria" w:cs="Cambria"/>
          <w:sz w:val="20"/>
          <w:szCs w:val="20"/>
          <w:lang w:val="en-US"/>
        </w:rPr>
        <w:t xml:space="preserve"> </w:t>
      </w:r>
    </w:p>
    <w:p w14:paraId="589B4FA3" w14:textId="2069575C" w:rsidR="00647FB5" w:rsidRPr="00CC562A" w:rsidRDefault="008E3BD0"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Regarding the recommendation to </w:t>
      </w:r>
      <w:r w:rsidRPr="00CC562A">
        <w:rPr>
          <w:rFonts w:ascii="Cambria" w:hAnsi="Cambria"/>
          <w:b/>
          <w:bCs/>
          <w:sz w:val="20"/>
          <w:szCs w:val="20"/>
          <w:lang w:val="en-US"/>
        </w:rPr>
        <w:t>improve the National Register of Missing Persons as a single register of disappearances with genetic and protected information</w:t>
      </w:r>
      <w:r w:rsidR="4F7F1F06" w:rsidRPr="00CC562A">
        <w:rPr>
          <w:rFonts w:ascii="Cambria" w:hAnsi="Cambria"/>
          <w:b/>
          <w:bCs/>
          <w:sz w:val="20"/>
          <w:szCs w:val="20"/>
          <w:lang w:val="en-US"/>
        </w:rPr>
        <w:t xml:space="preserve">, </w:t>
      </w:r>
      <w:r w:rsidR="005F2207" w:rsidRPr="00CC562A">
        <w:rPr>
          <w:rFonts w:ascii="Cambria" w:hAnsi="Cambria"/>
          <w:sz w:val="20"/>
          <w:szCs w:val="20"/>
          <w:lang w:val="en-US"/>
        </w:rPr>
        <w:t xml:space="preserve">the State indicated that based on the entry into force of the General Law on Disappearances, the Mexican State has obligations </w:t>
      </w:r>
      <w:proofErr w:type="gramStart"/>
      <w:r w:rsidR="005F2207" w:rsidRPr="00CC562A">
        <w:rPr>
          <w:rFonts w:ascii="Cambria" w:hAnsi="Cambria"/>
          <w:sz w:val="20"/>
          <w:szCs w:val="20"/>
          <w:lang w:val="en-US"/>
        </w:rPr>
        <w:t>on the subject of the</w:t>
      </w:r>
      <w:proofErr w:type="gramEnd"/>
      <w:r w:rsidR="005F2207" w:rsidRPr="00CC562A">
        <w:rPr>
          <w:rFonts w:ascii="Cambria" w:hAnsi="Cambria"/>
          <w:sz w:val="20"/>
          <w:szCs w:val="20"/>
          <w:lang w:val="en-US"/>
        </w:rPr>
        <w:t xml:space="preserve"> search for missing persons </w:t>
      </w:r>
      <w:r w:rsidR="009D44E0" w:rsidRPr="00CC562A">
        <w:rPr>
          <w:rFonts w:ascii="Cambria" w:hAnsi="Cambria"/>
          <w:sz w:val="20"/>
          <w:szCs w:val="20"/>
          <w:lang w:val="en-US"/>
        </w:rPr>
        <w:t>under</w:t>
      </w:r>
      <w:r w:rsidR="005F2207" w:rsidRPr="00CC562A">
        <w:rPr>
          <w:rFonts w:ascii="Cambria" w:hAnsi="Cambria"/>
          <w:sz w:val="20"/>
          <w:szCs w:val="20"/>
          <w:lang w:val="en-US"/>
        </w:rPr>
        <w:t xml:space="preserve"> international conventions on the subject to which it is a party</w:t>
      </w:r>
      <w:r w:rsidR="00D95F72" w:rsidRPr="00CC562A">
        <w:rPr>
          <w:rFonts w:ascii="Cambria" w:eastAsia="Cambria" w:hAnsi="Cambria" w:cs="Cambria"/>
          <w:sz w:val="20"/>
          <w:szCs w:val="20"/>
          <w:lang w:val="en-US"/>
        </w:rPr>
        <w:t xml:space="preserve"> </w:t>
      </w:r>
      <w:r w:rsidR="00AE0531" w:rsidRPr="00CC562A">
        <w:rPr>
          <w:rFonts w:ascii="Cambria" w:eastAsia="Cambria" w:hAnsi="Cambria" w:cs="Cambria"/>
          <w:sz w:val="20"/>
          <w:szCs w:val="20"/>
          <w:lang w:val="en-US"/>
        </w:rPr>
        <w:t xml:space="preserve">as well as </w:t>
      </w:r>
      <w:r w:rsidR="00D95F72" w:rsidRPr="00CC562A">
        <w:rPr>
          <w:rFonts w:ascii="Cambria" w:eastAsia="Cambria" w:hAnsi="Cambria" w:cs="Cambria"/>
          <w:sz w:val="20"/>
          <w:szCs w:val="20"/>
          <w:lang w:val="en-US"/>
        </w:rPr>
        <w:t>under domestic law</w:t>
      </w:r>
      <w:r w:rsidR="00AE0531" w:rsidRPr="00CC562A">
        <w:rPr>
          <w:rFonts w:ascii="Cambria" w:eastAsia="Cambria" w:hAnsi="Cambria" w:cs="Cambria"/>
          <w:sz w:val="20"/>
          <w:szCs w:val="20"/>
          <w:lang w:val="en-US"/>
        </w:rPr>
        <w:t>. In this regard, on August 6,</w:t>
      </w:r>
      <w:r w:rsidR="1A8E4DE8" w:rsidRPr="00CC562A">
        <w:rPr>
          <w:rFonts w:ascii="Cambria" w:eastAsia="Cambria" w:hAnsi="Cambria" w:cs="Cambria"/>
          <w:sz w:val="20"/>
          <w:szCs w:val="20"/>
          <w:lang w:val="en-US"/>
        </w:rPr>
        <w:t xml:space="preserve"> 2020, </w:t>
      </w:r>
      <w:r w:rsidR="00D034FA" w:rsidRPr="00CC562A">
        <w:rPr>
          <w:rFonts w:ascii="Cambria" w:eastAsia="Cambria" w:hAnsi="Cambria" w:cs="Cambria"/>
          <w:sz w:val="20"/>
          <w:szCs w:val="20"/>
          <w:lang w:val="en-US"/>
        </w:rPr>
        <w:t>the</w:t>
      </w:r>
      <w:r w:rsidR="00D95F72" w:rsidRPr="00CC562A">
        <w:rPr>
          <w:rFonts w:ascii="Cambria" w:eastAsia="Cambria" w:hAnsi="Cambria" w:cs="Cambria"/>
          <w:sz w:val="20"/>
          <w:szCs w:val="20"/>
          <w:lang w:val="en-US"/>
        </w:rPr>
        <w:t xml:space="preserve"> Coordinating Office on Methods of Investigation</w:t>
      </w:r>
      <w:r w:rsidR="00D95F72" w:rsidRPr="00CC562A">
        <w:rPr>
          <w:rFonts w:ascii="Cambria" w:eastAsia="Cambria" w:hAnsi="Cambria" w:cs="Cambria"/>
          <w:i/>
          <w:iCs/>
          <w:sz w:val="20"/>
          <w:szCs w:val="20"/>
          <w:lang w:val="en-US"/>
        </w:rPr>
        <w:t xml:space="preserve"> </w:t>
      </w:r>
      <w:r w:rsidR="00D95F72" w:rsidRPr="00CC562A">
        <w:rPr>
          <w:rFonts w:ascii="Cambria" w:eastAsia="Cambria" w:hAnsi="Cambria" w:cs="Cambria"/>
          <w:sz w:val="20"/>
          <w:szCs w:val="20"/>
          <w:lang w:val="en-US"/>
        </w:rPr>
        <w:t>i</w:t>
      </w:r>
      <w:r w:rsidR="00D034FA" w:rsidRPr="00CC562A">
        <w:rPr>
          <w:rFonts w:ascii="Cambria" w:eastAsia="Cambria" w:hAnsi="Cambria" w:cs="Cambria"/>
          <w:sz w:val="20"/>
          <w:szCs w:val="20"/>
          <w:lang w:val="en-US"/>
        </w:rPr>
        <w:t>ssued</w:t>
      </w:r>
      <w:r w:rsidR="00D95F72" w:rsidRPr="00CC562A">
        <w:rPr>
          <w:rFonts w:ascii="Cambria" w:eastAsia="Cambria" w:hAnsi="Cambria" w:cs="Cambria"/>
          <w:sz w:val="20"/>
          <w:szCs w:val="20"/>
          <w:lang w:val="en-US"/>
        </w:rPr>
        <w:t xml:space="preserve"> t</w:t>
      </w:r>
      <w:r w:rsidR="00D034FA" w:rsidRPr="00CC562A">
        <w:rPr>
          <w:rFonts w:ascii="Cambria" w:eastAsia="Cambria" w:hAnsi="Cambria" w:cs="Cambria"/>
          <w:sz w:val="20"/>
          <w:szCs w:val="20"/>
          <w:lang w:val="en-US"/>
        </w:rPr>
        <w:t>he General Guidelines for the Installation and Operation of the National Genetic Database</w:t>
      </w:r>
      <w:r w:rsidR="1A8E4DE8" w:rsidRPr="00CC562A">
        <w:rPr>
          <w:rFonts w:ascii="Cambria" w:eastAsia="Cambria" w:hAnsi="Cambria" w:cs="Cambria"/>
          <w:sz w:val="20"/>
          <w:szCs w:val="20"/>
          <w:lang w:val="en-US"/>
        </w:rPr>
        <w:t xml:space="preserve"> L/CMI/001/2020.</w:t>
      </w:r>
      <w:r w:rsidR="00ACD0FD" w:rsidRPr="00CC562A">
        <w:rPr>
          <w:rFonts w:ascii="Cambria" w:eastAsia="Cambria" w:hAnsi="Cambria" w:cs="Cambria"/>
          <w:sz w:val="20"/>
          <w:szCs w:val="20"/>
          <w:lang w:val="en-US"/>
        </w:rPr>
        <w:t xml:space="preserve"> </w:t>
      </w:r>
      <w:r w:rsidR="00D034FA" w:rsidRPr="00CC562A">
        <w:rPr>
          <w:rFonts w:ascii="Cambria" w:eastAsia="Cambria" w:hAnsi="Cambria" w:cs="Cambria"/>
          <w:sz w:val="20"/>
          <w:szCs w:val="20"/>
          <w:lang w:val="en-US"/>
        </w:rPr>
        <w:t xml:space="preserve">In addition, on December 11, </w:t>
      </w:r>
      <w:r w:rsidR="1A8E4DE8" w:rsidRPr="00CC562A">
        <w:rPr>
          <w:rFonts w:ascii="Cambria" w:eastAsia="Cambria" w:hAnsi="Cambria" w:cs="Cambria"/>
          <w:sz w:val="20"/>
          <w:szCs w:val="20"/>
          <w:lang w:val="en-US"/>
        </w:rPr>
        <w:t xml:space="preserve">2020, </w:t>
      </w:r>
      <w:r w:rsidR="00D034FA" w:rsidRPr="00CC562A">
        <w:rPr>
          <w:rFonts w:ascii="Cambria" w:eastAsia="Cambria" w:hAnsi="Cambria" w:cs="Cambria"/>
          <w:sz w:val="20"/>
          <w:szCs w:val="20"/>
          <w:lang w:val="en-US"/>
        </w:rPr>
        <w:t xml:space="preserve">under agreement </w:t>
      </w:r>
      <w:r w:rsidR="1A8E4DE8" w:rsidRPr="00CC562A">
        <w:rPr>
          <w:rFonts w:ascii="Cambria" w:eastAsia="Cambria" w:hAnsi="Cambria" w:cs="Cambria"/>
          <w:sz w:val="20"/>
          <w:szCs w:val="20"/>
          <w:lang w:val="en-US"/>
        </w:rPr>
        <w:t xml:space="preserve">CNPJ/XLIV/07/2020 </w:t>
      </w:r>
      <w:r w:rsidR="00D034FA" w:rsidRPr="00CC562A">
        <w:rPr>
          <w:rFonts w:ascii="Cambria" w:eastAsia="Cambria" w:hAnsi="Cambria" w:cs="Cambria"/>
          <w:sz w:val="20"/>
          <w:szCs w:val="20"/>
          <w:lang w:val="en-US"/>
        </w:rPr>
        <w:t>of the</w:t>
      </w:r>
      <w:r w:rsidR="1A8E4DE8" w:rsidRPr="00CC562A">
        <w:rPr>
          <w:rFonts w:ascii="Cambria" w:eastAsia="Cambria" w:hAnsi="Cambria" w:cs="Cambria"/>
          <w:sz w:val="20"/>
          <w:szCs w:val="20"/>
          <w:lang w:val="en-US"/>
        </w:rPr>
        <w:t xml:space="preserve"> XLIV </w:t>
      </w:r>
      <w:r w:rsidR="00D034FA" w:rsidRPr="00CC562A">
        <w:rPr>
          <w:rFonts w:ascii="Cambria" w:eastAsia="Cambria" w:hAnsi="Cambria" w:cs="Cambria"/>
          <w:sz w:val="20"/>
          <w:szCs w:val="20"/>
          <w:lang w:val="en-US"/>
        </w:rPr>
        <w:t xml:space="preserve">Plenary Session of the National Conference of Judicial Prosecutors (hereinafter </w:t>
      </w:r>
      <w:r w:rsidR="450DAB04" w:rsidRPr="00CC562A">
        <w:rPr>
          <w:rFonts w:ascii="Cambria" w:eastAsia="Cambria" w:hAnsi="Cambria" w:cs="Cambria"/>
          <w:sz w:val="20"/>
          <w:szCs w:val="20"/>
          <w:lang w:val="en-US"/>
        </w:rPr>
        <w:t>“CNPJ”)</w:t>
      </w:r>
      <w:r w:rsidR="1A8E4DE8" w:rsidRPr="00CC562A">
        <w:rPr>
          <w:rFonts w:ascii="Cambria" w:eastAsia="Cambria" w:hAnsi="Cambria" w:cs="Cambria"/>
          <w:sz w:val="20"/>
          <w:szCs w:val="20"/>
          <w:lang w:val="en-US"/>
        </w:rPr>
        <w:t xml:space="preserve">, </w:t>
      </w:r>
      <w:r w:rsidR="00D034FA" w:rsidRPr="00CC562A">
        <w:rPr>
          <w:rFonts w:ascii="Cambria" w:eastAsia="Cambria" w:hAnsi="Cambria" w:cs="Cambria"/>
          <w:sz w:val="20"/>
          <w:szCs w:val="20"/>
          <w:lang w:val="en-US"/>
        </w:rPr>
        <w:t xml:space="preserve">leaders of the attorney general’s and prosecutor’s offices who are members of the Conference acceded to the </w:t>
      </w:r>
      <w:r w:rsidR="1A8E4DE8" w:rsidRPr="00CC562A">
        <w:rPr>
          <w:rFonts w:ascii="Cambria" w:eastAsia="Cambria" w:hAnsi="Cambria" w:cs="Cambria"/>
          <w:sz w:val="20"/>
          <w:szCs w:val="20"/>
          <w:lang w:val="en-US"/>
        </w:rPr>
        <w:t>L/CMI/001/2020</w:t>
      </w:r>
      <w:r w:rsidR="00D034FA" w:rsidRPr="00CC562A">
        <w:rPr>
          <w:rFonts w:ascii="Cambria" w:eastAsia="Cambria" w:hAnsi="Cambria" w:cs="Cambria"/>
          <w:sz w:val="20"/>
          <w:szCs w:val="20"/>
          <w:lang w:val="en-US"/>
        </w:rPr>
        <w:t xml:space="preserve"> Guidelines, the Technical Annex, and the technical standards of the </w:t>
      </w:r>
      <w:r w:rsidR="1A8E4DE8" w:rsidRPr="00CC562A">
        <w:rPr>
          <w:rFonts w:ascii="Cambria" w:eastAsia="Cambria" w:hAnsi="Cambria" w:cs="Cambria"/>
          <w:sz w:val="20"/>
          <w:szCs w:val="20"/>
          <w:lang w:val="en-US"/>
        </w:rPr>
        <w:t>BNIG.</w:t>
      </w:r>
      <w:r w:rsidR="00ACD0FD" w:rsidRPr="00CC562A">
        <w:rPr>
          <w:rFonts w:ascii="Cambria" w:eastAsia="Cambria" w:hAnsi="Cambria" w:cs="Cambria"/>
          <w:sz w:val="20"/>
          <w:szCs w:val="20"/>
          <w:lang w:val="en-US"/>
        </w:rPr>
        <w:t xml:space="preserve"> </w:t>
      </w:r>
    </w:p>
    <w:p w14:paraId="612B026D" w14:textId="7487577D" w:rsidR="00647FB5" w:rsidRPr="00CC562A" w:rsidRDefault="00D034F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indicated that, in addition to the Alba Protocol and the </w:t>
      </w:r>
      <w:r w:rsidR="001E5C56" w:rsidRPr="00CC562A">
        <w:rPr>
          <w:rFonts w:ascii="Cambria" w:eastAsia="Cambria" w:hAnsi="Cambria" w:cs="Cambria"/>
          <w:sz w:val="20"/>
          <w:szCs w:val="20"/>
          <w:lang w:val="en-US"/>
        </w:rPr>
        <w:t xml:space="preserve">Amber Alert, it has implemented the AM/PM (ante- and post-mortem) databases, which operate in coordination with the International Red Cross. The purpose is to create a database of genetic material to facilitate the effective identification of human remains that have been found. </w:t>
      </w:r>
      <w:r w:rsidR="00874410" w:rsidRPr="00CC562A">
        <w:rPr>
          <w:rFonts w:ascii="Cambria" w:eastAsia="Cambria" w:hAnsi="Cambria" w:cs="Cambria"/>
          <w:sz w:val="20"/>
          <w:szCs w:val="20"/>
          <w:lang w:val="en-US"/>
        </w:rPr>
        <w:t xml:space="preserve"> In addition, there is the database called the National Register of Disappeared and Missing Persons (hereinafter </w:t>
      </w:r>
      <w:r w:rsidR="00ACD0FD"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RNPDNO</w:t>
      </w:r>
      <w:r w:rsidR="00ACD0FD"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w:t>
      </w:r>
      <w:r w:rsidR="00ACD0FD" w:rsidRPr="00CC562A">
        <w:rPr>
          <w:rFonts w:ascii="Cambria" w:eastAsia="Cambria" w:hAnsi="Cambria" w:cs="Cambria"/>
          <w:sz w:val="20"/>
          <w:szCs w:val="20"/>
          <w:lang w:val="en-US"/>
        </w:rPr>
        <w:t xml:space="preserve"> </w:t>
      </w:r>
      <w:r w:rsidR="00874410" w:rsidRPr="00CC562A">
        <w:rPr>
          <w:rFonts w:ascii="Cambria" w:eastAsia="Cambria" w:hAnsi="Cambria" w:cs="Cambria"/>
          <w:sz w:val="20"/>
          <w:szCs w:val="20"/>
          <w:lang w:val="en-US"/>
        </w:rPr>
        <w:t xml:space="preserve">This site presents statistical data on the information included in the National Register of Disappeared and Missing Persons, compiled and incorporated therein by the authorities of the Federation and the </w:t>
      </w:r>
      <w:r w:rsidR="00D95F72" w:rsidRPr="00CC562A">
        <w:rPr>
          <w:rFonts w:ascii="Cambria" w:eastAsia="Cambria" w:hAnsi="Cambria" w:cs="Cambria"/>
          <w:sz w:val="20"/>
          <w:szCs w:val="20"/>
          <w:lang w:val="en-US"/>
        </w:rPr>
        <w:t>states using</w:t>
      </w:r>
      <w:r w:rsidR="00874410" w:rsidRPr="00CC562A">
        <w:rPr>
          <w:rFonts w:ascii="Cambria" w:eastAsia="Cambria" w:hAnsi="Cambria" w:cs="Cambria"/>
          <w:sz w:val="20"/>
          <w:szCs w:val="20"/>
          <w:lang w:val="en-US"/>
        </w:rPr>
        <w:t xml:space="preserve"> the technological tools implemented by the </w:t>
      </w:r>
      <w:r w:rsidR="1A8E4DE8" w:rsidRPr="00CC562A">
        <w:rPr>
          <w:rFonts w:ascii="Cambria" w:eastAsia="Cambria" w:hAnsi="Cambria" w:cs="Cambria"/>
          <w:sz w:val="20"/>
          <w:szCs w:val="20"/>
          <w:lang w:val="en-US"/>
        </w:rPr>
        <w:lastRenderedPageBreak/>
        <w:t>CNB</w:t>
      </w:r>
      <w:r w:rsidR="00ACD0FD" w:rsidRPr="00CC562A">
        <w:rPr>
          <w:rFonts w:ascii="Cambria" w:eastAsia="Cambria" w:hAnsi="Cambria" w:cs="Cambria"/>
          <w:sz w:val="20"/>
          <w:szCs w:val="20"/>
          <w:lang w:val="en-US"/>
        </w:rPr>
        <w:t>P</w:t>
      </w:r>
      <w:r w:rsidR="1A8E4DE8" w:rsidRPr="00CC562A">
        <w:rPr>
          <w:rFonts w:ascii="Cambria" w:eastAsia="Cambria" w:hAnsi="Cambria" w:cs="Cambria"/>
          <w:sz w:val="20"/>
          <w:szCs w:val="20"/>
          <w:lang w:val="en-US"/>
        </w:rPr>
        <w:t xml:space="preserve">: </w:t>
      </w:r>
      <w:r w:rsidR="00874410" w:rsidRPr="00CC562A">
        <w:rPr>
          <w:rFonts w:ascii="Cambria" w:eastAsia="Cambria" w:hAnsi="Cambria" w:cs="Cambria"/>
          <w:sz w:val="20"/>
          <w:szCs w:val="20"/>
          <w:lang w:val="en-US"/>
        </w:rPr>
        <w:t>Single System of the National Register of Disappeared and Missing Persons</w:t>
      </w:r>
      <w:r w:rsidR="1A8E4DE8" w:rsidRPr="00CC562A">
        <w:rPr>
          <w:rFonts w:ascii="Cambria" w:eastAsia="Cambria" w:hAnsi="Cambria" w:cs="Cambria"/>
          <w:sz w:val="20"/>
          <w:szCs w:val="20"/>
          <w:lang w:val="en-US"/>
        </w:rPr>
        <w:t xml:space="preserve"> (SU), </w:t>
      </w:r>
      <w:r w:rsidR="00874410" w:rsidRPr="00CC562A">
        <w:rPr>
          <w:rFonts w:ascii="Cambria" w:eastAsia="Cambria" w:hAnsi="Cambria" w:cs="Cambria"/>
          <w:sz w:val="20"/>
          <w:szCs w:val="20"/>
          <w:lang w:val="en-US"/>
        </w:rPr>
        <w:t>Bulk Upload (</w:t>
      </w:r>
      <w:r w:rsidR="1A8E4DE8" w:rsidRPr="00CC562A">
        <w:rPr>
          <w:rFonts w:ascii="Cambria" w:eastAsia="Cambria" w:hAnsi="Cambria" w:cs="Cambria"/>
          <w:i/>
          <w:iCs/>
          <w:sz w:val="20"/>
          <w:szCs w:val="20"/>
          <w:lang w:val="en-US"/>
        </w:rPr>
        <w:t xml:space="preserve">Carga </w:t>
      </w:r>
      <w:proofErr w:type="spellStart"/>
      <w:r w:rsidR="1A8E4DE8" w:rsidRPr="00CC562A">
        <w:rPr>
          <w:rFonts w:ascii="Cambria" w:eastAsia="Cambria" w:hAnsi="Cambria" w:cs="Cambria"/>
          <w:i/>
          <w:iCs/>
          <w:sz w:val="20"/>
          <w:szCs w:val="20"/>
          <w:lang w:val="en-US"/>
        </w:rPr>
        <w:t>Masiva</w:t>
      </w:r>
      <w:proofErr w:type="spellEnd"/>
      <w:r w:rsidR="00874410" w:rsidRPr="00CC562A">
        <w:rPr>
          <w:rFonts w:ascii="Cambria" w:eastAsia="Cambria" w:hAnsi="Cambria" w:cs="Cambria"/>
          <w:sz w:val="20"/>
          <w:szCs w:val="20"/>
          <w:lang w:val="en-US"/>
        </w:rPr>
        <w:t xml:space="preserve"> - </w:t>
      </w:r>
      <w:r w:rsidR="1A8E4DE8" w:rsidRPr="00CC562A">
        <w:rPr>
          <w:rFonts w:ascii="Cambria" w:eastAsia="Cambria" w:hAnsi="Cambria" w:cs="Cambria"/>
          <w:sz w:val="20"/>
          <w:szCs w:val="20"/>
          <w:lang w:val="en-US"/>
        </w:rPr>
        <w:t>CM), Web Service (WS)</w:t>
      </w:r>
      <w:r w:rsidR="00874410" w:rsidRPr="00CC562A">
        <w:rPr>
          <w:rFonts w:ascii="Cambria" w:eastAsia="Cambria" w:hAnsi="Cambria" w:cs="Cambria"/>
          <w:sz w:val="20"/>
          <w:szCs w:val="20"/>
          <w:lang w:val="en-US"/>
        </w:rPr>
        <w:t>, and the Website of reports on disappeared and missing persons</w:t>
      </w:r>
      <w:r w:rsidR="1A8E4DE8" w:rsidRPr="00CC562A">
        <w:rPr>
          <w:rFonts w:ascii="Cambria" w:eastAsia="Cambria" w:hAnsi="Cambria" w:cs="Cambria"/>
          <w:sz w:val="20"/>
          <w:szCs w:val="20"/>
          <w:lang w:val="en-US"/>
        </w:rPr>
        <w:t xml:space="preserve"> (PW)</w:t>
      </w:r>
      <w:r w:rsidR="00D95F72"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 xml:space="preserve"> </w:t>
      </w:r>
      <w:r w:rsidR="00874410" w:rsidRPr="00CC562A">
        <w:rPr>
          <w:rFonts w:ascii="Cambria" w:eastAsia="Cambria" w:hAnsi="Cambria" w:cs="Cambria"/>
          <w:sz w:val="20"/>
          <w:szCs w:val="20"/>
          <w:lang w:val="en-US"/>
        </w:rPr>
        <w:t xml:space="preserve">by means of which any information not displayed can be </w:t>
      </w:r>
      <w:r w:rsidR="0016151D" w:rsidRPr="00CC562A">
        <w:rPr>
          <w:rFonts w:ascii="Cambria" w:eastAsia="Cambria" w:hAnsi="Cambria" w:cs="Cambria"/>
          <w:sz w:val="20"/>
          <w:szCs w:val="20"/>
          <w:lang w:val="en-US"/>
        </w:rPr>
        <w:t>checked with the original authority</w:t>
      </w:r>
      <w:r w:rsidR="1A8E4DE8" w:rsidRPr="00CC562A">
        <w:rPr>
          <w:rFonts w:ascii="Cambria" w:eastAsia="Cambria" w:hAnsi="Cambria" w:cs="Cambria"/>
          <w:sz w:val="20"/>
          <w:szCs w:val="20"/>
          <w:lang w:val="en-US"/>
        </w:rPr>
        <w:t>.</w:t>
      </w:r>
    </w:p>
    <w:p w14:paraId="1AF95766" w14:textId="27186895" w:rsidR="00647FB5" w:rsidRPr="00CC562A" w:rsidRDefault="0016151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Within the </w:t>
      </w:r>
      <w:r w:rsidR="00904D9B" w:rsidRPr="00CC562A">
        <w:rPr>
          <w:rFonts w:ascii="Cambria" w:eastAsia="Cambria" w:hAnsi="Cambria" w:cs="Cambria"/>
          <w:sz w:val="20"/>
          <w:szCs w:val="20"/>
          <w:lang w:val="en-US"/>
        </w:rPr>
        <w:t>context</w:t>
      </w:r>
      <w:r w:rsidRPr="00CC562A">
        <w:rPr>
          <w:rFonts w:ascii="Cambria" w:eastAsia="Cambria" w:hAnsi="Cambria" w:cs="Cambria"/>
          <w:sz w:val="20"/>
          <w:szCs w:val="20"/>
          <w:lang w:val="en-US"/>
        </w:rPr>
        <w:t xml:space="preserve"> of the work done by the Special Prosecutor’s Office for the Investigation of</w:t>
      </w:r>
      <w:r w:rsidR="00507873" w:rsidRPr="00CC562A">
        <w:rPr>
          <w:rFonts w:ascii="Cambria" w:eastAsia="Cambria" w:hAnsi="Cambria" w:cs="Cambria"/>
          <w:sz w:val="20"/>
          <w:szCs w:val="20"/>
          <w:lang w:val="en-US"/>
        </w:rPr>
        <w:t xml:space="preserve"> F</w:t>
      </w:r>
      <w:r w:rsidRPr="00CC562A">
        <w:rPr>
          <w:rFonts w:ascii="Cambria" w:eastAsia="Cambria" w:hAnsi="Cambria" w:cs="Cambria"/>
          <w:sz w:val="20"/>
          <w:szCs w:val="20"/>
          <w:lang w:val="en-US"/>
        </w:rPr>
        <w:t>orced Disappearance Crimes, the State indicated that it has a program in which the report to the FGR must be filed</w:t>
      </w:r>
      <w:r w:rsidR="00904D9B" w:rsidRPr="00CC562A">
        <w:rPr>
          <w:rFonts w:ascii="Cambria" w:eastAsia="Cambria" w:hAnsi="Cambria" w:cs="Cambria"/>
          <w:sz w:val="20"/>
          <w:szCs w:val="20"/>
          <w:lang w:val="en-US"/>
        </w:rPr>
        <w:t>. The</w:t>
      </w:r>
      <w:r w:rsidRPr="00CC562A">
        <w:rPr>
          <w:rFonts w:ascii="Cambria" w:eastAsia="Cambria" w:hAnsi="Cambria" w:cs="Cambria"/>
          <w:sz w:val="20"/>
          <w:szCs w:val="20"/>
          <w:lang w:val="en-US"/>
        </w:rPr>
        <w:t xml:space="preserve"> number of the federal preliminary inquiry and/or investigation file</w:t>
      </w:r>
      <w:r w:rsidR="00455333" w:rsidRPr="00CC562A">
        <w:rPr>
          <w:rFonts w:ascii="Cambria" w:eastAsia="Cambria" w:hAnsi="Cambria" w:cs="Cambria"/>
          <w:sz w:val="20"/>
          <w:szCs w:val="20"/>
          <w:lang w:val="en-US"/>
        </w:rPr>
        <w:t xml:space="preserve"> can be used to access the program under the consult bulletin or search for </w:t>
      </w:r>
      <w:r w:rsidR="005160F8" w:rsidRPr="00CC562A">
        <w:rPr>
          <w:rFonts w:ascii="Cambria" w:eastAsia="Cambria" w:hAnsi="Cambria" w:cs="Cambria"/>
          <w:sz w:val="20"/>
          <w:szCs w:val="20"/>
          <w:lang w:val="en-US"/>
        </w:rPr>
        <w:t>relatives’</w:t>
      </w:r>
      <w:r w:rsidR="00904D9B" w:rsidRPr="00CC562A">
        <w:rPr>
          <w:rFonts w:ascii="Cambria" w:eastAsia="Cambria" w:hAnsi="Cambria" w:cs="Cambria"/>
          <w:sz w:val="20"/>
          <w:szCs w:val="20"/>
          <w:lang w:val="en-US"/>
        </w:rPr>
        <w:t xml:space="preserve"> headings </w:t>
      </w:r>
      <w:r w:rsidR="00455333" w:rsidRPr="00CC562A">
        <w:rPr>
          <w:rFonts w:ascii="Cambria" w:eastAsia="Cambria" w:hAnsi="Cambria" w:cs="Cambria"/>
          <w:sz w:val="20"/>
          <w:szCs w:val="20"/>
          <w:lang w:val="en-US"/>
        </w:rPr>
        <w:t xml:space="preserve">or </w:t>
      </w:r>
      <w:r w:rsidR="00904D9B" w:rsidRPr="00CC562A">
        <w:rPr>
          <w:rFonts w:ascii="Cambria" w:eastAsia="Cambria" w:hAnsi="Cambria" w:cs="Cambria"/>
          <w:sz w:val="20"/>
          <w:szCs w:val="20"/>
          <w:lang w:val="en-US"/>
        </w:rPr>
        <w:t xml:space="preserve">to </w:t>
      </w:r>
      <w:r w:rsidR="00455333" w:rsidRPr="00CC562A">
        <w:rPr>
          <w:rFonts w:ascii="Cambria" w:eastAsia="Cambria" w:hAnsi="Cambria" w:cs="Cambria"/>
          <w:sz w:val="20"/>
          <w:szCs w:val="20"/>
          <w:lang w:val="en-US"/>
        </w:rPr>
        <w:t xml:space="preserve">contact the Complaint and Citizen Support Center. In addition, the FGR’s National Genetic Database has compiled </w:t>
      </w:r>
      <w:r w:rsidR="1A8E4DE8" w:rsidRPr="00CC562A">
        <w:rPr>
          <w:rFonts w:ascii="Cambria" w:eastAsia="Cambria" w:hAnsi="Cambria" w:cs="Cambria"/>
          <w:sz w:val="20"/>
          <w:szCs w:val="20"/>
          <w:lang w:val="en-US"/>
        </w:rPr>
        <w:t>15</w:t>
      </w:r>
      <w:r w:rsidR="00455333"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 xml:space="preserve">177 </w:t>
      </w:r>
      <w:r w:rsidR="00455333" w:rsidRPr="00CC562A">
        <w:rPr>
          <w:rFonts w:ascii="Cambria" w:eastAsia="Cambria" w:hAnsi="Cambria" w:cs="Cambria"/>
          <w:sz w:val="20"/>
          <w:szCs w:val="20"/>
          <w:lang w:val="en-US"/>
        </w:rPr>
        <w:t xml:space="preserve">genetic profiles of unidentified corpses, which are kept </w:t>
      </w:r>
      <w:proofErr w:type="gramStart"/>
      <w:r w:rsidR="00455333" w:rsidRPr="00CC562A">
        <w:rPr>
          <w:rFonts w:ascii="Cambria" w:eastAsia="Cambria" w:hAnsi="Cambria" w:cs="Cambria"/>
          <w:sz w:val="20"/>
          <w:szCs w:val="20"/>
          <w:lang w:val="en-US"/>
        </w:rPr>
        <w:t>in the event that</w:t>
      </w:r>
      <w:proofErr w:type="gramEnd"/>
      <w:r w:rsidR="00455333" w:rsidRPr="00CC562A">
        <w:rPr>
          <w:rFonts w:ascii="Cambria" w:eastAsia="Cambria" w:hAnsi="Cambria" w:cs="Cambria"/>
          <w:sz w:val="20"/>
          <w:szCs w:val="20"/>
          <w:lang w:val="en-US"/>
        </w:rPr>
        <w:t xml:space="preserve"> their relatives appear and, through laboratory tests, are able to prove a biological link allowing them to complete the search for one of the more than 100,000 </w:t>
      </w:r>
      <w:r w:rsidR="00460B07" w:rsidRPr="00CC562A">
        <w:rPr>
          <w:rFonts w:ascii="Cambria" w:eastAsia="Cambria" w:hAnsi="Cambria" w:cs="Cambria"/>
          <w:sz w:val="20"/>
          <w:szCs w:val="20"/>
          <w:lang w:val="en-US"/>
        </w:rPr>
        <w:t xml:space="preserve">disappeared persons in the country. A research tool is the </w:t>
      </w:r>
      <w:proofErr w:type="spellStart"/>
      <w:r w:rsidR="1A8E4DE8" w:rsidRPr="00CC562A">
        <w:rPr>
          <w:rFonts w:ascii="Cambria" w:eastAsia="Cambria" w:hAnsi="Cambria" w:cs="Cambria"/>
          <w:sz w:val="20"/>
          <w:szCs w:val="20"/>
          <w:lang w:val="en-US"/>
        </w:rPr>
        <w:t>Codis</w:t>
      </w:r>
      <w:proofErr w:type="spellEnd"/>
      <w:r w:rsidR="1A8E4DE8" w:rsidRPr="00CC562A">
        <w:rPr>
          <w:rFonts w:ascii="Cambria" w:eastAsia="Cambria" w:hAnsi="Cambria" w:cs="Cambria"/>
          <w:sz w:val="20"/>
          <w:szCs w:val="20"/>
          <w:lang w:val="en-US"/>
        </w:rPr>
        <w:t xml:space="preserve"> (</w:t>
      </w:r>
      <w:r w:rsidR="00460B07" w:rsidRPr="00CC562A">
        <w:rPr>
          <w:rFonts w:ascii="Cambria" w:eastAsia="Cambria" w:hAnsi="Cambria" w:cs="Cambria"/>
          <w:sz w:val="20"/>
          <w:szCs w:val="20"/>
          <w:lang w:val="en-US"/>
        </w:rPr>
        <w:t xml:space="preserve">acronym for the United States’ </w:t>
      </w:r>
      <w:r w:rsidR="1A8E4DE8" w:rsidRPr="00CC562A">
        <w:rPr>
          <w:rFonts w:ascii="Cambria" w:eastAsia="Cambria" w:hAnsi="Cambria" w:cs="Cambria"/>
          <w:sz w:val="20"/>
          <w:szCs w:val="20"/>
          <w:lang w:val="en-US"/>
        </w:rPr>
        <w:t xml:space="preserve">Combined DNA </w:t>
      </w:r>
      <w:proofErr w:type="spellStart"/>
      <w:r w:rsidR="1A8E4DE8" w:rsidRPr="00CC562A">
        <w:rPr>
          <w:rFonts w:ascii="Cambria" w:eastAsia="Cambria" w:hAnsi="Cambria" w:cs="Cambria"/>
          <w:sz w:val="20"/>
          <w:szCs w:val="20"/>
          <w:lang w:val="en-US"/>
        </w:rPr>
        <w:t>lndex</w:t>
      </w:r>
      <w:proofErr w:type="spellEnd"/>
      <w:r w:rsidR="1A8E4DE8" w:rsidRPr="00CC562A">
        <w:rPr>
          <w:rFonts w:ascii="Cambria" w:eastAsia="Cambria" w:hAnsi="Cambria" w:cs="Cambria"/>
          <w:sz w:val="20"/>
          <w:szCs w:val="20"/>
          <w:lang w:val="en-US"/>
        </w:rPr>
        <w:t xml:space="preserve"> System), </w:t>
      </w:r>
      <w:r w:rsidR="00460B07" w:rsidRPr="00CC562A">
        <w:rPr>
          <w:rFonts w:ascii="Cambria" w:eastAsia="Cambria" w:hAnsi="Cambria" w:cs="Cambria"/>
          <w:sz w:val="20"/>
          <w:szCs w:val="20"/>
          <w:lang w:val="en-US"/>
        </w:rPr>
        <w:t>which makes it possible to exchange information among forensic laboratories using standardized data and processes to compare genetic samples</w:t>
      </w:r>
      <w:r w:rsidR="1A8E4DE8" w:rsidRPr="00CC562A">
        <w:rPr>
          <w:rFonts w:ascii="Cambria" w:eastAsia="Cambria" w:hAnsi="Cambria" w:cs="Cambria"/>
          <w:sz w:val="20"/>
          <w:szCs w:val="20"/>
          <w:lang w:val="en-US"/>
        </w:rPr>
        <w:t>.</w:t>
      </w:r>
    </w:p>
    <w:p w14:paraId="3E1B047C" w14:textId="3C84D484" w:rsidR="00BB21C9" w:rsidRPr="00CC562A" w:rsidRDefault="00460B0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 emphasized that the</w:t>
      </w:r>
      <w:r w:rsidR="0A113D74" w:rsidRPr="00CC562A">
        <w:rPr>
          <w:rFonts w:ascii="Cambria" w:eastAsia="Cambria" w:hAnsi="Cambria" w:cs="Cambria"/>
          <w:sz w:val="20"/>
          <w:szCs w:val="20"/>
          <w:lang w:val="en-US"/>
        </w:rPr>
        <w:t xml:space="preserve"> FGR </w:t>
      </w:r>
      <w:r w:rsidRPr="00CC562A">
        <w:rPr>
          <w:rFonts w:ascii="Cambria" w:eastAsia="Cambria" w:hAnsi="Cambria" w:cs="Cambria"/>
          <w:sz w:val="20"/>
          <w:szCs w:val="20"/>
          <w:lang w:val="en-US"/>
        </w:rPr>
        <w:t>also keeps records of the fingerprints of 777,057 people from unidentified corpses or relatives of the disappeared</w:t>
      </w:r>
      <w:r w:rsidR="00904D9B" w:rsidRPr="00CC562A">
        <w:rPr>
          <w:rFonts w:ascii="Cambria" w:eastAsia="Cambria" w:hAnsi="Cambria" w:cs="Cambria"/>
          <w:sz w:val="20"/>
          <w:szCs w:val="20"/>
          <w:lang w:val="en-US"/>
        </w:rPr>
        <w:t xml:space="preserve"> as well as </w:t>
      </w:r>
      <w:r w:rsidRPr="00CC562A">
        <w:rPr>
          <w:rFonts w:ascii="Cambria" w:eastAsia="Cambria" w:hAnsi="Cambria" w:cs="Cambria"/>
          <w:sz w:val="20"/>
          <w:szCs w:val="20"/>
          <w:lang w:val="en-US"/>
        </w:rPr>
        <w:t>from alleged criminals or people convicted of various crimes. In addition, the</w:t>
      </w:r>
      <w:r w:rsidR="0A113D74" w:rsidRPr="00CC562A">
        <w:rPr>
          <w:rFonts w:ascii="Cambria" w:eastAsia="Cambria" w:hAnsi="Cambria" w:cs="Cambria"/>
          <w:sz w:val="20"/>
          <w:szCs w:val="20"/>
          <w:lang w:val="en-US"/>
        </w:rPr>
        <w:t xml:space="preserve"> </w:t>
      </w:r>
      <w:r w:rsidR="3FA71411" w:rsidRPr="00CC562A">
        <w:rPr>
          <w:rFonts w:ascii="Cambria" w:eastAsia="Cambria" w:hAnsi="Cambria" w:cs="Cambria"/>
          <w:sz w:val="20"/>
          <w:szCs w:val="20"/>
          <w:lang w:val="en-US"/>
        </w:rPr>
        <w:t>CNB</w:t>
      </w:r>
      <w:r w:rsidR="0A113D74" w:rsidRPr="00CC562A">
        <w:rPr>
          <w:rFonts w:ascii="Cambria" w:eastAsia="Cambria" w:hAnsi="Cambria" w:cs="Cambria"/>
          <w:sz w:val="20"/>
          <w:szCs w:val="20"/>
          <w:lang w:val="en-US"/>
        </w:rPr>
        <w:t xml:space="preserve"> h</w:t>
      </w:r>
      <w:r w:rsidRPr="00CC562A">
        <w:rPr>
          <w:rFonts w:ascii="Cambria" w:eastAsia="Cambria" w:hAnsi="Cambria" w:cs="Cambria"/>
          <w:sz w:val="20"/>
          <w:szCs w:val="20"/>
          <w:lang w:val="en-US"/>
        </w:rPr>
        <w:t xml:space="preserve">as constructed a tool </w:t>
      </w:r>
      <w:r w:rsidR="00A82ABE" w:rsidRPr="00CC562A">
        <w:rPr>
          <w:rFonts w:ascii="Cambria" w:eastAsia="Cambria" w:hAnsi="Cambria" w:cs="Cambria"/>
          <w:sz w:val="20"/>
          <w:szCs w:val="20"/>
          <w:lang w:val="en-US"/>
        </w:rPr>
        <w:t>that allows</w:t>
      </w:r>
      <w:r w:rsidRPr="00CC562A">
        <w:rPr>
          <w:rFonts w:ascii="Cambria" w:eastAsia="Cambria" w:hAnsi="Cambria" w:cs="Cambria"/>
          <w:sz w:val="20"/>
          <w:szCs w:val="20"/>
          <w:lang w:val="en-US"/>
        </w:rPr>
        <w:t xml:space="preserve"> the public and other authorities to file reports or notify the </w:t>
      </w:r>
      <w:r w:rsidR="0A113D74" w:rsidRPr="00CC562A">
        <w:rPr>
          <w:rFonts w:ascii="Cambria" w:eastAsia="Cambria" w:hAnsi="Cambria" w:cs="Cambria"/>
          <w:sz w:val="20"/>
          <w:szCs w:val="20"/>
          <w:lang w:val="en-US"/>
        </w:rPr>
        <w:t xml:space="preserve">CNB </w:t>
      </w:r>
      <w:r w:rsidRPr="00CC562A">
        <w:rPr>
          <w:rFonts w:ascii="Cambria" w:eastAsia="Cambria" w:hAnsi="Cambria" w:cs="Cambria"/>
          <w:sz w:val="20"/>
          <w:szCs w:val="20"/>
          <w:lang w:val="en-US"/>
        </w:rPr>
        <w:t>of a disappeared or missing person withou</w:t>
      </w:r>
      <w:r w:rsidR="00A82ABE" w:rsidRPr="00CC562A">
        <w:rPr>
          <w:rFonts w:ascii="Cambria" w:eastAsia="Cambria" w:hAnsi="Cambria" w:cs="Cambria"/>
          <w:sz w:val="20"/>
          <w:szCs w:val="20"/>
          <w:lang w:val="en-US"/>
        </w:rPr>
        <w:t xml:space="preserve">t </w:t>
      </w:r>
      <w:r w:rsidR="00904D9B" w:rsidRPr="00CC562A">
        <w:rPr>
          <w:rFonts w:ascii="Cambria" w:eastAsia="Cambria" w:hAnsi="Cambria" w:cs="Cambria"/>
          <w:sz w:val="20"/>
          <w:szCs w:val="20"/>
          <w:lang w:val="en-US"/>
        </w:rPr>
        <w:t xml:space="preserve">the need for </w:t>
      </w:r>
      <w:r w:rsidR="00A82ABE" w:rsidRPr="00CC562A">
        <w:rPr>
          <w:rFonts w:ascii="Cambria" w:eastAsia="Cambria" w:hAnsi="Cambria" w:cs="Cambria"/>
          <w:sz w:val="20"/>
          <w:szCs w:val="20"/>
          <w:lang w:val="en-US"/>
        </w:rPr>
        <w:t xml:space="preserve">a complaint filed with a prosecutor’s office and even allows </w:t>
      </w:r>
      <w:r w:rsidR="00904D9B" w:rsidRPr="00CC562A">
        <w:rPr>
          <w:rFonts w:ascii="Cambria" w:eastAsia="Cambria" w:hAnsi="Cambria" w:cs="Cambria"/>
          <w:sz w:val="20"/>
          <w:szCs w:val="20"/>
          <w:lang w:val="en-US"/>
        </w:rPr>
        <w:t>individuals</w:t>
      </w:r>
      <w:r w:rsidR="00A82ABE" w:rsidRPr="00CC562A">
        <w:rPr>
          <w:rFonts w:ascii="Cambria" w:eastAsia="Cambria" w:hAnsi="Cambria" w:cs="Cambria"/>
          <w:sz w:val="20"/>
          <w:szCs w:val="20"/>
          <w:lang w:val="en-US"/>
        </w:rPr>
        <w:t xml:space="preserve"> to do so anonymously, </w:t>
      </w:r>
      <w:r w:rsidR="00904D9B" w:rsidRPr="00CC562A">
        <w:rPr>
          <w:rFonts w:ascii="Cambria" w:eastAsia="Cambria" w:hAnsi="Cambria" w:cs="Cambria"/>
          <w:sz w:val="20"/>
          <w:szCs w:val="20"/>
          <w:lang w:val="en-US"/>
        </w:rPr>
        <w:t xml:space="preserve">as it is known </w:t>
      </w:r>
      <w:r w:rsidR="00A82ABE" w:rsidRPr="00CC562A">
        <w:rPr>
          <w:rFonts w:ascii="Cambria" w:eastAsia="Cambria" w:hAnsi="Cambria" w:cs="Cambria"/>
          <w:sz w:val="20"/>
          <w:szCs w:val="20"/>
          <w:lang w:val="en-US"/>
        </w:rPr>
        <w:t>that many people do not report disappearances due to their fear or mistrust of the authorities.</w:t>
      </w:r>
      <w:r w:rsidR="00886665" w:rsidRPr="00CC562A">
        <w:rPr>
          <w:rStyle w:val="FootnoteReference"/>
          <w:rFonts w:ascii="Cambria" w:eastAsia="Cambria" w:hAnsi="Cambria" w:cs="Cambria"/>
          <w:sz w:val="20"/>
          <w:szCs w:val="20"/>
          <w:lang w:val="en-US"/>
        </w:rPr>
        <w:footnoteReference w:id="96"/>
      </w:r>
    </w:p>
    <w:p w14:paraId="49C76EFC" w14:textId="206107D4" w:rsidR="00522749" w:rsidRPr="00CC562A" w:rsidRDefault="00A82ABE" w:rsidP="00086C0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 the</w:t>
      </w:r>
      <w:r w:rsidR="27D4D651" w:rsidRPr="00CC562A">
        <w:rPr>
          <w:rFonts w:ascii="Cambria" w:eastAsia="Cambria" w:hAnsi="Cambria" w:cs="Cambria"/>
          <w:sz w:val="20"/>
          <w:szCs w:val="20"/>
          <w:lang w:val="en-US"/>
        </w:rPr>
        <w:t xml:space="preserve"> MEIF </w:t>
      </w:r>
      <w:r w:rsidRPr="00CC562A">
        <w:rPr>
          <w:rFonts w:ascii="Cambria" w:eastAsia="Cambria" w:hAnsi="Cambria" w:cs="Cambria"/>
          <w:sz w:val="20"/>
          <w:szCs w:val="20"/>
          <w:lang w:val="en-US"/>
        </w:rPr>
        <w:t xml:space="preserve">submitted a report </w:t>
      </w:r>
      <w:r w:rsidR="00904D9B" w:rsidRPr="00CC562A">
        <w:rPr>
          <w:rFonts w:ascii="Cambria" w:eastAsia="Cambria" w:hAnsi="Cambria" w:cs="Cambria"/>
          <w:sz w:val="20"/>
          <w:szCs w:val="20"/>
          <w:lang w:val="en-US"/>
        </w:rPr>
        <w:t>specifying</w:t>
      </w:r>
      <w:r w:rsidRPr="00CC562A">
        <w:rPr>
          <w:rFonts w:ascii="Cambria" w:eastAsia="Cambria" w:hAnsi="Cambria" w:cs="Cambria"/>
          <w:sz w:val="20"/>
          <w:szCs w:val="20"/>
          <w:lang w:val="en-US"/>
        </w:rPr>
        <w:t xml:space="preserve"> that it has signed two collaboration agreements </w:t>
      </w:r>
      <w:r w:rsidR="00904D9B" w:rsidRPr="00CC562A">
        <w:rPr>
          <w:rFonts w:ascii="Cambria" w:eastAsia="Cambria" w:hAnsi="Cambria" w:cs="Cambria"/>
          <w:sz w:val="20"/>
          <w:szCs w:val="20"/>
          <w:lang w:val="en-US"/>
        </w:rPr>
        <w:t>on</w:t>
      </w:r>
      <w:r w:rsidRPr="00CC562A">
        <w:rPr>
          <w:rFonts w:ascii="Cambria" w:eastAsia="Cambria" w:hAnsi="Cambria" w:cs="Cambria"/>
          <w:sz w:val="20"/>
          <w:szCs w:val="20"/>
          <w:lang w:val="en-US"/>
        </w:rPr>
        <w:t xml:space="preserve"> which operational work has be</w:t>
      </w:r>
      <w:r w:rsidR="00904D9B" w:rsidRPr="00CC562A">
        <w:rPr>
          <w:rFonts w:ascii="Cambria" w:eastAsia="Cambria" w:hAnsi="Cambria" w:cs="Cambria"/>
          <w:sz w:val="20"/>
          <w:szCs w:val="20"/>
          <w:lang w:val="en-US"/>
        </w:rPr>
        <w:t>gun</w:t>
      </w:r>
      <w:r w:rsidRPr="00CC562A">
        <w:rPr>
          <w:rFonts w:ascii="Cambria" w:eastAsia="Cambria" w:hAnsi="Cambria" w:cs="Cambria"/>
          <w:sz w:val="20"/>
          <w:szCs w:val="20"/>
          <w:lang w:val="en-US"/>
        </w:rPr>
        <w:t xml:space="preserve"> (with </w:t>
      </w:r>
      <w:r w:rsidR="27D4D651" w:rsidRPr="00CC562A">
        <w:rPr>
          <w:rFonts w:ascii="Cambria" w:eastAsia="Cambria" w:hAnsi="Cambria" w:cs="Cambria"/>
          <w:sz w:val="20"/>
          <w:szCs w:val="20"/>
          <w:lang w:val="en-US"/>
        </w:rPr>
        <w:t xml:space="preserve">San Luis Potosí </w:t>
      </w:r>
      <w:r w:rsidR="00904D9B" w:rsidRPr="00CC562A">
        <w:rPr>
          <w:rFonts w:ascii="Cambria" w:eastAsia="Cambria" w:hAnsi="Cambria" w:cs="Cambria"/>
          <w:sz w:val="20"/>
          <w:szCs w:val="20"/>
          <w:lang w:val="en-US"/>
        </w:rPr>
        <w:t>and</w:t>
      </w:r>
      <w:r w:rsidR="27D4D651" w:rsidRPr="00CC562A">
        <w:rPr>
          <w:rFonts w:ascii="Cambria" w:eastAsia="Cambria" w:hAnsi="Cambria" w:cs="Cambria"/>
          <w:sz w:val="20"/>
          <w:szCs w:val="20"/>
          <w:lang w:val="en-US"/>
        </w:rPr>
        <w:t xml:space="preserve"> Tamaulipas)</w:t>
      </w:r>
      <w:r w:rsidRPr="00CC562A">
        <w:rPr>
          <w:rFonts w:ascii="Cambria" w:eastAsia="Cambria" w:hAnsi="Cambria" w:cs="Cambria"/>
          <w:sz w:val="20"/>
          <w:szCs w:val="20"/>
          <w:lang w:val="en-US"/>
        </w:rPr>
        <w:t xml:space="preserve"> and there is potential for collaboration with another six </w:t>
      </w:r>
      <w:r w:rsidR="0050213A"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Twenty-four meetings and workshops have been held with </w:t>
      </w:r>
      <w:r w:rsidR="0050213A" w:rsidRPr="00CC562A">
        <w:rPr>
          <w:rFonts w:ascii="Cambria" w:eastAsia="Cambria" w:hAnsi="Cambria" w:cs="Cambria"/>
          <w:sz w:val="20"/>
          <w:szCs w:val="20"/>
          <w:lang w:val="en-US"/>
        </w:rPr>
        <w:t>groups</w:t>
      </w:r>
      <w:r w:rsidRPr="00CC562A">
        <w:rPr>
          <w:rFonts w:ascii="Cambria" w:eastAsia="Cambria" w:hAnsi="Cambria" w:cs="Cambria"/>
          <w:sz w:val="20"/>
          <w:szCs w:val="20"/>
          <w:lang w:val="en-US"/>
        </w:rPr>
        <w:t xml:space="preserve"> made up of the relatives of disappeared persons in 17 </w:t>
      </w:r>
      <w:r w:rsidR="005160F8" w:rsidRPr="00CC562A">
        <w:rPr>
          <w:rFonts w:ascii="Cambria" w:eastAsia="Cambria" w:hAnsi="Cambria" w:cs="Cambria"/>
          <w:sz w:val="20"/>
          <w:szCs w:val="20"/>
          <w:lang w:val="en-US"/>
        </w:rPr>
        <w:t>Mexican states</w:t>
      </w:r>
      <w:r w:rsidRPr="00CC562A">
        <w:rPr>
          <w:rFonts w:ascii="Cambria" w:eastAsia="Cambria" w:hAnsi="Cambria" w:cs="Cambria"/>
          <w:sz w:val="20"/>
          <w:szCs w:val="20"/>
          <w:lang w:val="en-US"/>
        </w:rPr>
        <w:t xml:space="preserve"> and three Central American countries</w:t>
      </w:r>
      <w:r w:rsidR="27D4D651" w:rsidRPr="00CC562A">
        <w:rPr>
          <w:rFonts w:ascii="Cambria" w:eastAsia="Cambria" w:hAnsi="Cambria" w:cs="Cambria"/>
          <w:sz w:val="20"/>
          <w:szCs w:val="20"/>
          <w:lang w:val="en-US"/>
        </w:rPr>
        <w:t>.</w:t>
      </w:r>
      <w:r w:rsidR="00086C0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Commission appreciates the progress made and efforts initiated to record and update the data through the National Register of Disappeared and Missing Persons, which have been </w:t>
      </w:r>
      <w:r w:rsidR="005160F8" w:rsidRPr="00CC562A">
        <w:rPr>
          <w:rFonts w:ascii="Cambria" w:eastAsia="Cambria" w:hAnsi="Cambria" w:cs="Cambria"/>
          <w:sz w:val="20"/>
          <w:szCs w:val="20"/>
          <w:lang w:val="en-US"/>
        </w:rPr>
        <w:t>keyed</w:t>
      </w:r>
      <w:r w:rsidRPr="00CC562A">
        <w:rPr>
          <w:rFonts w:ascii="Cambria" w:eastAsia="Cambria" w:hAnsi="Cambria" w:cs="Cambria"/>
          <w:sz w:val="20"/>
          <w:szCs w:val="20"/>
          <w:lang w:val="en-US"/>
        </w:rPr>
        <w:t xml:space="preserve"> to highlighting the dimension</w:t>
      </w:r>
      <w:r w:rsidR="0050213A"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of disappearances in Mexico. Nonetheless,</w:t>
      </w:r>
      <w:r w:rsidR="10388A4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Commission notes that</w:t>
      </w:r>
      <w:r w:rsidR="0037690F" w:rsidRPr="00CC562A">
        <w:rPr>
          <w:rFonts w:ascii="Cambria" w:eastAsia="Cambria" w:hAnsi="Cambria" w:cs="Cambria"/>
          <w:sz w:val="20"/>
          <w:szCs w:val="20"/>
          <w:lang w:val="en-US"/>
        </w:rPr>
        <w:t xml:space="preserve"> challenges remain, including duplicate information or the lack of records on disappeared persons. Thus, despite the progress reported above, the IACHR emphasizes that other basic tools are still pending </w:t>
      </w:r>
      <w:r w:rsidR="0050213A" w:rsidRPr="00CC562A">
        <w:rPr>
          <w:rFonts w:ascii="Cambria" w:eastAsia="Cambria" w:hAnsi="Cambria" w:cs="Cambria"/>
          <w:sz w:val="20"/>
          <w:szCs w:val="20"/>
          <w:lang w:val="en-US"/>
        </w:rPr>
        <w:t>implementation in</w:t>
      </w:r>
      <w:r w:rsidR="0037690F" w:rsidRPr="00CC562A">
        <w:rPr>
          <w:rFonts w:ascii="Cambria" w:eastAsia="Cambria" w:hAnsi="Cambria" w:cs="Cambria"/>
          <w:sz w:val="20"/>
          <w:szCs w:val="20"/>
          <w:lang w:val="en-US"/>
        </w:rPr>
        <w:t xml:space="preserve"> the search for missing persons as provided in the General Law</w:t>
      </w:r>
      <w:r w:rsidR="0050213A" w:rsidRPr="00CC562A">
        <w:rPr>
          <w:rFonts w:ascii="Cambria" w:eastAsia="Cambria" w:hAnsi="Cambria" w:cs="Cambria"/>
          <w:sz w:val="20"/>
          <w:szCs w:val="20"/>
          <w:lang w:val="en-US"/>
        </w:rPr>
        <w:t>. These include</w:t>
      </w:r>
      <w:r w:rsidR="0037690F" w:rsidRPr="00CC562A">
        <w:rPr>
          <w:rFonts w:ascii="Cambria" w:eastAsia="Cambria" w:hAnsi="Cambria" w:cs="Cambria"/>
          <w:sz w:val="20"/>
          <w:szCs w:val="20"/>
          <w:lang w:val="en-US"/>
        </w:rPr>
        <w:t xml:space="preserve"> the </w:t>
      </w:r>
      <w:r w:rsidR="00086C08" w:rsidRPr="00CC562A">
        <w:rPr>
          <w:rFonts w:ascii="Cambria" w:hAnsi="Cambria"/>
          <w:sz w:val="20"/>
          <w:lang w:val="en-US"/>
        </w:rPr>
        <w:t>Na</w:t>
      </w:r>
      <w:r w:rsidR="008D1ACC" w:rsidRPr="00CC562A">
        <w:rPr>
          <w:rFonts w:ascii="Cambria" w:hAnsi="Cambria"/>
          <w:sz w:val="20"/>
          <w:lang w:val="en-US"/>
        </w:rPr>
        <w:t>t</w:t>
      </w:r>
      <w:r w:rsidR="00086C08" w:rsidRPr="00CC562A">
        <w:rPr>
          <w:rFonts w:ascii="Cambria" w:hAnsi="Cambria"/>
          <w:sz w:val="20"/>
          <w:lang w:val="en-US"/>
        </w:rPr>
        <w:t xml:space="preserve">ional </w:t>
      </w:r>
      <w:r w:rsidR="0037690F" w:rsidRPr="00CC562A">
        <w:rPr>
          <w:rFonts w:ascii="Cambria" w:eastAsia="Cambria" w:hAnsi="Cambria" w:cs="Cambria"/>
          <w:sz w:val="20"/>
          <w:szCs w:val="20"/>
          <w:lang w:val="en-US"/>
        </w:rPr>
        <w:t xml:space="preserve">Forensic Database, the </w:t>
      </w:r>
      <w:r w:rsidR="00086C08" w:rsidRPr="00CC562A">
        <w:rPr>
          <w:rFonts w:ascii="Cambria" w:hAnsi="Cambria"/>
          <w:sz w:val="20"/>
          <w:lang w:val="en-US"/>
        </w:rPr>
        <w:t>Na</w:t>
      </w:r>
      <w:r w:rsidR="008D1ACC" w:rsidRPr="00CC562A">
        <w:rPr>
          <w:rFonts w:ascii="Cambria" w:hAnsi="Cambria"/>
          <w:sz w:val="20"/>
          <w:lang w:val="en-US"/>
        </w:rPr>
        <w:t>t</w:t>
      </w:r>
      <w:r w:rsidR="00086C08" w:rsidRPr="00CC562A">
        <w:rPr>
          <w:rFonts w:ascii="Cambria" w:hAnsi="Cambria"/>
          <w:sz w:val="20"/>
          <w:lang w:val="en-US"/>
        </w:rPr>
        <w:t xml:space="preserve">ional </w:t>
      </w:r>
      <w:r w:rsidR="0037690F" w:rsidRPr="00CC562A">
        <w:rPr>
          <w:rFonts w:ascii="Cambria" w:eastAsia="Cambria" w:hAnsi="Cambria" w:cs="Cambria"/>
          <w:sz w:val="20"/>
          <w:szCs w:val="20"/>
          <w:lang w:val="en-US"/>
        </w:rPr>
        <w:t>Register of Deceased and Unclaimed Persons, the National Register of Graves, and the Exhumations Program, which the FGR is required to construct</w:t>
      </w:r>
      <w:r w:rsidR="4F7F1F06" w:rsidRPr="00CC562A">
        <w:rPr>
          <w:rFonts w:ascii="Cambria" w:eastAsia="Cambria" w:hAnsi="Cambria" w:cs="Cambria"/>
          <w:sz w:val="20"/>
          <w:szCs w:val="20"/>
          <w:lang w:val="en-US"/>
        </w:rPr>
        <w:t xml:space="preserve">. </w:t>
      </w:r>
      <w:r w:rsidR="0037690F" w:rsidRPr="00CC562A">
        <w:rPr>
          <w:rFonts w:ascii="Cambria" w:eastAsia="Cambria" w:hAnsi="Cambria" w:cs="Cambria"/>
          <w:sz w:val="20"/>
          <w:szCs w:val="20"/>
          <w:lang w:val="en-US"/>
        </w:rPr>
        <w:t xml:space="preserve">In view of this situation, the IACHR understands that there is </w:t>
      </w:r>
      <w:r w:rsidR="0037690F" w:rsidRPr="00CC562A">
        <w:rPr>
          <w:rFonts w:ascii="Cambria" w:eastAsia="Cambria" w:hAnsi="Cambria" w:cs="Cambria"/>
          <w:b/>
          <w:bCs/>
          <w:sz w:val="20"/>
          <w:szCs w:val="20"/>
          <w:lang w:val="en-US"/>
        </w:rPr>
        <w:t xml:space="preserve">partial compliance </w:t>
      </w:r>
      <w:r w:rsidR="0037690F" w:rsidRPr="00CC562A">
        <w:rPr>
          <w:rFonts w:ascii="Cambria" w:eastAsia="Cambria" w:hAnsi="Cambria" w:cs="Cambria"/>
          <w:sz w:val="20"/>
          <w:szCs w:val="20"/>
          <w:lang w:val="en-US"/>
        </w:rPr>
        <w:t>with this recommendation</w:t>
      </w:r>
      <w:r w:rsidR="4F7F1F06" w:rsidRPr="00CC562A">
        <w:rPr>
          <w:rFonts w:ascii="Cambria" w:eastAsia="Cambria" w:hAnsi="Cambria" w:cs="Cambria"/>
          <w:sz w:val="20"/>
          <w:szCs w:val="20"/>
          <w:lang w:val="en-US"/>
        </w:rPr>
        <w:t xml:space="preserve">. </w:t>
      </w:r>
    </w:p>
    <w:p w14:paraId="7D8024FA" w14:textId="72FA33F5" w:rsidR="00C66010" w:rsidRPr="00CC562A" w:rsidRDefault="0037690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 the IACHR urges th</w:t>
      </w:r>
      <w:r w:rsidR="0050213A" w:rsidRPr="00CC562A">
        <w:rPr>
          <w:rFonts w:ascii="Cambria" w:eastAsia="Cambria" w:hAnsi="Cambria" w:cs="Cambria"/>
          <w:sz w:val="20"/>
          <w:szCs w:val="20"/>
          <w:lang w:val="en-US"/>
        </w:rPr>
        <w:t>e</w:t>
      </w:r>
      <w:r w:rsidRPr="00CC562A">
        <w:rPr>
          <w:rFonts w:ascii="Cambria" w:eastAsia="Cambria" w:hAnsi="Cambria" w:cs="Cambria"/>
          <w:sz w:val="20"/>
          <w:szCs w:val="20"/>
          <w:lang w:val="en-US"/>
        </w:rPr>
        <w:t xml:space="preserve"> State to adopt measures to complete the creation and effective implementation of the </w:t>
      </w:r>
      <w:r w:rsidR="00086C08" w:rsidRPr="00CC562A">
        <w:rPr>
          <w:rFonts w:ascii="Cambria" w:hAnsi="Cambria"/>
          <w:sz w:val="20"/>
          <w:lang w:val="en-US"/>
        </w:rPr>
        <w:t>Na</w:t>
      </w:r>
      <w:r w:rsidR="008D1ACC" w:rsidRPr="00CC562A">
        <w:rPr>
          <w:rFonts w:ascii="Cambria" w:hAnsi="Cambria"/>
          <w:sz w:val="20"/>
          <w:lang w:val="en-US"/>
        </w:rPr>
        <w:t>t</w:t>
      </w:r>
      <w:r w:rsidR="00086C08" w:rsidRPr="00CC562A">
        <w:rPr>
          <w:rFonts w:ascii="Cambria" w:hAnsi="Cambria"/>
          <w:sz w:val="20"/>
          <w:lang w:val="en-US"/>
        </w:rPr>
        <w:t xml:space="preserve">ional </w:t>
      </w:r>
      <w:r w:rsidRPr="00CC562A">
        <w:rPr>
          <w:rFonts w:ascii="Cambria" w:eastAsia="Cambria" w:hAnsi="Cambria" w:cs="Cambria"/>
          <w:sz w:val="20"/>
          <w:szCs w:val="20"/>
          <w:lang w:val="en-US"/>
        </w:rPr>
        <w:t xml:space="preserve">Forensic Database, the Register of Unidentified and Unclaimed Deceased Persons, the National Register of Graves, and </w:t>
      </w:r>
      <w:r w:rsidR="00086C08" w:rsidRPr="00CC562A">
        <w:rPr>
          <w:rFonts w:ascii="Cambria" w:hAnsi="Cambria"/>
          <w:sz w:val="20"/>
          <w:lang w:val="en-US"/>
        </w:rPr>
        <w:t>crea</w:t>
      </w:r>
      <w:r w:rsidR="008D1ACC" w:rsidRPr="00CC562A">
        <w:rPr>
          <w:rFonts w:ascii="Cambria" w:hAnsi="Cambria"/>
          <w:sz w:val="20"/>
          <w:lang w:val="en-US"/>
        </w:rPr>
        <w:t>tio</w:t>
      </w:r>
      <w:r w:rsidR="00086C08" w:rsidRPr="00CC562A">
        <w:rPr>
          <w:rFonts w:ascii="Cambria" w:hAnsi="Cambria"/>
          <w:sz w:val="20"/>
          <w:lang w:val="en-US"/>
        </w:rPr>
        <w:t>n</w:t>
      </w:r>
      <w:r w:rsidR="00086C08" w:rsidRPr="00CC562A">
        <w:rPr>
          <w:rFonts w:ascii="Cambria" w:eastAsia="Cambria" w:hAnsi="Cambria" w:cs="Cambria"/>
          <w:sz w:val="20"/>
          <w:szCs w:val="20"/>
          <w:lang w:val="en-US"/>
        </w:rPr>
        <w:t xml:space="preserve"> </w:t>
      </w:r>
      <w:r w:rsidR="008D1ACC" w:rsidRPr="00CC562A">
        <w:rPr>
          <w:rFonts w:ascii="Cambria" w:eastAsia="Cambria" w:hAnsi="Cambria" w:cs="Cambria"/>
          <w:sz w:val="20"/>
          <w:szCs w:val="20"/>
          <w:lang w:val="en-US"/>
        </w:rPr>
        <w:t xml:space="preserve">of the </w:t>
      </w:r>
      <w:r w:rsidRPr="00CC562A">
        <w:rPr>
          <w:rFonts w:ascii="Cambria" w:eastAsia="Cambria" w:hAnsi="Cambria" w:cs="Cambria"/>
          <w:sz w:val="20"/>
          <w:szCs w:val="20"/>
          <w:lang w:val="en-US"/>
        </w:rPr>
        <w:t xml:space="preserve">Exhumations Program. </w:t>
      </w:r>
      <w:r w:rsidR="0050213A"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he IACHR </w:t>
      </w:r>
      <w:r w:rsidR="0050213A" w:rsidRPr="00CC562A">
        <w:rPr>
          <w:rFonts w:ascii="Cambria" w:eastAsia="Cambria" w:hAnsi="Cambria" w:cs="Cambria"/>
          <w:sz w:val="20"/>
          <w:szCs w:val="20"/>
          <w:lang w:val="en-US"/>
        </w:rPr>
        <w:t>also s</w:t>
      </w:r>
      <w:r w:rsidRPr="00CC562A">
        <w:rPr>
          <w:rFonts w:ascii="Cambria" w:eastAsia="Cambria" w:hAnsi="Cambria" w:cs="Cambria"/>
          <w:sz w:val="20"/>
          <w:szCs w:val="20"/>
          <w:lang w:val="en-US"/>
        </w:rPr>
        <w:t>uggests that these instruments, as well as the</w:t>
      </w:r>
      <w:r w:rsidR="758D50BB" w:rsidRPr="00CC562A">
        <w:rPr>
          <w:rFonts w:ascii="Cambria" w:eastAsia="Cambria" w:hAnsi="Cambria" w:cs="Cambria"/>
          <w:sz w:val="20"/>
          <w:szCs w:val="20"/>
          <w:lang w:val="en-US"/>
        </w:rPr>
        <w:t xml:space="preserve"> RNPDNO</w:t>
      </w:r>
      <w:r w:rsidR="009E1E9B" w:rsidRPr="00CC562A">
        <w:rPr>
          <w:rFonts w:ascii="Cambria" w:eastAsia="Cambria" w:hAnsi="Cambria" w:cs="Cambria"/>
          <w:sz w:val="20"/>
          <w:szCs w:val="20"/>
          <w:lang w:val="en-US"/>
        </w:rPr>
        <w:t>,</w:t>
      </w:r>
      <w:r w:rsidR="758D50B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be created using an established methodology that allows society in general to access reliable records </w:t>
      </w:r>
      <w:r w:rsidR="0050213A" w:rsidRPr="00CC562A">
        <w:rPr>
          <w:rFonts w:ascii="Cambria" w:eastAsia="Cambria" w:hAnsi="Cambria" w:cs="Cambria"/>
          <w:sz w:val="20"/>
          <w:szCs w:val="20"/>
          <w:lang w:val="en-US"/>
        </w:rPr>
        <w:t>when</w:t>
      </w:r>
      <w:r w:rsidRPr="00CC562A">
        <w:rPr>
          <w:rFonts w:ascii="Cambria" w:eastAsia="Cambria" w:hAnsi="Cambria" w:cs="Cambria"/>
          <w:sz w:val="20"/>
          <w:szCs w:val="20"/>
          <w:lang w:val="en-US"/>
        </w:rPr>
        <w:t xml:space="preserve"> searching for persons who have disappeared.</w:t>
      </w:r>
    </w:p>
    <w:p w14:paraId="1F30308C" w14:textId="3F4F3A7C" w:rsidR="00AC6B42" w:rsidRPr="00CC562A" w:rsidRDefault="007B7C9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hAnsi="Cambria"/>
          <w:b/>
          <w:bCs/>
          <w:sz w:val="20"/>
          <w:szCs w:val="20"/>
          <w:lang w:val="en-US"/>
        </w:rPr>
        <w:t>strengthen existing early warning and urgent search mechanisms in cases of disappearances of women and girls</w:t>
      </w:r>
      <w:r w:rsidR="0050213A" w:rsidRPr="00CC562A">
        <w:rPr>
          <w:rFonts w:ascii="Cambria" w:hAnsi="Cambria"/>
          <w:b/>
          <w:bCs/>
          <w:sz w:val="20"/>
          <w:szCs w:val="20"/>
          <w:lang w:val="en-US"/>
        </w:rPr>
        <w:t xml:space="preserve"> </w:t>
      </w:r>
      <w:r w:rsidRPr="00CC562A">
        <w:rPr>
          <w:rFonts w:ascii="Cambria" w:hAnsi="Cambria"/>
          <w:sz w:val="20"/>
          <w:szCs w:val="20"/>
          <w:lang w:val="en-US"/>
        </w:rPr>
        <w:t xml:space="preserve">and to </w:t>
      </w:r>
      <w:r w:rsidRPr="00CC562A">
        <w:rPr>
          <w:rFonts w:ascii="Cambria" w:hAnsi="Cambria"/>
          <w:b/>
          <w:bCs/>
          <w:sz w:val="20"/>
          <w:szCs w:val="20"/>
          <w:lang w:val="en-US"/>
        </w:rPr>
        <w:t>strengthen the ability of the National Registry of Data on Missing or Disappeared Persons to provide accurate and reliable information</w:t>
      </w:r>
      <w:r w:rsidR="1F626C9C" w:rsidRPr="00CC562A">
        <w:rPr>
          <w:rFonts w:ascii="Cambria" w:hAnsi="Cambria"/>
          <w:b/>
          <w:bCs/>
          <w:sz w:val="20"/>
          <w:szCs w:val="20"/>
          <w:lang w:val="en-US"/>
        </w:rPr>
        <w:t xml:space="preserve">, </w:t>
      </w:r>
      <w:r w:rsidRPr="00CC562A">
        <w:rPr>
          <w:rFonts w:ascii="Cambria" w:hAnsi="Cambria"/>
          <w:sz w:val="20"/>
          <w:szCs w:val="20"/>
          <w:lang w:val="en-US"/>
        </w:rPr>
        <w:t xml:space="preserve">the </w:t>
      </w:r>
      <w:r w:rsidRPr="00CC562A">
        <w:rPr>
          <w:rFonts w:ascii="Cambria" w:hAnsi="Cambria"/>
          <w:sz w:val="20"/>
          <w:szCs w:val="20"/>
          <w:lang w:val="en-US"/>
        </w:rPr>
        <w:lastRenderedPageBreak/>
        <w:t xml:space="preserve">State indicated that the </w:t>
      </w:r>
      <w:r w:rsidR="1A8E4DE8" w:rsidRPr="00CC562A">
        <w:rPr>
          <w:rFonts w:ascii="Cambria" w:eastAsia="Cambria" w:hAnsi="Cambria" w:cs="Cambria"/>
          <w:sz w:val="20"/>
          <w:szCs w:val="20"/>
          <w:lang w:val="en-US"/>
        </w:rPr>
        <w:t>PHB</w:t>
      </w:r>
      <w:r w:rsidR="44C8D54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establishes differentiated, gender-based approaches on boys, girls, and adolescents </w:t>
      </w:r>
      <w:r w:rsidR="005006A0" w:rsidRPr="00CC562A">
        <w:rPr>
          <w:rFonts w:ascii="Cambria" w:eastAsia="Cambria" w:hAnsi="Cambria" w:cs="Cambria"/>
          <w:sz w:val="20"/>
          <w:szCs w:val="20"/>
          <w:lang w:val="en-US"/>
        </w:rPr>
        <w:t xml:space="preserve">and supplements the Alba Protocol and Amber Alert. There is also a public version of the </w:t>
      </w:r>
      <w:r w:rsidR="1A8E4DE8" w:rsidRPr="00CC562A">
        <w:rPr>
          <w:rFonts w:ascii="Cambria" w:eastAsia="Cambria" w:hAnsi="Cambria" w:cs="Cambria"/>
          <w:sz w:val="20"/>
          <w:szCs w:val="20"/>
          <w:lang w:val="en-US"/>
        </w:rPr>
        <w:t>RNPDNO,</w:t>
      </w:r>
      <w:r w:rsidR="005006A0" w:rsidRPr="00CC562A">
        <w:rPr>
          <w:rFonts w:ascii="Cambria" w:eastAsia="Cambria" w:hAnsi="Cambria" w:cs="Cambria"/>
          <w:sz w:val="20"/>
          <w:szCs w:val="20"/>
          <w:lang w:val="en-US"/>
        </w:rPr>
        <w:t xml:space="preserve"> with technological tools that make it possible to </w:t>
      </w:r>
      <w:r w:rsidR="0050213A" w:rsidRPr="00CC562A">
        <w:rPr>
          <w:rFonts w:ascii="Cambria" w:eastAsia="Cambria" w:hAnsi="Cambria" w:cs="Cambria"/>
          <w:sz w:val="20"/>
          <w:szCs w:val="20"/>
          <w:lang w:val="en-US"/>
        </w:rPr>
        <w:t>break down</w:t>
      </w:r>
      <w:r w:rsidR="005006A0" w:rsidRPr="00CC562A">
        <w:rPr>
          <w:rFonts w:ascii="Cambria" w:eastAsia="Cambria" w:hAnsi="Cambria" w:cs="Cambria"/>
          <w:sz w:val="20"/>
          <w:szCs w:val="20"/>
          <w:lang w:val="en-US"/>
        </w:rPr>
        <w:t xml:space="preserve"> information on </w:t>
      </w:r>
      <w:r w:rsidR="0050213A" w:rsidRPr="00CC562A">
        <w:rPr>
          <w:rFonts w:ascii="Cambria" w:eastAsia="Cambria" w:hAnsi="Cambria" w:cs="Cambria"/>
          <w:sz w:val="20"/>
          <w:szCs w:val="20"/>
          <w:lang w:val="en-US"/>
        </w:rPr>
        <w:t>disappeared, missing, and found</w:t>
      </w:r>
      <w:r w:rsidR="005006A0" w:rsidRPr="00CC562A">
        <w:rPr>
          <w:rFonts w:ascii="Cambria" w:eastAsia="Cambria" w:hAnsi="Cambria" w:cs="Cambria"/>
          <w:sz w:val="20"/>
          <w:szCs w:val="20"/>
          <w:lang w:val="en-US"/>
        </w:rPr>
        <w:t xml:space="preserve"> persons by gender and age, as well as other categories</w:t>
      </w:r>
      <w:r w:rsidR="1A8E4DE8" w:rsidRPr="00CC562A">
        <w:rPr>
          <w:rFonts w:ascii="Cambria" w:eastAsia="Cambria" w:hAnsi="Cambria" w:cs="Cambria"/>
          <w:sz w:val="20"/>
          <w:szCs w:val="20"/>
          <w:lang w:val="en-US"/>
        </w:rPr>
        <w:t>.</w:t>
      </w:r>
      <w:r w:rsidR="44C8D546" w:rsidRPr="00CC562A">
        <w:rPr>
          <w:rFonts w:ascii="Cambria" w:eastAsia="Cambria" w:hAnsi="Cambria" w:cs="Cambria"/>
          <w:sz w:val="20"/>
          <w:szCs w:val="20"/>
          <w:lang w:val="en-US"/>
        </w:rPr>
        <w:t xml:space="preserve"> </w:t>
      </w:r>
      <w:r w:rsidR="005006A0" w:rsidRPr="00CC562A">
        <w:rPr>
          <w:rFonts w:ascii="Cambria" w:eastAsia="Cambria" w:hAnsi="Cambria" w:cs="Cambria"/>
          <w:sz w:val="20"/>
          <w:szCs w:val="20"/>
          <w:lang w:val="en-US"/>
        </w:rPr>
        <w:t xml:space="preserve">The Alba Protocol is also a specialized mechanism </w:t>
      </w:r>
      <w:r w:rsidR="0050213A" w:rsidRPr="00CC562A">
        <w:rPr>
          <w:rFonts w:ascii="Cambria" w:eastAsia="Cambria" w:hAnsi="Cambria" w:cs="Cambria"/>
          <w:sz w:val="20"/>
          <w:szCs w:val="20"/>
          <w:lang w:val="en-US"/>
        </w:rPr>
        <w:t>providing</w:t>
      </w:r>
      <w:r w:rsidR="005006A0" w:rsidRPr="00CC562A">
        <w:rPr>
          <w:rFonts w:ascii="Cambria" w:eastAsia="Cambria" w:hAnsi="Cambria" w:cs="Cambria"/>
          <w:sz w:val="20"/>
          <w:szCs w:val="20"/>
          <w:lang w:val="en-US"/>
        </w:rPr>
        <w:t xml:space="preserve"> support, immediate re</w:t>
      </w:r>
      <w:r w:rsidR="0050213A" w:rsidRPr="00CC562A">
        <w:rPr>
          <w:rFonts w:ascii="Cambria" w:eastAsia="Cambria" w:hAnsi="Cambria" w:cs="Cambria"/>
          <w:sz w:val="20"/>
          <w:szCs w:val="20"/>
          <w:lang w:val="en-US"/>
        </w:rPr>
        <w:t>sponse</w:t>
      </w:r>
      <w:r w:rsidR="005006A0" w:rsidRPr="00CC562A">
        <w:rPr>
          <w:rFonts w:ascii="Cambria" w:eastAsia="Cambria" w:hAnsi="Cambria" w:cs="Cambria"/>
          <w:sz w:val="20"/>
          <w:szCs w:val="20"/>
          <w:lang w:val="en-US"/>
        </w:rPr>
        <w:t xml:space="preserve">, and coordination </w:t>
      </w:r>
      <w:r w:rsidR="0050213A" w:rsidRPr="00CC562A">
        <w:rPr>
          <w:rFonts w:ascii="Cambria" w:eastAsia="Cambria" w:hAnsi="Cambria" w:cs="Cambria"/>
          <w:sz w:val="20"/>
          <w:szCs w:val="20"/>
          <w:lang w:val="en-US"/>
        </w:rPr>
        <w:t>when</w:t>
      </w:r>
      <w:r w:rsidR="005006A0" w:rsidRPr="00CC562A">
        <w:rPr>
          <w:rFonts w:ascii="Cambria" w:eastAsia="Cambria" w:hAnsi="Cambria" w:cs="Cambria"/>
          <w:sz w:val="20"/>
          <w:szCs w:val="20"/>
          <w:lang w:val="en-US"/>
        </w:rPr>
        <w:t xml:space="preserve"> searching and investigating the disappearance of women, girls, and adolescents, prioritizing the protection of life, personal liberty, and victim safety. For its part, the Amber Alert is responsible for the search for girls, boys, and adolescents who </w:t>
      </w:r>
      <w:r w:rsidR="0050213A" w:rsidRPr="00CC562A">
        <w:rPr>
          <w:rFonts w:ascii="Cambria" w:eastAsia="Cambria" w:hAnsi="Cambria" w:cs="Cambria"/>
          <w:sz w:val="20"/>
          <w:szCs w:val="20"/>
          <w:lang w:val="en-US"/>
        </w:rPr>
        <w:t>might</w:t>
      </w:r>
      <w:r w:rsidR="005006A0" w:rsidRPr="00CC562A">
        <w:rPr>
          <w:rFonts w:ascii="Cambria" w:eastAsia="Cambria" w:hAnsi="Cambria" w:cs="Cambria"/>
          <w:sz w:val="20"/>
          <w:szCs w:val="20"/>
          <w:lang w:val="en-US"/>
        </w:rPr>
        <w:t xml:space="preserve"> find themselves in an at-risk situation due to absence, disappearance,</w:t>
      </w:r>
      <w:r w:rsidR="1A8E4DE8" w:rsidRPr="00CC562A">
        <w:rPr>
          <w:rFonts w:ascii="Cambria" w:eastAsia="Cambria" w:hAnsi="Cambria" w:cs="Cambria"/>
          <w:sz w:val="20"/>
          <w:szCs w:val="20"/>
          <w:lang w:val="en-US"/>
        </w:rPr>
        <w:t xml:space="preserve"> </w:t>
      </w:r>
      <w:r w:rsidR="001051F7" w:rsidRPr="00CC562A">
        <w:rPr>
          <w:rFonts w:ascii="Cambria" w:eastAsia="Cambria" w:hAnsi="Cambria" w:cs="Cambria"/>
          <w:sz w:val="20"/>
          <w:szCs w:val="20"/>
          <w:lang w:val="en-US"/>
        </w:rPr>
        <w:t xml:space="preserve">misdirection, unlawful deprivation of liberty, or any other circumstance that presupposes the possibility of a crime. In </w:t>
      </w:r>
      <w:r w:rsidR="005160F8" w:rsidRPr="00CC562A">
        <w:rPr>
          <w:rFonts w:ascii="Cambria" w:eastAsia="Cambria" w:hAnsi="Cambria" w:cs="Cambria"/>
          <w:sz w:val="20"/>
          <w:szCs w:val="20"/>
          <w:lang w:val="en-US"/>
        </w:rPr>
        <w:t>addition,</w:t>
      </w:r>
      <w:r w:rsidR="001051F7" w:rsidRPr="00CC562A">
        <w:rPr>
          <w:rFonts w:ascii="Cambria" w:eastAsia="Cambria" w:hAnsi="Cambria" w:cs="Cambria"/>
          <w:sz w:val="20"/>
          <w:szCs w:val="20"/>
          <w:lang w:val="en-US"/>
        </w:rPr>
        <w:t xml:space="preserve"> and in view of the context of violence against women, the Standardized Search Protocol believes that there are no missing women but all of them must be considered disappeared from the outset even though there may be no indications </w:t>
      </w:r>
      <w:r w:rsidR="0050213A" w:rsidRPr="00CC562A">
        <w:rPr>
          <w:rFonts w:ascii="Cambria" w:eastAsia="Cambria" w:hAnsi="Cambria" w:cs="Cambria"/>
          <w:sz w:val="20"/>
          <w:szCs w:val="20"/>
          <w:lang w:val="en-US"/>
        </w:rPr>
        <w:t>regarding</w:t>
      </w:r>
      <w:r w:rsidR="001051F7" w:rsidRPr="00CC562A">
        <w:rPr>
          <w:rFonts w:ascii="Cambria" w:eastAsia="Cambria" w:hAnsi="Cambria" w:cs="Cambria"/>
          <w:sz w:val="20"/>
          <w:szCs w:val="20"/>
          <w:lang w:val="en-US"/>
        </w:rPr>
        <w:t xml:space="preserve"> the commission of a crime against them</w:t>
      </w:r>
      <w:r w:rsidR="00AB6BFD" w:rsidRPr="00CC562A">
        <w:rPr>
          <w:rFonts w:ascii="Cambria" w:eastAsia="Cambria" w:hAnsi="Cambria" w:cs="Cambria"/>
          <w:sz w:val="20"/>
          <w:szCs w:val="20"/>
          <w:lang w:val="en-US"/>
        </w:rPr>
        <w:t>. This</w:t>
      </w:r>
      <w:r w:rsidR="001051F7" w:rsidRPr="00CC562A">
        <w:rPr>
          <w:rFonts w:ascii="Cambria" w:eastAsia="Cambria" w:hAnsi="Cambria" w:cs="Cambria"/>
          <w:sz w:val="20"/>
          <w:szCs w:val="20"/>
          <w:lang w:val="en-US"/>
        </w:rPr>
        <w:t xml:space="preserve"> means that, in addition to the immediate search applicable to anyone whose whereabouts is unknown, an investigation file should be opened immediately</w:t>
      </w:r>
      <w:r w:rsidR="1A8E4DE8" w:rsidRPr="00CC562A">
        <w:rPr>
          <w:rFonts w:ascii="Cambria" w:eastAsia="Cambria" w:hAnsi="Cambria" w:cs="Cambria"/>
          <w:sz w:val="20"/>
          <w:szCs w:val="20"/>
          <w:lang w:val="en-US"/>
        </w:rPr>
        <w:t>.</w:t>
      </w:r>
    </w:p>
    <w:p w14:paraId="5D838E99" w14:textId="231867A7" w:rsidR="00086C08" w:rsidRPr="00CC562A" w:rsidRDefault="008D1ACC" w:rsidP="00086C08">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 xml:space="preserve">In addition, the State reported on the development of </w:t>
      </w:r>
      <w:r w:rsidR="008E5523" w:rsidRPr="00CC562A">
        <w:rPr>
          <w:rFonts w:ascii="Cambria" w:hAnsi="Cambria"/>
          <w:sz w:val="20"/>
          <w:lang w:val="en-US"/>
        </w:rPr>
        <w:t>the National Protocol of Interinstitutional Coordination for the Protection of Children and Adolescent Victims of Violence to put an end to violence against children, providing the basis for Line of Action</w:t>
      </w:r>
      <w:r w:rsidR="00086C08" w:rsidRPr="00CC562A">
        <w:rPr>
          <w:rFonts w:ascii="Cambria" w:hAnsi="Cambria"/>
          <w:sz w:val="20"/>
          <w:lang w:val="en-US"/>
        </w:rPr>
        <w:t xml:space="preserve"> 2.3</w:t>
      </w:r>
      <w:r w:rsidR="00A92391" w:rsidRPr="00CC562A">
        <w:rPr>
          <w:rFonts w:ascii="Cambria" w:hAnsi="Cambria"/>
          <w:sz w:val="20"/>
          <w:lang w:val="en-US"/>
        </w:rPr>
        <w:t>, which</w:t>
      </w:r>
      <w:r w:rsidR="008E5523" w:rsidRPr="00CC562A">
        <w:rPr>
          <w:rFonts w:ascii="Cambria" w:hAnsi="Cambria"/>
          <w:sz w:val="20"/>
          <w:lang w:val="en-US"/>
        </w:rPr>
        <w:t xml:space="preserve"> consists of strengthening the child and adolescent rights approach in the operation of emergency lines and anonymous reporting. In this regard, the State pointed out that one of the specific objectives of this protocol is to enable the </w:t>
      </w:r>
      <w:r w:rsidR="00086C08" w:rsidRPr="00CC562A">
        <w:rPr>
          <w:rFonts w:ascii="Cambria" w:hAnsi="Cambria"/>
          <w:sz w:val="20"/>
          <w:lang w:val="en-US"/>
        </w:rPr>
        <w:t xml:space="preserve">9-1-1 </w:t>
      </w:r>
      <w:r w:rsidR="008E5523" w:rsidRPr="00CC562A">
        <w:rPr>
          <w:rFonts w:ascii="Cambria" w:hAnsi="Cambria"/>
          <w:sz w:val="20"/>
          <w:lang w:val="en-US"/>
        </w:rPr>
        <w:t xml:space="preserve">Emergencies Service as a user-friendly and immediate response mechanism for children and adolescents who are suffering some form of violence, so that they can report incidents and seek help </w:t>
      </w:r>
      <w:r w:rsidR="00A92391" w:rsidRPr="00CC562A">
        <w:rPr>
          <w:rFonts w:ascii="Cambria" w:hAnsi="Cambria"/>
          <w:sz w:val="20"/>
          <w:lang w:val="en-US"/>
        </w:rPr>
        <w:t>directly that</w:t>
      </w:r>
      <w:r w:rsidR="008E5523" w:rsidRPr="00CC562A">
        <w:rPr>
          <w:rFonts w:ascii="Cambria" w:hAnsi="Cambria"/>
          <w:sz w:val="20"/>
          <w:lang w:val="en-US"/>
        </w:rPr>
        <w:t xml:space="preserve"> is provided at the time they need it. The protocol describes the interinstitutional coordination procedures that should be carried out by federal authorities of the federative and municipal entities, within the framework of </w:t>
      </w:r>
      <w:r w:rsidR="00265E79" w:rsidRPr="00CC562A">
        <w:rPr>
          <w:rFonts w:ascii="Cambria" w:hAnsi="Cambria"/>
          <w:sz w:val="20"/>
          <w:lang w:val="en-US"/>
        </w:rPr>
        <w:t>their respective jurisdictions, for the immediate and emergency protection of children and adolescents from detection of an act of violence against that population to the definition of the plan for comprehensive restoration of rights by the Special Prosecutor’s Offices for Girls, Boys, and Adolescents.</w:t>
      </w:r>
      <w:r w:rsidR="00086C08" w:rsidRPr="00CC562A">
        <w:rPr>
          <w:rStyle w:val="FootnoteReference"/>
          <w:rFonts w:ascii="Cambria" w:hAnsi="Cambria"/>
          <w:sz w:val="20"/>
          <w:lang w:val="en-US"/>
        </w:rPr>
        <w:footnoteReference w:id="97"/>
      </w:r>
    </w:p>
    <w:p w14:paraId="47DEDC5E" w14:textId="4C14E39E" w:rsidR="00C66010" w:rsidRPr="00CC562A" w:rsidRDefault="001051F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 the State indicated that the</w:t>
      </w:r>
      <w:r w:rsidR="1A8E4DE8" w:rsidRPr="00CC562A">
        <w:rPr>
          <w:rFonts w:ascii="Cambria" w:eastAsia="Cambria" w:hAnsi="Cambria" w:cs="Cambria"/>
          <w:sz w:val="20"/>
          <w:szCs w:val="20"/>
          <w:lang w:val="en-US"/>
        </w:rPr>
        <w:t xml:space="preserve"> CNB, </w:t>
      </w:r>
      <w:r w:rsidRPr="00CC562A">
        <w:rPr>
          <w:rFonts w:ascii="Cambria" w:eastAsia="Cambria" w:hAnsi="Cambria" w:cs="Cambria"/>
          <w:sz w:val="20"/>
          <w:szCs w:val="20"/>
          <w:lang w:val="en-US"/>
        </w:rPr>
        <w:t xml:space="preserve">together with the National Commission to Prevent and Eradicate Violence against Women (hereinafter </w:t>
      </w:r>
      <w:r w:rsidR="44C8D546"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CONAVIM</w:t>
      </w:r>
      <w:r w:rsidR="44C8D546" w:rsidRPr="00CC562A">
        <w:rPr>
          <w:rFonts w:ascii="Cambria" w:eastAsia="Cambria" w:hAnsi="Cambria" w:cs="Cambria"/>
          <w:sz w:val="20"/>
          <w:szCs w:val="20"/>
          <w:lang w:val="en-US"/>
        </w:rPr>
        <w:t>”</w:t>
      </w:r>
      <w:r w:rsidR="1A8E4DE8"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initiated a process in </w:t>
      </w:r>
      <w:r w:rsidR="1A8E4DE8" w:rsidRPr="00CC562A">
        <w:rPr>
          <w:rFonts w:ascii="Cambria" w:eastAsia="Cambria" w:hAnsi="Cambria" w:cs="Cambria"/>
          <w:sz w:val="20"/>
          <w:szCs w:val="20"/>
          <w:lang w:val="en-US"/>
        </w:rPr>
        <w:t xml:space="preserve">2021 </w:t>
      </w:r>
      <w:r w:rsidRPr="00CC562A">
        <w:rPr>
          <w:rFonts w:ascii="Cambria" w:eastAsia="Cambria" w:hAnsi="Cambria" w:cs="Cambria"/>
          <w:sz w:val="20"/>
          <w:szCs w:val="20"/>
          <w:lang w:val="en-US"/>
        </w:rPr>
        <w:t>to implement the National Program on Harmonization and Implementation of the Alba Protocol.</w:t>
      </w:r>
      <w:r w:rsidR="00257CE5" w:rsidRPr="00CC562A">
        <w:rPr>
          <w:rFonts w:ascii="Cambria" w:eastAsia="Cambria" w:hAnsi="Cambria" w:cs="Cambria"/>
          <w:sz w:val="20"/>
          <w:szCs w:val="20"/>
          <w:lang w:val="en-US"/>
        </w:rPr>
        <w:t xml:space="preserve"> The purpose is to align this immediate re</w:t>
      </w:r>
      <w:r w:rsidR="00AB6BFD" w:rsidRPr="00CC562A">
        <w:rPr>
          <w:rFonts w:ascii="Cambria" w:eastAsia="Cambria" w:hAnsi="Cambria" w:cs="Cambria"/>
          <w:sz w:val="20"/>
          <w:szCs w:val="20"/>
          <w:lang w:val="en-US"/>
        </w:rPr>
        <w:t>sponse</w:t>
      </w:r>
      <w:r w:rsidR="00257CE5" w:rsidRPr="00CC562A">
        <w:rPr>
          <w:rFonts w:ascii="Cambria" w:eastAsia="Cambria" w:hAnsi="Cambria" w:cs="Cambria"/>
          <w:sz w:val="20"/>
          <w:szCs w:val="20"/>
          <w:lang w:val="en-US"/>
        </w:rPr>
        <w:t xml:space="preserve"> and coordination mechanism </w:t>
      </w:r>
      <w:r w:rsidR="00AB6BFD" w:rsidRPr="00CC562A">
        <w:rPr>
          <w:rFonts w:ascii="Cambria" w:eastAsia="Cambria" w:hAnsi="Cambria" w:cs="Cambria"/>
          <w:sz w:val="20"/>
          <w:szCs w:val="20"/>
          <w:lang w:val="en-US"/>
        </w:rPr>
        <w:t>used in the search</w:t>
      </w:r>
      <w:r w:rsidR="00257CE5" w:rsidRPr="00CC562A">
        <w:rPr>
          <w:rFonts w:ascii="Cambria" w:eastAsia="Cambria" w:hAnsi="Cambria" w:cs="Cambria"/>
          <w:sz w:val="20"/>
          <w:szCs w:val="20"/>
          <w:lang w:val="en-US"/>
        </w:rPr>
        <w:t xml:space="preserve"> and investigation of cases of women, girls, and adolescents who have disappeared with the guidelines of the I/A Court H.R. and the </w:t>
      </w:r>
      <w:r w:rsidR="1A8E4DE8" w:rsidRPr="00CC562A">
        <w:rPr>
          <w:rFonts w:ascii="Cambria" w:eastAsia="Cambria" w:hAnsi="Cambria" w:cs="Cambria"/>
          <w:sz w:val="20"/>
          <w:szCs w:val="20"/>
          <w:lang w:val="en-US"/>
        </w:rPr>
        <w:t>CEDAW</w:t>
      </w:r>
      <w:r w:rsidR="00257CE5" w:rsidRPr="00CC562A">
        <w:rPr>
          <w:rFonts w:ascii="Cambria" w:eastAsia="Cambria" w:hAnsi="Cambria" w:cs="Cambria"/>
          <w:sz w:val="20"/>
          <w:szCs w:val="20"/>
          <w:lang w:val="en-US"/>
        </w:rPr>
        <w:t xml:space="preserve"> recommendations.</w:t>
      </w:r>
      <w:r w:rsidR="00886665" w:rsidRPr="00CC562A">
        <w:rPr>
          <w:rStyle w:val="FootnoteReference"/>
          <w:rFonts w:ascii="Cambria" w:eastAsia="Cambria" w:hAnsi="Cambria" w:cs="Cambria"/>
          <w:sz w:val="20"/>
          <w:szCs w:val="20"/>
          <w:lang w:val="en-US"/>
        </w:rPr>
        <w:footnoteReference w:id="98"/>
      </w:r>
    </w:p>
    <w:p w14:paraId="44910E07" w14:textId="554E8812" w:rsidR="00522749" w:rsidRPr="00CC562A" w:rsidRDefault="00257CE5"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IACHR welcomes the </w:t>
      </w:r>
      <w:r w:rsidR="6E1E6921" w:rsidRPr="00CC562A">
        <w:rPr>
          <w:rFonts w:ascii="Cambria" w:hAnsi="Cambria"/>
          <w:sz w:val="20"/>
          <w:szCs w:val="20"/>
          <w:lang w:val="en-US"/>
        </w:rPr>
        <w:t>PABNNA</w:t>
      </w:r>
      <w:r w:rsidRPr="00CC562A">
        <w:rPr>
          <w:rFonts w:ascii="Cambria" w:hAnsi="Cambria"/>
          <w:sz w:val="20"/>
          <w:szCs w:val="20"/>
          <w:lang w:val="en-US"/>
        </w:rPr>
        <w:t xml:space="preserve">’s consideration of differentiated methodologies in searching </w:t>
      </w:r>
      <w:r w:rsidR="00AB6BFD" w:rsidRPr="00CC562A">
        <w:rPr>
          <w:rFonts w:ascii="Cambria" w:hAnsi="Cambria"/>
          <w:sz w:val="20"/>
          <w:szCs w:val="20"/>
          <w:lang w:val="en-US"/>
        </w:rPr>
        <w:t>for</w:t>
      </w:r>
      <w:r w:rsidRPr="00CC562A">
        <w:rPr>
          <w:rFonts w:ascii="Cambria" w:hAnsi="Cambria"/>
          <w:sz w:val="20"/>
          <w:szCs w:val="20"/>
          <w:lang w:val="en-US"/>
        </w:rPr>
        <w:t xml:space="preserve"> girls and women who have disappeared, with particular emphasis on contextual analysis</w:t>
      </w:r>
      <w:r w:rsidR="00C119B9" w:rsidRPr="00CC562A">
        <w:rPr>
          <w:rFonts w:ascii="Cambria" w:hAnsi="Cambria"/>
          <w:sz w:val="20"/>
          <w:szCs w:val="20"/>
          <w:lang w:val="en-US"/>
        </w:rPr>
        <w:t xml:space="preserve">, and emphasizes </w:t>
      </w:r>
      <w:r w:rsidR="00AB6BFD" w:rsidRPr="00CC562A">
        <w:rPr>
          <w:rFonts w:ascii="Cambria" w:hAnsi="Cambria"/>
          <w:sz w:val="20"/>
          <w:szCs w:val="20"/>
          <w:lang w:val="en-US"/>
        </w:rPr>
        <w:t>S</w:t>
      </w:r>
      <w:r w:rsidR="00C119B9" w:rsidRPr="00CC562A">
        <w:rPr>
          <w:rFonts w:ascii="Cambria" w:hAnsi="Cambria"/>
          <w:sz w:val="20"/>
          <w:szCs w:val="20"/>
          <w:lang w:val="en-US"/>
        </w:rPr>
        <w:t xml:space="preserve">tate measures to </w:t>
      </w:r>
      <w:r w:rsidR="00AB6BFD" w:rsidRPr="00CC562A">
        <w:rPr>
          <w:rFonts w:ascii="Cambria" w:hAnsi="Cambria"/>
          <w:sz w:val="20"/>
          <w:szCs w:val="20"/>
          <w:lang w:val="en-US"/>
        </w:rPr>
        <w:t>update and standardize</w:t>
      </w:r>
      <w:r w:rsidR="00C119B9" w:rsidRPr="00CC562A">
        <w:rPr>
          <w:rFonts w:ascii="Cambria" w:hAnsi="Cambria"/>
          <w:sz w:val="20"/>
          <w:szCs w:val="20"/>
          <w:lang w:val="en-US"/>
        </w:rPr>
        <w:t xml:space="preserve"> the Alba Protocols at the national level, and thus considers it important to continue following up these actions. In August</w:t>
      </w:r>
      <w:r w:rsidR="6E1E6921" w:rsidRPr="00CC562A">
        <w:rPr>
          <w:rFonts w:ascii="Cambria" w:hAnsi="Cambria"/>
          <w:sz w:val="20"/>
          <w:szCs w:val="20"/>
          <w:lang w:val="en-US"/>
        </w:rPr>
        <w:t xml:space="preserve"> 2021</w:t>
      </w:r>
      <w:r w:rsidR="00C119B9" w:rsidRPr="00CC562A">
        <w:rPr>
          <w:rFonts w:ascii="Cambria" w:hAnsi="Cambria"/>
          <w:sz w:val="20"/>
          <w:szCs w:val="20"/>
          <w:lang w:val="en-US"/>
        </w:rPr>
        <w:t>, the National Technical Coordinating Committee for the Harmonization of Alba Protocols was established; it consists of CLB</w:t>
      </w:r>
      <w:r w:rsidR="007F768D" w:rsidRPr="00CC562A">
        <w:rPr>
          <w:rFonts w:ascii="Cambria" w:hAnsi="Cambria"/>
          <w:sz w:val="20"/>
          <w:szCs w:val="20"/>
          <w:lang w:val="en-US"/>
        </w:rPr>
        <w:t>s</w:t>
      </w:r>
      <w:r w:rsidR="00C119B9" w:rsidRPr="00CC562A">
        <w:rPr>
          <w:rFonts w:ascii="Cambria" w:hAnsi="Cambria"/>
          <w:sz w:val="20"/>
          <w:szCs w:val="20"/>
          <w:lang w:val="en-US"/>
        </w:rPr>
        <w:t xml:space="preserve"> and liaisons from</w:t>
      </w:r>
      <w:r w:rsidR="00AB6BFD" w:rsidRPr="00CC562A">
        <w:rPr>
          <w:rFonts w:ascii="Cambria" w:hAnsi="Cambria"/>
          <w:sz w:val="20"/>
          <w:szCs w:val="20"/>
          <w:lang w:val="en-US"/>
        </w:rPr>
        <w:t xml:space="preserve"> Prosecutor’s Offices </w:t>
      </w:r>
      <w:r w:rsidR="005160F8" w:rsidRPr="00CC562A">
        <w:rPr>
          <w:rFonts w:ascii="Cambria" w:hAnsi="Cambria"/>
          <w:sz w:val="20"/>
          <w:szCs w:val="20"/>
          <w:lang w:val="en-US"/>
        </w:rPr>
        <w:t>in the</w:t>
      </w:r>
      <w:r w:rsidR="00C119B9" w:rsidRPr="00CC562A">
        <w:rPr>
          <w:rFonts w:ascii="Cambria" w:hAnsi="Cambria"/>
          <w:sz w:val="20"/>
          <w:szCs w:val="20"/>
          <w:lang w:val="en-US"/>
        </w:rPr>
        <w:t xml:space="preserve"> 32 states, for the purpose of working together on the minimum criteria document. This process is supported by UN Women. No</w:t>
      </w:r>
      <w:r w:rsidR="00AB6BFD" w:rsidRPr="00CC562A">
        <w:rPr>
          <w:rFonts w:ascii="Cambria" w:hAnsi="Cambria"/>
          <w:sz w:val="20"/>
          <w:szCs w:val="20"/>
          <w:lang w:val="en-US"/>
        </w:rPr>
        <w:t>netheless</w:t>
      </w:r>
      <w:r w:rsidR="00C119B9" w:rsidRPr="00CC562A">
        <w:rPr>
          <w:rFonts w:ascii="Cambria" w:hAnsi="Cambria"/>
          <w:sz w:val="20"/>
          <w:szCs w:val="20"/>
          <w:lang w:val="en-US"/>
        </w:rPr>
        <w:t xml:space="preserve">, the IACHR notes with concern that as of December 9, </w:t>
      </w:r>
      <w:r w:rsidR="005160F8" w:rsidRPr="00CC562A">
        <w:rPr>
          <w:rFonts w:ascii="Cambria" w:hAnsi="Cambria"/>
          <w:sz w:val="20"/>
          <w:szCs w:val="20"/>
          <w:lang w:val="en-US"/>
        </w:rPr>
        <w:t>2022,</w:t>
      </w:r>
      <w:r w:rsidR="6E1E6921" w:rsidRPr="00CC562A">
        <w:rPr>
          <w:rFonts w:ascii="Cambria" w:hAnsi="Cambria"/>
          <w:sz w:val="20"/>
          <w:szCs w:val="20"/>
          <w:lang w:val="en-US"/>
        </w:rPr>
        <w:t xml:space="preserve"> </w:t>
      </w:r>
      <w:r w:rsidR="00C119B9" w:rsidRPr="00CC562A">
        <w:rPr>
          <w:rFonts w:ascii="Cambria" w:hAnsi="Cambria"/>
          <w:sz w:val="20"/>
          <w:szCs w:val="20"/>
          <w:lang w:val="en-US"/>
        </w:rPr>
        <w:t xml:space="preserve">more than </w:t>
      </w:r>
      <w:r w:rsidR="6E1E6921" w:rsidRPr="00CC562A">
        <w:rPr>
          <w:rFonts w:ascii="Cambria" w:hAnsi="Cambria"/>
          <w:sz w:val="20"/>
          <w:szCs w:val="20"/>
          <w:lang w:val="en-US"/>
        </w:rPr>
        <w:t>27</w:t>
      </w:r>
      <w:r w:rsidR="00C119B9" w:rsidRPr="00CC562A">
        <w:rPr>
          <w:rFonts w:ascii="Cambria" w:hAnsi="Cambria"/>
          <w:sz w:val="20"/>
          <w:szCs w:val="20"/>
          <w:lang w:val="en-US"/>
        </w:rPr>
        <w:t>,</w:t>
      </w:r>
      <w:r w:rsidR="6E1E6921" w:rsidRPr="00CC562A">
        <w:rPr>
          <w:rFonts w:ascii="Cambria" w:hAnsi="Cambria"/>
          <w:sz w:val="20"/>
          <w:szCs w:val="20"/>
          <w:lang w:val="en-US"/>
        </w:rPr>
        <w:t xml:space="preserve">099 </w:t>
      </w:r>
      <w:r w:rsidR="00C119B9" w:rsidRPr="00CC562A">
        <w:rPr>
          <w:rFonts w:ascii="Cambria" w:hAnsi="Cambria"/>
          <w:sz w:val="20"/>
          <w:szCs w:val="20"/>
          <w:lang w:val="en-US"/>
        </w:rPr>
        <w:t>girls, adolescent girls, and women were reported missing in Mexico, more than</w:t>
      </w:r>
      <w:r w:rsidR="6E1E6921" w:rsidRPr="00CC562A">
        <w:rPr>
          <w:rFonts w:ascii="Cambria" w:hAnsi="Cambria"/>
          <w:sz w:val="20"/>
          <w:szCs w:val="20"/>
          <w:lang w:val="en-US"/>
        </w:rPr>
        <w:t xml:space="preserve"> 50% </w:t>
      </w:r>
      <w:r w:rsidR="00C119B9" w:rsidRPr="00CC562A">
        <w:rPr>
          <w:rFonts w:ascii="Cambria" w:hAnsi="Cambria"/>
          <w:sz w:val="20"/>
          <w:szCs w:val="20"/>
          <w:lang w:val="en-US"/>
        </w:rPr>
        <w:t xml:space="preserve">of whom are in the </w:t>
      </w:r>
      <w:r w:rsidR="6E1E6921" w:rsidRPr="00CC562A">
        <w:rPr>
          <w:rFonts w:ascii="Cambria" w:hAnsi="Cambria"/>
          <w:sz w:val="20"/>
          <w:szCs w:val="20"/>
          <w:lang w:val="en-US"/>
        </w:rPr>
        <w:t xml:space="preserve">10 </w:t>
      </w:r>
      <w:r w:rsidR="00C119B9" w:rsidRPr="00CC562A">
        <w:rPr>
          <w:rFonts w:ascii="Cambria" w:hAnsi="Cambria"/>
          <w:sz w:val="20"/>
          <w:szCs w:val="20"/>
          <w:lang w:val="en-US"/>
        </w:rPr>
        <w:t>to</w:t>
      </w:r>
      <w:r w:rsidR="6E1E6921" w:rsidRPr="00CC562A">
        <w:rPr>
          <w:rFonts w:ascii="Cambria" w:hAnsi="Cambria"/>
          <w:sz w:val="20"/>
          <w:szCs w:val="20"/>
          <w:lang w:val="en-US"/>
        </w:rPr>
        <w:t xml:space="preserve"> 24 </w:t>
      </w:r>
      <w:r w:rsidR="00C119B9" w:rsidRPr="00CC562A">
        <w:rPr>
          <w:rFonts w:ascii="Cambria" w:hAnsi="Cambria"/>
          <w:sz w:val="20"/>
          <w:szCs w:val="20"/>
          <w:lang w:val="en-US"/>
        </w:rPr>
        <w:t>age range. Of this number,</w:t>
      </w:r>
      <w:r w:rsidR="5465512C" w:rsidRPr="00CC562A">
        <w:rPr>
          <w:rFonts w:ascii="Cambria" w:hAnsi="Cambria"/>
          <w:sz w:val="20"/>
          <w:szCs w:val="20"/>
          <w:lang w:val="en-US"/>
        </w:rPr>
        <w:t xml:space="preserve"> 7,425 </w:t>
      </w:r>
      <w:r w:rsidR="00C119B9" w:rsidRPr="00CC562A">
        <w:rPr>
          <w:rFonts w:ascii="Cambria" w:hAnsi="Cambria"/>
          <w:sz w:val="20"/>
          <w:szCs w:val="20"/>
          <w:lang w:val="en-US"/>
        </w:rPr>
        <w:t>represent disappearance</w:t>
      </w:r>
      <w:r w:rsidR="00AB6BFD" w:rsidRPr="00CC562A">
        <w:rPr>
          <w:rFonts w:ascii="Cambria" w:hAnsi="Cambria"/>
          <w:sz w:val="20"/>
          <w:szCs w:val="20"/>
          <w:lang w:val="en-US"/>
        </w:rPr>
        <w:t>s</w:t>
      </w:r>
      <w:r w:rsidR="00C119B9" w:rsidRPr="00CC562A">
        <w:rPr>
          <w:rFonts w:ascii="Cambria" w:hAnsi="Cambria"/>
          <w:sz w:val="20"/>
          <w:szCs w:val="20"/>
          <w:lang w:val="en-US"/>
        </w:rPr>
        <w:t xml:space="preserve"> occurring in </w:t>
      </w:r>
      <w:r w:rsidR="5465512C" w:rsidRPr="00CC562A">
        <w:rPr>
          <w:rFonts w:ascii="Cambria" w:hAnsi="Cambria"/>
          <w:sz w:val="20"/>
          <w:szCs w:val="20"/>
          <w:lang w:val="en-US"/>
        </w:rPr>
        <w:lastRenderedPageBreak/>
        <w:t>2022</w:t>
      </w:r>
      <w:r w:rsidR="6E1E6921" w:rsidRPr="00CC562A">
        <w:rPr>
          <w:rFonts w:ascii="Cambria" w:hAnsi="Cambria"/>
          <w:sz w:val="20"/>
          <w:szCs w:val="20"/>
          <w:lang w:val="en-US"/>
        </w:rPr>
        <w:t xml:space="preserve">. </w:t>
      </w:r>
      <w:r w:rsidR="00C119B9" w:rsidRPr="00CC562A">
        <w:rPr>
          <w:rFonts w:ascii="Cambria" w:hAnsi="Cambria"/>
          <w:sz w:val="20"/>
          <w:szCs w:val="20"/>
          <w:lang w:val="en-US"/>
        </w:rPr>
        <w:t>Based on the foregoing, the IACHR considers</w:t>
      </w:r>
      <w:r w:rsidR="006B1175" w:rsidRPr="00CC562A">
        <w:rPr>
          <w:rFonts w:ascii="Cambria" w:hAnsi="Cambria"/>
          <w:sz w:val="20"/>
          <w:szCs w:val="20"/>
          <w:lang w:val="en-US"/>
        </w:rPr>
        <w:t xml:space="preserve"> that</w:t>
      </w:r>
      <w:r w:rsidR="00C119B9" w:rsidRPr="00CC562A">
        <w:rPr>
          <w:rFonts w:ascii="Cambria" w:hAnsi="Cambria"/>
          <w:sz w:val="20"/>
          <w:szCs w:val="20"/>
          <w:lang w:val="en-US"/>
        </w:rPr>
        <w:t xml:space="preserve"> </w:t>
      </w:r>
      <w:r w:rsidR="006B1175" w:rsidRPr="00CC562A">
        <w:rPr>
          <w:rFonts w:ascii="Cambria" w:hAnsi="Cambria"/>
          <w:b/>
          <w:bCs/>
          <w:sz w:val="20"/>
          <w:szCs w:val="20"/>
          <w:lang w:val="en-US"/>
        </w:rPr>
        <w:t>substanti</w:t>
      </w:r>
      <w:r w:rsidR="00AB6BFD" w:rsidRPr="00CC562A">
        <w:rPr>
          <w:rFonts w:ascii="Cambria" w:hAnsi="Cambria"/>
          <w:b/>
          <w:bCs/>
          <w:sz w:val="20"/>
          <w:szCs w:val="20"/>
          <w:lang w:val="en-US"/>
        </w:rPr>
        <w:t>al</w:t>
      </w:r>
      <w:r w:rsidR="006B1175" w:rsidRPr="00CC562A">
        <w:rPr>
          <w:rFonts w:ascii="Cambria" w:hAnsi="Cambria"/>
          <w:b/>
          <w:bCs/>
          <w:sz w:val="20"/>
          <w:szCs w:val="20"/>
          <w:lang w:val="en-US"/>
        </w:rPr>
        <w:t xml:space="preserve"> compliance</w:t>
      </w:r>
      <w:r w:rsidR="006B1175" w:rsidRPr="00CC562A">
        <w:rPr>
          <w:rFonts w:ascii="Cambria" w:hAnsi="Cambria"/>
          <w:sz w:val="20"/>
          <w:szCs w:val="20"/>
          <w:lang w:val="en-US"/>
        </w:rPr>
        <w:t xml:space="preserve"> with this recommendation remains </w:t>
      </w:r>
      <w:r w:rsidR="006B1175" w:rsidRPr="00CC562A">
        <w:rPr>
          <w:rFonts w:ascii="Cambria" w:hAnsi="Cambria"/>
          <w:b/>
          <w:bCs/>
          <w:sz w:val="20"/>
          <w:szCs w:val="20"/>
          <w:lang w:val="en-US"/>
        </w:rPr>
        <w:t>partial</w:t>
      </w:r>
      <w:r w:rsidR="006B1175" w:rsidRPr="00CC562A">
        <w:rPr>
          <w:rFonts w:ascii="Cambria" w:hAnsi="Cambria"/>
          <w:sz w:val="20"/>
          <w:szCs w:val="20"/>
          <w:lang w:val="en-US"/>
        </w:rPr>
        <w:t>.</w:t>
      </w:r>
    </w:p>
    <w:p w14:paraId="62A2B753" w14:textId="29284650" w:rsidR="00C66010" w:rsidRPr="00CC562A" w:rsidRDefault="006B1175"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To guide compliance with this recommendation, the IACHR suggests that the State proceed to adopt measures to continue and </w:t>
      </w:r>
      <w:r w:rsidR="00AB6BFD" w:rsidRPr="00CC562A">
        <w:rPr>
          <w:rFonts w:ascii="Cambria" w:hAnsi="Cambria"/>
          <w:sz w:val="20"/>
          <w:szCs w:val="20"/>
          <w:lang w:val="en-US"/>
        </w:rPr>
        <w:t>ensure</w:t>
      </w:r>
      <w:r w:rsidRPr="00CC562A">
        <w:rPr>
          <w:rFonts w:ascii="Cambria" w:hAnsi="Cambria"/>
          <w:sz w:val="20"/>
          <w:szCs w:val="20"/>
          <w:lang w:val="en-US"/>
        </w:rPr>
        <w:t xml:space="preserve"> the implementation of the search actions considered in the </w:t>
      </w:r>
      <w:r w:rsidR="758D50BB" w:rsidRPr="00CC562A">
        <w:rPr>
          <w:rFonts w:ascii="Cambria" w:hAnsi="Cambria"/>
          <w:sz w:val="20"/>
          <w:szCs w:val="20"/>
          <w:lang w:val="en-US"/>
        </w:rPr>
        <w:t xml:space="preserve">PHB </w:t>
      </w:r>
      <w:r w:rsidRPr="00CC562A">
        <w:rPr>
          <w:rFonts w:ascii="Cambria" w:hAnsi="Cambria"/>
          <w:sz w:val="20"/>
          <w:szCs w:val="20"/>
          <w:lang w:val="en-US"/>
        </w:rPr>
        <w:t>and</w:t>
      </w:r>
      <w:r w:rsidR="758D50BB" w:rsidRPr="00CC562A">
        <w:rPr>
          <w:rFonts w:ascii="Cambria" w:hAnsi="Cambria"/>
          <w:sz w:val="20"/>
          <w:szCs w:val="20"/>
          <w:lang w:val="en-US"/>
        </w:rPr>
        <w:t xml:space="preserve"> PABNNA, </w:t>
      </w:r>
      <w:r w:rsidRPr="00CC562A">
        <w:rPr>
          <w:rFonts w:ascii="Cambria" w:hAnsi="Cambria"/>
          <w:sz w:val="20"/>
          <w:szCs w:val="20"/>
          <w:lang w:val="en-US"/>
        </w:rPr>
        <w:t xml:space="preserve">in addition to continuing its progress on the standardization of the Alba Protocols at the national level. In this regard, the IACHR also recognizes how important it is for the remaining states to adopt measures </w:t>
      </w:r>
      <w:r w:rsidR="00AB6BFD" w:rsidRPr="00CC562A">
        <w:rPr>
          <w:rFonts w:ascii="Cambria" w:hAnsi="Cambria"/>
          <w:sz w:val="20"/>
          <w:szCs w:val="20"/>
          <w:lang w:val="en-US"/>
        </w:rPr>
        <w:t xml:space="preserve">at the local level </w:t>
      </w:r>
      <w:r w:rsidRPr="00CC562A">
        <w:rPr>
          <w:rFonts w:ascii="Cambria" w:hAnsi="Cambria"/>
          <w:sz w:val="20"/>
          <w:szCs w:val="20"/>
          <w:lang w:val="en-US"/>
        </w:rPr>
        <w:t xml:space="preserve">to guarantee the harmonization of protocols implemented </w:t>
      </w:r>
      <w:r w:rsidR="00290960" w:rsidRPr="00CC562A">
        <w:rPr>
          <w:rFonts w:ascii="Cambria" w:hAnsi="Cambria"/>
          <w:sz w:val="20"/>
          <w:szCs w:val="20"/>
          <w:lang w:val="en-US"/>
        </w:rPr>
        <w:t>nationally</w:t>
      </w:r>
      <w:r w:rsidRPr="00CC562A">
        <w:rPr>
          <w:rFonts w:ascii="Cambria" w:hAnsi="Cambria"/>
          <w:sz w:val="20"/>
          <w:szCs w:val="20"/>
          <w:lang w:val="en-US"/>
        </w:rPr>
        <w:t>.</w:t>
      </w:r>
    </w:p>
    <w:p w14:paraId="7BCAC2F2" w14:textId="3707A8F9" w:rsidR="005845AC" w:rsidRPr="00CC562A" w:rsidRDefault="006B1175"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relation to </w:t>
      </w:r>
      <w:r w:rsidR="00FC480A" w:rsidRPr="00CC562A">
        <w:rPr>
          <w:rFonts w:ascii="Cambria" w:eastAsia="Cambria" w:hAnsi="Cambria" w:cs="Cambria"/>
          <w:b/>
          <w:bCs/>
          <w:sz w:val="20"/>
          <w:szCs w:val="20"/>
          <w:lang w:val="en-US"/>
        </w:rPr>
        <w:t>f</w:t>
      </w:r>
      <w:r w:rsidRPr="00CC562A">
        <w:rPr>
          <w:rFonts w:ascii="Cambria" w:eastAsia="Cambria" w:hAnsi="Cambria" w:cs="Cambria"/>
          <w:b/>
          <w:bCs/>
          <w:sz w:val="20"/>
          <w:szCs w:val="20"/>
          <w:lang w:val="en-US"/>
        </w:rPr>
        <w:t xml:space="preserve">ollow-up of the </w:t>
      </w:r>
      <w:proofErr w:type="spellStart"/>
      <w:r w:rsidR="6E1E6921" w:rsidRPr="00CC562A">
        <w:rPr>
          <w:rFonts w:ascii="Cambria" w:hAnsi="Cambria"/>
          <w:b/>
          <w:bCs/>
          <w:sz w:val="20"/>
          <w:szCs w:val="20"/>
          <w:lang w:val="en-US"/>
        </w:rPr>
        <w:t>Ayotzinapa</w:t>
      </w:r>
      <w:proofErr w:type="spellEnd"/>
      <w:r w:rsidRPr="00CC562A">
        <w:rPr>
          <w:rFonts w:ascii="Cambria" w:hAnsi="Cambria"/>
          <w:b/>
          <w:bCs/>
          <w:sz w:val="20"/>
          <w:szCs w:val="20"/>
          <w:lang w:val="en-US"/>
        </w:rPr>
        <w:t xml:space="preserve"> Case</w:t>
      </w:r>
      <w:r w:rsidR="0B3944D6" w:rsidRPr="00CC562A">
        <w:rPr>
          <w:rFonts w:ascii="Cambria" w:hAnsi="Cambria"/>
          <w:b/>
          <w:bCs/>
          <w:sz w:val="20"/>
          <w:szCs w:val="20"/>
          <w:lang w:val="en-US"/>
        </w:rPr>
        <w:t xml:space="preserve">, </w:t>
      </w:r>
      <w:r w:rsidRPr="00CC562A">
        <w:rPr>
          <w:rFonts w:ascii="Cambria" w:hAnsi="Cambria"/>
          <w:sz w:val="20"/>
          <w:szCs w:val="20"/>
          <w:lang w:val="en-US"/>
        </w:rPr>
        <w:t>the State</w:t>
      </w:r>
      <w:r w:rsidR="005845AC" w:rsidRPr="00CC562A">
        <w:rPr>
          <w:rStyle w:val="FootnoteReference"/>
          <w:rFonts w:ascii="Cambria" w:eastAsia="Cambria" w:hAnsi="Cambria" w:cs="Cambria"/>
          <w:b/>
          <w:bCs/>
          <w:sz w:val="20"/>
          <w:szCs w:val="20"/>
          <w:lang w:val="en-US"/>
        </w:rPr>
        <w:footnoteReference w:id="99"/>
      </w:r>
      <w:r w:rsidR="0B3944D6" w:rsidRPr="00CC562A">
        <w:rPr>
          <w:rFonts w:ascii="Cambria" w:eastAsia="Cambria" w:hAnsi="Cambria" w:cs="Cambria"/>
          <w:sz w:val="20"/>
          <w:szCs w:val="20"/>
          <w:lang w:val="en-US"/>
        </w:rPr>
        <w:t xml:space="preserve"> </w:t>
      </w:r>
      <w:r w:rsidR="00FC480A" w:rsidRPr="00CC562A">
        <w:rPr>
          <w:rFonts w:ascii="Cambria" w:eastAsia="Cambria" w:hAnsi="Cambria" w:cs="Cambria"/>
          <w:sz w:val="20"/>
          <w:szCs w:val="20"/>
          <w:lang w:val="en-US"/>
        </w:rPr>
        <w:t>reported that in the context of the Mexican Government’s agreement with the IACHR</w:t>
      </w:r>
      <w:r w:rsidR="00290960" w:rsidRPr="00CC562A">
        <w:rPr>
          <w:rFonts w:ascii="Cambria" w:eastAsia="Cambria" w:hAnsi="Cambria" w:cs="Cambria"/>
          <w:sz w:val="20"/>
          <w:szCs w:val="20"/>
          <w:lang w:val="en-US"/>
        </w:rPr>
        <w:t xml:space="preserve"> </w:t>
      </w:r>
      <w:r w:rsidR="00FC480A" w:rsidRPr="00CC562A">
        <w:rPr>
          <w:rFonts w:ascii="Cambria" w:eastAsia="Cambria" w:hAnsi="Cambria" w:cs="Cambria"/>
          <w:sz w:val="20"/>
          <w:szCs w:val="20"/>
          <w:lang w:val="en-US"/>
        </w:rPr>
        <w:t>the</w:t>
      </w:r>
      <w:r w:rsidR="0B3944D6" w:rsidRPr="00CC562A">
        <w:rPr>
          <w:rFonts w:ascii="Cambria" w:eastAsia="Cambria" w:hAnsi="Cambria" w:cs="Cambria"/>
          <w:sz w:val="20"/>
          <w:szCs w:val="20"/>
          <w:lang w:val="en-US"/>
        </w:rPr>
        <w:t xml:space="preserve"> </w:t>
      </w:r>
      <w:r w:rsidR="0B3944D6" w:rsidRPr="00CC562A">
        <w:rPr>
          <w:rFonts w:ascii="Cambria" w:eastAsia="Cambria" w:hAnsi="Cambria" w:cs="Cambria"/>
          <w:b/>
          <w:bCs/>
          <w:sz w:val="20"/>
          <w:szCs w:val="20"/>
          <w:lang w:val="en-US"/>
        </w:rPr>
        <w:t>Com</w:t>
      </w:r>
      <w:r w:rsidR="00FC480A" w:rsidRPr="00CC562A">
        <w:rPr>
          <w:rFonts w:ascii="Cambria" w:eastAsia="Cambria" w:hAnsi="Cambria" w:cs="Cambria"/>
          <w:b/>
          <w:bCs/>
          <w:sz w:val="20"/>
          <w:szCs w:val="20"/>
          <w:lang w:val="en-US"/>
        </w:rPr>
        <w:t xml:space="preserve">mission for Truth and Access to Justice in the </w:t>
      </w:r>
      <w:proofErr w:type="spellStart"/>
      <w:r w:rsidR="0B3944D6" w:rsidRPr="00CC562A">
        <w:rPr>
          <w:rFonts w:ascii="Cambria" w:eastAsia="Cambria" w:hAnsi="Cambria" w:cs="Cambria"/>
          <w:b/>
          <w:bCs/>
          <w:sz w:val="20"/>
          <w:szCs w:val="20"/>
          <w:lang w:val="en-US"/>
        </w:rPr>
        <w:t>Ayotzinapa</w:t>
      </w:r>
      <w:proofErr w:type="spellEnd"/>
      <w:r w:rsidR="00FC480A" w:rsidRPr="00CC562A">
        <w:rPr>
          <w:rFonts w:ascii="Cambria" w:eastAsia="Cambria" w:hAnsi="Cambria" w:cs="Cambria"/>
          <w:b/>
          <w:bCs/>
          <w:sz w:val="20"/>
          <w:szCs w:val="20"/>
          <w:lang w:val="en-US"/>
        </w:rPr>
        <w:t xml:space="preserve"> Case</w:t>
      </w:r>
      <w:r w:rsidR="0B3944D6" w:rsidRPr="00CC562A">
        <w:rPr>
          <w:rFonts w:ascii="Cambria" w:eastAsia="Cambria" w:hAnsi="Cambria" w:cs="Cambria"/>
          <w:b/>
          <w:bCs/>
          <w:sz w:val="20"/>
          <w:szCs w:val="20"/>
          <w:lang w:val="en-US"/>
        </w:rPr>
        <w:t xml:space="preserve"> (</w:t>
      </w:r>
      <w:proofErr w:type="spellStart"/>
      <w:r w:rsidR="0B3944D6" w:rsidRPr="00CC562A">
        <w:rPr>
          <w:rFonts w:ascii="Cambria" w:eastAsia="Cambria" w:hAnsi="Cambria" w:cs="Cambria"/>
          <w:b/>
          <w:bCs/>
          <w:sz w:val="20"/>
          <w:szCs w:val="20"/>
          <w:lang w:val="en-US"/>
        </w:rPr>
        <w:t>CoVAJ</w:t>
      </w:r>
      <w:proofErr w:type="spellEnd"/>
      <w:r w:rsidR="0B3944D6" w:rsidRPr="00CC562A">
        <w:rPr>
          <w:rFonts w:ascii="Cambria" w:eastAsia="Cambria" w:hAnsi="Cambria" w:cs="Cambria"/>
          <w:b/>
          <w:bCs/>
          <w:sz w:val="20"/>
          <w:szCs w:val="20"/>
          <w:lang w:val="en-US"/>
        </w:rPr>
        <w:t xml:space="preserve">) </w:t>
      </w:r>
      <w:r w:rsidR="0B3944D6" w:rsidRPr="00CC562A">
        <w:rPr>
          <w:rFonts w:ascii="Cambria" w:eastAsia="Cambria" w:hAnsi="Cambria" w:cs="Cambria"/>
          <w:sz w:val="20"/>
          <w:szCs w:val="20"/>
          <w:lang w:val="en-US"/>
        </w:rPr>
        <w:t>h</w:t>
      </w:r>
      <w:r w:rsidR="00FC480A" w:rsidRPr="00CC562A">
        <w:rPr>
          <w:rFonts w:ascii="Cambria" w:eastAsia="Cambria" w:hAnsi="Cambria" w:cs="Cambria"/>
          <w:sz w:val="20"/>
          <w:szCs w:val="20"/>
          <w:lang w:val="en-US"/>
        </w:rPr>
        <w:t>as continued ongoing collaboration with the Interdisciplinary Group of Independent Experts</w:t>
      </w:r>
      <w:r w:rsidR="0B3944D6" w:rsidRPr="00CC562A">
        <w:rPr>
          <w:rFonts w:ascii="Cambria" w:eastAsia="Cambria" w:hAnsi="Cambria" w:cs="Cambria"/>
          <w:sz w:val="20"/>
          <w:szCs w:val="20"/>
          <w:lang w:val="en-US"/>
        </w:rPr>
        <w:t xml:space="preserve"> (GIEI), </w:t>
      </w:r>
      <w:r w:rsidR="00FC480A" w:rsidRPr="00CC562A">
        <w:rPr>
          <w:rFonts w:ascii="Cambria" w:eastAsia="Cambria" w:hAnsi="Cambria" w:cs="Cambria"/>
          <w:sz w:val="20"/>
          <w:szCs w:val="20"/>
          <w:lang w:val="en-US"/>
        </w:rPr>
        <w:t xml:space="preserve">whose members were invited to attend all regular meetings held during </w:t>
      </w:r>
      <w:r w:rsidR="0B3944D6" w:rsidRPr="00CC562A">
        <w:rPr>
          <w:rFonts w:ascii="Cambria" w:eastAsia="Cambria" w:hAnsi="Cambria" w:cs="Cambria"/>
          <w:sz w:val="20"/>
          <w:szCs w:val="20"/>
          <w:lang w:val="en-US"/>
        </w:rPr>
        <w:t>2022</w:t>
      </w:r>
      <w:r w:rsidR="00FC480A" w:rsidRPr="00CC562A">
        <w:rPr>
          <w:rFonts w:ascii="Cambria" w:eastAsia="Cambria" w:hAnsi="Cambria" w:cs="Cambria"/>
          <w:sz w:val="20"/>
          <w:szCs w:val="20"/>
          <w:lang w:val="en-US"/>
        </w:rPr>
        <w:t xml:space="preserve"> </w:t>
      </w:r>
      <w:r w:rsidR="00B706D9" w:rsidRPr="00CC562A">
        <w:rPr>
          <w:rFonts w:ascii="Cambria" w:eastAsia="Cambria" w:hAnsi="Cambria" w:cs="Cambria"/>
          <w:sz w:val="20"/>
          <w:szCs w:val="20"/>
          <w:lang w:val="en-US"/>
        </w:rPr>
        <w:t>and to express their views</w:t>
      </w:r>
      <w:r w:rsidR="00FC480A" w:rsidRPr="00CC562A">
        <w:rPr>
          <w:rFonts w:ascii="Cambria" w:eastAsia="Cambria" w:hAnsi="Cambria" w:cs="Cambria"/>
          <w:sz w:val="20"/>
          <w:szCs w:val="20"/>
          <w:lang w:val="en-US"/>
        </w:rPr>
        <w:t xml:space="preserve">. Said meetings have been one of the routes of communication allowing people to present progress made and opinions they consider relevant and </w:t>
      </w:r>
      <w:r w:rsidR="00290960" w:rsidRPr="00CC562A">
        <w:rPr>
          <w:rFonts w:ascii="Cambria" w:eastAsia="Cambria" w:hAnsi="Cambria" w:cs="Cambria"/>
          <w:sz w:val="20"/>
          <w:szCs w:val="20"/>
          <w:lang w:val="en-US"/>
        </w:rPr>
        <w:t xml:space="preserve">to </w:t>
      </w:r>
      <w:r w:rsidR="00FC480A" w:rsidRPr="00CC562A">
        <w:rPr>
          <w:rFonts w:ascii="Cambria" w:eastAsia="Cambria" w:hAnsi="Cambria" w:cs="Cambria"/>
          <w:sz w:val="20"/>
          <w:szCs w:val="20"/>
          <w:lang w:val="en-US"/>
        </w:rPr>
        <w:t>submit requests for the development of its mandate</w:t>
      </w:r>
      <w:r w:rsidR="0B3944D6" w:rsidRPr="00CC562A">
        <w:rPr>
          <w:rFonts w:ascii="Cambria" w:eastAsia="Cambria" w:hAnsi="Cambria" w:cs="Cambria"/>
          <w:sz w:val="20"/>
          <w:szCs w:val="20"/>
          <w:lang w:val="en-US"/>
        </w:rPr>
        <w:t>.</w:t>
      </w:r>
    </w:p>
    <w:p w14:paraId="2CA5C6E2" w14:textId="3BEA3C1D" w:rsidR="005845AC" w:rsidRPr="00CC562A" w:rsidRDefault="00B706D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addition, it reported that </w:t>
      </w:r>
      <w:proofErr w:type="gramStart"/>
      <w:r w:rsidRPr="00CC562A">
        <w:rPr>
          <w:rFonts w:ascii="Cambria" w:eastAsia="Cambria" w:hAnsi="Cambria" w:cs="Cambria"/>
          <w:sz w:val="20"/>
          <w:szCs w:val="20"/>
          <w:lang w:val="en-US"/>
        </w:rPr>
        <w:t>as a result of</w:t>
      </w:r>
      <w:proofErr w:type="gramEnd"/>
      <w:r w:rsidRPr="00CC562A">
        <w:rPr>
          <w:rFonts w:ascii="Cambria" w:eastAsia="Cambria" w:hAnsi="Cambria" w:cs="Cambria"/>
          <w:sz w:val="20"/>
          <w:szCs w:val="20"/>
          <w:lang w:val="en-US"/>
        </w:rPr>
        <w:t xml:space="preserve"> </w:t>
      </w:r>
      <w:proofErr w:type="spellStart"/>
      <w:r w:rsidRPr="00CC562A">
        <w:rPr>
          <w:rFonts w:ascii="Cambria" w:eastAsia="Cambria" w:hAnsi="Cambria" w:cs="Cambria"/>
          <w:sz w:val="20"/>
          <w:szCs w:val="20"/>
          <w:lang w:val="en-US"/>
        </w:rPr>
        <w:t>CoVAJ’s</w:t>
      </w:r>
      <w:proofErr w:type="spellEnd"/>
      <w:r w:rsidRPr="00CC562A">
        <w:rPr>
          <w:rFonts w:ascii="Cambria" w:eastAsia="Cambria" w:hAnsi="Cambria" w:cs="Cambria"/>
          <w:sz w:val="20"/>
          <w:szCs w:val="20"/>
          <w:lang w:val="en-US"/>
        </w:rPr>
        <w:t xml:space="preserve"> collaboration with the GIEI, on-site consultations were conducted and followed up regarding processing, concentration, and historical files, obtaining </w:t>
      </w:r>
      <w:r w:rsidR="0B3944D6" w:rsidRPr="00CC562A">
        <w:rPr>
          <w:rFonts w:ascii="Cambria" w:eastAsia="Cambria" w:hAnsi="Cambria" w:cs="Cambria"/>
          <w:sz w:val="20"/>
          <w:szCs w:val="20"/>
          <w:lang w:val="en-US"/>
        </w:rPr>
        <w:t>9</w:t>
      </w:r>
      <w:r w:rsidRPr="00CC562A">
        <w:rPr>
          <w:rFonts w:ascii="Cambria" w:eastAsia="Cambria" w:hAnsi="Cambria" w:cs="Cambria"/>
          <w:sz w:val="20"/>
          <w:szCs w:val="20"/>
          <w:lang w:val="en-US"/>
        </w:rPr>
        <w:t>,</w:t>
      </w:r>
      <w:r w:rsidR="0B3944D6" w:rsidRPr="00CC562A">
        <w:rPr>
          <w:rFonts w:ascii="Cambria" w:eastAsia="Cambria" w:hAnsi="Cambria" w:cs="Cambria"/>
          <w:sz w:val="20"/>
          <w:szCs w:val="20"/>
          <w:lang w:val="en-US"/>
        </w:rPr>
        <w:t>712 document</w:t>
      </w:r>
      <w:r w:rsidRPr="00CC562A">
        <w:rPr>
          <w:rFonts w:ascii="Cambria" w:eastAsia="Cambria" w:hAnsi="Cambria" w:cs="Cambria"/>
          <w:sz w:val="20"/>
          <w:szCs w:val="20"/>
          <w:lang w:val="en-US"/>
        </w:rPr>
        <w:t xml:space="preserve">s amounting to </w:t>
      </w:r>
      <w:r w:rsidR="0B3944D6" w:rsidRPr="00CC562A">
        <w:rPr>
          <w:rFonts w:ascii="Cambria" w:eastAsia="Cambria" w:hAnsi="Cambria" w:cs="Cambria"/>
          <w:sz w:val="20"/>
          <w:szCs w:val="20"/>
          <w:lang w:val="en-US"/>
        </w:rPr>
        <w:t>121</w:t>
      </w:r>
      <w:r w:rsidRPr="00CC562A">
        <w:rPr>
          <w:rFonts w:ascii="Cambria" w:eastAsia="Cambria" w:hAnsi="Cambria" w:cs="Cambria"/>
          <w:sz w:val="20"/>
          <w:szCs w:val="20"/>
          <w:lang w:val="en-US"/>
        </w:rPr>
        <w:t>,</w:t>
      </w:r>
      <w:r w:rsidR="0B3944D6" w:rsidRPr="00CC562A">
        <w:rPr>
          <w:rFonts w:ascii="Cambria" w:eastAsia="Cambria" w:hAnsi="Cambria" w:cs="Cambria"/>
          <w:sz w:val="20"/>
          <w:szCs w:val="20"/>
          <w:lang w:val="en-US"/>
        </w:rPr>
        <w:t xml:space="preserve">400 </w:t>
      </w:r>
      <w:r w:rsidRPr="00CC562A">
        <w:rPr>
          <w:rFonts w:ascii="Cambria" w:eastAsia="Cambria" w:hAnsi="Cambria" w:cs="Cambria"/>
          <w:sz w:val="20"/>
          <w:szCs w:val="20"/>
          <w:lang w:val="en-US"/>
        </w:rPr>
        <w:t>pages</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These include 2022 data in seven files of the </w:t>
      </w:r>
      <w:r w:rsidR="00E27F3C" w:rsidRPr="00CC562A">
        <w:rPr>
          <w:rFonts w:ascii="Cambria" w:eastAsia="Cambria" w:hAnsi="Cambria" w:cs="Cambria"/>
          <w:sz w:val="20"/>
          <w:szCs w:val="20"/>
          <w:lang w:val="en-US"/>
        </w:rPr>
        <w:t>Ministry</w:t>
      </w:r>
      <w:r w:rsidRPr="00CC562A">
        <w:rPr>
          <w:rFonts w:ascii="Cambria" w:eastAsia="Cambria" w:hAnsi="Cambria" w:cs="Cambria"/>
          <w:sz w:val="20"/>
          <w:szCs w:val="20"/>
          <w:lang w:val="en-US"/>
        </w:rPr>
        <w:t xml:space="preserve"> </w:t>
      </w:r>
      <w:r w:rsidR="00E27F3C" w:rsidRPr="00CC562A">
        <w:rPr>
          <w:rFonts w:ascii="Cambria" w:eastAsia="Cambria" w:hAnsi="Cambria" w:cs="Cambria"/>
          <w:sz w:val="20"/>
          <w:szCs w:val="20"/>
          <w:lang w:val="en-US"/>
        </w:rPr>
        <w:t>of</w:t>
      </w:r>
      <w:r w:rsidRPr="00CC562A">
        <w:rPr>
          <w:rFonts w:ascii="Cambria" w:eastAsia="Cambria" w:hAnsi="Cambria" w:cs="Cambria"/>
          <w:sz w:val="20"/>
          <w:szCs w:val="20"/>
          <w:lang w:val="en-US"/>
        </w:rPr>
        <w:t xml:space="preserve"> Security and Citizen Protection and the National Guard</w:t>
      </w:r>
      <w:r w:rsidR="00E27F3C" w:rsidRPr="00CC562A">
        <w:rPr>
          <w:rFonts w:ascii="Cambria" w:eastAsia="Cambria" w:hAnsi="Cambria" w:cs="Cambria"/>
          <w:sz w:val="20"/>
          <w:szCs w:val="20"/>
          <w:lang w:val="en-US"/>
        </w:rPr>
        <w:t>, in which</w:t>
      </w:r>
      <w:r w:rsidR="0B3944D6" w:rsidRPr="00CC562A">
        <w:rPr>
          <w:rFonts w:ascii="Cambria" w:eastAsia="Cambria" w:hAnsi="Cambria" w:cs="Cambria"/>
          <w:sz w:val="20"/>
          <w:szCs w:val="20"/>
          <w:lang w:val="en-US"/>
        </w:rPr>
        <w:t xml:space="preserve"> 440 documen</w:t>
      </w:r>
      <w:r w:rsidR="00E27F3C" w:rsidRPr="00CC562A">
        <w:rPr>
          <w:rFonts w:ascii="Cambria" w:eastAsia="Cambria" w:hAnsi="Cambria" w:cs="Cambria"/>
          <w:sz w:val="20"/>
          <w:szCs w:val="20"/>
          <w:lang w:val="en-US"/>
        </w:rPr>
        <w:t xml:space="preserve">ts were obtained, equivalent to </w:t>
      </w:r>
      <w:r w:rsidR="0B3944D6" w:rsidRPr="00CC562A">
        <w:rPr>
          <w:rFonts w:ascii="Cambria" w:eastAsia="Cambria" w:hAnsi="Cambria" w:cs="Cambria"/>
          <w:sz w:val="20"/>
          <w:szCs w:val="20"/>
          <w:lang w:val="en-US"/>
        </w:rPr>
        <w:t xml:space="preserve">7,527 </w:t>
      </w:r>
      <w:r w:rsidR="00E27F3C" w:rsidRPr="00CC562A">
        <w:rPr>
          <w:rFonts w:ascii="Cambria" w:eastAsia="Cambria" w:hAnsi="Cambria" w:cs="Cambria"/>
          <w:sz w:val="20"/>
          <w:szCs w:val="20"/>
          <w:lang w:val="en-US"/>
        </w:rPr>
        <w:t>pages (period: October</w:t>
      </w:r>
      <w:r w:rsidR="2B60A4D8" w:rsidRPr="00CC562A">
        <w:rPr>
          <w:rFonts w:ascii="Cambria" w:eastAsia="Cambria" w:hAnsi="Cambria" w:cs="Cambria"/>
          <w:sz w:val="20"/>
          <w:szCs w:val="20"/>
          <w:lang w:val="en-US"/>
        </w:rPr>
        <w:t xml:space="preserve"> </w:t>
      </w:r>
      <w:r w:rsidR="0B3944D6" w:rsidRPr="00CC562A">
        <w:rPr>
          <w:rFonts w:ascii="Cambria" w:eastAsia="Cambria" w:hAnsi="Cambria" w:cs="Cambria"/>
          <w:sz w:val="20"/>
          <w:szCs w:val="20"/>
          <w:lang w:val="en-US"/>
        </w:rPr>
        <w:t xml:space="preserve">2021 – </w:t>
      </w:r>
      <w:r w:rsidR="00E27F3C" w:rsidRPr="00CC562A">
        <w:rPr>
          <w:rFonts w:ascii="Cambria" w:eastAsia="Cambria" w:hAnsi="Cambria" w:cs="Cambria"/>
          <w:sz w:val="20"/>
          <w:szCs w:val="20"/>
          <w:lang w:val="en-US"/>
        </w:rPr>
        <w:t>August</w:t>
      </w:r>
      <w:r w:rsidR="0B3944D6" w:rsidRPr="00CC562A">
        <w:rPr>
          <w:rFonts w:ascii="Cambria" w:eastAsia="Cambria" w:hAnsi="Cambria" w:cs="Cambria"/>
          <w:sz w:val="20"/>
          <w:szCs w:val="20"/>
          <w:lang w:val="en-US"/>
        </w:rPr>
        <w:t xml:space="preserve"> 2022)</w:t>
      </w:r>
      <w:r w:rsidR="2B60A4D8" w:rsidRPr="00CC562A">
        <w:rPr>
          <w:rFonts w:ascii="Cambria" w:eastAsia="Cambria" w:hAnsi="Cambria" w:cs="Cambria"/>
          <w:sz w:val="20"/>
          <w:szCs w:val="20"/>
          <w:lang w:val="en-US"/>
        </w:rPr>
        <w:t>,</w:t>
      </w:r>
      <w:r w:rsidR="00E27F3C" w:rsidRPr="00CC562A">
        <w:rPr>
          <w:rFonts w:ascii="Cambria" w:eastAsia="Cambria" w:hAnsi="Cambria" w:cs="Cambria"/>
          <w:sz w:val="20"/>
          <w:szCs w:val="20"/>
          <w:lang w:val="en-US"/>
        </w:rPr>
        <w:t xml:space="preserve"> on the National Guard’s General Directorate of Investigation</w:t>
      </w:r>
      <w:r w:rsidR="0B3944D6" w:rsidRPr="00CC562A">
        <w:rPr>
          <w:rFonts w:ascii="Cambria" w:eastAsia="Cambria" w:hAnsi="Cambria" w:cs="Cambria"/>
          <w:sz w:val="20"/>
          <w:szCs w:val="20"/>
          <w:lang w:val="en-US"/>
        </w:rPr>
        <w:t xml:space="preserve">, </w:t>
      </w:r>
      <w:r w:rsidR="00E27F3C" w:rsidRPr="00CC562A">
        <w:rPr>
          <w:rFonts w:ascii="Cambria" w:eastAsia="Cambria" w:hAnsi="Cambria" w:cs="Cambria"/>
          <w:sz w:val="20"/>
          <w:szCs w:val="20"/>
          <w:lang w:val="en-US"/>
        </w:rPr>
        <w:t xml:space="preserve">General Directorate for Special Services, General Directorate for </w:t>
      </w:r>
      <w:r w:rsidR="00417D94" w:rsidRPr="00CC562A">
        <w:rPr>
          <w:rFonts w:ascii="Cambria" w:eastAsia="Cambria" w:hAnsi="Cambria" w:cs="Cambria"/>
          <w:sz w:val="20"/>
          <w:szCs w:val="20"/>
          <w:lang w:val="en-US"/>
        </w:rPr>
        <w:t xml:space="preserve">Security on Highways and Facilities, Highways and Facilities, </w:t>
      </w:r>
      <w:r w:rsidR="0B3944D6" w:rsidRPr="00CC562A">
        <w:rPr>
          <w:rFonts w:ascii="Cambria" w:eastAsia="Cambria" w:hAnsi="Cambria" w:cs="Cambria"/>
          <w:sz w:val="20"/>
          <w:szCs w:val="20"/>
          <w:lang w:val="en-US"/>
        </w:rPr>
        <w:t>Acapulco</w:t>
      </w:r>
      <w:r w:rsidR="00417D94" w:rsidRPr="00CC562A">
        <w:rPr>
          <w:rFonts w:ascii="Cambria" w:eastAsia="Cambria" w:hAnsi="Cambria" w:cs="Cambria"/>
          <w:sz w:val="20"/>
          <w:szCs w:val="20"/>
          <w:lang w:val="en-US"/>
        </w:rPr>
        <w:t xml:space="preserve"> Station, </w:t>
      </w:r>
      <w:r w:rsidR="0B3944D6" w:rsidRPr="00CC562A">
        <w:rPr>
          <w:rFonts w:ascii="Cambria" w:eastAsia="Cambria" w:hAnsi="Cambria" w:cs="Cambria"/>
          <w:sz w:val="20"/>
          <w:szCs w:val="20"/>
          <w:lang w:val="en-US"/>
        </w:rPr>
        <w:t xml:space="preserve">Iguala </w:t>
      </w:r>
      <w:r w:rsidR="00417D94" w:rsidRPr="00CC562A">
        <w:rPr>
          <w:rFonts w:ascii="Cambria" w:eastAsia="Cambria" w:hAnsi="Cambria" w:cs="Cambria"/>
          <w:sz w:val="20"/>
          <w:szCs w:val="20"/>
          <w:lang w:val="en-US"/>
        </w:rPr>
        <w:t xml:space="preserve">Stations, and </w:t>
      </w:r>
      <w:r w:rsidR="0B3944D6" w:rsidRPr="00CC562A">
        <w:rPr>
          <w:rFonts w:ascii="Cambria" w:eastAsia="Cambria" w:hAnsi="Cambria" w:cs="Cambria"/>
          <w:sz w:val="20"/>
          <w:szCs w:val="20"/>
          <w:lang w:val="en-US"/>
        </w:rPr>
        <w:t>Chilpancingo</w:t>
      </w:r>
      <w:r w:rsidR="00417D94" w:rsidRPr="00CC562A">
        <w:rPr>
          <w:rFonts w:ascii="Cambria" w:eastAsia="Cambria" w:hAnsi="Cambria" w:cs="Cambria"/>
          <w:sz w:val="20"/>
          <w:szCs w:val="20"/>
          <w:lang w:val="en-US"/>
        </w:rPr>
        <w:t xml:space="preserve"> Station</w:t>
      </w:r>
      <w:r w:rsidR="0B3944D6" w:rsidRPr="00CC562A">
        <w:rPr>
          <w:rFonts w:ascii="Cambria" w:eastAsia="Cambria" w:hAnsi="Cambria" w:cs="Cambria"/>
          <w:sz w:val="20"/>
          <w:szCs w:val="20"/>
          <w:lang w:val="en-US"/>
        </w:rPr>
        <w:t>.</w:t>
      </w:r>
    </w:p>
    <w:p w14:paraId="15E35DA4" w14:textId="41F0BEFC" w:rsidR="005845AC" w:rsidRPr="00CC562A" w:rsidRDefault="00417D94"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 mentioned that the advances recognized by the</w:t>
      </w:r>
      <w:r w:rsidR="0B3944D6" w:rsidRPr="00CC562A">
        <w:rPr>
          <w:rFonts w:ascii="Cambria" w:eastAsia="Cambria" w:hAnsi="Cambria" w:cs="Cambria"/>
          <w:sz w:val="20"/>
          <w:szCs w:val="20"/>
          <w:lang w:val="en-US"/>
        </w:rPr>
        <w:t xml:space="preserve"> GIEI </w:t>
      </w:r>
      <w:r w:rsidR="00290960" w:rsidRPr="00CC562A">
        <w:rPr>
          <w:rFonts w:ascii="Cambria" w:eastAsia="Cambria" w:hAnsi="Cambria" w:cs="Cambria"/>
          <w:sz w:val="20"/>
          <w:szCs w:val="20"/>
          <w:lang w:val="en-US"/>
        </w:rPr>
        <w:t xml:space="preserve">publicly </w:t>
      </w:r>
      <w:r w:rsidRPr="00CC562A">
        <w:rPr>
          <w:rFonts w:ascii="Cambria" w:eastAsia="Cambria" w:hAnsi="Cambria" w:cs="Cambria"/>
          <w:sz w:val="20"/>
          <w:szCs w:val="20"/>
          <w:lang w:val="en-US"/>
        </w:rPr>
        <w:t xml:space="preserve">express the idea that the creation of the </w:t>
      </w:r>
      <w:proofErr w:type="spellStart"/>
      <w:r w:rsidR="0B3944D6" w:rsidRPr="00CC562A">
        <w:rPr>
          <w:rFonts w:ascii="Cambria" w:eastAsia="Cambria" w:hAnsi="Cambria" w:cs="Cambria"/>
          <w:sz w:val="20"/>
          <w:szCs w:val="20"/>
          <w:lang w:val="en-US"/>
        </w:rPr>
        <w:t>CoVAJ</w:t>
      </w:r>
      <w:proofErr w:type="spellEnd"/>
      <w:r w:rsidRPr="00CC562A">
        <w:rPr>
          <w:rFonts w:ascii="Cambria" w:eastAsia="Cambria" w:hAnsi="Cambria" w:cs="Cambria"/>
          <w:sz w:val="20"/>
          <w:szCs w:val="20"/>
          <w:lang w:val="en-US"/>
        </w:rPr>
        <w:t xml:space="preserve">, and along with it, the </w:t>
      </w:r>
      <w:r w:rsidR="0B3944D6" w:rsidRPr="00CC562A">
        <w:rPr>
          <w:rFonts w:ascii="Cambria" w:eastAsia="Cambria" w:hAnsi="Cambria" w:cs="Cambria"/>
          <w:sz w:val="20"/>
          <w:szCs w:val="20"/>
          <w:lang w:val="en-US"/>
        </w:rPr>
        <w:t>UEILCA</w:t>
      </w:r>
      <w:r w:rsidR="00290960"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are important steps by means of which the Mexican government has shown its commitment to the </w:t>
      </w:r>
      <w:proofErr w:type="spellStart"/>
      <w:r w:rsidR="0B3944D6" w:rsidRPr="00CC562A">
        <w:rPr>
          <w:rFonts w:ascii="Cambria" w:eastAsia="Cambria" w:hAnsi="Cambria" w:cs="Cambria"/>
          <w:sz w:val="20"/>
          <w:szCs w:val="20"/>
          <w:lang w:val="en-US"/>
        </w:rPr>
        <w:t>Ayotzinapa</w:t>
      </w:r>
      <w:proofErr w:type="spellEnd"/>
      <w:r w:rsidRPr="00CC562A">
        <w:rPr>
          <w:rFonts w:ascii="Cambria" w:eastAsia="Cambria" w:hAnsi="Cambria" w:cs="Cambria"/>
          <w:sz w:val="20"/>
          <w:szCs w:val="20"/>
          <w:lang w:val="en-US"/>
        </w:rPr>
        <w:t xml:space="preserve"> case. In view of this, the Presidential </w:t>
      </w:r>
      <w:r w:rsidR="005160F8" w:rsidRPr="00CC562A">
        <w:rPr>
          <w:rFonts w:ascii="Cambria" w:eastAsia="Cambria" w:hAnsi="Cambria" w:cs="Cambria"/>
          <w:sz w:val="20"/>
          <w:szCs w:val="20"/>
          <w:lang w:val="en-US"/>
        </w:rPr>
        <w:t>Commission has</w:t>
      </w:r>
      <w:r w:rsidRPr="00CC562A">
        <w:rPr>
          <w:rFonts w:ascii="Cambria" w:eastAsia="Cambria" w:hAnsi="Cambria" w:cs="Cambria"/>
          <w:sz w:val="20"/>
          <w:szCs w:val="20"/>
          <w:lang w:val="en-US"/>
        </w:rPr>
        <w:t xml:space="preserve"> worked on achieving the recommendations expressed by the Inter-disciplinary group to the limit of its abilities and jurisdictional areas assigned to it in the national legal context. Th</w:t>
      </w:r>
      <w:r w:rsidR="00290960" w:rsidRPr="00CC562A">
        <w:rPr>
          <w:rFonts w:ascii="Cambria" w:eastAsia="Cambria" w:hAnsi="Cambria" w:cs="Cambria"/>
          <w:sz w:val="20"/>
          <w:szCs w:val="20"/>
          <w:lang w:val="en-US"/>
        </w:rPr>
        <w:t>e</w:t>
      </w:r>
      <w:r w:rsidRPr="00CC562A">
        <w:rPr>
          <w:rFonts w:ascii="Cambria" w:eastAsia="Cambria" w:hAnsi="Cambria" w:cs="Cambria"/>
          <w:sz w:val="20"/>
          <w:szCs w:val="20"/>
          <w:lang w:val="en-US"/>
        </w:rPr>
        <w:t xml:space="preserve"> State indicated that the</w:t>
      </w:r>
      <w:r w:rsidR="0B3944D6" w:rsidRPr="00CC562A">
        <w:rPr>
          <w:rFonts w:ascii="Cambria" w:eastAsia="Cambria" w:hAnsi="Cambria" w:cs="Cambria"/>
          <w:sz w:val="20"/>
          <w:szCs w:val="20"/>
          <w:lang w:val="en-US"/>
        </w:rPr>
        <w:t xml:space="preserve"> </w:t>
      </w:r>
      <w:proofErr w:type="spellStart"/>
      <w:r w:rsidR="0B3944D6" w:rsidRPr="00CC562A">
        <w:rPr>
          <w:rFonts w:ascii="Cambria" w:eastAsia="Cambria" w:hAnsi="Cambria" w:cs="Cambria"/>
          <w:sz w:val="20"/>
          <w:szCs w:val="20"/>
          <w:lang w:val="en-US"/>
        </w:rPr>
        <w:t>CoVAJ</w:t>
      </w:r>
      <w:proofErr w:type="spellEnd"/>
      <w:r w:rsidR="0B3944D6" w:rsidRPr="00CC562A">
        <w:rPr>
          <w:rFonts w:ascii="Cambria" w:eastAsia="Cambria" w:hAnsi="Cambria" w:cs="Cambria"/>
          <w:sz w:val="20"/>
          <w:szCs w:val="20"/>
          <w:lang w:val="en-US"/>
        </w:rPr>
        <w:t xml:space="preserve"> ha</w:t>
      </w:r>
      <w:r w:rsidRPr="00CC562A">
        <w:rPr>
          <w:rFonts w:ascii="Cambria" w:eastAsia="Cambria" w:hAnsi="Cambria" w:cs="Cambria"/>
          <w:sz w:val="20"/>
          <w:szCs w:val="20"/>
          <w:lang w:val="en-US"/>
        </w:rPr>
        <w:t>s sough</w:t>
      </w:r>
      <w:r w:rsidR="00290960"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 to establish clear precedents and generate the conditions for ensuring that such events do not recur. In this regard, it declared the</w:t>
      </w:r>
      <w:r w:rsidR="0B3944D6" w:rsidRPr="00CC562A">
        <w:rPr>
          <w:rFonts w:ascii="Cambria" w:eastAsia="Cambria" w:hAnsi="Cambria" w:cs="Cambria"/>
          <w:sz w:val="20"/>
          <w:szCs w:val="20"/>
          <w:lang w:val="en-US"/>
        </w:rPr>
        <w:t xml:space="preserve"> </w:t>
      </w:r>
      <w:proofErr w:type="spellStart"/>
      <w:r w:rsidR="0B3944D6" w:rsidRPr="00CC562A">
        <w:rPr>
          <w:rFonts w:ascii="Cambria" w:eastAsia="Cambria" w:hAnsi="Cambria" w:cs="Cambria"/>
          <w:sz w:val="20"/>
          <w:szCs w:val="20"/>
          <w:lang w:val="en-US"/>
        </w:rPr>
        <w:t>Ayotzinapa</w:t>
      </w:r>
      <w:proofErr w:type="spellEnd"/>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case to be a </w:t>
      </w:r>
      <w:r w:rsidR="005160F8" w:rsidRPr="00CC562A">
        <w:rPr>
          <w:rFonts w:ascii="Cambria" w:eastAsia="Cambria" w:hAnsi="Cambria" w:cs="Cambria"/>
          <w:sz w:val="20"/>
          <w:szCs w:val="20"/>
          <w:lang w:val="en-US"/>
        </w:rPr>
        <w:t>state</w:t>
      </w:r>
      <w:r w:rsidRPr="00CC562A">
        <w:rPr>
          <w:rFonts w:ascii="Cambria" w:eastAsia="Cambria" w:hAnsi="Cambria" w:cs="Cambria"/>
          <w:sz w:val="20"/>
          <w:szCs w:val="20"/>
          <w:lang w:val="en-US"/>
        </w:rPr>
        <w:t xml:space="preserve"> crime, a category that makes it a </w:t>
      </w:r>
      <w:r w:rsidR="00C64165" w:rsidRPr="00CC562A">
        <w:rPr>
          <w:rFonts w:ascii="Cambria" w:eastAsia="Cambria" w:hAnsi="Cambria" w:cs="Cambria"/>
          <w:sz w:val="20"/>
          <w:szCs w:val="20"/>
          <w:lang w:val="en-US"/>
        </w:rPr>
        <w:t>basic</w:t>
      </w:r>
      <w:r w:rsidRPr="00CC562A">
        <w:rPr>
          <w:rFonts w:ascii="Cambria" w:eastAsia="Cambria" w:hAnsi="Cambria" w:cs="Cambria"/>
          <w:sz w:val="20"/>
          <w:szCs w:val="20"/>
          <w:lang w:val="en-US"/>
        </w:rPr>
        <w:t xml:space="preserve"> item in the public human rights agenda </w:t>
      </w:r>
      <w:r w:rsidR="00C64165" w:rsidRPr="00CC562A">
        <w:rPr>
          <w:rFonts w:ascii="Cambria" w:eastAsia="Cambria" w:hAnsi="Cambria" w:cs="Cambria"/>
          <w:sz w:val="20"/>
          <w:szCs w:val="20"/>
          <w:lang w:val="en-US"/>
        </w:rPr>
        <w:t xml:space="preserve">for generating actions </w:t>
      </w:r>
      <w:r w:rsidRPr="00CC562A">
        <w:rPr>
          <w:rFonts w:ascii="Cambria" w:eastAsia="Cambria" w:hAnsi="Cambria" w:cs="Cambria"/>
          <w:sz w:val="20"/>
          <w:szCs w:val="20"/>
          <w:lang w:val="en-US"/>
        </w:rPr>
        <w:t xml:space="preserve">on non-impunity and </w:t>
      </w:r>
      <w:r w:rsidR="00C64165" w:rsidRPr="00CC562A">
        <w:rPr>
          <w:rFonts w:ascii="Cambria" w:eastAsia="Cambria" w:hAnsi="Cambria" w:cs="Cambria"/>
          <w:sz w:val="20"/>
          <w:szCs w:val="20"/>
          <w:lang w:val="en-US"/>
        </w:rPr>
        <w:t xml:space="preserve">the </w:t>
      </w:r>
      <w:r w:rsidRPr="00CC562A">
        <w:rPr>
          <w:rFonts w:ascii="Cambria" w:eastAsia="Cambria" w:hAnsi="Cambria" w:cs="Cambria"/>
          <w:sz w:val="20"/>
          <w:szCs w:val="20"/>
          <w:lang w:val="en-US"/>
        </w:rPr>
        <w:t>protection of victims’ human rights</w:t>
      </w:r>
      <w:r w:rsidR="0B3944D6" w:rsidRPr="00CC562A">
        <w:rPr>
          <w:rFonts w:ascii="Cambria" w:eastAsia="Cambria" w:hAnsi="Cambria" w:cs="Cambria"/>
          <w:sz w:val="20"/>
          <w:szCs w:val="20"/>
          <w:lang w:val="en-US"/>
        </w:rPr>
        <w:t xml:space="preserve">. </w:t>
      </w:r>
      <w:r w:rsidR="00C64165" w:rsidRPr="00CC562A">
        <w:rPr>
          <w:rFonts w:ascii="Cambria" w:eastAsia="Cambria" w:hAnsi="Cambria" w:cs="Cambria"/>
          <w:sz w:val="20"/>
          <w:szCs w:val="20"/>
          <w:lang w:val="en-US"/>
        </w:rPr>
        <w:t xml:space="preserve">In this regard, it indicated that on August 18, </w:t>
      </w:r>
      <w:r w:rsidR="005160F8" w:rsidRPr="00CC562A">
        <w:rPr>
          <w:rFonts w:ascii="Cambria" w:eastAsia="Cambria" w:hAnsi="Cambria" w:cs="Cambria"/>
          <w:sz w:val="20"/>
          <w:szCs w:val="20"/>
          <w:lang w:val="en-US"/>
        </w:rPr>
        <w:t>2022,</w:t>
      </w:r>
      <w:r w:rsidR="0B3944D6" w:rsidRPr="00CC562A">
        <w:rPr>
          <w:rFonts w:ascii="Cambria" w:eastAsia="Cambria" w:hAnsi="Cambria" w:cs="Cambria"/>
          <w:sz w:val="20"/>
          <w:szCs w:val="20"/>
          <w:lang w:val="en-US"/>
        </w:rPr>
        <w:t xml:space="preserve"> </w:t>
      </w:r>
      <w:r w:rsidR="00C64165" w:rsidRPr="00CC562A">
        <w:rPr>
          <w:rFonts w:ascii="Cambria" w:eastAsia="Cambria" w:hAnsi="Cambria" w:cs="Cambria"/>
          <w:sz w:val="20"/>
          <w:szCs w:val="20"/>
          <w:lang w:val="en-US"/>
        </w:rPr>
        <w:t>the</w:t>
      </w:r>
      <w:r w:rsidR="0B3944D6" w:rsidRPr="00CC562A">
        <w:rPr>
          <w:rFonts w:ascii="Cambria" w:eastAsia="Cambria" w:hAnsi="Cambria" w:cs="Cambria"/>
          <w:sz w:val="20"/>
          <w:szCs w:val="20"/>
          <w:lang w:val="en-US"/>
        </w:rPr>
        <w:t xml:space="preserve"> </w:t>
      </w:r>
      <w:proofErr w:type="spellStart"/>
      <w:r w:rsidR="0B3944D6" w:rsidRPr="00CC562A">
        <w:rPr>
          <w:rFonts w:ascii="Cambria" w:eastAsia="Cambria" w:hAnsi="Cambria" w:cs="Cambria"/>
          <w:sz w:val="20"/>
          <w:szCs w:val="20"/>
          <w:lang w:val="en-US"/>
        </w:rPr>
        <w:t>CoVAJ</w:t>
      </w:r>
      <w:proofErr w:type="spellEnd"/>
      <w:r w:rsidR="0B3944D6" w:rsidRPr="00CC562A">
        <w:rPr>
          <w:rFonts w:ascii="Cambria" w:eastAsia="Cambria" w:hAnsi="Cambria" w:cs="Cambria"/>
          <w:sz w:val="20"/>
          <w:szCs w:val="20"/>
          <w:lang w:val="en-US"/>
        </w:rPr>
        <w:t xml:space="preserve"> </w:t>
      </w:r>
      <w:r w:rsidR="00C64165" w:rsidRPr="00CC562A">
        <w:rPr>
          <w:rFonts w:ascii="Cambria" w:eastAsia="Cambria" w:hAnsi="Cambria" w:cs="Cambria"/>
          <w:sz w:val="20"/>
          <w:szCs w:val="20"/>
          <w:lang w:val="en-US"/>
        </w:rPr>
        <w:t xml:space="preserve">issued its preliminary conclusions report in which it mentions a specific list of federal officials, </w:t>
      </w:r>
      <w:r w:rsidR="00290960" w:rsidRPr="00CC562A">
        <w:rPr>
          <w:rFonts w:ascii="Cambria" w:eastAsia="Cambria" w:hAnsi="Cambria" w:cs="Cambria"/>
          <w:sz w:val="20"/>
          <w:szCs w:val="20"/>
          <w:lang w:val="en-US"/>
        </w:rPr>
        <w:t>including</w:t>
      </w:r>
      <w:r w:rsidR="00C64165" w:rsidRPr="00CC562A">
        <w:rPr>
          <w:rFonts w:ascii="Cambria" w:eastAsia="Cambria" w:hAnsi="Cambria" w:cs="Cambria"/>
          <w:sz w:val="20"/>
          <w:szCs w:val="20"/>
          <w:lang w:val="en-US"/>
        </w:rPr>
        <w:t xml:space="preserve"> military personnel</w:t>
      </w:r>
      <w:r w:rsidR="00290960" w:rsidRPr="00CC562A">
        <w:rPr>
          <w:rFonts w:ascii="Cambria" w:eastAsia="Cambria" w:hAnsi="Cambria" w:cs="Cambria"/>
          <w:sz w:val="20"/>
          <w:szCs w:val="20"/>
          <w:lang w:val="en-US"/>
        </w:rPr>
        <w:t>,</w:t>
      </w:r>
      <w:r w:rsidR="00C64165" w:rsidRPr="00CC562A">
        <w:rPr>
          <w:rFonts w:ascii="Cambria" w:eastAsia="Cambria" w:hAnsi="Cambria" w:cs="Cambria"/>
          <w:sz w:val="20"/>
          <w:szCs w:val="20"/>
          <w:lang w:val="en-US"/>
        </w:rPr>
        <w:t xml:space="preserve"> with respect to whom there are indications </w:t>
      </w:r>
      <w:r w:rsidR="00290960" w:rsidRPr="00CC562A">
        <w:rPr>
          <w:rFonts w:ascii="Cambria" w:eastAsia="Cambria" w:hAnsi="Cambria" w:cs="Cambria"/>
          <w:sz w:val="20"/>
          <w:szCs w:val="20"/>
          <w:lang w:val="en-US"/>
        </w:rPr>
        <w:t xml:space="preserve">of their involvement </w:t>
      </w:r>
      <w:r w:rsidR="00C64165" w:rsidRPr="00CC562A">
        <w:rPr>
          <w:rFonts w:ascii="Cambria" w:eastAsia="Cambria" w:hAnsi="Cambria" w:cs="Cambria"/>
          <w:sz w:val="20"/>
          <w:szCs w:val="20"/>
          <w:lang w:val="en-US"/>
        </w:rPr>
        <w:t>in the events that culminated in the disappearance of the</w:t>
      </w:r>
      <w:r w:rsidR="0B3944D6" w:rsidRPr="00CC562A">
        <w:rPr>
          <w:rFonts w:ascii="Cambria" w:eastAsia="Cambria" w:hAnsi="Cambria" w:cs="Cambria"/>
          <w:sz w:val="20"/>
          <w:szCs w:val="20"/>
          <w:lang w:val="en-US"/>
        </w:rPr>
        <w:t xml:space="preserve"> 43 </w:t>
      </w:r>
      <w:r w:rsidR="00C64165" w:rsidRPr="00CC562A">
        <w:rPr>
          <w:rFonts w:ascii="Cambria" w:eastAsia="Cambria" w:hAnsi="Cambria" w:cs="Cambria"/>
          <w:sz w:val="20"/>
          <w:szCs w:val="20"/>
          <w:lang w:val="en-US"/>
        </w:rPr>
        <w:t>missing students. However, the Presidential Commission, in accordance with the principle of respect for the full autonomy of the</w:t>
      </w:r>
      <w:r w:rsidR="0B3944D6" w:rsidRPr="00CC562A">
        <w:rPr>
          <w:rFonts w:ascii="Cambria" w:eastAsia="Cambria" w:hAnsi="Cambria" w:cs="Cambria"/>
          <w:sz w:val="20"/>
          <w:szCs w:val="20"/>
          <w:lang w:val="en-US"/>
        </w:rPr>
        <w:t xml:space="preserve"> </w:t>
      </w:r>
      <w:r w:rsidR="00C64165" w:rsidRPr="00CC562A">
        <w:rPr>
          <w:rFonts w:ascii="Cambria" w:eastAsia="Cambria" w:hAnsi="Cambria" w:cs="Cambria"/>
          <w:sz w:val="20"/>
          <w:szCs w:val="20"/>
          <w:lang w:val="en-US"/>
        </w:rPr>
        <w:t xml:space="preserve">Special Investigation and Litigation Unit for the </w:t>
      </w:r>
      <w:proofErr w:type="spellStart"/>
      <w:r w:rsidR="00C64165" w:rsidRPr="00CC562A">
        <w:rPr>
          <w:rFonts w:ascii="Cambria" w:eastAsia="Cambria" w:hAnsi="Cambria" w:cs="Cambria"/>
          <w:sz w:val="20"/>
          <w:szCs w:val="20"/>
          <w:lang w:val="en-US"/>
        </w:rPr>
        <w:t>Ayotzinapa</w:t>
      </w:r>
      <w:proofErr w:type="spellEnd"/>
      <w:r w:rsidR="00C64165" w:rsidRPr="00CC562A">
        <w:rPr>
          <w:rFonts w:ascii="Cambria" w:eastAsia="Cambria" w:hAnsi="Cambria" w:cs="Cambria"/>
          <w:sz w:val="20"/>
          <w:szCs w:val="20"/>
          <w:lang w:val="en-US"/>
        </w:rPr>
        <w:t xml:space="preserve"> Case (</w:t>
      </w:r>
      <w:r w:rsidR="0B3944D6" w:rsidRPr="00CC562A">
        <w:rPr>
          <w:rFonts w:ascii="Cambria" w:eastAsia="Cambria" w:hAnsi="Cambria" w:cs="Cambria"/>
          <w:sz w:val="20"/>
          <w:szCs w:val="20"/>
          <w:lang w:val="en-US"/>
        </w:rPr>
        <w:t>UEILCA</w:t>
      </w:r>
      <w:r w:rsidR="00C64165" w:rsidRPr="00CC562A">
        <w:rPr>
          <w:rFonts w:ascii="Cambria" w:eastAsia="Cambria" w:hAnsi="Cambria" w:cs="Cambria"/>
          <w:sz w:val="20"/>
          <w:szCs w:val="20"/>
          <w:lang w:val="en-US"/>
        </w:rPr>
        <w:t>) as responsible for pursuing all evidence and bringing those responsible to justice, has forwarded to it all the data compiled to date</w:t>
      </w:r>
      <w:r w:rsidR="0B3944D6" w:rsidRPr="00CC562A">
        <w:rPr>
          <w:rFonts w:ascii="Cambria" w:eastAsia="Cambria" w:hAnsi="Cambria" w:cs="Cambria"/>
          <w:sz w:val="20"/>
          <w:szCs w:val="20"/>
          <w:lang w:val="en-US"/>
        </w:rPr>
        <w:t>. </w:t>
      </w:r>
    </w:p>
    <w:p w14:paraId="4E8C0A0F" w14:textId="128B0910" w:rsidR="005845AC" w:rsidRPr="00CC562A" w:rsidRDefault="00866D7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established that it is </w:t>
      </w:r>
      <w:r w:rsidR="00290960" w:rsidRPr="00CC562A">
        <w:rPr>
          <w:rFonts w:ascii="Cambria" w:eastAsia="Cambria" w:hAnsi="Cambria" w:cs="Cambria"/>
          <w:sz w:val="20"/>
          <w:szCs w:val="20"/>
          <w:lang w:val="en-US"/>
        </w:rPr>
        <w:t>essential</w:t>
      </w:r>
      <w:r w:rsidRPr="00CC562A">
        <w:rPr>
          <w:rFonts w:ascii="Cambria" w:eastAsia="Cambria" w:hAnsi="Cambria" w:cs="Cambria"/>
          <w:sz w:val="20"/>
          <w:szCs w:val="20"/>
          <w:lang w:val="en-US"/>
        </w:rPr>
        <w:t xml:space="preserve"> to recall that the investigation to clarify the truth, actions to provide families and representatives all the conditions needed to exercise their rights to the truth and justice, and actions to search for the youths will not cease</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Aware of the international obligation of the Mexican State and its institutions, search actions in the field have continued without interruption before and after the issuance of the referenced report</w:t>
      </w:r>
      <w:r w:rsidR="0B3944D6" w:rsidRPr="00CC562A">
        <w:rPr>
          <w:rFonts w:ascii="Cambria" w:eastAsia="Cambria" w:hAnsi="Cambria" w:cs="Cambria"/>
          <w:sz w:val="20"/>
          <w:szCs w:val="20"/>
          <w:lang w:val="en-US"/>
        </w:rPr>
        <w:t>.</w:t>
      </w:r>
    </w:p>
    <w:p w14:paraId="27256BBB" w14:textId="1F8EFFE7" w:rsidR="005845AC" w:rsidRPr="00CC562A" w:rsidRDefault="00866D7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 xml:space="preserve">Regarding actions filed during </w:t>
      </w:r>
      <w:r w:rsidR="0B3944D6" w:rsidRPr="00CC562A">
        <w:rPr>
          <w:rFonts w:ascii="Cambria" w:eastAsia="Cambria" w:hAnsi="Cambria" w:cs="Cambria"/>
          <w:sz w:val="20"/>
          <w:szCs w:val="20"/>
          <w:lang w:val="en-US"/>
        </w:rPr>
        <w:t>2021</w:t>
      </w:r>
      <w:r w:rsidRPr="00CC562A">
        <w:rPr>
          <w:rFonts w:ascii="Cambria" w:eastAsia="Cambria" w:hAnsi="Cambria" w:cs="Cambria"/>
          <w:sz w:val="20"/>
          <w:szCs w:val="20"/>
          <w:lang w:val="en-US"/>
        </w:rPr>
        <w:t xml:space="preserve"> and</w:t>
      </w:r>
      <w:r w:rsidR="0B3944D6"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 xml:space="preserve">with the court by the </w:t>
      </w:r>
      <w:r w:rsidR="2B60A4D8" w:rsidRPr="00CC562A">
        <w:rPr>
          <w:rFonts w:ascii="Cambria" w:eastAsia="Cambria" w:hAnsi="Cambria" w:cs="Cambria"/>
          <w:sz w:val="20"/>
          <w:szCs w:val="20"/>
          <w:lang w:val="en-US"/>
        </w:rPr>
        <w:t>UEILCA</w:t>
      </w:r>
      <w:r w:rsidR="0B3944D6" w:rsidRPr="00CC562A">
        <w:rPr>
          <w:rFonts w:ascii="Cambria" w:eastAsia="Cambria" w:hAnsi="Cambria" w:cs="Cambria"/>
          <w:sz w:val="20"/>
          <w:szCs w:val="20"/>
          <w:lang w:val="en-US"/>
        </w:rPr>
        <w:t>, i</w:t>
      </w:r>
      <w:r w:rsidRPr="00CC562A">
        <w:rPr>
          <w:rFonts w:ascii="Cambria" w:eastAsia="Cambria" w:hAnsi="Cambria" w:cs="Cambria"/>
          <w:sz w:val="20"/>
          <w:szCs w:val="20"/>
          <w:lang w:val="en-US"/>
        </w:rPr>
        <w:t xml:space="preserve">t indicated that </w:t>
      </w:r>
      <w:r w:rsidR="00086C08" w:rsidRPr="00CC562A">
        <w:rPr>
          <w:rFonts w:ascii="Cambria" w:hAnsi="Cambria"/>
          <w:sz w:val="20"/>
          <w:lang w:val="en-US"/>
        </w:rPr>
        <w:t>89</w:t>
      </w:r>
      <w:r w:rsidR="00265E79" w:rsidRPr="00CC562A">
        <w:rPr>
          <w:rFonts w:ascii="Cambria" w:hAnsi="Cambria"/>
          <w:sz w:val="20"/>
          <w:lang w:val="en-US"/>
        </w:rPr>
        <w:t xml:space="preserve"> </w:t>
      </w:r>
      <w:r w:rsidRPr="00CC562A">
        <w:rPr>
          <w:rFonts w:ascii="Cambria" w:eastAsia="Cambria" w:hAnsi="Cambria" w:cs="Cambria"/>
          <w:sz w:val="20"/>
          <w:szCs w:val="20"/>
          <w:lang w:val="en-US"/>
        </w:rPr>
        <w:t xml:space="preserve">arrest warrants have been executed. The UEILCA also established that it has actions that possibly constitute the crimes of torture and other cruel, </w:t>
      </w:r>
      <w:r w:rsidR="00A2719B" w:rsidRPr="00CC562A">
        <w:rPr>
          <w:rFonts w:ascii="Cambria" w:eastAsia="Cambria" w:hAnsi="Cambria" w:cs="Cambria"/>
          <w:sz w:val="20"/>
          <w:szCs w:val="20"/>
          <w:lang w:val="en-US"/>
        </w:rPr>
        <w:t>inhuman, or degrading treatment or penalties, as well as crimes committed by civil servants and against the administration of justice. Thus,</w:t>
      </w:r>
      <w:r w:rsidR="0B3944D6" w:rsidRPr="00CC562A">
        <w:rPr>
          <w:rFonts w:ascii="Cambria" w:eastAsia="Cambria" w:hAnsi="Cambria" w:cs="Cambria"/>
          <w:sz w:val="20"/>
          <w:szCs w:val="20"/>
          <w:lang w:val="en-US"/>
        </w:rPr>
        <w:t xml:space="preserve"> </w:t>
      </w:r>
      <w:r w:rsidR="00A2719B" w:rsidRPr="00CC562A">
        <w:rPr>
          <w:rFonts w:ascii="Cambria" w:eastAsia="Cambria" w:hAnsi="Cambria" w:cs="Cambria"/>
          <w:sz w:val="20"/>
          <w:szCs w:val="20"/>
          <w:lang w:val="en-US"/>
        </w:rPr>
        <w:t xml:space="preserve">the investigations promoted by the </w:t>
      </w:r>
      <w:r w:rsidR="0D435F4C" w:rsidRPr="00CC562A">
        <w:rPr>
          <w:rFonts w:ascii="Cambria" w:eastAsia="Cambria" w:hAnsi="Cambria" w:cs="Cambria"/>
          <w:sz w:val="20"/>
          <w:szCs w:val="20"/>
          <w:lang w:val="en-US"/>
        </w:rPr>
        <w:t>UEILCA</w:t>
      </w:r>
      <w:r w:rsidR="0B3944D6" w:rsidRPr="00CC562A">
        <w:rPr>
          <w:rFonts w:ascii="Cambria" w:eastAsia="Cambria" w:hAnsi="Cambria" w:cs="Cambria"/>
          <w:sz w:val="20"/>
          <w:szCs w:val="20"/>
          <w:lang w:val="en-US"/>
        </w:rPr>
        <w:t xml:space="preserve"> ha</w:t>
      </w:r>
      <w:r w:rsidR="00A2719B" w:rsidRPr="00CC562A">
        <w:rPr>
          <w:rFonts w:ascii="Cambria" w:eastAsia="Cambria" w:hAnsi="Cambria" w:cs="Cambria"/>
          <w:sz w:val="20"/>
          <w:szCs w:val="20"/>
          <w:lang w:val="en-US"/>
        </w:rPr>
        <w:t>ve led to the execution of</w:t>
      </w:r>
      <w:r w:rsidR="00086C08" w:rsidRPr="00CC562A">
        <w:rPr>
          <w:rFonts w:ascii="Cambria" w:hAnsi="Cambria"/>
          <w:sz w:val="20"/>
          <w:lang w:val="en-US"/>
        </w:rPr>
        <w:t xml:space="preserve"> 24 </w:t>
      </w:r>
      <w:r w:rsidR="00A2719B" w:rsidRPr="00CC562A">
        <w:rPr>
          <w:rFonts w:ascii="Cambria" w:eastAsia="Cambria" w:hAnsi="Cambria" w:cs="Cambria"/>
          <w:sz w:val="20"/>
          <w:szCs w:val="20"/>
          <w:lang w:val="en-US"/>
        </w:rPr>
        <w:t>arrest warrants. With respect to search actions in the fie</w:t>
      </w:r>
      <w:r w:rsidR="00D9537D" w:rsidRPr="00CC562A">
        <w:rPr>
          <w:rFonts w:ascii="Cambria" w:eastAsia="Cambria" w:hAnsi="Cambria" w:cs="Cambria"/>
          <w:sz w:val="20"/>
          <w:szCs w:val="20"/>
          <w:lang w:val="en-US"/>
        </w:rPr>
        <w:t>l</w:t>
      </w:r>
      <w:r w:rsidR="00A2719B" w:rsidRPr="00CC562A">
        <w:rPr>
          <w:rFonts w:ascii="Cambria" w:eastAsia="Cambria" w:hAnsi="Cambria" w:cs="Cambria"/>
          <w:sz w:val="20"/>
          <w:szCs w:val="20"/>
          <w:lang w:val="en-US"/>
        </w:rPr>
        <w:t>d, it indicated that as of the end of the month of September</w:t>
      </w:r>
      <w:r w:rsidR="0B3944D6" w:rsidRPr="00CC562A">
        <w:rPr>
          <w:rFonts w:ascii="Cambria" w:eastAsia="Cambria" w:hAnsi="Cambria" w:cs="Cambria"/>
          <w:sz w:val="20"/>
          <w:szCs w:val="20"/>
          <w:lang w:val="en-US"/>
        </w:rPr>
        <w:t xml:space="preserve"> 2022 </w:t>
      </w:r>
      <w:r w:rsidR="00A2719B" w:rsidRPr="00CC562A">
        <w:rPr>
          <w:rFonts w:ascii="Cambria" w:eastAsia="Cambria" w:hAnsi="Cambria" w:cs="Cambria"/>
          <w:sz w:val="20"/>
          <w:szCs w:val="20"/>
          <w:lang w:val="en-US"/>
        </w:rPr>
        <w:t xml:space="preserve">the Special Unit has conducted a total of </w:t>
      </w:r>
      <w:r w:rsidR="0B3944D6" w:rsidRPr="00CC562A">
        <w:rPr>
          <w:rFonts w:ascii="Cambria" w:eastAsia="Cambria" w:hAnsi="Cambria" w:cs="Cambria"/>
          <w:sz w:val="20"/>
          <w:szCs w:val="20"/>
          <w:lang w:val="en-US"/>
        </w:rPr>
        <w:t xml:space="preserve">13 </w:t>
      </w:r>
      <w:r w:rsidR="00A2719B" w:rsidRPr="00CC562A">
        <w:rPr>
          <w:rFonts w:ascii="Cambria" w:eastAsia="Cambria" w:hAnsi="Cambria" w:cs="Cambria"/>
          <w:sz w:val="20"/>
          <w:szCs w:val="20"/>
          <w:lang w:val="en-US"/>
        </w:rPr>
        <w:t xml:space="preserve">field search </w:t>
      </w:r>
      <w:r w:rsidR="005160F8" w:rsidRPr="00CC562A">
        <w:rPr>
          <w:rFonts w:ascii="Cambria" w:eastAsia="Cambria" w:hAnsi="Cambria" w:cs="Cambria"/>
          <w:sz w:val="20"/>
          <w:szCs w:val="20"/>
          <w:lang w:val="en-US"/>
        </w:rPr>
        <w:t>exercises; in</w:t>
      </w:r>
      <w:r w:rsidR="00A2719B" w:rsidRPr="00CC562A">
        <w:rPr>
          <w:rFonts w:ascii="Cambria" w:eastAsia="Cambria" w:hAnsi="Cambria" w:cs="Cambria"/>
          <w:sz w:val="20"/>
          <w:szCs w:val="20"/>
          <w:lang w:val="en-US"/>
        </w:rPr>
        <w:t xml:space="preserve"> conjunction with the actions take</w:t>
      </w:r>
      <w:r w:rsidR="00D9537D" w:rsidRPr="00CC562A">
        <w:rPr>
          <w:rFonts w:ascii="Cambria" w:eastAsia="Cambria" w:hAnsi="Cambria" w:cs="Cambria"/>
          <w:sz w:val="20"/>
          <w:szCs w:val="20"/>
          <w:lang w:val="en-US"/>
        </w:rPr>
        <w:t xml:space="preserve">n, this </w:t>
      </w:r>
      <w:r w:rsidR="00A2719B" w:rsidRPr="00CC562A">
        <w:rPr>
          <w:rFonts w:ascii="Cambria" w:eastAsia="Cambria" w:hAnsi="Cambria" w:cs="Cambria"/>
          <w:sz w:val="20"/>
          <w:szCs w:val="20"/>
          <w:lang w:val="en-US"/>
        </w:rPr>
        <w:t xml:space="preserve">amounts to a total </w:t>
      </w:r>
      <w:r w:rsidR="00086C08" w:rsidRPr="00CC562A">
        <w:rPr>
          <w:rFonts w:ascii="Cambria" w:eastAsia="Cambria" w:hAnsi="Cambria" w:cs="Cambria"/>
          <w:sz w:val="20"/>
          <w:szCs w:val="20"/>
          <w:lang w:val="en-US"/>
        </w:rPr>
        <w:t xml:space="preserve">of </w:t>
      </w:r>
      <w:r w:rsidR="00086C08" w:rsidRPr="00CC562A">
        <w:rPr>
          <w:rFonts w:ascii="Cambria" w:hAnsi="Cambria"/>
          <w:sz w:val="20"/>
          <w:lang w:val="en-US"/>
        </w:rPr>
        <w:t xml:space="preserve">72 </w:t>
      </w:r>
      <w:r w:rsidR="00A2719B" w:rsidRPr="00CC562A">
        <w:rPr>
          <w:rFonts w:ascii="Cambria" w:eastAsia="Cambria" w:hAnsi="Cambria" w:cs="Cambria"/>
          <w:sz w:val="20"/>
          <w:szCs w:val="20"/>
          <w:lang w:val="en-US"/>
        </w:rPr>
        <w:t xml:space="preserve">search exercises since the </w:t>
      </w:r>
      <w:r w:rsidR="0B3944D6" w:rsidRPr="00CC562A">
        <w:rPr>
          <w:rFonts w:ascii="Cambria" w:eastAsia="Cambria" w:hAnsi="Cambria" w:cs="Cambria"/>
          <w:sz w:val="20"/>
          <w:szCs w:val="20"/>
          <w:lang w:val="en-US"/>
        </w:rPr>
        <w:t xml:space="preserve">UEILCA </w:t>
      </w:r>
      <w:r w:rsidR="00D9537D" w:rsidRPr="00CC562A">
        <w:rPr>
          <w:rFonts w:ascii="Cambria" w:eastAsia="Cambria" w:hAnsi="Cambria" w:cs="Cambria"/>
          <w:sz w:val="20"/>
          <w:szCs w:val="20"/>
          <w:lang w:val="en-US"/>
        </w:rPr>
        <w:t xml:space="preserve">was created </w:t>
      </w:r>
      <w:r w:rsidR="00A2719B" w:rsidRPr="00CC562A">
        <w:rPr>
          <w:rFonts w:ascii="Cambria" w:eastAsia="Cambria" w:hAnsi="Cambria" w:cs="Cambria"/>
          <w:sz w:val="20"/>
          <w:szCs w:val="20"/>
          <w:lang w:val="en-US"/>
        </w:rPr>
        <w:t xml:space="preserve">on June </w:t>
      </w:r>
      <w:r w:rsidR="0B3944D6" w:rsidRPr="00CC562A">
        <w:rPr>
          <w:rFonts w:ascii="Cambria" w:eastAsia="Cambria" w:hAnsi="Cambria" w:cs="Cambria"/>
          <w:sz w:val="20"/>
          <w:szCs w:val="20"/>
          <w:lang w:val="en-US"/>
        </w:rPr>
        <w:t>26</w:t>
      </w:r>
      <w:r w:rsidR="00A2719B" w:rsidRPr="00CC562A">
        <w:rPr>
          <w:rFonts w:ascii="Cambria" w:eastAsia="Cambria" w:hAnsi="Cambria" w:cs="Cambria"/>
          <w:sz w:val="20"/>
          <w:szCs w:val="20"/>
          <w:lang w:val="en-US"/>
        </w:rPr>
        <w:t>,</w:t>
      </w:r>
      <w:r w:rsidR="0B3944D6" w:rsidRPr="00CC562A">
        <w:rPr>
          <w:rFonts w:ascii="Cambria" w:eastAsia="Cambria" w:hAnsi="Cambria" w:cs="Cambria"/>
          <w:sz w:val="20"/>
          <w:szCs w:val="20"/>
          <w:lang w:val="en-US"/>
        </w:rPr>
        <w:t xml:space="preserve"> 2019. </w:t>
      </w:r>
      <w:r w:rsidR="00D9537D" w:rsidRPr="00CC562A">
        <w:rPr>
          <w:rFonts w:ascii="Cambria" w:eastAsia="Cambria" w:hAnsi="Cambria" w:cs="Cambria"/>
          <w:sz w:val="20"/>
          <w:szCs w:val="20"/>
          <w:lang w:val="en-US"/>
        </w:rPr>
        <w:t>T</w:t>
      </w:r>
      <w:r w:rsidR="00A2719B" w:rsidRPr="00CC562A">
        <w:rPr>
          <w:rFonts w:ascii="Cambria" w:eastAsia="Cambria" w:hAnsi="Cambria" w:cs="Cambria"/>
          <w:sz w:val="20"/>
          <w:szCs w:val="20"/>
          <w:lang w:val="en-US"/>
        </w:rPr>
        <w:t xml:space="preserve">he State </w:t>
      </w:r>
      <w:r w:rsidR="00D9537D" w:rsidRPr="00CC562A">
        <w:rPr>
          <w:rFonts w:ascii="Cambria" w:eastAsia="Cambria" w:hAnsi="Cambria" w:cs="Cambria"/>
          <w:sz w:val="20"/>
          <w:szCs w:val="20"/>
          <w:lang w:val="en-US"/>
        </w:rPr>
        <w:t xml:space="preserve">also </w:t>
      </w:r>
      <w:r w:rsidR="00A2719B" w:rsidRPr="00CC562A">
        <w:rPr>
          <w:rFonts w:ascii="Cambria" w:eastAsia="Cambria" w:hAnsi="Cambria" w:cs="Cambria"/>
          <w:sz w:val="20"/>
          <w:szCs w:val="20"/>
          <w:lang w:val="en-US"/>
        </w:rPr>
        <w:t>reported that</w:t>
      </w:r>
      <w:r w:rsidR="00D9537D" w:rsidRPr="00CC562A">
        <w:rPr>
          <w:rFonts w:ascii="Cambria" w:eastAsia="Cambria" w:hAnsi="Cambria" w:cs="Cambria"/>
          <w:sz w:val="20"/>
          <w:szCs w:val="20"/>
          <w:lang w:val="en-US"/>
        </w:rPr>
        <w:t>,</w:t>
      </w:r>
      <w:r w:rsidR="00A2719B" w:rsidRPr="00CC562A">
        <w:rPr>
          <w:rFonts w:ascii="Cambria" w:eastAsia="Cambria" w:hAnsi="Cambria" w:cs="Cambria"/>
          <w:sz w:val="20"/>
          <w:szCs w:val="20"/>
          <w:lang w:val="en-US"/>
        </w:rPr>
        <w:t xml:space="preserve"> based on the work carried out by the IACHR’s Special Follow-up Mechanism for the </w:t>
      </w:r>
      <w:proofErr w:type="spellStart"/>
      <w:r w:rsidR="00A2719B" w:rsidRPr="00CC562A">
        <w:rPr>
          <w:rFonts w:ascii="Cambria" w:eastAsia="Cambria" w:hAnsi="Cambria" w:cs="Cambria"/>
          <w:sz w:val="20"/>
          <w:szCs w:val="20"/>
          <w:lang w:val="en-US"/>
        </w:rPr>
        <w:t>Ayotzinapa</w:t>
      </w:r>
      <w:proofErr w:type="spellEnd"/>
      <w:r w:rsidR="00A2719B" w:rsidRPr="00CC562A">
        <w:rPr>
          <w:rFonts w:ascii="Cambria" w:eastAsia="Cambria" w:hAnsi="Cambria" w:cs="Cambria"/>
          <w:sz w:val="20"/>
          <w:szCs w:val="20"/>
          <w:lang w:val="en-US"/>
        </w:rPr>
        <w:t xml:space="preserve"> Case (</w:t>
      </w:r>
      <w:r w:rsidR="0D435F4C" w:rsidRPr="00CC562A">
        <w:rPr>
          <w:rFonts w:ascii="Cambria" w:eastAsia="Cambria" w:hAnsi="Cambria" w:cs="Cambria"/>
          <w:sz w:val="20"/>
          <w:szCs w:val="20"/>
          <w:lang w:val="en-US"/>
        </w:rPr>
        <w:t>MESA)</w:t>
      </w:r>
      <w:r w:rsidR="00A2719B" w:rsidRPr="00CC562A">
        <w:rPr>
          <w:rFonts w:ascii="Cambria" w:eastAsia="Cambria" w:hAnsi="Cambria" w:cs="Cambria"/>
          <w:sz w:val="20"/>
          <w:szCs w:val="20"/>
          <w:lang w:val="en-US"/>
        </w:rPr>
        <w:t xml:space="preserve">, coordinated actions have been undertaken to train personnel attached to the </w:t>
      </w:r>
      <w:r w:rsidR="0B3944D6" w:rsidRPr="00CC562A">
        <w:rPr>
          <w:rFonts w:ascii="Cambria" w:eastAsia="Cambria" w:hAnsi="Cambria" w:cs="Cambria"/>
          <w:sz w:val="20"/>
          <w:szCs w:val="20"/>
          <w:lang w:val="en-US"/>
        </w:rPr>
        <w:t xml:space="preserve">UEILCA, </w:t>
      </w:r>
      <w:r w:rsidR="00A2719B" w:rsidRPr="00CC562A">
        <w:rPr>
          <w:rFonts w:ascii="Cambria" w:eastAsia="Cambria" w:hAnsi="Cambria" w:cs="Cambria"/>
          <w:sz w:val="20"/>
          <w:szCs w:val="20"/>
          <w:lang w:val="en-US"/>
        </w:rPr>
        <w:t xml:space="preserve">prosecutors, police, experts, and analysts. These training sessions were led by experts </w:t>
      </w:r>
      <w:proofErr w:type="gramStart"/>
      <w:r w:rsidR="00A2719B" w:rsidRPr="00CC562A">
        <w:rPr>
          <w:rFonts w:ascii="Cambria" w:eastAsia="Cambria" w:hAnsi="Cambria" w:cs="Cambria"/>
          <w:sz w:val="20"/>
          <w:szCs w:val="20"/>
          <w:lang w:val="en-US"/>
        </w:rPr>
        <w:t>on the subjects of search</w:t>
      </w:r>
      <w:proofErr w:type="gramEnd"/>
      <w:r w:rsidR="00A2719B" w:rsidRPr="00CC562A">
        <w:rPr>
          <w:rFonts w:ascii="Cambria" w:eastAsia="Cambria" w:hAnsi="Cambria" w:cs="Cambria"/>
          <w:sz w:val="20"/>
          <w:szCs w:val="20"/>
          <w:lang w:val="en-US"/>
        </w:rPr>
        <w:t>, investigation of forced disappearances and torture, as well as the litigation of serious human rights violations</w:t>
      </w:r>
      <w:r w:rsidR="00086C08" w:rsidRPr="00CC562A">
        <w:rPr>
          <w:rStyle w:val="FootnoteReference"/>
          <w:rFonts w:ascii="Cambria" w:hAnsi="Cambria"/>
          <w:sz w:val="20"/>
          <w:lang w:val="es-CO"/>
        </w:rPr>
        <w:footnoteReference w:id="100"/>
      </w:r>
      <w:r w:rsidR="0B3944D6" w:rsidRPr="00CC562A">
        <w:rPr>
          <w:rFonts w:ascii="Cambria" w:eastAsia="Cambria" w:hAnsi="Cambria" w:cs="Cambria"/>
          <w:sz w:val="20"/>
          <w:szCs w:val="20"/>
          <w:lang w:val="en-US"/>
        </w:rPr>
        <w:t>.</w:t>
      </w:r>
    </w:p>
    <w:p w14:paraId="2E2E5053" w14:textId="6839ED70" w:rsidR="00C66010" w:rsidRPr="00CC562A" w:rsidRDefault="0B3944D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Final</w:t>
      </w:r>
      <w:r w:rsidR="00D14306" w:rsidRPr="00CC562A">
        <w:rPr>
          <w:rFonts w:ascii="Cambria" w:eastAsia="Cambria" w:hAnsi="Cambria" w:cs="Cambria"/>
          <w:sz w:val="20"/>
          <w:szCs w:val="20"/>
          <w:lang w:val="en-US"/>
        </w:rPr>
        <w:t xml:space="preserve">ly, it indicated that, </w:t>
      </w:r>
      <w:proofErr w:type="gramStart"/>
      <w:r w:rsidR="00D14306" w:rsidRPr="00CC562A">
        <w:rPr>
          <w:rFonts w:ascii="Cambria" w:eastAsia="Cambria" w:hAnsi="Cambria" w:cs="Cambria"/>
          <w:sz w:val="20"/>
          <w:szCs w:val="20"/>
          <w:lang w:val="en-US"/>
        </w:rPr>
        <w:t>as a way to</w:t>
      </w:r>
      <w:proofErr w:type="gramEnd"/>
      <w:r w:rsidR="00D14306" w:rsidRPr="00CC562A">
        <w:rPr>
          <w:rFonts w:ascii="Cambria" w:eastAsia="Cambria" w:hAnsi="Cambria" w:cs="Cambria"/>
          <w:sz w:val="20"/>
          <w:szCs w:val="20"/>
          <w:lang w:val="en-US"/>
        </w:rPr>
        <w:t xml:space="preserve"> strengthen the investigation and </w:t>
      </w:r>
      <w:r w:rsidR="008A47B1" w:rsidRPr="00CC562A">
        <w:rPr>
          <w:rFonts w:ascii="Cambria" w:eastAsia="Cambria" w:hAnsi="Cambria" w:cs="Cambria"/>
          <w:sz w:val="20"/>
          <w:szCs w:val="20"/>
          <w:lang w:val="en-US"/>
        </w:rPr>
        <w:t>contextual a</w:t>
      </w:r>
      <w:r w:rsidR="00D14306" w:rsidRPr="00CC562A">
        <w:rPr>
          <w:rFonts w:ascii="Cambria" w:eastAsia="Cambria" w:hAnsi="Cambria" w:cs="Cambria"/>
          <w:sz w:val="20"/>
          <w:szCs w:val="20"/>
          <w:lang w:val="en-US"/>
        </w:rPr>
        <w:t>nalysis promoted by the Special</w:t>
      </w:r>
      <w:r w:rsidR="008A47B1" w:rsidRPr="00CC562A">
        <w:rPr>
          <w:rFonts w:ascii="Cambria" w:eastAsia="Cambria" w:hAnsi="Cambria" w:cs="Cambria"/>
          <w:sz w:val="20"/>
          <w:szCs w:val="20"/>
          <w:lang w:val="en-US"/>
        </w:rPr>
        <w:t xml:space="preserve"> International Legal Assistance Unit, an approach was made to the United State Department of Justice, specifically staff from </w:t>
      </w:r>
      <w:r w:rsidR="00D9537D" w:rsidRPr="00CC562A">
        <w:rPr>
          <w:rFonts w:ascii="Cambria" w:eastAsia="Cambria" w:hAnsi="Cambria" w:cs="Cambria"/>
          <w:sz w:val="20"/>
          <w:szCs w:val="20"/>
          <w:lang w:val="en-US"/>
        </w:rPr>
        <w:t xml:space="preserve">the </w:t>
      </w:r>
      <w:r w:rsidR="008A47B1" w:rsidRPr="00CC562A">
        <w:rPr>
          <w:rFonts w:ascii="Cambria" w:eastAsia="Cambria" w:hAnsi="Cambria" w:cs="Cambria"/>
          <w:sz w:val="20"/>
          <w:szCs w:val="20"/>
          <w:lang w:val="en-US"/>
        </w:rPr>
        <w:t xml:space="preserve">Prosecutor’s Office of the Northern District of Illinois. This work led to the delivery of information that strengthened the lines of investigation regarding the relationship between authorities at various levels (municipal, state, and federal) with members of organized crime, drug trafficking, and the </w:t>
      </w:r>
      <w:r w:rsidRPr="00CC562A">
        <w:rPr>
          <w:rFonts w:ascii="Cambria" w:eastAsia="Cambria" w:hAnsi="Cambria" w:cs="Cambria"/>
          <w:sz w:val="20"/>
          <w:szCs w:val="20"/>
          <w:lang w:val="en-US"/>
        </w:rPr>
        <w:t xml:space="preserve">modus operandi </w:t>
      </w:r>
      <w:r w:rsidR="008A47B1" w:rsidRPr="00CC562A">
        <w:rPr>
          <w:rFonts w:ascii="Cambria" w:eastAsia="Cambria" w:hAnsi="Cambria" w:cs="Cambria"/>
          <w:sz w:val="20"/>
          <w:szCs w:val="20"/>
          <w:lang w:val="en-US"/>
        </w:rPr>
        <w:t xml:space="preserve">of the group </w:t>
      </w:r>
      <w:r w:rsidRPr="00CC562A">
        <w:rPr>
          <w:rFonts w:ascii="Cambria" w:eastAsia="Cambria" w:hAnsi="Cambria" w:cs="Cambria"/>
          <w:sz w:val="20"/>
          <w:szCs w:val="20"/>
          <w:lang w:val="en-US"/>
        </w:rPr>
        <w:t xml:space="preserve">Guerreros Unidos. </w:t>
      </w:r>
      <w:r w:rsidR="00D9537D" w:rsidRPr="00CC562A">
        <w:rPr>
          <w:rFonts w:ascii="Cambria" w:eastAsia="Cambria" w:hAnsi="Cambria" w:cs="Cambria"/>
          <w:sz w:val="20"/>
          <w:szCs w:val="20"/>
          <w:lang w:val="en-US"/>
        </w:rPr>
        <w:t>Likewise</w:t>
      </w:r>
      <w:r w:rsidR="008A47B1" w:rsidRPr="00CC562A">
        <w:rPr>
          <w:rFonts w:ascii="Cambria" w:eastAsia="Cambria" w:hAnsi="Cambria" w:cs="Cambria"/>
          <w:sz w:val="20"/>
          <w:szCs w:val="20"/>
          <w:lang w:val="en-US"/>
        </w:rPr>
        <w:t xml:space="preserve">, it reported that international legal assistance work continued </w:t>
      </w:r>
      <w:r w:rsidR="00D9537D" w:rsidRPr="00CC562A">
        <w:rPr>
          <w:rFonts w:ascii="Cambria" w:eastAsia="Cambria" w:hAnsi="Cambria" w:cs="Cambria"/>
          <w:sz w:val="20"/>
          <w:szCs w:val="20"/>
          <w:lang w:val="en-US"/>
        </w:rPr>
        <w:t xml:space="preserve">this year </w:t>
      </w:r>
      <w:r w:rsidR="008A47B1" w:rsidRPr="00CC562A">
        <w:rPr>
          <w:rFonts w:ascii="Cambria" w:eastAsia="Cambria" w:hAnsi="Cambria" w:cs="Cambria"/>
          <w:sz w:val="20"/>
          <w:szCs w:val="20"/>
          <w:lang w:val="en-US"/>
        </w:rPr>
        <w:t xml:space="preserve">with the Kingdom of Spain, for the purpose of strengthening the evidence </w:t>
      </w:r>
      <w:proofErr w:type="gramStart"/>
      <w:r w:rsidR="008A47B1" w:rsidRPr="00CC562A">
        <w:rPr>
          <w:rFonts w:ascii="Cambria" w:eastAsia="Cambria" w:hAnsi="Cambria" w:cs="Cambria"/>
          <w:sz w:val="20"/>
          <w:szCs w:val="20"/>
          <w:lang w:val="en-US"/>
        </w:rPr>
        <w:t>in the area of</w:t>
      </w:r>
      <w:proofErr w:type="gramEnd"/>
      <w:r w:rsidR="008A47B1" w:rsidRPr="00CC562A">
        <w:rPr>
          <w:rFonts w:ascii="Cambria" w:eastAsia="Cambria" w:hAnsi="Cambria" w:cs="Cambria"/>
          <w:sz w:val="20"/>
          <w:szCs w:val="20"/>
          <w:lang w:val="en-US"/>
        </w:rPr>
        <w:t xml:space="preserve"> voice analysis</w:t>
      </w:r>
      <w:r w:rsidRPr="00CC562A">
        <w:rPr>
          <w:rFonts w:ascii="Cambria" w:eastAsia="Cambria" w:hAnsi="Cambria" w:cs="Cambria"/>
          <w:sz w:val="20"/>
          <w:szCs w:val="20"/>
          <w:lang w:val="en-US"/>
        </w:rPr>
        <w:t>.</w:t>
      </w:r>
    </w:p>
    <w:p w14:paraId="043B2A04" w14:textId="14729FDD" w:rsidR="007920E4" w:rsidRPr="00CC562A" w:rsidRDefault="008A47B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As indicated in the Third Follow-up Report on the </w:t>
      </w:r>
      <w:proofErr w:type="spellStart"/>
      <w:r w:rsidR="4F275AE9" w:rsidRPr="00CC562A">
        <w:rPr>
          <w:rFonts w:ascii="Cambria" w:eastAsia="Cambria" w:hAnsi="Cambria" w:cs="Cambria"/>
          <w:sz w:val="20"/>
          <w:szCs w:val="20"/>
          <w:lang w:val="en-US"/>
        </w:rPr>
        <w:t>Ayotzinapa</w:t>
      </w:r>
      <w:proofErr w:type="spellEnd"/>
      <w:r w:rsidRPr="00CC562A">
        <w:rPr>
          <w:rFonts w:ascii="Cambria" w:eastAsia="Cambria" w:hAnsi="Cambria" w:cs="Cambria"/>
          <w:sz w:val="20"/>
          <w:szCs w:val="20"/>
          <w:lang w:val="en-US"/>
        </w:rPr>
        <w:t xml:space="preserve"> Case,</w:t>
      </w:r>
      <w:r w:rsidR="007920E4" w:rsidRPr="00CC562A">
        <w:rPr>
          <w:rStyle w:val="FootnoteReference"/>
          <w:rFonts w:ascii="Cambria" w:eastAsia="Cambria" w:hAnsi="Cambria" w:cs="Cambria"/>
          <w:sz w:val="20"/>
          <w:szCs w:val="20"/>
          <w:lang w:val="en-US"/>
        </w:rPr>
        <w:footnoteReference w:id="101"/>
      </w:r>
      <w:r w:rsidRPr="00CC562A">
        <w:rPr>
          <w:rFonts w:ascii="Cambria" w:eastAsia="Cambria" w:hAnsi="Cambria" w:cs="Cambria"/>
          <w:sz w:val="20"/>
          <w:szCs w:val="20"/>
          <w:lang w:val="en-US"/>
        </w:rPr>
        <w:t xml:space="preserve"> the IACHR</w:t>
      </w:r>
      <w:r w:rsidR="0D007BCC" w:rsidRPr="00CC562A">
        <w:rPr>
          <w:rFonts w:ascii="Cambria" w:eastAsia="Cambria" w:hAnsi="Cambria" w:cs="Cambria"/>
          <w:sz w:val="20"/>
          <w:szCs w:val="20"/>
          <w:lang w:val="en-US"/>
        </w:rPr>
        <w:t xml:space="preserve"> </w:t>
      </w:r>
      <w:r w:rsidR="00F43546" w:rsidRPr="00CC562A">
        <w:rPr>
          <w:rFonts w:ascii="Cambria" w:eastAsia="Cambria" w:hAnsi="Cambria" w:cs="Cambria"/>
          <w:sz w:val="20"/>
          <w:szCs w:val="20"/>
          <w:lang w:val="en-US"/>
        </w:rPr>
        <w:t xml:space="preserve">notes that Mexico has fostered the creation and implementation of an institutional model for the purpose of redirecting state efforts to address the </w:t>
      </w:r>
      <w:proofErr w:type="spellStart"/>
      <w:r w:rsidR="0D007BCC" w:rsidRPr="00CC562A">
        <w:rPr>
          <w:rFonts w:ascii="Cambria" w:eastAsia="Cambria" w:hAnsi="Cambria" w:cs="Cambria"/>
          <w:sz w:val="20"/>
          <w:szCs w:val="20"/>
          <w:lang w:val="en-US"/>
        </w:rPr>
        <w:t>Ayotzinapa</w:t>
      </w:r>
      <w:proofErr w:type="spellEnd"/>
      <w:r w:rsidR="00F43546" w:rsidRPr="00CC562A">
        <w:rPr>
          <w:rFonts w:ascii="Cambria" w:eastAsia="Cambria" w:hAnsi="Cambria" w:cs="Cambria"/>
          <w:sz w:val="20"/>
          <w:szCs w:val="20"/>
          <w:lang w:val="en-US"/>
        </w:rPr>
        <w:t xml:space="preserve"> case. They emphasize the establishment of the </w:t>
      </w:r>
      <w:r w:rsidR="0D007BCC" w:rsidRPr="00CC562A">
        <w:rPr>
          <w:rFonts w:ascii="Cambria" w:eastAsia="Cambria" w:hAnsi="Cambria" w:cs="Cambria"/>
          <w:sz w:val="20"/>
          <w:szCs w:val="20"/>
          <w:lang w:val="en-US"/>
        </w:rPr>
        <w:t xml:space="preserve">COVAJ </w:t>
      </w:r>
      <w:r w:rsidR="00F43546" w:rsidRPr="00CC562A">
        <w:rPr>
          <w:rFonts w:ascii="Cambria" w:eastAsia="Cambria" w:hAnsi="Cambria" w:cs="Cambria"/>
          <w:sz w:val="20"/>
          <w:szCs w:val="20"/>
          <w:lang w:val="en-US"/>
        </w:rPr>
        <w:t xml:space="preserve">and the creation of the </w:t>
      </w:r>
      <w:r w:rsidR="0D007BCC" w:rsidRPr="00CC562A">
        <w:rPr>
          <w:rFonts w:ascii="Cambria" w:eastAsia="Cambria" w:hAnsi="Cambria" w:cs="Cambria"/>
          <w:sz w:val="20"/>
          <w:szCs w:val="20"/>
          <w:lang w:val="en-US"/>
        </w:rPr>
        <w:t xml:space="preserve">UEILCA. </w:t>
      </w:r>
      <w:r w:rsidR="00F43546" w:rsidRPr="00CC562A">
        <w:rPr>
          <w:rFonts w:ascii="Cambria" w:eastAsia="Cambria" w:hAnsi="Cambria" w:cs="Cambria"/>
          <w:sz w:val="20"/>
          <w:szCs w:val="20"/>
          <w:lang w:val="en-US"/>
        </w:rPr>
        <w:t>These measures, along with the adoption of a</w:t>
      </w:r>
      <w:r w:rsidR="00D9537D" w:rsidRPr="00CC562A">
        <w:rPr>
          <w:rFonts w:ascii="Cambria" w:eastAsia="Cambria" w:hAnsi="Cambria" w:cs="Cambria"/>
          <w:sz w:val="20"/>
          <w:szCs w:val="20"/>
          <w:lang w:val="en-US"/>
        </w:rPr>
        <w:t xml:space="preserve"> victim-</w:t>
      </w:r>
      <w:r w:rsidR="005160F8" w:rsidRPr="00CC562A">
        <w:rPr>
          <w:rFonts w:ascii="Cambria" w:eastAsia="Cambria" w:hAnsi="Cambria" w:cs="Cambria"/>
          <w:sz w:val="20"/>
          <w:szCs w:val="20"/>
          <w:lang w:val="en-US"/>
        </w:rPr>
        <w:t>focused approach</w:t>
      </w:r>
      <w:r w:rsidR="00F43546" w:rsidRPr="00CC562A">
        <w:rPr>
          <w:rFonts w:ascii="Cambria" w:eastAsia="Cambria" w:hAnsi="Cambria" w:cs="Cambria"/>
          <w:sz w:val="20"/>
          <w:szCs w:val="20"/>
          <w:lang w:val="en-US"/>
        </w:rPr>
        <w:t xml:space="preserve">, has had a positive impact </w:t>
      </w:r>
      <w:r w:rsidR="00D9537D" w:rsidRPr="00CC562A">
        <w:rPr>
          <w:rFonts w:ascii="Cambria" w:eastAsia="Cambria" w:hAnsi="Cambria" w:cs="Cambria"/>
          <w:sz w:val="20"/>
          <w:szCs w:val="20"/>
          <w:lang w:val="en-US"/>
        </w:rPr>
        <w:t>on</w:t>
      </w:r>
      <w:r w:rsidR="00F43546" w:rsidRPr="00CC562A">
        <w:rPr>
          <w:rFonts w:ascii="Cambria" w:eastAsia="Cambria" w:hAnsi="Cambria" w:cs="Cambria"/>
          <w:sz w:val="20"/>
          <w:szCs w:val="20"/>
          <w:lang w:val="en-US"/>
        </w:rPr>
        <w:t xml:space="preserve"> reestablishing more fluid and direct channels of communication between families and State authorities involved in the case. No</w:t>
      </w:r>
      <w:r w:rsidR="00D9537D" w:rsidRPr="00CC562A">
        <w:rPr>
          <w:rFonts w:ascii="Cambria" w:eastAsia="Cambria" w:hAnsi="Cambria" w:cs="Cambria"/>
          <w:sz w:val="20"/>
          <w:szCs w:val="20"/>
          <w:lang w:val="en-US"/>
        </w:rPr>
        <w:t>netheless</w:t>
      </w:r>
      <w:r w:rsidR="002003FF" w:rsidRPr="00CC562A">
        <w:rPr>
          <w:rFonts w:ascii="Cambria" w:eastAsia="Cambria" w:hAnsi="Cambria" w:cs="Cambria"/>
          <w:sz w:val="20"/>
          <w:szCs w:val="20"/>
          <w:lang w:val="en-US"/>
        </w:rPr>
        <w:t xml:space="preserve">, challenges to the independence of the investigation were reported toward the end of the year </w:t>
      </w:r>
      <w:r w:rsidR="0D007BCC" w:rsidRPr="00CC562A">
        <w:rPr>
          <w:rFonts w:ascii="Cambria" w:eastAsia="Cambria" w:hAnsi="Cambria" w:cs="Cambria"/>
          <w:sz w:val="20"/>
          <w:szCs w:val="20"/>
          <w:lang w:val="en-US"/>
        </w:rPr>
        <w:t>2022.</w:t>
      </w:r>
      <w:r w:rsidR="002003FF" w:rsidRPr="00CC562A">
        <w:rPr>
          <w:rFonts w:ascii="Cambria" w:eastAsia="Cambria" w:hAnsi="Cambria" w:cs="Cambria"/>
          <w:sz w:val="20"/>
          <w:szCs w:val="20"/>
          <w:lang w:val="en-US"/>
        </w:rPr>
        <w:t xml:space="preserve"> Thus, the State </w:t>
      </w:r>
      <w:r w:rsidR="00D9537D" w:rsidRPr="00CC562A">
        <w:rPr>
          <w:rFonts w:ascii="Cambria" w:eastAsia="Cambria" w:hAnsi="Cambria" w:cs="Cambria"/>
          <w:sz w:val="20"/>
          <w:szCs w:val="20"/>
          <w:lang w:val="en-US"/>
        </w:rPr>
        <w:t>should</w:t>
      </w:r>
      <w:r w:rsidR="002003FF" w:rsidRPr="00CC562A">
        <w:rPr>
          <w:rFonts w:ascii="Cambria" w:eastAsia="Cambria" w:hAnsi="Cambria" w:cs="Cambria"/>
          <w:sz w:val="20"/>
          <w:szCs w:val="20"/>
          <w:lang w:val="en-US"/>
        </w:rPr>
        <w:t xml:space="preserve"> perform a detailed analysis of the facts reported and, if necessary, adopt concrete measures to</w:t>
      </w:r>
      <w:r w:rsidR="0D007BCC" w:rsidRPr="00CC562A">
        <w:rPr>
          <w:rFonts w:ascii="Cambria" w:eastAsia="Cambria" w:hAnsi="Cambria" w:cs="Cambria"/>
          <w:sz w:val="20"/>
          <w:szCs w:val="20"/>
          <w:lang w:val="en-US"/>
        </w:rPr>
        <w:t xml:space="preserve"> </w:t>
      </w:r>
      <w:r w:rsidR="002003FF" w:rsidRPr="00CC562A">
        <w:rPr>
          <w:rFonts w:ascii="Cambria" w:eastAsia="Cambria" w:hAnsi="Cambria" w:cs="Cambria"/>
          <w:sz w:val="20"/>
          <w:szCs w:val="20"/>
          <w:lang w:val="en-US"/>
        </w:rPr>
        <w:t xml:space="preserve">redirect the </w:t>
      </w:r>
      <w:r w:rsidR="005160F8" w:rsidRPr="00CC562A">
        <w:rPr>
          <w:rFonts w:ascii="Cambria" w:eastAsia="Cambria" w:hAnsi="Cambria" w:cs="Cambria"/>
          <w:sz w:val="20"/>
          <w:szCs w:val="20"/>
          <w:lang w:val="en-US"/>
        </w:rPr>
        <w:t>investigation, support</w:t>
      </w:r>
      <w:r w:rsidR="002003FF" w:rsidRPr="00CC562A">
        <w:rPr>
          <w:rFonts w:ascii="Cambria" w:eastAsia="Cambria" w:hAnsi="Cambria" w:cs="Cambria"/>
          <w:sz w:val="20"/>
          <w:szCs w:val="20"/>
          <w:lang w:val="en-US"/>
        </w:rPr>
        <w:t xml:space="preserve"> its momentum, and avoid setbacks</w:t>
      </w:r>
      <w:r w:rsidR="0D007BCC" w:rsidRPr="00CC562A">
        <w:rPr>
          <w:rFonts w:ascii="Cambria" w:eastAsia="Cambria" w:hAnsi="Cambria" w:cs="Cambria"/>
          <w:sz w:val="20"/>
          <w:szCs w:val="20"/>
          <w:lang w:val="en-US"/>
        </w:rPr>
        <w:t>.</w:t>
      </w:r>
    </w:p>
    <w:p w14:paraId="0D6E9253" w14:textId="186FF4E8" w:rsidR="007920E4" w:rsidRPr="00CC562A" w:rsidRDefault="002003F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the follow-up done to date, the IACHR notes concrete </w:t>
      </w:r>
      <w:r w:rsidR="00D9537D" w:rsidRPr="00CC562A">
        <w:rPr>
          <w:rFonts w:ascii="Cambria" w:eastAsia="Cambria" w:hAnsi="Cambria" w:cs="Cambria"/>
          <w:sz w:val="20"/>
          <w:szCs w:val="20"/>
          <w:lang w:val="en-US"/>
        </w:rPr>
        <w:t>S</w:t>
      </w:r>
      <w:r w:rsidRPr="00CC562A">
        <w:rPr>
          <w:rFonts w:ascii="Cambria" w:eastAsia="Cambria" w:hAnsi="Cambria" w:cs="Cambria"/>
          <w:sz w:val="20"/>
          <w:szCs w:val="20"/>
          <w:lang w:val="en-US"/>
        </w:rPr>
        <w:t>tate actions directed to clarification and prosecution of the events that occurred on September</w:t>
      </w:r>
      <w:r w:rsidR="4F275AE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26 and </w:t>
      </w:r>
      <w:r w:rsidR="4F275AE9" w:rsidRPr="00CC562A">
        <w:rPr>
          <w:rFonts w:ascii="Cambria" w:eastAsia="Cambria" w:hAnsi="Cambria" w:cs="Cambria"/>
          <w:sz w:val="20"/>
          <w:szCs w:val="20"/>
          <w:lang w:val="en-US"/>
        </w:rPr>
        <w:t>27</w:t>
      </w:r>
      <w:r w:rsidRPr="00CC562A">
        <w:rPr>
          <w:rFonts w:ascii="Cambria" w:eastAsia="Cambria" w:hAnsi="Cambria" w:cs="Cambria"/>
          <w:sz w:val="20"/>
          <w:szCs w:val="20"/>
          <w:lang w:val="en-US"/>
        </w:rPr>
        <w:t xml:space="preserve">, </w:t>
      </w:r>
      <w:r w:rsidR="4F275AE9" w:rsidRPr="00CC562A">
        <w:rPr>
          <w:rFonts w:ascii="Cambria" w:eastAsia="Cambria" w:hAnsi="Cambria" w:cs="Cambria"/>
          <w:sz w:val="20"/>
          <w:szCs w:val="20"/>
          <w:lang w:val="en-US"/>
        </w:rPr>
        <w:t>2014, as</w:t>
      </w:r>
      <w:r w:rsidRPr="00CC562A">
        <w:rPr>
          <w:rFonts w:ascii="Cambria" w:eastAsia="Cambria" w:hAnsi="Cambria" w:cs="Cambria"/>
          <w:sz w:val="20"/>
          <w:szCs w:val="20"/>
          <w:lang w:val="en-US"/>
        </w:rPr>
        <w:t xml:space="preserve"> well as the first stage of the investigation known as the “historical truth.” The investigative body has been </w:t>
      </w:r>
      <w:r w:rsidR="00101ADC" w:rsidRPr="00CC562A">
        <w:rPr>
          <w:rFonts w:ascii="Cambria" w:eastAsia="Cambria" w:hAnsi="Cambria" w:cs="Cambria"/>
          <w:sz w:val="20"/>
          <w:szCs w:val="20"/>
          <w:lang w:val="en-US"/>
        </w:rPr>
        <w:t xml:space="preserve">promoting a strategy that seeks to clarify the criminal liability of the persons who participated in the attacks and the disappearance of the students on the night of the events and the following days. In this regard, the investigation has been directed to clarifying the existence of a latent conflict between criminal groups dedicated to the production and trafficking of narcotics in the state of </w:t>
      </w:r>
      <w:r w:rsidR="4F275AE9" w:rsidRPr="00CC562A">
        <w:rPr>
          <w:rFonts w:ascii="Cambria" w:eastAsia="Cambria" w:hAnsi="Cambria" w:cs="Cambria"/>
          <w:sz w:val="20"/>
          <w:szCs w:val="20"/>
          <w:lang w:val="en-US"/>
        </w:rPr>
        <w:t xml:space="preserve">Guerrero, </w:t>
      </w:r>
      <w:r w:rsidR="00101ADC" w:rsidRPr="00CC562A">
        <w:rPr>
          <w:rFonts w:ascii="Cambria" w:eastAsia="Cambria" w:hAnsi="Cambria" w:cs="Cambria"/>
          <w:sz w:val="20"/>
          <w:szCs w:val="20"/>
          <w:lang w:val="en-US"/>
        </w:rPr>
        <w:t>in collusion with state officials</w:t>
      </w:r>
      <w:r w:rsidR="4F275AE9" w:rsidRPr="00CC562A">
        <w:rPr>
          <w:rFonts w:ascii="Cambria" w:eastAsia="Cambria" w:hAnsi="Cambria" w:cs="Cambria"/>
          <w:sz w:val="20"/>
          <w:szCs w:val="20"/>
          <w:lang w:val="en-US"/>
        </w:rPr>
        <w:t xml:space="preserve">. </w:t>
      </w:r>
      <w:r w:rsidR="00101ADC" w:rsidRPr="00CC562A">
        <w:rPr>
          <w:rFonts w:ascii="Cambria" w:eastAsia="Cambria" w:hAnsi="Cambria" w:cs="Cambria"/>
          <w:sz w:val="20"/>
          <w:szCs w:val="20"/>
          <w:lang w:val="en-US"/>
        </w:rPr>
        <w:t>On the “historical truth,” the State has consolidated evidence pointing to the</w:t>
      </w:r>
      <w:r w:rsidR="4F275AE9" w:rsidRPr="00CC562A">
        <w:rPr>
          <w:rFonts w:ascii="Cambria" w:eastAsia="Cambria" w:hAnsi="Cambria" w:cs="Cambria"/>
          <w:sz w:val="20"/>
          <w:szCs w:val="20"/>
          <w:lang w:val="en-US"/>
        </w:rPr>
        <w:t xml:space="preserve"> </w:t>
      </w:r>
      <w:r w:rsidR="00101ADC" w:rsidRPr="00CC562A">
        <w:rPr>
          <w:rFonts w:ascii="Cambria" w:eastAsia="Cambria" w:hAnsi="Cambria" w:cs="Cambria"/>
          <w:sz w:val="20"/>
          <w:szCs w:val="20"/>
          <w:lang w:val="en-US"/>
        </w:rPr>
        <w:t>implausibility of a series of procedures carried out at the time by state official</w:t>
      </w:r>
      <w:r w:rsidR="00D9537D" w:rsidRPr="00CC562A">
        <w:rPr>
          <w:rFonts w:ascii="Cambria" w:eastAsia="Cambria" w:hAnsi="Cambria" w:cs="Cambria"/>
          <w:sz w:val="20"/>
          <w:szCs w:val="20"/>
          <w:lang w:val="en-US"/>
        </w:rPr>
        <w:t>s</w:t>
      </w:r>
      <w:r w:rsidR="00101ADC" w:rsidRPr="00CC562A">
        <w:rPr>
          <w:rFonts w:ascii="Cambria" w:eastAsia="Cambria" w:hAnsi="Cambria" w:cs="Cambria"/>
          <w:sz w:val="20"/>
          <w:szCs w:val="20"/>
          <w:lang w:val="en-US"/>
        </w:rPr>
        <w:t xml:space="preserve"> in charge </w:t>
      </w:r>
      <w:r w:rsidR="005160F8" w:rsidRPr="00CC562A">
        <w:rPr>
          <w:rFonts w:ascii="Cambria" w:eastAsia="Cambria" w:hAnsi="Cambria" w:cs="Cambria"/>
          <w:sz w:val="20"/>
          <w:szCs w:val="20"/>
          <w:lang w:val="en-US"/>
        </w:rPr>
        <w:t>of the</w:t>
      </w:r>
      <w:r w:rsidR="00101ADC" w:rsidRPr="00CC562A">
        <w:rPr>
          <w:rFonts w:ascii="Cambria" w:eastAsia="Cambria" w:hAnsi="Cambria" w:cs="Cambria"/>
          <w:sz w:val="20"/>
          <w:szCs w:val="20"/>
          <w:lang w:val="en-US"/>
        </w:rPr>
        <w:t xml:space="preserve"> investigation, which were fabricated to make sense </w:t>
      </w:r>
      <w:r w:rsidR="001D7A26" w:rsidRPr="00CC562A">
        <w:rPr>
          <w:rFonts w:ascii="Cambria" w:eastAsia="Cambria" w:hAnsi="Cambria" w:cs="Cambria"/>
          <w:sz w:val="20"/>
          <w:szCs w:val="20"/>
          <w:lang w:val="en-US"/>
        </w:rPr>
        <w:t xml:space="preserve">of and explain the events of </w:t>
      </w:r>
      <w:r w:rsidR="4F275AE9" w:rsidRPr="00CC562A">
        <w:rPr>
          <w:rFonts w:ascii="Cambria" w:eastAsia="Cambria" w:hAnsi="Cambria" w:cs="Cambria"/>
          <w:sz w:val="20"/>
          <w:szCs w:val="20"/>
          <w:lang w:val="en-US"/>
        </w:rPr>
        <w:t xml:space="preserve">2014 </w:t>
      </w:r>
      <w:r w:rsidR="001D7A26" w:rsidRPr="00CC562A">
        <w:rPr>
          <w:rFonts w:ascii="Cambria" w:eastAsia="Cambria" w:hAnsi="Cambria" w:cs="Cambria"/>
          <w:sz w:val="20"/>
          <w:szCs w:val="20"/>
          <w:lang w:val="en-US"/>
        </w:rPr>
        <w:t>through fraudulent procedures and statements obtained under torture</w:t>
      </w:r>
      <w:r w:rsidR="4F275AE9" w:rsidRPr="00CC562A">
        <w:rPr>
          <w:rFonts w:ascii="Cambria" w:eastAsia="Cambria" w:hAnsi="Cambria" w:cs="Cambria"/>
          <w:sz w:val="20"/>
          <w:szCs w:val="20"/>
          <w:lang w:val="en-US"/>
        </w:rPr>
        <w:t>.</w:t>
      </w:r>
    </w:p>
    <w:p w14:paraId="3257CFB3" w14:textId="4CDA07B7" w:rsidR="007920E4" w:rsidRPr="00CC562A" w:rsidRDefault="001D7A2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 xml:space="preserve">In addition, by means of various evidentiary and court proceedings, the investigative body has been postulating that the attacks, arrest, and transfer suffered by the students at the hands of </w:t>
      </w:r>
      <w:r w:rsidR="00D9537D" w:rsidRPr="00CC562A">
        <w:rPr>
          <w:rFonts w:ascii="Cambria" w:eastAsia="Cambria" w:hAnsi="Cambria" w:cs="Cambria"/>
          <w:sz w:val="20"/>
          <w:szCs w:val="20"/>
          <w:lang w:val="en-US"/>
        </w:rPr>
        <w:t xml:space="preserve">government </w:t>
      </w:r>
      <w:r w:rsidRPr="00CC562A">
        <w:rPr>
          <w:rFonts w:ascii="Cambria" w:eastAsia="Cambria" w:hAnsi="Cambria" w:cs="Cambria"/>
          <w:sz w:val="20"/>
          <w:szCs w:val="20"/>
          <w:lang w:val="en-US"/>
        </w:rPr>
        <w:t xml:space="preserve">agents and their subsequent delivery to members of a criminal group are part of the same successive process to consolidate their forced disappearance. On the whereabouts of the students, there are items of evidence indicating </w:t>
      </w:r>
      <w:r w:rsidR="00D9537D" w:rsidRPr="00CC562A">
        <w:rPr>
          <w:rFonts w:ascii="Cambria" w:eastAsia="Cambria" w:hAnsi="Cambria" w:cs="Cambria"/>
          <w:sz w:val="20"/>
          <w:szCs w:val="20"/>
          <w:lang w:val="en-US"/>
        </w:rPr>
        <w:t>that</w:t>
      </w:r>
      <w:r w:rsidRPr="00CC562A">
        <w:rPr>
          <w:rFonts w:ascii="Cambria" w:eastAsia="Cambria" w:hAnsi="Cambria" w:cs="Cambria"/>
          <w:sz w:val="20"/>
          <w:szCs w:val="20"/>
          <w:lang w:val="en-US"/>
        </w:rPr>
        <w:t xml:space="preserve"> the students have lost their lives and their remains were disappeared through cremation or </w:t>
      </w:r>
      <w:r w:rsidR="00D9537D" w:rsidRPr="00CC562A">
        <w:rPr>
          <w:rFonts w:ascii="Cambria" w:eastAsia="Cambria" w:hAnsi="Cambria" w:cs="Cambria"/>
          <w:sz w:val="20"/>
          <w:szCs w:val="20"/>
          <w:lang w:val="en-US"/>
        </w:rPr>
        <w:t xml:space="preserve">by </w:t>
      </w:r>
      <w:r w:rsidRPr="00CC562A">
        <w:rPr>
          <w:rFonts w:ascii="Cambria" w:eastAsia="Cambria" w:hAnsi="Cambria" w:cs="Cambria"/>
          <w:sz w:val="20"/>
          <w:szCs w:val="20"/>
          <w:lang w:val="en-US"/>
        </w:rPr>
        <w:t xml:space="preserve">being dissolved in acid. Eight years </w:t>
      </w:r>
      <w:r w:rsidR="00D9537D" w:rsidRPr="00CC562A">
        <w:rPr>
          <w:rFonts w:ascii="Cambria" w:eastAsia="Cambria" w:hAnsi="Cambria" w:cs="Cambria"/>
          <w:sz w:val="20"/>
          <w:szCs w:val="20"/>
          <w:lang w:val="en-US"/>
        </w:rPr>
        <w:t>after</w:t>
      </w:r>
      <w:r w:rsidRPr="00CC562A">
        <w:rPr>
          <w:rFonts w:ascii="Cambria" w:eastAsia="Cambria" w:hAnsi="Cambria" w:cs="Cambria"/>
          <w:sz w:val="20"/>
          <w:szCs w:val="20"/>
          <w:lang w:val="en-US"/>
        </w:rPr>
        <w:t xml:space="preserve"> the events, the determination of the students’ whereabouts, the clarification of what happened, and the determination of those responsible remain pending</w:t>
      </w:r>
      <w:r w:rsidR="007920E4" w:rsidRPr="00CC562A">
        <w:rPr>
          <w:rFonts w:ascii="Cambria" w:eastAsia="Cambria" w:hAnsi="Cambria" w:cs="Cambria"/>
          <w:sz w:val="20"/>
          <w:szCs w:val="20"/>
          <w:lang w:val="en-US"/>
        </w:rPr>
        <w:t>.</w:t>
      </w:r>
    </w:p>
    <w:p w14:paraId="05562732" w14:textId="0745DC89" w:rsidR="007920E4" w:rsidRPr="00CC562A" w:rsidRDefault="001D7A2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No</w:t>
      </w:r>
      <w:r w:rsidR="00D9537D" w:rsidRPr="00CC562A">
        <w:rPr>
          <w:rFonts w:ascii="Cambria" w:eastAsia="Cambria" w:hAnsi="Cambria" w:cs="Cambria"/>
          <w:sz w:val="20"/>
          <w:szCs w:val="20"/>
          <w:lang w:val="en-US"/>
        </w:rPr>
        <w:t>netheless</w:t>
      </w:r>
      <w:r w:rsidRPr="00CC562A">
        <w:rPr>
          <w:rFonts w:ascii="Cambria" w:eastAsia="Cambria" w:hAnsi="Cambria" w:cs="Cambria"/>
          <w:sz w:val="20"/>
          <w:szCs w:val="20"/>
          <w:lang w:val="en-US"/>
        </w:rPr>
        <w:t xml:space="preserve">, the IACHR continues to note that access to and official delivery of information, documents, and files in the possession of national security officials continues to represent one of the major challenges to clarification of the facts. This situation </w:t>
      </w:r>
      <w:r w:rsidR="00FC7143" w:rsidRPr="00CC562A">
        <w:rPr>
          <w:rFonts w:ascii="Cambria" w:eastAsia="Cambria" w:hAnsi="Cambria" w:cs="Cambria"/>
          <w:sz w:val="20"/>
          <w:szCs w:val="20"/>
          <w:lang w:val="en-US"/>
        </w:rPr>
        <w:t xml:space="preserve">is evidence that, even in a favorable scenario where there is political support at the highest level, a context persists that hinders the effectiveness of the families’ right to access justice and the truth. It is alarming to note the delayed appearance and delivery of a series of documents in the custody of military forces and State intelligence bodies, a situation that is evidence of the lack of uniformity in the response of </w:t>
      </w:r>
      <w:r w:rsidR="004E2A55" w:rsidRPr="00CC562A">
        <w:rPr>
          <w:rFonts w:ascii="Cambria" w:eastAsia="Cambria" w:hAnsi="Cambria" w:cs="Cambria"/>
          <w:sz w:val="20"/>
          <w:szCs w:val="20"/>
          <w:lang w:val="en-US"/>
        </w:rPr>
        <w:t>government</w:t>
      </w:r>
      <w:r w:rsidR="00FC7143" w:rsidRPr="00CC562A">
        <w:rPr>
          <w:rFonts w:ascii="Cambria" w:eastAsia="Cambria" w:hAnsi="Cambria" w:cs="Cambria"/>
          <w:sz w:val="20"/>
          <w:szCs w:val="20"/>
          <w:lang w:val="en-US"/>
        </w:rPr>
        <w:t xml:space="preserve"> agen</w:t>
      </w:r>
      <w:r w:rsidR="004E2A55" w:rsidRPr="00CC562A">
        <w:rPr>
          <w:rFonts w:ascii="Cambria" w:eastAsia="Cambria" w:hAnsi="Cambria" w:cs="Cambria"/>
          <w:sz w:val="20"/>
          <w:szCs w:val="20"/>
          <w:lang w:val="en-US"/>
        </w:rPr>
        <w:t>ts</w:t>
      </w:r>
      <w:r w:rsidR="00FC7143" w:rsidRPr="00CC562A">
        <w:rPr>
          <w:rFonts w:ascii="Cambria" w:eastAsia="Cambria" w:hAnsi="Cambria" w:cs="Cambria"/>
          <w:sz w:val="20"/>
          <w:szCs w:val="20"/>
          <w:lang w:val="en-US"/>
        </w:rPr>
        <w:t xml:space="preserve"> and agencies in terms of cooperating in the case. Moreover, the IACHR finds concerning the differentiated attention given to requests from the </w:t>
      </w:r>
      <w:r w:rsidR="48AC977F" w:rsidRPr="00CC562A">
        <w:rPr>
          <w:rFonts w:ascii="Cambria" w:eastAsia="Cambria" w:hAnsi="Cambria" w:cs="Cambria"/>
          <w:sz w:val="20"/>
          <w:szCs w:val="20"/>
          <w:lang w:val="en-US"/>
        </w:rPr>
        <w:t xml:space="preserve">COVAJ </w:t>
      </w:r>
      <w:r w:rsidR="00FC7143" w:rsidRPr="00CC562A">
        <w:rPr>
          <w:rFonts w:ascii="Cambria" w:eastAsia="Cambria" w:hAnsi="Cambria" w:cs="Cambria"/>
          <w:sz w:val="20"/>
          <w:szCs w:val="20"/>
          <w:lang w:val="en-US"/>
        </w:rPr>
        <w:t xml:space="preserve">and </w:t>
      </w:r>
      <w:r w:rsidR="48AC977F" w:rsidRPr="00CC562A">
        <w:rPr>
          <w:rFonts w:ascii="Cambria" w:eastAsia="Cambria" w:hAnsi="Cambria" w:cs="Cambria"/>
          <w:sz w:val="20"/>
          <w:szCs w:val="20"/>
          <w:lang w:val="en-US"/>
        </w:rPr>
        <w:t xml:space="preserve">GIEI </w:t>
      </w:r>
      <w:r w:rsidR="00FC7143" w:rsidRPr="00CC562A">
        <w:rPr>
          <w:rFonts w:ascii="Cambria" w:eastAsia="Cambria" w:hAnsi="Cambria" w:cs="Cambria"/>
          <w:sz w:val="20"/>
          <w:szCs w:val="20"/>
          <w:lang w:val="en-US"/>
        </w:rPr>
        <w:t xml:space="preserve">compared to the ministerial activity of the </w:t>
      </w:r>
      <w:r w:rsidR="48AC977F" w:rsidRPr="00CC562A">
        <w:rPr>
          <w:rFonts w:ascii="Cambria" w:eastAsia="Cambria" w:hAnsi="Cambria" w:cs="Cambria"/>
          <w:sz w:val="20"/>
          <w:szCs w:val="20"/>
          <w:lang w:val="en-US"/>
        </w:rPr>
        <w:t xml:space="preserve">UEILCA. </w:t>
      </w:r>
      <w:r w:rsidR="00FC7143" w:rsidRPr="00CC562A">
        <w:rPr>
          <w:rFonts w:ascii="Cambria" w:eastAsia="Cambria" w:hAnsi="Cambria" w:cs="Cambria"/>
          <w:sz w:val="20"/>
          <w:szCs w:val="20"/>
          <w:lang w:val="en-US"/>
        </w:rPr>
        <w:t>As observed, items from the file</w:t>
      </w:r>
      <w:r w:rsidR="004E2A55" w:rsidRPr="00CC562A">
        <w:rPr>
          <w:rFonts w:ascii="Cambria" w:eastAsia="Cambria" w:hAnsi="Cambria" w:cs="Cambria"/>
          <w:sz w:val="20"/>
          <w:szCs w:val="20"/>
          <w:lang w:val="en-US"/>
        </w:rPr>
        <w:t>s</w:t>
      </w:r>
      <w:r w:rsidR="00FC7143" w:rsidRPr="00CC562A">
        <w:rPr>
          <w:rFonts w:ascii="Cambria" w:eastAsia="Cambria" w:hAnsi="Cambria" w:cs="Cambria"/>
          <w:sz w:val="20"/>
          <w:szCs w:val="20"/>
          <w:lang w:val="en-US"/>
        </w:rPr>
        <w:t xml:space="preserve"> of security and intelligence bodies had been delivered to the</w:t>
      </w:r>
      <w:r w:rsidR="48AC977F" w:rsidRPr="00CC562A">
        <w:rPr>
          <w:rFonts w:ascii="Cambria" w:eastAsia="Cambria" w:hAnsi="Cambria" w:cs="Cambria"/>
          <w:sz w:val="20"/>
          <w:szCs w:val="20"/>
          <w:lang w:val="en-US"/>
        </w:rPr>
        <w:t xml:space="preserve"> COVAJ </w:t>
      </w:r>
      <w:r w:rsidR="00FC7143" w:rsidRPr="00CC562A">
        <w:rPr>
          <w:rFonts w:ascii="Cambria" w:eastAsia="Cambria" w:hAnsi="Cambria" w:cs="Cambria"/>
          <w:sz w:val="20"/>
          <w:szCs w:val="20"/>
          <w:lang w:val="en-US"/>
        </w:rPr>
        <w:t>and</w:t>
      </w:r>
      <w:r w:rsidR="48AC977F" w:rsidRPr="00CC562A">
        <w:rPr>
          <w:rFonts w:ascii="Cambria" w:eastAsia="Cambria" w:hAnsi="Cambria" w:cs="Cambria"/>
          <w:sz w:val="20"/>
          <w:szCs w:val="20"/>
          <w:lang w:val="en-US"/>
        </w:rPr>
        <w:t xml:space="preserve"> GIEI. </w:t>
      </w:r>
      <w:r w:rsidR="00FC7143" w:rsidRPr="00CC562A">
        <w:rPr>
          <w:rFonts w:ascii="Cambria" w:eastAsia="Cambria" w:hAnsi="Cambria" w:cs="Cambria"/>
          <w:sz w:val="20"/>
          <w:szCs w:val="20"/>
          <w:lang w:val="en-US"/>
        </w:rPr>
        <w:t>However, in response to requests for such documents from the Special Prosecutor’s Office, the documents have not been provided or their existence has been denied</w:t>
      </w:r>
      <w:r w:rsidR="48AC977F" w:rsidRPr="00CC562A">
        <w:rPr>
          <w:rFonts w:ascii="Cambria" w:eastAsia="Cambria" w:hAnsi="Cambria" w:cs="Cambria"/>
          <w:sz w:val="20"/>
          <w:szCs w:val="20"/>
          <w:lang w:val="en-US"/>
        </w:rPr>
        <w:t>.</w:t>
      </w:r>
    </w:p>
    <w:p w14:paraId="2AB5C5C7" w14:textId="1E2A1A96" w:rsidR="005845AC" w:rsidRPr="00CC562A" w:rsidRDefault="006D3F3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accordance with the decree that created it, the</w:t>
      </w:r>
      <w:r w:rsidR="4F275AE9" w:rsidRPr="00CC562A">
        <w:rPr>
          <w:rFonts w:ascii="Cambria" w:eastAsia="Cambria" w:hAnsi="Cambria" w:cs="Cambria"/>
          <w:sz w:val="20"/>
          <w:szCs w:val="20"/>
          <w:lang w:val="en-US"/>
        </w:rPr>
        <w:t xml:space="preserve"> UEILCA </w:t>
      </w:r>
      <w:r w:rsidRPr="00CC562A">
        <w:rPr>
          <w:rFonts w:ascii="Cambria" w:eastAsia="Cambria" w:hAnsi="Cambria" w:cs="Cambria"/>
          <w:sz w:val="20"/>
          <w:szCs w:val="20"/>
          <w:lang w:val="en-US"/>
        </w:rPr>
        <w:t xml:space="preserve">is the special unit responsible for investigations related to the facts in the </w:t>
      </w:r>
      <w:proofErr w:type="spellStart"/>
      <w:r w:rsidR="4F275AE9" w:rsidRPr="00CC562A">
        <w:rPr>
          <w:rFonts w:ascii="Cambria" w:eastAsia="Cambria" w:hAnsi="Cambria" w:cs="Cambria"/>
          <w:sz w:val="20"/>
          <w:szCs w:val="20"/>
          <w:lang w:val="en-US"/>
        </w:rPr>
        <w:t>Ayotzinapa</w:t>
      </w:r>
      <w:proofErr w:type="spellEnd"/>
      <w:r w:rsidRPr="00CC562A">
        <w:rPr>
          <w:rFonts w:ascii="Cambria" w:eastAsia="Cambria" w:hAnsi="Cambria" w:cs="Cambria"/>
          <w:sz w:val="20"/>
          <w:szCs w:val="20"/>
          <w:lang w:val="en-US"/>
        </w:rPr>
        <w:t xml:space="preserve"> case, </w:t>
      </w:r>
      <w:r w:rsidR="0094571D" w:rsidRPr="00CC562A">
        <w:rPr>
          <w:rFonts w:ascii="Cambria" w:eastAsia="Cambria" w:hAnsi="Cambria" w:cs="Cambria"/>
          <w:sz w:val="20"/>
          <w:szCs w:val="20"/>
          <w:lang w:val="en-US"/>
        </w:rPr>
        <w:t xml:space="preserve">allowing for targeted, multidisciplinary, and expert action in hearing and resolving criminal and administrative procedures in the case. For this reason, </w:t>
      </w:r>
      <w:r w:rsidR="00C41E9D" w:rsidRPr="00CC562A">
        <w:rPr>
          <w:rFonts w:ascii="Cambria" w:eastAsia="Cambria" w:hAnsi="Cambria" w:cs="Cambria"/>
          <w:sz w:val="20"/>
          <w:szCs w:val="20"/>
          <w:lang w:val="en-US"/>
        </w:rPr>
        <w:t xml:space="preserve">the removal of former attorney general Murillo Karam from the </w:t>
      </w:r>
      <w:r w:rsidR="0094571D" w:rsidRPr="00CC562A">
        <w:rPr>
          <w:rFonts w:ascii="Cambria" w:eastAsia="Cambria" w:hAnsi="Cambria" w:cs="Cambria"/>
          <w:sz w:val="20"/>
          <w:szCs w:val="20"/>
          <w:lang w:val="en-US"/>
        </w:rPr>
        <w:t xml:space="preserve">UEILCA </w:t>
      </w:r>
      <w:r w:rsidR="00C41E9D" w:rsidRPr="00CC562A">
        <w:rPr>
          <w:rFonts w:ascii="Cambria" w:eastAsia="Cambria" w:hAnsi="Cambria" w:cs="Cambria"/>
          <w:sz w:val="20"/>
          <w:szCs w:val="20"/>
          <w:lang w:val="en-US"/>
        </w:rPr>
        <w:t xml:space="preserve">for purposes of prosecution as well as the request to cancel </w:t>
      </w:r>
      <w:r w:rsidR="4F275AE9" w:rsidRPr="00CC562A">
        <w:rPr>
          <w:rFonts w:ascii="Cambria" w:eastAsia="Cambria" w:hAnsi="Cambria" w:cs="Cambria"/>
          <w:sz w:val="20"/>
          <w:szCs w:val="20"/>
          <w:lang w:val="en-US"/>
        </w:rPr>
        <w:t xml:space="preserve">21 </w:t>
      </w:r>
      <w:r w:rsidR="00C41E9D" w:rsidRPr="00CC562A">
        <w:rPr>
          <w:rFonts w:ascii="Cambria" w:eastAsia="Cambria" w:hAnsi="Cambria" w:cs="Cambria"/>
          <w:sz w:val="20"/>
          <w:szCs w:val="20"/>
          <w:lang w:val="en-US"/>
        </w:rPr>
        <w:t>arrest warrants made by another prosecution unit unfamiliar with the details of the investigation are matters of concern</w:t>
      </w:r>
      <w:r w:rsidR="4F275AE9" w:rsidRPr="00CC562A">
        <w:rPr>
          <w:rFonts w:ascii="Cambria" w:eastAsia="Cambria" w:hAnsi="Cambria" w:cs="Cambria"/>
          <w:sz w:val="20"/>
          <w:szCs w:val="20"/>
          <w:lang w:val="en-US"/>
        </w:rPr>
        <w:t xml:space="preserve">. </w:t>
      </w:r>
      <w:r w:rsidR="00C41E9D" w:rsidRPr="00CC562A">
        <w:rPr>
          <w:rFonts w:ascii="Cambria" w:eastAsia="Cambria" w:hAnsi="Cambria" w:cs="Cambria"/>
          <w:sz w:val="20"/>
          <w:szCs w:val="20"/>
          <w:lang w:val="en-US"/>
        </w:rPr>
        <w:t>Situation</w:t>
      </w:r>
      <w:r w:rsidR="004E2A55" w:rsidRPr="00CC562A">
        <w:rPr>
          <w:rFonts w:ascii="Cambria" w:eastAsia="Cambria" w:hAnsi="Cambria" w:cs="Cambria"/>
          <w:sz w:val="20"/>
          <w:szCs w:val="20"/>
          <w:lang w:val="en-US"/>
        </w:rPr>
        <w:t>s</w:t>
      </w:r>
      <w:r w:rsidR="00C41E9D" w:rsidRPr="00CC562A">
        <w:rPr>
          <w:rFonts w:ascii="Cambria" w:eastAsia="Cambria" w:hAnsi="Cambria" w:cs="Cambria"/>
          <w:sz w:val="20"/>
          <w:szCs w:val="20"/>
          <w:lang w:val="en-US"/>
        </w:rPr>
        <w:t xml:space="preserve"> of this kind can affect the independence of the </w:t>
      </w:r>
      <w:r w:rsidR="4F275AE9" w:rsidRPr="00CC562A">
        <w:rPr>
          <w:rFonts w:ascii="Cambria" w:eastAsia="Cambria" w:hAnsi="Cambria" w:cs="Cambria"/>
          <w:sz w:val="20"/>
          <w:szCs w:val="20"/>
          <w:lang w:val="en-US"/>
        </w:rPr>
        <w:t xml:space="preserve">UEILCA </w:t>
      </w:r>
      <w:r w:rsidR="00C41E9D" w:rsidRPr="00CC562A">
        <w:rPr>
          <w:rFonts w:ascii="Cambria" w:eastAsia="Cambria" w:hAnsi="Cambria" w:cs="Cambria"/>
          <w:sz w:val="20"/>
          <w:szCs w:val="20"/>
          <w:lang w:val="en-US"/>
        </w:rPr>
        <w:t>and the victims’ right of access to justice.</w:t>
      </w:r>
    </w:p>
    <w:p w14:paraId="30CB48D3" w14:textId="2ED6879F" w:rsidR="003D7D26" w:rsidRPr="00CC562A" w:rsidRDefault="00C41E9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 re</w:t>
      </w:r>
      <w:r w:rsidR="004E2A55" w:rsidRPr="00CC562A">
        <w:rPr>
          <w:rFonts w:ascii="Cambria" w:eastAsia="Cambria" w:hAnsi="Cambria" w:cs="Cambria"/>
          <w:sz w:val="20"/>
          <w:szCs w:val="20"/>
          <w:lang w:val="en-US"/>
        </w:rPr>
        <w:t>peats</w:t>
      </w:r>
      <w:r w:rsidRPr="00CC562A">
        <w:rPr>
          <w:rFonts w:ascii="Cambria" w:eastAsia="Cambria" w:hAnsi="Cambria" w:cs="Cambria"/>
          <w:sz w:val="20"/>
          <w:szCs w:val="20"/>
          <w:lang w:val="en-US"/>
        </w:rPr>
        <w:t xml:space="preserve"> that it will continue participating and carrying out monitoring and technical assistance functions with respect to tasks related to searches, investigation, </w:t>
      </w:r>
      <w:r w:rsidR="00DC03B7" w:rsidRPr="00CC562A">
        <w:rPr>
          <w:rFonts w:ascii="Cambria" w:eastAsia="Cambria" w:hAnsi="Cambria" w:cs="Cambria"/>
          <w:sz w:val="20"/>
          <w:szCs w:val="20"/>
          <w:lang w:val="en-US"/>
        </w:rPr>
        <w:t xml:space="preserve">victim assistance, and the establishment of structural measures ensuring non-repetition, in view of the precautionary measures on behalf of the 43 disappeared students and their families, and its mandates, so that it considers that there is </w:t>
      </w:r>
      <w:r w:rsidR="00DC03B7" w:rsidRPr="00CC562A">
        <w:rPr>
          <w:rFonts w:ascii="Cambria" w:eastAsia="Cambria" w:hAnsi="Cambria" w:cs="Cambria"/>
          <w:b/>
          <w:bCs/>
          <w:sz w:val="20"/>
          <w:szCs w:val="20"/>
          <w:lang w:val="en-US"/>
        </w:rPr>
        <w:t xml:space="preserve">partial compliance </w:t>
      </w:r>
      <w:r w:rsidR="00DC03B7" w:rsidRPr="00CC562A">
        <w:rPr>
          <w:rFonts w:ascii="Cambria" w:eastAsia="Cambria" w:hAnsi="Cambria" w:cs="Cambria"/>
          <w:sz w:val="20"/>
          <w:szCs w:val="20"/>
          <w:lang w:val="en-US"/>
        </w:rPr>
        <w:t>with the recommendation</w:t>
      </w:r>
      <w:r w:rsidR="004E2A55" w:rsidRPr="00CC562A">
        <w:rPr>
          <w:rFonts w:ascii="Cambria" w:eastAsia="Cambria" w:hAnsi="Cambria" w:cs="Cambria"/>
          <w:sz w:val="20"/>
          <w:szCs w:val="20"/>
          <w:lang w:val="en-US"/>
        </w:rPr>
        <w:t>.</w:t>
      </w:r>
    </w:p>
    <w:p w14:paraId="240C78B1" w14:textId="632C9C74" w:rsidR="00522749" w:rsidRPr="00CC562A" w:rsidRDefault="00DC03B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the implementation of this recommendation, the IACHR urges </w:t>
      </w:r>
      <w:r w:rsidR="004E2A55" w:rsidRPr="00CC562A">
        <w:rPr>
          <w:rFonts w:ascii="Cambria" w:eastAsia="Cambria" w:hAnsi="Cambria" w:cs="Cambria"/>
          <w:sz w:val="20"/>
          <w:szCs w:val="20"/>
          <w:lang w:val="en-US"/>
        </w:rPr>
        <w:t>the</w:t>
      </w:r>
      <w:r w:rsidRPr="00CC562A">
        <w:rPr>
          <w:rFonts w:ascii="Cambria" w:eastAsia="Cambria" w:hAnsi="Cambria" w:cs="Cambria"/>
          <w:sz w:val="20"/>
          <w:szCs w:val="20"/>
          <w:lang w:val="en-US"/>
        </w:rPr>
        <w:t xml:space="preserve"> State to continue adopting specific measures to comply with the</w:t>
      </w:r>
      <w:r w:rsidR="08E4D40F" w:rsidRPr="00CC562A">
        <w:rPr>
          <w:rFonts w:ascii="Cambria" w:eastAsia="Cambria" w:hAnsi="Cambria" w:cs="Cambria"/>
          <w:sz w:val="20"/>
          <w:szCs w:val="20"/>
          <w:lang w:val="en-US"/>
        </w:rPr>
        <w:t xml:space="preserve"> GIEI</w:t>
      </w:r>
      <w:r w:rsidRPr="00CC562A">
        <w:rPr>
          <w:rFonts w:ascii="Cambria" w:eastAsia="Cambria" w:hAnsi="Cambria" w:cs="Cambria"/>
          <w:sz w:val="20"/>
          <w:szCs w:val="20"/>
          <w:lang w:val="en-US"/>
        </w:rPr>
        <w:t>’s recommendations as well as the MESA recommendations</w:t>
      </w:r>
      <w:r w:rsidR="08E4D40F" w:rsidRPr="00CC562A">
        <w:rPr>
          <w:rFonts w:ascii="Cambria" w:eastAsia="Cambria" w:hAnsi="Cambria" w:cs="Cambria"/>
          <w:sz w:val="20"/>
          <w:szCs w:val="20"/>
          <w:lang w:val="en-US"/>
        </w:rPr>
        <w:t>.</w:t>
      </w:r>
    </w:p>
    <w:p w14:paraId="4A07ADF4" w14:textId="0C070647" w:rsidR="00AC6B42" w:rsidRPr="00CC562A" w:rsidRDefault="00C66010" w:rsidP="000654DE">
      <w:pPr>
        <w:pStyle w:val="Heading2"/>
        <w:numPr>
          <w:ilvl w:val="0"/>
          <w:numId w:val="5"/>
        </w:numPr>
        <w:spacing w:before="24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Tortur</w:t>
      </w:r>
      <w:r w:rsidR="00DC03B7" w:rsidRPr="00CC562A">
        <w:rPr>
          <w:rFonts w:ascii="Cambria" w:hAnsi="Cambria"/>
          <w:b/>
          <w:bCs/>
          <w:color w:val="000000" w:themeColor="text1"/>
          <w:sz w:val="22"/>
          <w:szCs w:val="22"/>
          <w:lang w:val="en-US"/>
        </w:rPr>
        <w:t>e</w:t>
      </w:r>
    </w:p>
    <w:p w14:paraId="4824237E" w14:textId="50D93366" w:rsidR="00C66010" w:rsidRPr="00CC562A" w:rsidRDefault="00C66010"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eastAsia="Cambria" w:hAnsi="Cambria" w:cs="Cambria"/>
          <w:sz w:val="20"/>
          <w:szCs w:val="20"/>
          <w:lang w:val="en-US"/>
        </w:rPr>
        <w:t>Adopt</w:t>
      </w:r>
      <w:r w:rsidR="00DC03B7" w:rsidRPr="00CC562A">
        <w:rPr>
          <w:rFonts w:ascii="Cambria" w:eastAsia="Cambria" w:hAnsi="Cambria" w:cs="Cambria"/>
          <w:sz w:val="20"/>
          <w:szCs w:val="20"/>
          <w:lang w:val="en-US"/>
        </w:rPr>
        <w:t xml:space="preserve"> a General law on Torture and other cruel, inhumane, or degrading treatment or punishment, and take all the necessary measures to ensure that, at both the federal and state levels, legislation and practices conform to international standards in this area, especially the Inter-American Convention to Prevent and Punish Torture.</w:t>
      </w:r>
    </w:p>
    <w:p w14:paraId="23A87F43" w14:textId="6C3FE478" w:rsidR="00E931C6" w:rsidRPr="00CC562A" w:rsidRDefault="00DC03B7"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I</w:t>
      </w:r>
      <w:r w:rsidR="00E931C6" w:rsidRPr="00CC562A">
        <w:rPr>
          <w:rFonts w:ascii="Cambria" w:eastAsia="Cambria" w:hAnsi="Cambria" w:cs="Cambria"/>
          <w:sz w:val="20"/>
          <w:szCs w:val="20"/>
          <w:lang w:val="en-US"/>
        </w:rPr>
        <w:t xml:space="preserve">n particular, </w:t>
      </w:r>
      <w:r w:rsidRPr="00CC562A">
        <w:rPr>
          <w:rFonts w:ascii="Cambria" w:eastAsia="Cambria" w:hAnsi="Cambria" w:cs="Cambria"/>
          <w:sz w:val="20"/>
          <w:szCs w:val="20"/>
          <w:lang w:val="en-US"/>
        </w:rPr>
        <w:t>ensure</w:t>
      </w:r>
      <w:proofErr w:type="gramEnd"/>
      <w:r w:rsidRPr="00CC562A">
        <w:rPr>
          <w:rFonts w:ascii="Cambria" w:eastAsia="Cambria" w:hAnsi="Cambria" w:cs="Cambria"/>
          <w:sz w:val="20"/>
          <w:szCs w:val="20"/>
          <w:lang w:val="en-US"/>
        </w:rPr>
        <w:t xml:space="preserve"> that the General Law on Torture exclude</w:t>
      </w:r>
      <w:r w:rsidR="000A442F"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“evidence” and “confessions” obtained by torture from the criminal proceedings of the tortured person and other persons implicated in such confessions</w:t>
      </w:r>
      <w:r w:rsidR="00E931C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Clearly establish in the law that the prosecuting party has the burden of proof to demonstrate the lawfulness of any challenged evidence</w:t>
      </w:r>
      <w:r w:rsidR="00E931C6" w:rsidRPr="00CC562A">
        <w:rPr>
          <w:rFonts w:ascii="Cambria" w:eastAsia="Cambria" w:hAnsi="Cambria" w:cs="Cambria"/>
          <w:sz w:val="20"/>
          <w:szCs w:val="20"/>
          <w:lang w:val="en-US"/>
        </w:rPr>
        <w:t xml:space="preserve">. </w:t>
      </w:r>
    </w:p>
    <w:p w14:paraId="1226F0EE" w14:textId="449E3006" w:rsidR="00E931C6" w:rsidRPr="00CC562A" w:rsidRDefault="00E931C6"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Crea</w:t>
      </w:r>
      <w:r w:rsidR="00DC03B7" w:rsidRPr="00CC562A">
        <w:rPr>
          <w:rFonts w:ascii="Cambria" w:eastAsia="Cambria" w:hAnsi="Cambria" w:cs="Cambria"/>
          <w:sz w:val="20"/>
          <w:szCs w:val="20"/>
          <w:lang w:val="en-US"/>
        </w:rPr>
        <w:t xml:space="preserve">te </w:t>
      </w:r>
      <w:r w:rsidR="000A442F" w:rsidRPr="00CC562A">
        <w:rPr>
          <w:rFonts w:ascii="Cambria" w:eastAsia="Cambria" w:hAnsi="Cambria" w:cs="Cambria"/>
          <w:sz w:val="20"/>
          <w:szCs w:val="20"/>
          <w:lang w:val="en-US"/>
        </w:rPr>
        <w:t>a</w:t>
      </w:r>
      <w:r w:rsidR="00DC03B7" w:rsidRPr="00CC562A">
        <w:rPr>
          <w:rFonts w:ascii="Cambria" w:eastAsia="Cambria" w:hAnsi="Cambria" w:cs="Cambria"/>
          <w:sz w:val="20"/>
          <w:szCs w:val="20"/>
          <w:lang w:val="en-US"/>
        </w:rPr>
        <w:t xml:space="preserve"> Single National Registry of detained persons and ensure, on pain of punishment, that such persons are immediately brought before a judge</w:t>
      </w:r>
      <w:r w:rsidRPr="00CC562A">
        <w:rPr>
          <w:rFonts w:ascii="Cambria" w:eastAsia="Cambria" w:hAnsi="Cambria" w:cs="Cambria"/>
          <w:sz w:val="20"/>
          <w:szCs w:val="20"/>
          <w:lang w:val="en-US"/>
        </w:rPr>
        <w:t xml:space="preserve">. </w:t>
      </w:r>
    </w:p>
    <w:p w14:paraId="7AF587CA" w14:textId="0EB068A7" w:rsidR="00E931C6" w:rsidRPr="00CC562A" w:rsidRDefault="00E931C6"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Investiga</w:t>
      </w:r>
      <w:r w:rsidR="00DC03B7" w:rsidRPr="00CC562A">
        <w:rPr>
          <w:rFonts w:ascii="Cambria" w:eastAsia="Cambria" w:hAnsi="Cambria" w:cs="Cambria"/>
          <w:sz w:val="20"/>
          <w:szCs w:val="20"/>
          <w:lang w:val="en-US"/>
        </w:rPr>
        <w:t>te cases in which judges have not ordered an investigation when there are allegations or circumstan</w:t>
      </w:r>
      <w:r w:rsidR="00540D3B" w:rsidRPr="00CC562A">
        <w:rPr>
          <w:rFonts w:ascii="Cambria" w:eastAsia="Cambria" w:hAnsi="Cambria" w:cs="Cambria"/>
          <w:sz w:val="20"/>
          <w:szCs w:val="20"/>
          <w:lang w:val="en-US"/>
        </w:rPr>
        <w:t>tial evidence of torture or ill-treatment. Ensure that the Istanbul Protocol is applied at the national level by competent and independent authorities in an expeditious manner and on pain of punishment</w:t>
      </w:r>
      <w:r w:rsidRPr="00CC562A">
        <w:rPr>
          <w:rFonts w:ascii="Cambria" w:eastAsia="Cambria" w:hAnsi="Cambria" w:cs="Cambria"/>
          <w:sz w:val="20"/>
          <w:szCs w:val="20"/>
          <w:lang w:val="en-US"/>
        </w:rPr>
        <w:t xml:space="preserve">. </w:t>
      </w:r>
    </w:p>
    <w:p w14:paraId="38674C77" w14:textId="402654EE" w:rsidR="00E931C6" w:rsidRPr="00CC562A" w:rsidRDefault="00E931C6"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Establ</w:t>
      </w:r>
      <w:r w:rsidR="00540D3B" w:rsidRPr="00CC562A">
        <w:rPr>
          <w:rFonts w:ascii="Cambria" w:eastAsia="Cambria" w:hAnsi="Cambria" w:cs="Cambria"/>
          <w:sz w:val="20"/>
          <w:szCs w:val="20"/>
          <w:lang w:val="en-US"/>
        </w:rPr>
        <w:t>ish the mandatory use of cameras and other security protocols during interrogations and in patrols as a preventive measure against torture and other cruel, inhuman, and degrading treatment</w:t>
      </w:r>
      <w:r w:rsidRPr="00CC562A">
        <w:rPr>
          <w:rFonts w:ascii="Cambria" w:eastAsia="Cambria" w:hAnsi="Cambria" w:cs="Cambria"/>
          <w:sz w:val="20"/>
          <w:szCs w:val="20"/>
          <w:lang w:val="en-US"/>
        </w:rPr>
        <w:t xml:space="preserve">. </w:t>
      </w:r>
    </w:p>
    <w:p w14:paraId="6DED4346" w14:textId="52DF9FFD" w:rsidR="00E931C6" w:rsidRPr="00CC562A" w:rsidRDefault="00E931C6"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Establ</w:t>
      </w:r>
      <w:r w:rsidR="00540D3B" w:rsidRPr="00CC562A">
        <w:rPr>
          <w:rFonts w:ascii="Cambria" w:eastAsia="Cambria" w:hAnsi="Cambria" w:cs="Cambria"/>
          <w:sz w:val="20"/>
          <w:szCs w:val="20"/>
          <w:lang w:val="en-US"/>
        </w:rPr>
        <w:t>ish federal and state guidelines on the collection of uniform statistics on gross human rights violations. In</w:t>
      </w:r>
      <w:r w:rsidRPr="00CC562A">
        <w:rPr>
          <w:rFonts w:ascii="Cambria" w:eastAsia="Cambria" w:hAnsi="Cambria" w:cs="Cambria"/>
          <w:sz w:val="20"/>
          <w:szCs w:val="20"/>
          <w:lang w:val="en-US"/>
        </w:rPr>
        <w:t xml:space="preserve"> particular, </w:t>
      </w:r>
      <w:r w:rsidR="00540D3B" w:rsidRPr="00CC562A">
        <w:rPr>
          <w:rFonts w:ascii="Cambria" w:eastAsia="Cambria" w:hAnsi="Cambria" w:cs="Cambria"/>
          <w:sz w:val="20"/>
          <w:szCs w:val="20"/>
          <w:lang w:val="en-US"/>
        </w:rPr>
        <w:t>the State must improve the system for collecting information in a disaggregated manner, using a consistent and transparent methodology</w:t>
      </w:r>
      <w:r w:rsidRPr="00CC562A">
        <w:rPr>
          <w:rFonts w:ascii="Cambria" w:eastAsia="Cambria" w:hAnsi="Cambria" w:cs="Cambria"/>
          <w:sz w:val="20"/>
          <w:szCs w:val="20"/>
          <w:lang w:val="en-US"/>
        </w:rPr>
        <w:t xml:space="preserve">. </w:t>
      </w:r>
    </w:p>
    <w:p w14:paraId="5F6AFA65" w14:textId="2C92FFD8" w:rsidR="00C66010" w:rsidRPr="00CC562A" w:rsidRDefault="00E931C6" w:rsidP="00001918">
      <w:pPr>
        <w:numPr>
          <w:ilvl w:val="0"/>
          <w:numId w:val="6"/>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Elimin</w:t>
      </w:r>
      <w:r w:rsidR="00540D3B" w:rsidRPr="00CC562A">
        <w:rPr>
          <w:rFonts w:ascii="Cambria" w:eastAsia="Cambria" w:hAnsi="Cambria" w:cs="Cambria"/>
          <w:sz w:val="20"/>
          <w:szCs w:val="20"/>
          <w:lang w:val="en-US"/>
        </w:rPr>
        <w:t>ate “</w:t>
      </w:r>
      <w:proofErr w:type="spellStart"/>
      <w:r w:rsidR="00540D3B" w:rsidRPr="00CC562A">
        <w:rPr>
          <w:rFonts w:ascii="Cambria" w:eastAsia="Cambria" w:hAnsi="Cambria" w:cs="Cambria"/>
          <w:sz w:val="20"/>
          <w:szCs w:val="20"/>
          <w:lang w:val="en-US"/>
        </w:rPr>
        <w:t>arraigo</w:t>
      </w:r>
      <w:proofErr w:type="spellEnd"/>
      <w:r w:rsidR="00540D3B" w:rsidRPr="00CC562A">
        <w:rPr>
          <w:rFonts w:ascii="Cambria" w:eastAsia="Cambria" w:hAnsi="Cambria" w:cs="Cambria"/>
          <w:sz w:val="20"/>
          <w:szCs w:val="20"/>
          <w:lang w:val="en-US"/>
        </w:rPr>
        <w:t>” (</w:t>
      </w:r>
      <w:r w:rsidR="00AB6B91" w:rsidRPr="00CC562A">
        <w:rPr>
          <w:rFonts w:ascii="Cambria" w:eastAsia="Cambria" w:hAnsi="Cambria" w:cs="Cambria"/>
          <w:sz w:val="20"/>
          <w:szCs w:val="20"/>
          <w:lang w:val="en-US"/>
        </w:rPr>
        <w:t>pre-charge detention</w:t>
      </w:r>
      <w:r w:rsidR="00540D3B" w:rsidRPr="00CC562A">
        <w:rPr>
          <w:rFonts w:ascii="Cambria" w:eastAsia="Cambria" w:hAnsi="Cambria" w:cs="Cambria"/>
          <w:sz w:val="20"/>
          <w:szCs w:val="20"/>
          <w:lang w:val="en-US"/>
        </w:rPr>
        <w:t>) and quasi flagrante delicto (</w:t>
      </w:r>
      <w:proofErr w:type="spellStart"/>
      <w:r w:rsidR="00540D3B" w:rsidRPr="00CC562A">
        <w:rPr>
          <w:rFonts w:ascii="Cambria" w:eastAsia="Cambria" w:hAnsi="Cambria" w:cs="Cambria"/>
          <w:i/>
          <w:iCs/>
          <w:sz w:val="20"/>
          <w:szCs w:val="20"/>
          <w:lang w:val="en-US"/>
        </w:rPr>
        <w:t>flagrancia</w:t>
      </w:r>
      <w:proofErr w:type="spellEnd"/>
      <w:r w:rsidR="00540D3B" w:rsidRPr="00CC562A">
        <w:rPr>
          <w:rFonts w:ascii="Cambria" w:eastAsia="Cambria" w:hAnsi="Cambria" w:cs="Cambria"/>
          <w:i/>
          <w:iCs/>
          <w:sz w:val="20"/>
          <w:szCs w:val="20"/>
          <w:lang w:val="en-US"/>
        </w:rPr>
        <w:t xml:space="preserve"> </w:t>
      </w:r>
      <w:proofErr w:type="spellStart"/>
      <w:r w:rsidR="00540D3B" w:rsidRPr="00CC562A">
        <w:rPr>
          <w:rFonts w:ascii="Cambria" w:eastAsia="Cambria" w:hAnsi="Cambria" w:cs="Cambria"/>
          <w:i/>
          <w:iCs/>
          <w:sz w:val="20"/>
          <w:szCs w:val="20"/>
          <w:lang w:val="en-US"/>
        </w:rPr>
        <w:t>equiparad</w:t>
      </w:r>
      <w:r w:rsidR="00540D3B" w:rsidRPr="00CC562A">
        <w:rPr>
          <w:rFonts w:ascii="Cambria" w:eastAsia="Cambria" w:hAnsi="Cambria" w:cs="Cambria"/>
          <w:sz w:val="20"/>
          <w:szCs w:val="20"/>
          <w:lang w:val="en-US"/>
        </w:rPr>
        <w:t>a</w:t>
      </w:r>
      <w:proofErr w:type="spellEnd"/>
      <w:r w:rsidR="00540D3B" w:rsidRPr="00CC562A">
        <w:rPr>
          <w:rFonts w:ascii="Cambria" w:eastAsia="Cambria" w:hAnsi="Cambria" w:cs="Cambria"/>
          <w:sz w:val="20"/>
          <w:szCs w:val="20"/>
          <w:lang w:val="en-US"/>
        </w:rPr>
        <w:t>) from the Mexican legal system</w:t>
      </w:r>
      <w:r w:rsidRPr="00CC562A">
        <w:rPr>
          <w:rFonts w:ascii="Cambria" w:eastAsia="Cambria" w:hAnsi="Cambria" w:cs="Cambria"/>
          <w:sz w:val="20"/>
          <w:szCs w:val="20"/>
          <w:lang w:val="en-US"/>
        </w:rPr>
        <w:t xml:space="preserve">. </w:t>
      </w:r>
    </w:p>
    <w:p w14:paraId="183C7022" w14:textId="72DFB3A4" w:rsidR="005845AC" w:rsidRPr="00CC562A" w:rsidRDefault="00540D3B" w:rsidP="00001918">
      <w:pPr>
        <w:numPr>
          <w:ilvl w:val="0"/>
          <w:numId w:val="2"/>
        </w:numPr>
        <w:spacing w:before="240" w:line="240" w:lineRule="auto"/>
        <w:ind w:left="0" w:firstLine="720"/>
        <w:jc w:val="both"/>
        <w:rPr>
          <w:rFonts w:ascii="Cambria" w:hAnsi="Cambria"/>
          <w:color w:val="000000" w:themeColor="text1"/>
          <w:sz w:val="20"/>
          <w:szCs w:val="20"/>
          <w:lang w:val="en-US"/>
        </w:rPr>
      </w:pPr>
      <w:r w:rsidRPr="00CC562A">
        <w:rPr>
          <w:rFonts w:ascii="Cambria" w:hAnsi="Cambria" w:cs="Arial"/>
          <w:color w:val="000000" w:themeColor="text1"/>
          <w:sz w:val="20"/>
          <w:szCs w:val="20"/>
          <w:shd w:val="clear" w:color="auto" w:fill="FFFFFF"/>
          <w:lang w:val="en-US"/>
        </w:rPr>
        <w:t xml:space="preserve">In relation to the </w:t>
      </w:r>
      <w:r w:rsidR="000A442F" w:rsidRPr="00CC562A">
        <w:rPr>
          <w:rFonts w:ascii="Cambria" w:hAnsi="Cambria" w:cs="Arial"/>
          <w:color w:val="000000" w:themeColor="text1"/>
          <w:sz w:val="20"/>
          <w:szCs w:val="20"/>
          <w:shd w:val="clear" w:color="auto" w:fill="FFFFFF"/>
          <w:lang w:val="en-US"/>
        </w:rPr>
        <w:t>re</w:t>
      </w:r>
      <w:r w:rsidRPr="00CC562A">
        <w:rPr>
          <w:rFonts w:ascii="Cambria" w:hAnsi="Cambria" w:cs="Arial"/>
          <w:color w:val="000000" w:themeColor="text1"/>
          <w:sz w:val="20"/>
          <w:szCs w:val="20"/>
          <w:shd w:val="clear" w:color="auto" w:fill="FFFFFF"/>
          <w:lang w:val="en-US"/>
        </w:rPr>
        <w:t xml:space="preserve">commendation to </w:t>
      </w:r>
      <w:r w:rsidR="6E1E6921" w:rsidRPr="00CC562A">
        <w:rPr>
          <w:rFonts w:ascii="Cambria" w:hAnsi="Cambria"/>
          <w:b/>
          <w:bCs/>
          <w:color w:val="000000" w:themeColor="text1"/>
          <w:sz w:val="20"/>
          <w:szCs w:val="20"/>
          <w:lang w:val="en-US"/>
        </w:rPr>
        <w:t>adopt</w:t>
      </w:r>
      <w:r w:rsidRPr="00CC562A">
        <w:rPr>
          <w:rFonts w:ascii="Cambria" w:hAnsi="Cambria"/>
          <w:b/>
          <w:bCs/>
          <w:color w:val="000000" w:themeColor="text1"/>
          <w:sz w:val="20"/>
          <w:szCs w:val="20"/>
          <w:lang w:val="en-US"/>
        </w:rPr>
        <w:t xml:space="preserve"> a General Law on Torture and to ensure that practices in the matter are in line with international standards</w:t>
      </w:r>
      <w:r w:rsidR="6E1E6921" w:rsidRPr="00CC562A">
        <w:rPr>
          <w:rFonts w:ascii="Cambria" w:hAnsi="Cambria"/>
          <w:b/>
          <w:bCs/>
          <w:color w:val="000000" w:themeColor="text1"/>
          <w:sz w:val="20"/>
          <w:szCs w:val="20"/>
          <w:lang w:val="en-US"/>
        </w:rPr>
        <w:t xml:space="preserve">, </w:t>
      </w:r>
      <w:r w:rsidRPr="00CC562A">
        <w:rPr>
          <w:rFonts w:ascii="Cambria" w:hAnsi="Cambria"/>
          <w:color w:val="000000" w:themeColor="text1"/>
          <w:sz w:val="20"/>
          <w:szCs w:val="20"/>
          <w:lang w:val="en-US"/>
        </w:rPr>
        <w:t>the State indicated</w:t>
      </w:r>
      <w:r w:rsidR="005845AC" w:rsidRPr="00CC562A">
        <w:rPr>
          <w:rStyle w:val="FootnoteReference"/>
          <w:rFonts w:ascii="Cambria" w:hAnsi="Cambria" w:cs="Arial"/>
          <w:color w:val="444444"/>
          <w:sz w:val="20"/>
          <w:szCs w:val="20"/>
          <w:shd w:val="clear" w:color="auto" w:fill="FFFFFF"/>
          <w:lang w:val="en-US"/>
        </w:rPr>
        <w:footnoteReference w:id="102"/>
      </w:r>
      <w:r w:rsidR="0B3944D6" w:rsidRPr="00CC562A">
        <w:rPr>
          <w:rFonts w:ascii="Cambria" w:hAnsi="Cambria"/>
          <w:color w:val="000000" w:themeColor="text1"/>
          <w:sz w:val="20"/>
          <w:szCs w:val="20"/>
          <w:lang w:val="en-US"/>
        </w:rPr>
        <w:t xml:space="preserve"> </w:t>
      </w:r>
      <w:r w:rsidRPr="00CC562A">
        <w:rPr>
          <w:rFonts w:ascii="Cambria" w:hAnsi="Cambria"/>
          <w:color w:val="000000" w:themeColor="text1"/>
          <w:sz w:val="20"/>
          <w:szCs w:val="20"/>
          <w:lang w:val="en-US"/>
        </w:rPr>
        <w:t>that</w:t>
      </w:r>
      <w:r w:rsidR="00086C08" w:rsidRPr="00CC562A">
        <w:rPr>
          <w:rFonts w:ascii="Cambria" w:hAnsi="Cambria"/>
          <w:color w:val="000000" w:themeColor="text1"/>
          <w:sz w:val="20"/>
          <w:lang w:val="en-US"/>
        </w:rPr>
        <w:t xml:space="preserve"> </w:t>
      </w:r>
      <w:r w:rsidR="00816747" w:rsidRPr="00CC562A">
        <w:rPr>
          <w:rFonts w:ascii="Cambria" w:hAnsi="Cambria"/>
          <w:color w:val="000000" w:themeColor="text1"/>
          <w:sz w:val="20"/>
          <w:lang w:val="en-US"/>
        </w:rPr>
        <w:t xml:space="preserve">the General Law to Prevent, Investigate, and Punish Torture and Other Cruel, Inhuman, or Degrading Treatment or Punishment </w:t>
      </w:r>
      <w:r w:rsidR="004A3889" w:rsidRPr="00CC562A">
        <w:rPr>
          <w:rFonts w:ascii="Cambria" w:hAnsi="Cambria"/>
          <w:color w:val="000000" w:themeColor="text1"/>
          <w:sz w:val="20"/>
          <w:lang w:val="en-US"/>
        </w:rPr>
        <w:t>was published in the DOF on June 26,</w:t>
      </w:r>
      <w:r w:rsidR="00086C08" w:rsidRPr="00CC562A">
        <w:rPr>
          <w:rFonts w:ascii="Cambria" w:hAnsi="Cambria"/>
          <w:sz w:val="20"/>
          <w:lang w:val="en-US"/>
        </w:rPr>
        <w:t xml:space="preserve"> 2017</w:t>
      </w:r>
      <w:r w:rsidR="004A3889" w:rsidRPr="00CC562A">
        <w:rPr>
          <w:rFonts w:ascii="Cambria" w:hAnsi="Cambria"/>
          <w:sz w:val="20"/>
          <w:lang w:val="en-US"/>
        </w:rPr>
        <w:t>.</w:t>
      </w:r>
      <w:r w:rsidR="00086C08" w:rsidRPr="00CC562A">
        <w:rPr>
          <w:rStyle w:val="FootnoteReference"/>
          <w:rFonts w:ascii="Cambria" w:hAnsi="Cambria"/>
          <w:sz w:val="20"/>
          <w:lang w:val="es-CO"/>
        </w:rPr>
        <w:footnoteReference w:id="103"/>
      </w:r>
      <w:r w:rsidR="00086C08" w:rsidRPr="00CC562A">
        <w:rPr>
          <w:rFonts w:ascii="Cambria" w:hAnsi="Cambria"/>
          <w:sz w:val="20"/>
          <w:lang w:val="en-US"/>
        </w:rPr>
        <w:t xml:space="preserve"> </w:t>
      </w:r>
      <w:r w:rsidR="00086C08" w:rsidRPr="00CC562A">
        <w:rPr>
          <w:rFonts w:ascii="Cambria" w:hAnsi="Cambria"/>
          <w:color w:val="000000" w:themeColor="text1"/>
          <w:sz w:val="20"/>
          <w:szCs w:val="20"/>
          <w:lang w:val="en-US"/>
        </w:rPr>
        <w:t>W</w:t>
      </w:r>
      <w:r w:rsidRPr="00CC562A">
        <w:rPr>
          <w:rFonts w:ascii="Cambria" w:hAnsi="Cambria"/>
          <w:color w:val="000000" w:themeColor="text1"/>
          <w:sz w:val="20"/>
          <w:szCs w:val="20"/>
          <w:lang w:val="en-US"/>
        </w:rPr>
        <w:t xml:space="preserve">ith respect to legislative harmonization, </w:t>
      </w:r>
      <w:r w:rsidR="0B3944D6" w:rsidRPr="00CC562A">
        <w:rPr>
          <w:rFonts w:ascii="Cambria" w:eastAsia="Cambria" w:hAnsi="Cambria" w:cs="Cambria"/>
          <w:sz w:val="20"/>
          <w:szCs w:val="20"/>
          <w:lang w:val="en-US"/>
        </w:rPr>
        <w:t xml:space="preserve">26 </w:t>
      </w:r>
      <w:r w:rsidR="00365543"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have a law governing torture and other cruel, inhuman, and degrading treatment or punishment, while </w:t>
      </w:r>
      <w:r w:rsidR="000A442F" w:rsidRPr="00CC562A">
        <w:rPr>
          <w:rFonts w:ascii="Cambria" w:eastAsia="Cambria" w:hAnsi="Cambria" w:cs="Cambria"/>
          <w:sz w:val="20"/>
          <w:szCs w:val="20"/>
          <w:lang w:val="en-US"/>
        </w:rPr>
        <w:t>another</w:t>
      </w:r>
      <w:r w:rsidRPr="00CC562A">
        <w:rPr>
          <w:rFonts w:ascii="Cambria" w:eastAsia="Cambria" w:hAnsi="Cambria" w:cs="Cambria"/>
          <w:sz w:val="20"/>
          <w:szCs w:val="20"/>
          <w:lang w:val="en-US"/>
        </w:rPr>
        <w:t xml:space="preserve"> six entities </w:t>
      </w:r>
      <w:r w:rsidR="0B3944D6" w:rsidRPr="00CC562A">
        <w:rPr>
          <w:rFonts w:ascii="Cambria" w:eastAsia="Cambria" w:hAnsi="Cambria" w:cs="Cambria"/>
          <w:sz w:val="20"/>
          <w:szCs w:val="20"/>
          <w:lang w:val="en-US"/>
        </w:rPr>
        <w:t>(Michoacán, Querétaro, Quintana Roo, Tabasco, Tamaulipas</w:t>
      </w:r>
      <w:r w:rsidRPr="00CC562A">
        <w:rPr>
          <w:rFonts w:ascii="Cambria" w:eastAsia="Cambria" w:hAnsi="Cambria" w:cs="Cambria"/>
          <w:sz w:val="20"/>
          <w:szCs w:val="20"/>
          <w:lang w:val="en-US"/>
        </w:rPr>
        <w:t>, and</w:t>
      </w:r>
      <w:r w:rsidR="0B3944D6" w:rsidRPr="00CC562A">
        <w:rPr>
          <w:rFonts w:ascii="Cambria" w:eastAsia="Cambria" w:hAnsi="Cambria" w:cs="Cambria"/>
          <w:sz w:val="20"/>
          <w:szCs w:val="20"/>
          <w:lang w:val="en-US"/>
        </w:rPr>
        <w:t xml:space="preserve"> Zacatecas) </w:t>
      </w:r>
      <w:r w:rsidRPr="00CC562A">
        <w:rPr>
          <w:rFonts w:ascii="Cambria" w:eastAsia="Cambria" w:hAnsi="Cambria" w:cs="Cambria"/>
          <w:sz w:val="20"/>
          <w:szCs w:val="20"/>
          <w:lang w:val="en-US"/>
        </w:rPr>
        <w:t xml:space="preserve">do not have a special law on the subject, they have provided that the general legislation issued by the Congress of the Union in this area </w:t>
      </w:r>
      <w:r w:rsidR="00FB64AD" w:rsidRPr="00CC562A">
        <w:rPr>
          <w:rFonts w:ascii="Cambria" w:eastAsia="Cambria" w:hAnsi="Cambria" w:cs="Cambria"/>
          <w:sz w:val="20"/>
          <w:szCs w:val="20"/>
          <w:lang w:val="en-US"/>
        </w:rPr>
        <w:t>will be applied</w:t>
      </w:r>
      <w:r w:rsidRPr="00CC562A">
        <w:rPr>
          <w:rFonts w:ascii="Cambria" w:eastAsia="Cambria" w:hAnsi="Cambria" w:cs="Cambria"/>
          <w:sz w:val="20"/>
          <w:szCs w:val="20"/>
          <w:lang w:val="en-US"/>
        </w:rPr>
        <w:t xml:space="preserve"> with respect to such crimes</w:t>
      </w:r>
      <w:r w:rsidR="0B3944D6" w:rsidRPr="00CC562A">
        <w:rPr>
          <w:rFonts w:ascii="Cambria" w:eastAsia="Cambria" w:hAnsi="Cambria" w:cs="Cambria"/>
          <w:sz w:val="20"/>
          <w:szCs w:val="20"/>
          <w:lang w:val="en-US"/>
        </w:rPr>
        <w:t>.</w:t>
      </w:r>
    </w:p>
    <w:p w14:paraId="61A68B8F" w14:textId="6F49C9F5" w:rsidR="005845AC" w:rsidRPr="00CC562A" w:rsidRDefault="00FB64AD" w:rsidP="00001918">
      <w:pPr>
        <w:numPr>
          <w:ilvl w:val="0"/>
          <w:numId w:val="2"/>
        </w:numPr>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sz w:val="20"/>
          <w:szCs w:val="20"/>
          <w:lang w:val="en-US"/>
        </w:rPr>
        <w:t>In addition, it indicated that the</w:t>
      </w:r>
      <w:r w:rsidR="0B3944D6" w:rsidRPr="00CC562A">
        <w:rPr>
          <w:rFonts w:ascii="Cambria" w:eastAsia="Cambria" w:hAnsi="Cambria" w:cs="Cambria"/>
          <w:sz w:val="20"/>
          <w:szCs w:val="20"/>
          <w:lang w:val="en-US"/>
        </w:rPr>
        <w:t xml:space="preserve"> </w:t>
      </w:r>
      <w:r w:rsidR="08E4D40F" w:rsidRPr="00CC562A">
        <w:rPr>
          <w:rFonts w:ascii="Cambria" w:eastAsia="Cambria" w:hAnsi="Cambria" w:cs="Cambria"/>
          <w:sz w:val="20"/>
          <w:szCs w:val="20"/>
          <w:lang w:val="en-US"/>
        </w:rPr>
        <w:t>FGR</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issued the Guidelines for the Operation of the National Registry of the Crime of Torture on November 30, </w:t>
      </w:r>
      <w:r w:rsidR="005160F8" w:rsidRPr="00CC562A">
        <w:rPr>
          <w:rFonts w:ascii="Cambria" w:eastAsia="Cambria" w:hAnsi="Cambria" w:cs="Cambria"/>
          <w:sz w:val="20"/>
          <w:szCs w:val="20"/>
          <w:lang w:val="en-US"/>
        </w:rPr>
        <w:t>2021,</w:t>
      </w:r>
      <w:r w:rsidRPr="00CC562A">
        <w:rPr>
          <w:rFonts w:ascii="Cambria" w:eastAsia="Cambria" w:hAnsi="Cambria" w:cs="Cambria"/>
          <w:sz w:val="20"/>
          <w:szCs w:val="20"/>
          <w:lang w:val="en-US"/>
        </w:rPr>
        <w:t xml:space="preserve"> to govern the workings, operations, cooperation, and administration of the National Registry of the Crime of Torture</w:t>
      </w:r>
      <w:r w:rsidR="0B3944D6" w:rsidRPr="00CC562A">
        <w:rPr>
          <w:rFonts w:ascii="Cambria" w:eastAsia="Cambria" w:hAnsi="Cambria" w:cs="Cambria"/>
          <w:sz w:val="20"/>
          <w:szCs w:val="20"/>
          <w:lang w:val="en-US"/>
        </w:rPr>
        <w:t>.</w:t>
      </w:r>
    </w:p>
    <w:p w14:paraId="67E6275D" w14:textId="675466F0" w:rsidR="005845AC" w:rsidRPr="00CC562A" w:rsidRDefault="00FB64AD" w:rsidP="00001918">
      <w:pPr>
        <w:numPr>
          <w:ilvl w:val="0"/>
          <w:numId w:val="2"/>
        </w:numPr>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sz w:val="20"/>
          <w:szCs w:val="20"/>
          <w:lang w:val="en-US"/>
        </w:rPr>
        <w:t xml:space="preserve">At the </w:t>
      </w:r>
      <w:r w:rsidR="0B3944D6" w:rsidRPr="00CC562A">
        <w:rPr>
          <w:rFonts w:ascii="Cambria" w:eastAsia="Cambria" w:hAnsi="Cambria" w:cs="Cambria"/>
          <w:sz w:val="20"/>
          <w:szCs w:val="20"/>
          <w:lang w:val="en-US"/>
        </w:rPr>
        <w:t xml:space="preserve">XLV </w:t>
      </w:r>
      <w:r w:rsidRPr="00CC562A">
        <w:rPr>
          <w:rFonts w:ascii="Cambria" w:eastAsia="Cambria" w:hAnsi="Cambria" w:cs="Cambria"/>
          <w:sz w:val="20"/>
          <w:szCs w:val="20"/>
          <w:lang w:val="en-US"/>
        </w:rPr>
        <w:t>Plenary Assembly of the National Conference of Judicial Prosecutors, the members approved the final version of the bases for collaboration in the National Registry of the Crime of Torture</w:t>
      </w:r>
      <w:r w:rsidR="0162F58A" w:rsidRPr="00CC562A">
        <w:rPr>
          <w:rFonts w:ascii="Cambria" w:eastAsia="Cambria" w:hAnsi="Cambria" w:cs="Cambria"/>
          <w:sz w:val="20"/>
          <w:szCs w:val="20"/>
          <w:lang w:val="en-US"/>
        </w:rPr>
        <w:t xml:space="preserve"> (RENADET)</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signed those bases and thus acceded to the Guidelines on the operation of the </w:t>
      </w:r>
      <w:r w:rsidR="0162F58A" w:rsidRPr="00CC562A">
        <w:rPr>
          <w:rFonts w:ascii="Cambria" w:eastAsia="Cambria" w:hAnsi="Cambria" w:cs="Cambria"/>
          <w:sz w:val="20"/>
          <w:szCs w:val="20"/>
          <w:lang w:val="en-US"/>
        </w:rPr>
        <w:t>RENADET</w:t>
      </w:r>
      <w:r w:rsidR="08E4D40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Sta</w:t>
      </w:r>
      <w:r w:rsidR="00A858CA"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e also reported that on April 8, </w:t>
      </w:r>
      <w:r w:rsidR="0B3944D6" w:rsidRPr="00CC562A">
        <w:rPr>
          <w:rFonts w:ascii="Cambria" w:eastAsia="Cambria" w:hAnsi="Cambria" w:cs="Cambria"/>
          <w:sz w:val="20"/>
          <w:szCs w:val="20"/>
          <w:lang w:val="en-US"/>
        </w:rPr>
        <w:t xml:space="preserve">2022, </w:t>
      </w:r>
      <w:r w:rsidRPr="00CC562A">
        <w:rPr>
          <w:rFonts w:ascii="Cambria" w:eastAsia="Cambria" w:hAnsi="Cambria" w:cs="Cambria"/>
          <w:sz w:val="20"/>
          <w:szCs w:val="20"/>
          <w:lang w:val="en-US"/>
        </w:rPr>
        <w:t xml:space="preserve">in compliance with the Guidelines on the operation of the </w:t>
      </w:r>
      <w:r w:rsidR="0162F58A" w:rsidRPr="00CC562A">
        <w:rPr>
          <w:rFonts w:ascii="Cambria" w:eastAsia="Cambria" w:hAnsi="Cambria" w:cs="Cambria"/>
          <w:sz w:val="20"/>
          <w:szCs w:val="20"/>
          <w:lang w:val="en-US"/>
        </w:rPr>
        <w:t>RENADET</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head of the National</w:t>
      </w:r>
      <w:r w:rsidR="007D5153" w:rsidRPr="00CC562A">
        <w:rPr>
          <w:rFonts w:ascii="Cambria" w:eastAsia="Cambria" w:hAnsi="Cambria" w:cs="Cambria"/>
          <w:sz w:val="20"/>
          <w:szCs w:val="20"/>
          <w:lang w:val="en-US"/>
        </w:rPr>
        <w:t xml:space="preserve"> Center for Planning, Analysis, and Information to Combat Crime published the Technical Annex of the Guidelines for the Operation of the </w:t>
      </w:r>
      <w:r w:rsidR="0162F58A" w:rsidRPr="00CC562A">
        <w:rPr>
          <w:rFonts w:ascii="Cambria" w:eastAsia="Cambria" w:hAnsi="Cambria" w:cs="Cambria"/>
          <w:sz w:val="20"/>
          <w:szCs w:val="20"/>
          <w:lang w:val="en-US"/>
        </w:rPr>
        <w:t xml:space="preserve">RENADET </w:t>
      </w:r>
      <w:r w:rsidR="007D5153" w:rsidRPr="00CC562A">
        <w:rPr>
          <w:rFonts w:ascii="Cambria" w:eastAsia="Cambria" w:hAnsi="Cambria" w:cs="Cambria"/>
          <w:sz w:val="20"/>
          <w:szCs w:val="20"/>
          <w:lang w:val="en-US"/>
        </w:rPr>
        <w:t xml:space="preserve">in the FGR’s </w:t>
      </w:r>
      <w:proofErr w:type="spellStart"/>
      <w:r w:rsidR="0B3944D6" w:rsidRPr="00CC562A">
        <w:rPr>
          <w:rFonts w:ascii="Cambria" w:eastAsia="Cambria" w:hAnsi="Cambria" w:cs="Cambria"/>
          <w:i/>
          <w:iCs/>
          <w:sz w:val="20"/>
          <w:szCs w:val="20"/>
          <w:lang w:val="en-US"/>
        </w:rPr>
        <w:t>Normateca</w:t>
      </w:r>
      <w:proofErr w:type="spellEnd"/>
      <w:r w:rsidR="0B3944D6" w:rsidRPr="00CC562A">
        <w:rPr>
          <w:rFonts w:ascii="Cambria" w:eastAsia="Cambria" w:hAnsi="Cambria" w:cs="Cambria"/>
          <w:i/>
          <w:iCs/>
          <w:sz w:val="20"/>
          <w:szCs w:val="20"/>
          <w:lang w:val="en-US"/>
        </w:rPr>
        <w:t xml:space="preserve"> </w:t>
      </w:r>
      <w:proofErr w:type="spellStart"/>
      <w:r w:rsidR="0B3944D6" w:rsidRPr="00CC562A">
        <w:rPr>
          <w:rFonts w:ascii="Cambria" w:eastAsia="Cambria" w:hAnsi="Cambria" w:cs="Cambria"/>
          <w:i/>
          <w:iCs/>
          <w:sz w:val="20"/>
          <w:szCs w:val="20"/>
          <w:lang w:val="en-US"/>
        </w:rPr>
        <w:t>Sustantiva</w:t>
      </w:r>
      <w:proofErr w:type="spellEnd"/>
      <w:r w:rsidR="0B3944D6" w:rsidRPr="00CC562A">
        <w:rPr>
          <w:rFonts w:ascii="Cambria" w:eastAsia="Cambria" w:hAnsi="Cambria" w:cs="Cambria"/>
          <w:sz w:val="20"/>
          <w:szCs w:val="20"/>
          <w:lang w:val="en-US"/>
        </w:rPr>
        <w:t>.</w:t>
      </w:r>
      <w:r w:rsidR="0B3944D6" w:rsidRPr="00CC562A">
        <w:rPr>
          <w:rFonts w:ascii="Cambria" w:eastAsia="Cambria" w:hAnsi="Cambria" w:cs="Cambria"/>
          <w:color w:val="000000" w:themeColor="text1"/>
          <w:sz w:val="20"/>
          <w:szCs w:val="20"/>
          <w:lang w:val="en-US"/>
        </w:rPr>
        <w:t xml:space="preserve"> </w:t>
      </w:r>
      <w:r w:rsidR="007D5153" w:rsidRPr="00CC562A">
        <w:rPr>
          <w:rFonts w:ascii="Cambria" w:eastAsia="Cambria" w:hAnsi="Cambria" w:cs="Cambria"/>
          <w:color w:val="000000" w:themeColor="text1"/>
          <w:sz w:val="20"/>
          <w:szCs w:val="20"/>
          <w:lang w:val="en-US"/>
        </w:rPr>
        <w:t xml:space="preserve">In addition, on April 28, </w:t>
      </w:r>
      <w:r w:rsidR="0B3944D6" w:rsidRPr="00CC562A">
        <w:rPr>
          <w:rFonts w:ascii="Cambria" w:eastAsia="Cambria" w:hAnsi="Cambria" w:cs="Cambria"/>
          <w:sz w:val="20"/>
          <w:szCs w:val="20"/>
          <w:lang w:val="en-US"/>
        </w:rPr>
        <w:t xml:space="preserve">2022, </w:t>
      </w:r>
      <w:r w:rsidR="007D5153" w:rsidRPr="00CC562A">
        <w:rPr>
          <w:rFonts w:ascii="Cambria" w:eastAsia="Cambria" w:hAnsi="Cambria" w:cs="Cambria"/>
          <w:sz w:val="20"/>
          <w:szCs w:val="20"/>
          <w:lang w:val="en-US"/>
        </w:rPr>
        <w:t>the Technical Secretariat of the National Conference o</w:t>
      </w:r>
      <w:r w:rsidR="00D50FAD" w:rsidRPr="00CC562A">
        <w:rPr>
          <w:rFonts w:ascii="Cambria" w:eastAsia="Cambria" w:hAnsi="Cambria" w:cs="Cambria"/>
          <w:sz w:val="20"/>
          <w:szCs w:val="20"/>
          <w:lang w:val="en-US"/>
        </w:rPr>
        <w:t xml:space="preserve">f Judicial Prosecutors disseminated </w:t>
      </w:r>
      <w:r w:rsidR="000A442F" w:rsidRPr="00CC562A">
        <w:rPr>
          <w:rFonts w:ascii="Cambria" w:eastAsia="Cambria" w:hAnsi="Cambria" w:cs="Cambria"/>
          <w:sz w:val="20"/>
          <w:szCs w:val="20"/>
          <w:lang w:val="en-US"/>
        </w:rPr>
        <w:t>those</w:t>
      </w:r>
      <w:r w:rsidR="00D50FAD" w:rsidRPr="00CC562A">
        <w:rPr>
          <w:rFonts w:ascii="Cambria" w:eastAsia="Cambria" w:hAnsi="Cambria" w:cs="Cambria"/>
          <w:sz w:val="20"/>
          <w:szCs w:val="20"/>
          <w:lang w:val="en-US"/>
        </w:rPr>
        <w:t xml:space="preserve"> guidelines for the ministerial staff</w:t>
      </w:r>
      <w:r w:rsidR="0162F58A" w:rsidRPr="00CC562A">
        <w:rPr>
          <w:rFonts w:ascii="Cambria" w:eastAsia="Cambria" w:hAnsi="Cambria" w:cs="Cambria"/>
          <w:sz w:val="20"/>
          <w:szCs w:val="20"/>
          <w:lang w:val="en-US"/>
        </w:rPr>
        <w:t>.</w:t>
      </w:r>
    </w:p>
    <w:p w14:paraId="03811153" w14:textId="07025805" w:rsidR="005845AC" w:rsidRPr="00CC562A" w:rsidRDefault="00D50FAD" w:rsidP="007677D2">
      <w:pPr>
        <w:numPr>
          <w:ilvl w:val="0"/>
          <w:numId w:val="2"/>
        </w:numPr>
        <w:spacing w:before="240" w:line="240" w:lineRule="auto"/>
        <w:ind w:left="0" w:firstLine="720"/>
        <w:jc w:val="both"/>
        <w:rPr>
          <w:rFonts w:ascii="Cambria" w:hAnsi="Cambria"/>
          <w:color w:val="000000" w:themeColor="text1"/>
          <w:sz w:val="20"/>
          <w:lang w:val="en-US"/>
        </w:rPr>
      </w:pPr>
      <w:r w:rsidRPr="00CC562A">
        <w:rPr>
          <w:rFonts w:ascii="Cambria" w:eastAsia="Cambria" w:hAnsi="Cambria" w:cs="Cambria"/>
          <w:sz w:val="20"/>
          <w:szCs w:val="20"/>
          <w:lang w:val="en-US"/>
        </w:rPr>
        <w:t xml:space="preserve">In addition, in the case of the Judicial Branch, it indicated that in April 2022 a training session was conducted on the Protocol for judging cases of torture and mistreatment. It was directed to federal and local judges, as well as personnel whose tasks focus on handling cases of this type. The objective of this training was to provide information on the content of that tool, which consists of more protective – national and </w:t>
      </w:r>
      <w:r w:rsidRPr="00CC562A">
        <w:rPr>
          <w:rFonts w:ascii="Cambria" w:eastAsia="Cambria" w:hAnsi="Cambria" w:cs="Cambria"/>
          <w:sz w:val="20"/>
          <w:szCs w:val="20"/>
          <w:lang w:val="en-US"/>
        </w:rPr>
        <w:lastRenderedPageBreak/>
        <w:t>international – standards in this area</w:t>
      </w:r>
      <w:r w:rsidR="0B3944D6" w:rsidRPr="00CC562A">
        <w:rPr>
          <w:rFonts w:ascii="Cambria" w:eastAsia="Cambria" w:hAnsi="Cambria" w:cs="Cambria"/>
          <w:sz w:val="20"/>
          <w:szCs w:val="20"/>
          <w:lang w:val="en-US"/>
        </w:rPr>
        <w:t>.</w:t>
      </w:r>
      <w:r w:rsidR="007677D2" w:rsidRPr="00CC562A">
        <w:rPr>
          <w:rFonts w:ascii="Cambria" w:hAnsi="Cambria"/>
          <w:sz w:val="20"/>
          <w:lang w:val="en-US"/>
        </w:rPr>
        <w:t xml:space="preserve"> </w:t>
      </w:r>
      <w:r w:rsidR="00862596" w:rsidRPr="00CC562A">
        <w:rPr>
          <w:rFonts w:ascii="Cambria" w:hAnsi="Cambria"/>
          <w:sz w:val="20"/>
          <w:lang w:val="en-US"/>
        </w:rPr>
        <w:t xml:space="preserve">It also indicated that on August 5, </w:t>
      </w:r>
      <w:r w:rsidR="007677D2" w:rsidRPr="00CC562A">
        <w:rPr>
          <w:rFonts w:ascii="Cambria" w:hAnsi="Cambria"/>
          <w:sz w:val="20"/>
          <w:lang w:val="en-US"/>
        </w:rPr>
        <w:t xml:space="preserve">2022, </w:t>
      </w:r>
      <w:r w:rsidR="00B72104" w:rsidRPr="00CC562A">
        <w:rPr>
          <w:rFonts w:ascii="Cambria" w:hAnsi="Cambria"/>
          <w:sz w:val="20"/>
          <w:lang w:val="en-US"/>
        </w:rPr>
        <w:t>the public prosecution institutions of the federative entities agreed to the National Program to Prevent and Punish Torture and Other Cruel, Inhuman, and Degrading Treatment or Punishment</w:t>
      </w:r>
      <w:r w:rsidR="007677D2" w:rsidRPr="00CC562A">
        <w:rPr>
          <w:rFonts w:ascii="Cambria" w:hAnsi="Cambria"/>
          <w:sz w:val="20"/>
          <w:lang w:val="en-US"/>
        </w:rPr>
        <w:t xml:space="preserve"> (PNT)</w:t>
      </w:r>
      <w:r w:rsidR="007677D2" w:rsidRPr="00CC562A">
        <w:rPr>
          <w:rStyle w:val="FootnoteReference"/>
          <w:rFonts w:ascii="Cambria" w:hAnsi="Cambria"/>
          <w:sz w:val="20"/>
          <w:lang w:val="en-US"/>
        </w:rPr>
        <w:t xml:space="preserve"> </w:t>
      </w:r>
      <w:r w:rsidR="00B72104" w:rsidRPr="00CC562A">
        <w:rPr>
          <w:rFonts w:ascii="Cambria" w:hAnsi="Cambria"/>
          <w:sz w:val="20"/>
          <w:lang w:val="en-US"/>
        </w:rPr>
        <w:t xml:space="preserve">developed by </w:t>
      </w:r>
      <w:r w:rsidR="00A92391" w:rsidRPr="00CC562A">
        <w:rPr>
          <w:rFonts w:ascii="Cambria" w:hAnsi="Cambria"/>
          <w:sz w:val="20"/>
          <w:lang w:val="en-US"/>
        </w:rPr>
        <w:t>the FGR’s</w:t>
      </w:r>
      <w:r w:rsidR="00BD497B" w:rsidRPr="00CC562A">
        <w:rPr>
          <w:rFonts w:ascii="Cambria" w:hAnsi="Cambria"/>
          <w:sz w:val="20"/>
          <w:lang w:val="en-US"/>
        </w:rPr>
        <w:t xml:space="preserve"> Special Prosecutor’s Office on Human Rights</w:t>
      </w:r>
      <w:r w:rsidR="007677D2" w:rsidRPr="00CC562A">
        <w:rPr>
          <w:rFonts w:ascii="Cambria" w:hAnsi="Cambria"/>
          <w:sz w:val="20"/>
          <w:lang w:val="en-US"/>
        </w:rPr>
        <w:t xml:space="preserve"> (FEMDH)</w:t>
      </w:r>
      <w:r w:rsidR="00BD497B" w:rsidRPr="00CC562A">
        <w:rPr>
          <w:rFonts w:ascii="Cambria" w:hAnsi="Cambria"/>
          <w:sz w:val="20"/>
          <w:lang w:val="en-US"/>
        </w:rPr>
        <w:t>.</w:t>
      </w:r>
      <w:r w:rsidR="007677D2" w:rsidRPr="00CC562A">
        <w:rPr>
          <w:rStyle w:val="FootnoteReference"/>
          <w:rFonts w:ascii="Cambria" w:hAnsi="Cambria"/>
          <w:sz w:val="20"/>
          <w:lang w:val="en-US"/>
        </w:rPr>
        <w:footnoteReference w:id="104"/>
      </w:r>
    </w:p>
    <w:p w14:paraId="10F15B7E" w14:textId="134E023C" w:rsidR="007E095F" w:rsidRPr="00CC562A" w:rsidRDefault="00D50FA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w:t>
      </w:r>
      <w:r w:rsidR="44C8D546" w:rsidRPr="00CC562A">
        <w:rPr>
          <w:rFonts w:ascii="Cambria" w:eastAsia="Cambria" w:hAnsi="Cambria" w:cs="Cambria"/>
          <w:sz w:val="20"/>
          <w:szCs w:val="20"/>
          <w:lang w:val="en-US"/>
        </w:rPr>
        <w:t xml:space="preserve"> </w:t>
      </w:r>
      <w:r w:rsidR="787B28DD" w:rsidRPr="00CC562A">
        <w:rPr>
          <w:rFonts w:ascii="Cambria" w:eastAsia="Cambria" w:hAnsi="Cambria" w:cs="Cambria"/>
          <w:sz w:val="20"/>
          <w:szCs w:val="20"/>
          <w:lang w:val="en-US"/>
        </w:rPr>
        <w:t>CMDPDH report</w:t>
      </w:r>
      <w:r w:rsidRPr="00CC562A">
        <w:rPr>
          <w:rFonts w:ascii="Cambria" w:eastAsia="Cambria" w:hAnsi="Cambria" w:cs="Cambria"/>
          <w:sz w:val="20"/>
          <w:szCs w:val="20"/>
          <w:lang w:val="en-US"/>
        </w:rPr>
        <w:t>ed</w:t>
      </w:r>
      <w:r w:rsidR="00A331D2" w:rsidRPr="00CC562A">
        <w:rPr>
          <w:rStyle w:val="FootnoteReference"/>
          <w:rFonts w:ascii="Cambria" w:eastAsia="Cambria" w:hAnsi="Cambria" w:cs="Cambria"/>
          <w:sz w:val="20"/>
          <w:szCs w:val="20"/>
          <w:lang w:val="en-US"/>
        </w:rPr>
        <w:footnoteReference w:id="105"/>
      </w:r>
      <w:r w:rsidR="787B28D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that, although the law has been in effect since</w:t>
      </w:r>
      <w:r w:rsidR="787B28DD" w:rsidRPr="00CC562A">
        <w:rPr>
          <w:rFonts w:ascii="Cambria" w:eastAsia="Cambria" w:hAnsi="Cambria" w:cs="Cambria"/>
          <w:sz w:val="20"/>
          <w:szCs w:val="20"/>
          <w:lang w:val="en-US"/>
        </w:rPr>
        <w:t xml:space="preserve"> 2017,</w:t>
      </w:r>
      <w:r w:rsidRPr="00CC562A">
        <w:rPr>
          <w:rFonts w:ascii="Cambria" w:eastAsia="Cambria" w:hAnsi="Cambria" w:cs="Cambria"/>
          <w:sz w:val="20"/>
          <w:szCs w:val="20"/>
          <w:lang w:val="en-US"/>
        </w:rPr>
        <w:t xml:space="preserve"> it has not been implemented</w:t>
      </w:r>
      <w:r w:rsidR="000A442F" w:rsidRPr="00CC562A">
        <w:rPr>
          <w:rFonts w:ascii="Cambria" w:eastAsia="Cambria" w:hAnsi="Cambria" w:cs="Cambria"/>
          <w:sz w:val="20"/>
          <w:szCs w:val="20"/>
          <w:lang w:val="en-US"/>
        </w:rPr>
        <w:t>. The FGR is largely responsible for this because its understanding of the</w:t>
      </w:r>
      <w:r w:rsidRPr="00CC562A">
        <w:rPr>
          <w:rFonts w:ascii="Cambria" w:eastAsia="Cambria" w:hAnsi="Cambria" w:cs="Cambria"/>
          <w:sz w:val="20"/>
          <w:szCs w:val="20"/>
          <w:lang w:val="en-US"/>
        </w:rPr>
        <w:t xml:space="preserve"> autonomy granted to it by the constitutional reform</w:t>
      </w:r>
      <w:r w:rsidR="000A442F" w:rsidRPr="00CC562A">
        <w:rPr>
          <w:rFonts w:ascii="Cambria" w:eastAsia="Cambria" w:hAnsi="Cambria" w:cs="Cambria"/>
          <w:sz w:val="20"/>
          <w:szCs w:val="20"/>
          <w:lang w:val="en-US"/>
        </w:rPr>
        <w:t xml:space="preserve"> is erroneous</w:t>
      </w:r>
      <w:r w:rsidRPr="00CC562A">
        <w:rPr>
          <w:rFonts w:ascii="Cambria" w:eastAsia="Cambria" w:hAnsi="Cambria" w:cs="Cambria"/>
          <w:sz w:val="20"/>
          <w:szCs w:val="20"/>
          <w:lang w:val="en-US"/>
        </w:rPr>
        <w:t xml:space="preserve">. In addition, it indicated that the practice of torture continues to recur, so that the basic rule on the prohibition of torture is violated in the country on a widespread and sometimes systematic basis. </w:t>
      </w:r>
      <w:r w:rsidR="000A442F" w:rsidRPr="00CC562A">
        <w:rPr>
          <w:rFonts w:ascii="Cambria" w:eastAsia="Cambria" w:hAnsi="Cambria" w:cs="Cambria"/>
          <w:sz w:val="20"/>
          <w:szCs w:val="20"/>
          <w:lang w:val="en-US"/>
        </w:rPr>
        <w:t>It</w:t>
      </w:r>
      <w:r w:rsidRPr="00CC562A">
        <w:rPr>
          <w:rFonts w:ascii="Cambria" w:eastAsia="Cambria" w:hAnsi="Cambria" w:cs="Cambria"/>
          <w:sz w:val="20"/>
          <w:szCs w:val="20"/>
          <w:lang w:val="en-US"/>
        </w:rPr>
        <w:t xml:space="preserve"> reported that in</w:t>
      </w:r>
      <w:r w:rsidR="071CE6CD" w:rsidRPr="00CC562A">
        <w:rPr>
          <w:rFonts w:ascii="Cambria" w:eastAsia="Cambria" w:hAnsi="Cambria" w:cs="Cambria"/>
          <w:sz w:val="20"/>
          <w:szCs w:val="20"/>
          <w:lang w:val="en-US"/>
        </w:rPr>
        <w:t xml:space="preserve"> </w:t>
      </w:r>
      <w:r w:rsidR="7907BF61" w:rsidRPr="00CC562A">
        <w:rPr>
          <w:rFonts w:ascii="Cambria" w:eastAsia="Cambria" w:hAnsi="Cambria" w:cs="Cambria"/>
          <w:sz w:val="20"/>
          <w:szCs w:val="20"/>
          <w:lang w:val="en-US"/>
        </w:rPr>
        <w:t xml:space="preserve">2022 </w:t>
      </w:r>
      <w:r w:rsidR="000A442F" w:rsidRPr="00CC562A">
        <w:rPr>
          <w:rFonts w:ascii="Cambria" w:eastAsia="Cambria" w:hAnsi="Cambria" w:cs="Cambria"/>
          <w:sz w:val="20"/>
          <w:szCs w:val="20"/>
          <w:lang w:val="en-US"/>
        </w:rPr>
        <w:t xml:space="preserve">meetings were </w:t>
      </w:r>
      <w:r w:rsidRPr="00CC562A">
        <w:rPr>
          <w:rFonts w:ascii="Cambria" w:eastAsia="Cambria" w:hAnsi="Cambria" w:cs="Cambria"/>
          <w:sz w:val="20"/>
          <w:szCs w:val="20"/>
          <w:lang w:val="en-US"/>
        </w:rPr>
        <w:t xml:space="preserve">held with the </w:t>
      </w:r>
      <w:r w:rsidR="7907BF61" w:rsidRPr="00CC562A">
        <w:rPr>
          <w:rFonts w:ascii="Cambria" w:eastAsia="Cambria" w:hAnsi="Cambria" w:cs="Cambria"/>
          <w:sz w:val="20"/>
          <w:szCs w:val="20"/>
          <w:lang w:val="en-US"/>
        </w:rPr>
        <w:t>SEGOB</w:t>
      </w:r>
      <w:r w:rsidRPr="00CC562A">
        <w:rPr>
          <w:rFonts w:ascii="Cambria" w:eastAsia="Cambria" w:hAnsi="Cambria" w:cs="Cambria"/>
          <w:sz w:val="20"/>
          <w:szCs w:val="20"/>
          <w:lang w:val="en-US"/>
        </w:rPr>
        <w:t xml:space="preserve"> and various civil society organizations to make revisions and provide observations</w:t>
      </w:r>
      <w:r w:rsidR="000A442F" w:rsidRPr="00CC562A">
        <w:rPr>
          <w:rFonts w:ascii="Cambria" w:eastAsia="Cambria" w:hAnsi="Cambria" w:cs="Cambria"/>
          <w:sz w:val="20"/>
          <w:szCs w:val="20"/>
          <w:lang w:val="en-US"/>
        </w:rPr>
        <w:t xml:space="preserve"> regarding</w:t>
      </w:r>
      <w:r w:rsidRPr="00CC562A">
        <w:rPr>
          <w:rFonts w:ascii="Cambria" w:eastAsia="Cambria" w:hAnsi="Cambria" w:cs="Cambria"/>
          <w:sz w:val="20"/>
          <w:szCs w:val="20"/>
          <w:lang w:val="en-US"/>
        </w:rPr>
        <w:t xml:space="preserve"> the National Program against Torture (hereinafter </w:t>
      </w:r>
      <w:r w:rsidR="7907BF61" w:rsidRPr="00CC562A">
        <w:rPr>
          <w:rFonts w:ascii="Cambria" w:eastAsia="Cambria" w:hAnsi="Cambria" w:cs="Cambria"/>
          <w:sz w:val="20"/>
          <w:szCs w:val="20"/>
          <w:lang w:val="en-US"/>
        </w:rPr>
        <w:t>“PNT”) pro</w:t>
      </w:r>
      <w:r w:rsidRPr="00CC562A">
        <w:rPr>
          <w:rFonts w:ascii="Cambria" w:eastAsia="Cambria" w:hAnsi="Cambria" w:cs="Cambria"/>
          <w:sz w:val="20"/>
          <w:szCs w:val="20"/>
          <w:lang w:val="en-US"/>
        </w:rPr>
        <w:t xml:space="preserve">posed by the </w:t>
      </w:r>
      <w:r w:rsidR="7907BF61" w:rsidRPr="00CC562A">
        <w:rPr>
          <w:rFonts w:ascii="Cambria" w:eastAsia="Cambria" w:hAnsi="Cambria" w:cs="Cambria"/>
          <w:sz w:val="20"/>
          <w:szCs w:val="20"/>
          <w:lang w:val="en-US"/>
        </w:rPr>
        <w:t xml:space="preserve">SEGOB, </w:t>
      </w:r>
      <w:r w:rsidR="005C33C1" w:rsidRPr="00CC562A">
        <w:rPr>
          <w:rFonts w:ascii="Cambria" w:eastAsia="Cambria" w:hAnsi="Cambria" w:cs="Cambria"/>
          <w:sz w:val="20"/>
          <w:szCs w:val="20"/>
          <w:lang w:val="en-US"/>
        </w:rPr>
        <w:t>which was to incorporate and publish the program in July. However, it reports that this has not happened nor have there been update</w:t>
      </w:r>
      <w:r w:rsidR="000A442F" w:rsidRPr="00CC562A">
        <w:rPr>
          <w:rFonts w:ascii="Cambria" w:eastAsia="Cambria" w:hAnsi="Cambria" w:cs="Cambria"/>
          <w:sz w:val="20"/>
          <w:szCs w:val="20"/>
          <w:lang w:val="en-US"/>
        </w:rPr>
        <w:t xml:space="preserve">s </w:t>
      </w:r>
      <w:r w:rsidR="005C33C1" w:rsidRPr="00CC562A">
        <w:rPr>
          <w:rFonts w:ascii="Cambria" w:eastAsia="Cambria" w:hAnsi="Cambria" w:cs="Cambria"/>
          <w:sz w:val="20"/>
          <w:szCs w:val="20"/>
          <w:lang w:val="en-US"/>
        </w:rPr>
        <w:t>since information was sent to the IACHR</w:t>
      </w:r>
      <w:r w:rsidR="7907BF61" w:rsidRPr="00CC562A">
        <w:rPr>
          <w:rFonts w:ascii="Cambria" w:eastAsia="Cambria" w:hAnsi="Cambria" w:cs="Cambria"/>
          <w:sz w:val="20"/>
          <w:szCs w:val="20"/>
          <w:lang w:val="en-US"/>
        </w:rPr>
        <w:t>.</w:t>
      </w:r>
    </w:p>
    <w:p w14:paraId="6B714626" w14:textId="5F6B3D9C" w:rsidR="00A06F2A" w:rsidRPr="00CC562A" w:rsidRDefault="005C33C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 PRODH Center indicated that in response to the FGR’s failure to publi</w:t>
      </w:r>
      <w:r w:rsidR="000A442F" w:rsidRPr="00CC562A">
        <w:rPr>
          <w:rFonts w:ascii="Cambria" w:eastAsia="Cambria" w:hAnsi="Cambria" w:cs="Cambria"/>
          <w:sz w:val="20"/>
          <w:szCs w:val="20"/>
          <w:lang w:val="en-US"/>
        </w:rPr>
        <w:t>sh</w:t>
      </w:r>
      <w:r w:rsidRPr="00CC562A">
        <w:rPr>
          <w:rFonts w:ascii="Cambria" w:eastAsia="Cambria" w:hAnsi="Cambria" w:cs="Cambria"/>
          <w:sz w:val="20"/>
          <w:szCs w:val="20"/>
          <w:lang w:val="en-US"/>
        </w:rPr>
        <w:t xml:space="preserve"> the</w:t>
      </w:r>
      <w:r w:rsidR="5E992440" w:rsidRPr="00CC562A">
        <w:rPr>
          <w:rFonts w:ascii="Cambria" w:eastAsia="Cambria" w:hAnsi="Cambria" w:cs="Cambria"/>
          <w:sz w:val="20"/>
          <w:szCs w:val="20"/>
          <w:lang w:val="en-US"/>
        </w:rPr>
        <w:t xml:space="preserve"> PNT </w:t>
      </w:r>
      <w:r w:rsidRPr="00CC562A">
        <w:rPr>
          <w:rFonts w:ascii="Cambria" w:eastAsia="Cambria" w:hAnsi="Cambria" w:cs="Cambria"/>
          <w:sz w:val="20"/>
          <w:szCs w:val="20"/>
          <w:lang w:val="en-US"/>
        </w:rPr>
        <w:t xml:space="preserve">various organizations included in the Observatory against Torture filed amparo appeal </w:t>
      </w:r>
      <w:r w:rsidR="000A442F" w:rsidRPr="00CC562A">
        <w:rPr>
          <w:rFonts w:ascii="Cambria" w:eastAsia="Cambria" w:hAnsi="Cambria" w:cs="Cambria"/>
          <w:sz w:val="20"/>
          <w:szCs w:val="20"/>
          <w:lang w:val="en-US"/>
        </w:rPr>
        <w:t>No.</w:t>
      </w:r>
      <w:r w:rsidR="5E992440" w:rsidRPr="00CC562A">
        <w:rPr>
          <w:rFonts w:ascii="Cambria" w:eastAsia="Cambria" w:hAnsi="Cambria" w:cs="Cambria"/>
          <w:sz w:val="20"/>
          <w:szCs w:val="20"/>
          <w:lang w:val="en-US"/>
        </w:rPr>
        <w:t xml:space="preserve">568/2022. </w:t>
      </w:r>
      <w:r w:rsidRPr="00CC562A">
        <w:rPr>
          <w:rFonts w:ascii="Cambria" w:eastAsia="Cambria" w:hAnsi="Cambria" w:cs="Cambria"/>
          <w:sz w:val="20"/>
          <w:szCs w:val="20"/>
          <w:lang w:val="en-US"/>
        </w:rPr>
        <w:t>In response to admission of the amparo appeal, the</w:t>
      </w:r>
      <w:r w:rsidR="5E992440" w:rsidRPr="00CC562A">
        <w:rPr>
          <w:rFonts w:ascii="Cambria" w:eastAsia="Cambria" w:hAnsi="Cambria" w:cs="Cambria"/>
          <w:sz w:val="20"/>
          <w:szCs w:val="20"/>
          <w:lang w:val="en-US"/>
        </w:rPr>
        <w:t xml:space="preserve"> FGR </w:t>
      </w:r>
      <w:r w:rsidRPr="00CC562A">
        <w:rPr>
          <w:rFonts w:ascii="Cambria" w:eastAsia="Cambria" w:hAnsi="Cambria" w:cs="Cambria"/>
          <w:sz w:val="20"/>
          <w:szCs w:val="20"/>
          <w:lang w:val="en-US"/>
        </w:rPr>
        <w:t xml:space="preserve">submitted a complaint against that </w:t>
      </w:r>
      <w:r w:rsidR="001F7BDA" w:rsidRPr="00CC562A">
        <w:rPr>
          <w:rFonts w:ascii="Cambria" w:eastAsia="Cambria" w:hAnsi="Cambria" w:cs="Cambria"/>
          <w:sz w:val="20"/>
          <w:szCs w:val="20"/>
          <w:lang w:val="en-US"/>
        </w:rPr>
        <w:t>ruling</w:t>
      </w:r>
      <w:r w:rsidRPr="00CC562A">
        <w:rPr>
          <w:rFonts w:ascii="Cambria" w:eastAsia="Cambria" w:hAnsi="Cambria" w:cs="Cambria"/>
          <w:sz w:val="20"/>
          <w:szCs w:val="20"/>
          <w:lang w:val="en-US"/>
        </w:rPr>
        <w:t xml:space="preserve"> based on its view that the organization</w:t>
      </w:r>
      <w:r w:rsidR="001F7BDA"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pursuing it are authorities responsible for creating and implementing that program and the fact that it is not in operation is their responsibility. Said appeal was resolved negatively by the Tenth Collegiate Court in Administrative Matters of the First Circuit as being notably inadmissible. The lack of a public policy of this type has prevented the authorities from acting in a coordinated way to eradicate this serious human rights violation, which to date means that thousands of acts of torture and victims continue to accumulate, as evidenced by complaint</w:t>
      </w:r>
      <w:r w:rsidR="004E08F9" w:rsidRPr="00CC562A">
        <w:rPr>
          <w:rFonts w:ascii="Cambria" w:eastAsia="Cambria" w:hAnsi="Cambria" w:cs="Cambria"/>
          <w:sz w:val="20"/>
          <w:szCs w:val="20"/>
          <w:lang w:val="en-US"/>
        </w:rPr>
        <w:t xml:space="preserve">s filed with prosecutors and complaints made to human rights commissions. </w:t>
      </w:r>
      <w:r w:rsidR="001F7BDA" w:rsidRPr="00CC562A">
        <w:rPr>
          <w:rFonts w:ascii="Cambria" w:eastAsia="Cambria" w:hAnsi="Cambria" w:cs="Cambria"/>
          <w:sz w:val="20"/>
          <w:szCs w:val="20"/>
          <w:lang w:val="en-US"/>
        </w:rPr>
        <w:t>The PRODH Center also</w:t>
      </w:r>
      <w:r w:rsidR="004E08F9" w:rsidRPr="00CC562A">
        <w:rPr>
          <w:rFonts w:ascii="Cambria" w:eastAsia="Cambria" w:hAnsi="Cambria" w:cs="Cambria"/>
          <w:sz w:val="20"/>
          <w:szCs w:val="20"/>
          <w:lang w:val="en-US"/>
        </w:rPr>
        <w:t xml:space="preserve"> emphasizes that</w:t>
      </w:r>
      <w:r w:rsidR="5E992440" w:rsidRPr="00CC562A">
        <w:rPr>
          <w:rFonts w:ascii="Cambria" w:eastAsia="Cambria" w:hAnsi="Cambria" w:cs="Cambria"/>
          <w:sz w:val="20"/>
          <w:szCs w:val="20"/>
          <w:lang w:val="en-US"/>
        </w:rPr>
        <w:t xml:space="preserve"> </w:t>
      </w:r>
      <w:r w:rsidR="004E08F9" w:rsidRPr="00CC562A">
        <w:rPr>
          <w:rFonts w:ascii="Cambria" w:eastAsia="Cambria" w:hAnsi="Cambria" w:cs="Cambria"/>
          <w:sz w:val="20"/>
          <w:szCs w:val="20"/>
          <w:lang w:val="en-US"/>
        </w:rPr>
        <w:t>the</w:t>
      </w:r>
      <w:r w:rsidR="5E992440" w:rsidRPr="00CC562A">
        <w:rPr>
          <w:rFonts w:ascii="Cambria" w:eastAsia="Cambria" w:hAnsi="Cambria" w:cs="Cambria"/>
          <w:sz w:val="20"/>
          <w:szCs w:val="20"/>
          <w:lang w:val="en-US"/>
        </w:rPr>
        <w:t xml:space="preserve"> FGR conv</w:t>
      </w:r>
      <w:r w:rsidR="004E08F9" w:rsidRPr="00CC562A">
        <w:rPr>
          <w:rFonts w:ascii="Cambria" w:eastAsia="Cambria" w:hAnsi="Cambria" w:cs="Cambria"/>
          <w:sz w:val="20"/>
          <w:szCs w:val="20"/>
          <w:lang w:val="en-US"/>
        </w:rPr>
        <w:t xml:space="preserve">ened a working meeting </w:t>
      </w:r>
      <w:r w:rsidR="001F7BDA" w:rsidRPr="00CC562A">
        <w:rPr>
          <w:rFonts w:ascii="Cambria" w:eastAsia="Cambria" w:hAnsi="Cambria" w:cs="Cambria"/>
          <w:sz w:val="20"/>
          <w:szCs w:val="20"/>
          <w:lang w:val="en-US"/>
        </w:rPr>
        <w:t xml:space="preserve">in April 2022 </w:t>
      </w:r>
      <w:r w:rsidR="004E08F9" w:rsidRPr="00CC562A">
        <w:rPr>
          <w:rFonts w:ascii="Cambria" w:eastAsia="Cambria" w:hAnsi="Cambria" w:cs="Cambria"/>
          <w:sz w:val="20"/>
          <w:szCs w:val="20"/>
          <w:lang w:val="en-US"/>
        </w:rPr>
        <w:t xml:space="preserve">to </w:t>
      </w:r>
      <w:r w:rsidR="001F7BDA" w:rsidRPr="00CC562A">
        <w:rPr>
          <w:rFonts w:ascii="Cambria" w:eastAsia="Cambria" w:hAnsi="Cambria" w:cs="Cambria"/>
          <w:sz w:val="20"/>
          <w:szCs w:val="20"/>
          <w:lang w:val="en-US"/>
        </w:rPr>
        <w:t>reinstate</w:t>
      </w:r>
      <w:r w:rsidR="004E08F9" w:rsidRPr="00CC562A">
        <w:rPr>
          <w:rFonts w:ascii="Cambria" w:eastAsia="Cambria" w:hAnsi="Cambria" w:cs="Cambria"/>
          <w:sz w:val="20"/>
          <w:szCs w:val="20"/>
          <w:lang w:val="en-US"/>
        </w:rPr>
        <w:t xml:space="preserve"> the task forces in which the PNT had been constructed, where the institutions agreed that the PNT Evaluation Committee would meet on June 26, which did not happen</w:t>
      </w:r>
      <w:r w:rsidR="5E992440" w:rsidRPr="00CC562A">
        <w:rPr>
          <w:rFonts w:ascii="Cambria" w:eastAsia="Cambria" w:hAnsi="Cambria" w:cs="Cambria"/>
          <w:sz w:val="20"/>
          <w:szCs w:val="20"/>
          <w:lang w:val="en-US"/>
        </w:rPr>
        <w:t xml:space="preserve">. </w:t>
      </w:r>
      <w:sdt>
        <w:sdtPr>
          <w:rPr>
            <w:rFonts w:ascii="Cambria" w:eastAsia="Cambria" w:hAnsi="Cambria" w:cs="Cambria"/>
            <w:color w:val="2B579A"/>
            <w:sz w:val="20"/>
            <w:szCs w:val="20"/>
            <w:shd w:val="clear" w:color="auto" w:fill="E6E6E6"/>
            <w:lang w:val="en-US"/>
          </w:rPr>
          <w:tag w:val="goog_rdk_80"/>
          <w:id w:val="1384315066"/>
          <w:placeholder>
            <w:docPart w:val="DefaultPlaceholder_1081868574"/>
          </w:placeholder>
          <w:showingPlcHdr/>
        </w:sdtPr>
        <w:sdtContent/>
      </w:sdt>
    </w:p>
    <w:p w14:paraId="2EBADA39" w14:textId="41970F34" w:rsidR="000204EB" w:rsidRPr="00CC562A" w:rsidRDefault="004E08F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Regarding the implementation of the PNT, the State provided no information. Through the</w:t>
      </w:r>
      <w:r w:rsidR="68FAD598" w:rsidRPr="00CC562A">
        <w:rPr>
          <w:rFonts w:ascii="Cambria" w:hAnsi="Cambria"/>
          <w:sz w:val="20"/>
          <w:szCs w:val="20"/>
          <w:lang w:val="en-US"/>
        </w:rPr>
        <w:t xml:space="preserve"> CMDPDH, </w:t>
      </w:r>
      <w:r w:rsidRPr="00CC562A">
        <w:rPr>
          <w:rFonts w:ascii="Cambria" w:hAnsi="Cambria"/>
          <w:sz w:val="20"/>
          <w:szCs w:val="20"/>
          <w:lang w:val="en-US"/>
        </w:rPr>
        <w:t xml:space="preserve">the Commission is informed that members of the </w:t>
      </w:r>
      <w:r w:rsidR="68FAD598" w:rsidRPr="00CC562A">
        <w:rPr>
          <w:rFonts w:ascii="Cambria" w:hAnsi="Cambria"/>
          <w:sz w:val="20"/>
          <w:szCs w:val="20"/>
          <w:lang w:val="en-US"/>
        </w:rPr>
        <w:t>SEGOB ha</w:t>
      </w:r>
      <w:r w:rsidRPr="00CC562A">
        <w:rPr>
          <w:rFonts w:ascii="Cambria" w:hAnsi="Cambria"/>
          <w:sz w:val="20"/>
          <w:szCs w:val="20"/>
          <w:lang w:val="en-US"/>
        </w:rPr>
        <w:t>ve held meetings with civil society organizations for the discussion, review, preparation, and design of the</w:t>
      </w:r>
      <w:r w:rsidR="68FAD598" w:rsidRPr="00CC562A">
        <w:rPr>
          <w:rFonts w:ascii="Cambria" w:hAnsi="Cambria"/>
          <w:sz w:val="20"/>
          <w:szCs w:val="20"/>
          <w:lang w:val="en-US"/>
        </w:rPr>
        <w:t xml:space="preserve"> PNT</w:t>
      </w:r>
      <w:r w:rsidRPr="00CC562A">
        <w:rPr>
          <w:rFonts w:ascii="Cambria" w:hAnsi="Cambria"/>
          <w:sz w:val="20"/>
          <w:szCs w:val="20"/>
          <w:lang w:val="en-US"/>
        </w:rPr>
        <w:t>. However, said actions have not made any considerable progress.</w:t>
      </w:r>
      <w:r w:rsidR="000204EB" w:rsidRPr="00CC562A">
        <w:rPr>
          <w:rStyle w:val="FootnoteReference"/>
          <w:rFonts w:ascii="Cambria" w:hAnsi="Cambria"/>
          <w:sz w:val="20"/>
          <w:szCs w:val="20"/>
          <w:lang w:val="en-US"/>
        </w:rPr>
        <w:footnoteReference w:id="106"/>
      </w:r>
    </w:p>
    <w:p w14:paraId="14FBC1CA" w14:textId="400ABB64" w:rsidR="00C66010" w:rsidRPr="00CC562A" w:rsidRDefault="004E08F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Commission notes what civil society organizations have expressed regarding compliance with the recommendation on the </w:t>
      </w:r>
      <w:r w:rsidR="68FAD598" w:rsidRPr="00CC562A">
        <w:rPr>
          <w:rFonts w:ascii="Cambria" w:hAnsi="Cambria"/>
          <w:sz w:val="20"/>
          <w:szCs w:val="20"/>
          <w:lang w:val="en-US"/>
        </w:rPr>
        <w:t xml:space="preserve">PNT. </w:t>
      </w:r>
      <w:r w:rsidRPr="00CC562A">
        <w:rPr>
          <w:rFonts w:ascii="Cambria" w:hAnsi="Cambria"/>
          <w:sz w:val="20"/>
          <w:szCs w:val="20"/>
          <w:lang w:val="en-US"/>
        </w:rPr>
        <w:t>In this regard, the State should be reminded that the creation of the</w:t>
      </w:r>
      <w:r w:rsidR="68FAD598" w:rsidRPr="00CC562A">
        <w:rPr>
          <w:rFonts w:ascii="Cambria" w:hAnsi="Cambria"/>
          <w:sz w:val="20"/>
          <w:szCs w:val="20"/>
          <w:lang w:val="en-US"/>
        </w:rPr>
        <w:t xml:space="preserve"> PNT </w:t>
      </w:r>
      <w:r w:rsidRPr="00CC562A">
        <w:rPr>
          <w:rFonts w:ascii="Cambria" w:hAnsi="Cambria"/>
          <w:sz w:val="20"/>
          <w:szCs w:val="20"/>
          <w:lang w:val="en-US"/>
        </w:rPr>
        <w:t>derives from the provisions of the General Law on Torture, which is the subject of analysis in this section, so that it is of interest for the recommendation that the measure comply with the purposes established therein</w:t>
      </w:r>
      <w:r w:rsidR="68FAD598" w:rsidRPr="00CC562A">
        <w:rPr>
          <w:rFonts w:ascii="Cambria" w:hAnsi="Cambria"/>
          <w:sz w:val="20"/>
          <w:szCs w:val="20"/>
          <w:lang w:val="en-US"/>
        </w:rPr>
        <w:t xml:space="preserve">. </w:t>
      </w:r>
    </w:p>
    <w:p w14:paraId="772D30A2" w14:textId="444645A8" w:rsidR="00861D6F" w:rsidRPr="00CC562A" w:rsidRDefault="00237512"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view of the first part of the recommendation to adopt a General </w:t>
      </w:r>
      <w:r w:rsidR="001F7BDA" w:rsidRPr="00CC562A">
        <w:rPr>
          <w:rFonts w:ascii="Cambria" w:eastAsia="Cambria" w:hAnsi="Cambria" w:cs="Cambria"/>
          <w:sz w:val="20"/>
          <w:szCs w:val="20"/>
          <w:lang w:val="en-US"/>
        </w:rPr>
        <w:t>L</w:t>
      </w:r>
      <w:r w:rsidRPr="00CC562A">
        <w:rPr>
          <w:rFonts w:ascii="Cambria" w:eastAsia="Cambria" w:hAnsi="Cambria" w:cs="Cambria"/>
          <w:sz w:val="20"/>
          <w:szCs w:val="20"/>
          <w:lang w:val="en-US"/>
        </w:rPr>
        <w:t>aw on Torture and other cruel, inhuman, or degrading treatment or punishment, the Commission has already recognized total compliance under this heading since the 2019 Annual Report.</w:t>
      </w:r>
      <w:r w:rsidR="00861D6F" w:rsidRPr="00CC562A">
        <w:rPr>
          <w:rFonts w:ascii="Cambria" w:eastAsia="Cambria" w:hAnsi="Cambria" w:cs="Cambria"/>
          <w:sz w:val="20"/>
          <w:szCs w:val="20"/>
          <w:vertAlign w:val="superscript"/>
          <w:lang w:val="en-US"/>
        </w:rPr>
        <w:footnoteReference w:id="107"/>
      </w:r>
      <w:r w:rsidRPr="00CC562A">
        <w:rPr>
          <w:rFonts w:ascii="Cambria" w:eastAsia="Cambria" w:hAnsi="Cambria" w:cs="Cambria"/>
          <w:sz w:val="20"/>
          <w:szCs w:val="20"/>
          <w:lang w:val="en-US"/>
        </w:rPr>
        <w:t xml:space="preserve"> The Commission notes that </w:t>
      </w:r>
      <w:r w:rsidR="352C5F78" w:rsidRPr="00CC562A">
        <w:rPr>
          <w:rFonts w:ascii="Cambria" w:eastAsia="Cambria" w:hAnsi="Cambria" w:cs="Cambria"/>
          <w:sz w:val="20"/>
          <w:szCs w:val="20"/>
          <w:lang w:val="en-US"/>
        </w:rPr>
        <w:t xml:space="preserve">26 </w:t>
      </w:r>
      <w:r w:rsidRPr="00CC562A">
        <w:rPr>
          <w:rFonts w:ascii="Cambria" w:eastAsia="Cambria" w:hAnsi="Cambria" w:cs="Cambria"/>
          <w:sz w:val="20"/>
          <w:szCs w:val="20"/>
          <w:lang w:val="en-US"/>
        </w:rPr>
        <w:t xml:space="preserve">of the </w:t>
      </w:r>
      <w:r w:rsidR="352C5F78" w:rsidRPr="00CC562A">
        <w:rPr>
          <w:rFonts w:ascii="Cambria" w:eastAsia="Cambria" w:hAnsi="Cambria" w:cs="Cambria"/>
          <w:sz w:val="20"/>
          <w:szCs w:val="20"/>
          <w:lang w:val="en-US"/>
        </w:rPr>
        <w:t xml:space="preserve">32 </w:t>
      </w:r>
      <w:r w:rsidR="00365543"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have legislatively harmonized</w:t>
      </w:r>
      <w:r w:rsidR="001F7BDA" w:rsidRPr="00CC562A">
        <w:rPr>
          <w:rFonts w:ascii="Cambria" w:eastAsia="Cambria" w:hAnsi="Cambria" w:cs="Cambria"/>
          <w:sz w:val="20"/>
          <w:szCs w:val="20"/>
          <w:lang w:val="en-US"/>
        </w:rPr>
        <w:t xml:space="preserve"> their laws with</w:t>
      </w:r>
      <w:r w:rsidRPr="00CC562A">
        <w:rPr>
          <w:rFonts w:ascii="Cambria" w:eastAsia="Cambria" w:hAnsi="Cambria" w:cs="Cambria"/>
          <w:sz w:val="20"/>
          <w:szCs w:val="20"/>
          <w:lang w:val="en-US"/>
        </w:rPr>
        <w:t xml:space="preserve"> the international standards in the area of torture based on the </w:t>
      </w:r>
      <w:r w:rsidRPr="00CC562A">
        <w:rPr>
          <w:rFonts w:ascii="Cambria" w:eastAsia="Cambria" w:hAnsi="Cambria" w:cs="Cambria"/>
          <w:sz w:val="20"/>
          <w:szCs w:val="20"/>
          <w:lang w:val="en-US"/>
        </w:rPr>
        <w:lastRenderedPageBreak/>
        <w:t>creation of special laws.</w:t>
      </w:r>
      <w:r w:rsidR="00861D6F" w:rsidRPr="00CC562A">
        <w:rPr>
          <w:rFonts w:ascii="Cambria" w:eastAsia="Cambria" w:hAnsi="Cambria" w:cs="Cambria"/>
          <w:sz w:val="20"/>
          <w:szCs w:val="20"/>
          <w:vertAlign w:val="superscript"/>
          <w:lang w:val="en-US"/>
        </w:rPr>
        <w:footnoteReference w:id="108"/>
      </w:r>
      <w:r w:rsidRPr="00CC562A">
        <w:rPr>
          <w:rFonts w:ascii="Cambria" w:eastAsia="Cambria" w:hAnsi="Cambria" w:cs="Cambria"/>
          <w:sz w:val="20"/>
          <w:szCs w:val="20"/>
          <w:lang w:val="en-US"/>
        </w:rPr>
        <w:t xml:space="preserve"> In addition, the State indicated that the remaining </w:t>
      </w:r>
      <w:r w:rsidR="00365543"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were in the process of complying</w:t>
      </w:r>
      <w:r w:rsidR="001F7BDA"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with monitoring and support from the </w:t>
      </w:r>
      <w:r w:rsidR="0162F58A" w:rsidRPr="00CC562A">
        <w:rPr>
          <w:rFonts w:ascii="Cambria" w:eastAsia="Cambria" w:hAnsi="Cambria" w:cs="Cambria"/>
          <w:sz w:val="20"/>
          <w:szCs w:val="20"/>
          <w:lang w:val="en-US"/>
        </w:rPr>
        <w:t>CNDH</w:t>
      </w:r>
      <w:r w:rsidRPr="00CC562A">
        <w:rPr>
          <w:rFonts w:ascii="Cambria" w:eastAsia="Cambria" w:hAnsi="Cambria" w:cs="Cambria"/>
          <w:sz w:val="20"/>
          <w:szCs w:val="20"/>
          <w:lang w:val="en-US"/>
        </w:rPr>
        <w:t>.</w:t>
      </w:r>
      <w:r w:rsidR="00861D6F" w:rsidRPr="00CC562A">
        <w:rPr>
          <w:rFonts w:ascii="Cambria" w:eastAsia="Cambria" w:hAnsi="Cambria" w:cs="Cambria"/>
          <w:sz w:val="20"/>
          <w:szCs w:val="20"/>
          <w:vertAlign w:val="superscript"/>
          <w:lang w:val="en-US"/>
        </w:rPr>
        <w:footnoteReference w:id="109"/>
      </w:r>
      <w:r w:rsidRPr="00CC562A">
        <w:rPr>
          <w:rFonts w:ascii="Cambria" w:eastAsia="Cambria" w:hAnsi="Cambria" w:cs="Cambria"/>
          <w:sz w:val="20"/>
          <w:szCs w:val="20"/>
          <w:lang w:val="en-US"/>
        </w:rPr>
        <w:t xml:space="preserve"> However, they recognize for the moment the application of the General Law on Torture. The IACHR recognizes the State’s progress in response to the recommendation on legislative harmonization. To strengthen the prior assertion from a legal perspective,</w:t>
      </w:r>
      <w:r w:rsidR="352C5F78" w:rsidRPr="00CC562A">
        <w:rPr>
          <w:rFonts w:ascii="Cambria" w:eastAsia="Cambria" w:hAnsi="Cambria" w:cs="Cambria"/>
          <w:sz w:val="20"/>
          <w:szCs w:val="20"/>
          <w:lang w:val="en-US"/>
        </w:rPr>
        <w:t xml:space="preserve"> </w:t>
      </w:r>
      <w:r w:rsidR="00BF796B" w:rsidRPr="00CC562A">
        <w:rPr>
          <w:rFonts w:ascii="Cambria" w:eastAsia="Cambria" w:hAnsi="Cambria" w:cs="Cambria"/>
          <w:sz w:val="20"/>
          <w:szCs w:val="20"/>
          <w:lang w:val="en-US"/>
        </w:rPr>
        <w:t>the Commission does not fail to note the content of the third transitory article of the General Law on Torture,</w:t>
      </w:r>
      <w:r w:rsidR="00861D6F" w:rsidRPr="00CC562A">
        <w:rPr>
          <w:rFonts w:ascii="Cambria" w:eastAsia="Cambria" w:hAnsi="Cambria" w:cs="Cambria"/>
          <w:sz w:val="20"/>
          <w:szCs w:val="20"/>
          <w:vertAlign w:val="superscript"/>
          <w:lang w:val="en-US"/>
        </w:rPr>
        <w:footnoteReference w:id="110"/>
      </w:r>
      <w:r w:rsidR="352C5F78" w:rsidRPr="00CC562A">
        <w:rPr>
          <w:rFonts w:ascii="Cambria" w:eastAsia="Cambria" w:hAnsi="Cambria" w:cs="Cambria"/>
          <w:sz w:val="20"/>
          <w:szCs w:val="20"/>
          <w:vertAlign w:val="superscript"/>
          <w:lang w:val="en-US"/>
        </w:rPr>
        <w:t xml:space="preserve"> </w:t>
      </w:r>
      <w:r w:rsidR="00BF796B" w:rsidRPr="00CC562A">
        <w:rPr>
          <w:rFonts w:ascii="Cambria" w:eastAsia="Cambria" w:hAnsi="Cambria" w:cs="Cambria"/>
          <w:sz w:val="20"/>
          <w:szCs w:val="20"/>
          <w:lang w:val="en-US"/>
        </w:rPr>
        <w:t xml:space="preserve">which requires the </w:t>
      </w:r>
      <w:r w:rsidR="00365543" w:rsidRPr="00CC562A">
        <w:rPr>
          <w:rFonts w:ascii="Cambria" w:eastAsia="Cambria" w:hAnsi="Cambria" w:cs="Cambria"/>
          <w:sz w:val="20"/>
          <w:szCs w:val="20"/>
          <w:lang w:val="en-US"/>
        </w:rPr>
        <w:t>states</w:t>
      </w:r>
      <w:r w:rsidR="00BF796B" w:rsidRPr="00CC562A">
        <w:rPr>
          <w:rFonts w:ascii="Cambria" w:eastAsia="Cambria" w:hAnsi="Cambria" w:cs="Cambria"/>
          <w:sz w:val="20"/>
          <w:szCs w:val="20"/>
          <w:lang w:val="en-US"/>
        </w:rPr>
        <w:t>, within a period of 180 days from the entry into force of that law</w:t>
      </w:r>
      <w:r w:rsidR="352C5F78" w:rsidRPr="00CC562A">
        <w:rPr>
          <w:rFonts w:ascii="Cambria" w:eastAsia="Cambria" w:hAnsi="Cambria" w:cs="Cambria"/>
          <w:sz w:val="20"/>
          <w:szCs w:val="20"/>
          <w:lang w:val="en-US"/>
        </w:rPr>
        <w:t xml:space="preserve"> (2017), </w:t>
      </w:r>
      <w:r w:rsidR="00BF796B" w:rsidRPr="00CC562A">
        <w:rPr>
          <w:rFonts w:ascii="Cambria" w:eastAsia="Cambria" w:hAnsi="Cambria" w:cs="Cambria"/>
          <w:sz w:val="20"/>
          <w:szCs w:val="20"/>
          <w:lang w:val="en-US"/>
        </w:rPr>
        <w:t>to legislatively harmonize the normative content so as to prevent, investigate, and punish torture and other cruel, inhuman, or degrading treatments or penalties in accordance with international standards.</w:t>
      </w:r>
      <w:r w:rsidR="352C5F78" w:rsidRPr="00CC562A">
        <w:rPr>
          <w:rFonts w:ascii="Cambria" w:eastAsia="Cambria" w:hAnsi="Cambria" w:cs="Cambria"/>
          <w:sz w:val="20"/>
          <w:szCs w:val="20"/>
          <w:lang w:val="en-US"/>
        </w:rPr>
        <w:t xml:space="preserve"> </w:t>
      </w:r>
    </w:p>
    <w:p w14:paraId="234CC7AD" w14:textId="2A917DD1" w:rsidR="00522749" w:rsidRPr="00CC562A" w:rsidRDefault="00BF796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Commission </w:t>
      </w:r>
      <w:r w:rsidR="001F7BDA" w:rsidRPr="00CC562A">
        <w:rPr>
          <w:rFonts w:ascii="Cambria" w:hAnsi="Cambria"/>
          <w:sz w:val="20"/>
          <w:szCs w:val="20"/>
          <w:lang w:val="en-US"/>
        </w:rPr>
        <w:t xml:space="preserve">views the State as being in </w:t>
      </w:r>
      <w:r w:rsidRPr="00CC562A">
        <w:rPr>
          <w:rFonts w:ascii="Cambria" w:hAnsi="Cambria"/>
          <w:b/>
          <w:bCs/>
          <w:sz w:val="20"/>
          <w:szCs w:val="20"/>
          <w:lang w:val="en-US"/>
        </w:rPr>
        <w:t xml:space="preserve">partial compliance </w:t>
      </w:r>
      <w:r w:rsidRPr="00CC562A">
        <w:rPr>
          <w:rFonts w:ascii="Cambria" w:hAnsi="Cambria"/>
          <w:sz w:val="20"/>
          <w:szCs w:val="20"/>
          <w:lang w:val="en-US"/>
        </w:rPr>
        <w:t>with the recommendation in that it has established regulatory measures on the</w:t>
      </w:r>
      <w:r w:rsidR="68FAD598" w:rsidRPr="00CC562A">
        <w:rPr>
          <w:rFonts w:ascii="Cambria" w:hAnsi="Cambria"/>
          <w:sz w:val="20"/>
          <w:szCs w:val="20"/>
          <w:lang w:val="en-US"/>
        </w:rPr>
        <w:t xml:space="preserve"> </w:t>
      </w:r>
      <w:r w:rsidR="0162F58A" w:rsidRPr="00CC562A">
        <w:rPr>
          <w:rFonts w:ascii="Cambria" w:hAnsi="Cambria"/>
          <w:sz w:val="20"/>
          <w:szCs w:val="20"/>
          <w:lang w:val="en-US"/>
        </w:rPr>
        <w:t>RENADET</w:t>
      </w:r>
      <w:r w:rsidRPr="00CC562A">
        <w:rPr>
          <w:rFonts w:ascii="Cambria" w:hAnsi="Cambria"/>
          <w:sz w:val="20"/>
          <w:szCs w:val="20"/>
          <w:lang w:val="en-US"/>
        </w:rPr>
        <w:t xml:space="preserve">. However, implementation of the National Register has </w:t>
      </w:r>
      <w:r w:rsidR="001F7BDA" w:rsidRPr="00CC562A">
        <w:rPr>
          <w:rFonts w:ascii="Cambria" w:hAnsi="Cambria"/>
          <w:sz w:val="20"/>
          <w:szCs w:val="20"/>
          <w:lang w:val="en-US"/>
        </w:rPr>
        <w:t>failed to meet</w:t>
      </w:r>
      <w:r w:rsidRPr="00CC562A">
        <w:rPr>
          <w:rFonts w:ascii="Cambria" w:hAnsi="Cambria"/>
          <w:sz w:val="20"/>
          <w:szCs w:val="20"/>
          <w:lang w:val="en-US"/>
        </w:rPr>
        <w:t xml:space="preserve"> the actual deadline established by legal provisions, i.e., 120 days. Even the Commission has not</w:t>
      </w:r>
      <w:r w:rsidR="001F7BDA" w:rsidRPr="00CC562A">
        <w:rPr>
          <w:rFonts w:ascii="Cambria" w:hAnsi="Cambria"/>
          <w:sz w:val="20"/>
          <w:szCs w:val="20"/>
          <w:lang w:val="en-US"/>
        </w:rPr>
        <w:t>ed</w:t>
      </w:r>
      <w:r w:rsidRPr="00CC562A">
        <w:rPr>
          <w:rFonts w:ascii="Cambria" w:hAnsi="Cambria"/>
          <w:sz w:val="20"/>
          <w:szCs w:val="20"/>
          <w:lang w:val="en-US"/>
        </w:rPr>
        <w:t xml:space="preserve"> said omission since the preparation of the 2021 Annual Report,</w:t>
      </w:r>
      <w:r w:rsidR="000204EB" w:rsidRPr="00CC562A">
        <w:rPr>
          <w:rStyle w:val="FootnoteReference"/>
          <w:rFonts w:ascii="Cambria" w:hAnsi="Cambria"/>
          <w:sz w:val="20"/>
          <w:szCs w:val="20"/>
          <w:lang w:val="en-US"/>
        </w:rPr>
        <w:footnoteReference w:id="111"/>
      </w:r>
      <w:r w:rsidRPr="00CC562A">
        <w:rPr>
          <w:rFonts w:ascii="Cambria" w:hAnsi="Cambria"/>
          <w:sz w:val="20"/>
          <w:szCs w:val="20"/>
          <w:lang w:val="en-US"/>
        </w:rPr>
        <w:t xml:space="preserve"> </w:t>
      </w:r>
      <w:r w:rsidR="001F7BDA" w:rsidRPr="00CC562A">
        <w:rPr>
          <w:rFonts w:ascii="Cambria" w:hAnsi="Cambria"/>
          <w:sz w:val="20"/>
          <w:szCs w:val="20"/>
          <w:lang w:val="en-US"/>
        </w:rPr>
        <w:t>while not</w:t>
      </w:r>
      <w:r w:rsidRPr="00CC562A">
        <w:rPr>
          <w:rFonts w:ascii="Cambria" w:hAnsi="Cambria"/>
          <w:sz w:val="20"/>
          <w:szCs w:val="20"/>
          <w:lang w:val="en-US"/>
        </w:rPr>
        <w:t xml:space="preserve"> noting to date any significant advances made in the implementation of the </w:t>
      </w:r>
      <w:r w:rsidR="0162F58A" w:rsidRPr="00CC562A">
        <w:rPr>
          <w:rFonts w:ascii="Cambria" w:hAnsi="Cambria"/>
          <w:sz w:val="20"/>
          <w:szCs w:val="20"/>
          <w:lang w:val="en-US"/>
        </w:rPr>
        <w:t>RENADET</w:t>
      </w:r>
      <w:r w:rsidR="68FAD598" w:rsidRPr="00CC562A">
        <w:rPr>
          <w:rFonts w:ascii="Cambria" w:hAnsi="Cambria"/>
          <w:sz w:val="20"/>
          <w:szCs w:val="20"/>
          <w:lang w:val="en-US"/>
        </w:rPr>
        <w:t xml:space="preserve">. </w:t>
      </w:r>
      <w:r w:rsidR="68FAD59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Thus, the Commission will closely monitor compliance with this recommendation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verify and evaluate the proper implementation and operation of the National Registry on the Crime of Torture, as well as ongoing coordination of the authorities to ensure its operation. Finally, the IACHR notes the Protocol for Judging Cases of Torture and Mistreatment of the Judicial Branch of the Federation</w:t>
      </w:r>
      <w:r w:rsidR="000204EB" w:rsidRPr="00CC562A">
        <w:rPr>
          <w:rStyle w:val="FootnoteReference"/>
          <w:rFonts w:ascii="Cambria" w:hAnsi="Cambria"/>
          <w:sz w:val="20"/>
          <w:szCs w:val="20"/>
          <w:lang w:val="en-US"/>
        </w:rPr>
        <w:footnoteReference w:id="112"/>
      </w:r>
      <w:r w:rsidRPr="00CC562A">
        <w:rPr>
          <w:rFonts w:ascii="Cambria" w:hAnsi="Cambria"/>
          <w:sz w:val="20"/>
          <w:szCs w:val="20"/>
          <w:lang w:val="en-US"/>
        </w:rPr>
        <w:t xml:space="preserve"> as well as various training initiatives on the subject.</w:t>
      </w:r>
      <w:r w:rsidR="000204EB" w:rsidRPr="00CC562A">
        <w:rPr>
          <w:rStyle w:val="FootnoteReference"/>
          <w:rFonts w:ascii="Cambria" w:hAnsi="Cambria"/>
          <w:sz w:val="20"/>
          <w:szCs w:val="20"/>
          <w:lang w:val="en-US"/>
        </w:rPr>
        <w:footnoteReference w:id="113"/>
      </w:r>
      <w:r w:rsidRPr="00CC562A">
        <w:rPr>
          <w:rFonts w:ascii="Cambria" w:hAnsi="Cambria"/>
          <w:sz w:val="20"/>
          <w:szCs w:val="20"/>
          <w:lang w:val="en-US"/>
        </w:rPr>
        <w:t xml:space="preserve"> However, </w:t>
      </w:r>
      <w:r w:rsidR="00993A8F" w:rsidRPr="00CC562A">
        <w:rPr>
          <w:rFonts w:ascii="Cambria" w:hAnsi="Cambria"/>
          <w:sz w:val="20"/>
          <w:szCs w:val="20"/>
          <w:lang w:val="en-US"/>
        </w:rPr>
        <w:t xml:space="preserve">no claim can be made regarding proper harmonization at the federal and local level until judges have the same degree of judicial </w:t>
      </w:r>
      <w:r w:rsidR="005160F8" w:rsidRPr="00CC562A">
        <w:rPr>
          <w:rFonts w:ascii="Cambria" w:hAnsi="Cambria"/>
          <w:sz w:val="20"/>
          <w:szCs w:val="20"/>
          <w:lang w:val="en-US"/>
        </w:rPr>
        <w:t>training in</w:t>
      </w:r>
      <w:r w:rsidR="00993A8F" w:rsidRPr="00CC562A">
        <w:rPr>
          <w:rFonts w:ascii="Cambria" w:hAnsi="Cambria"/>
          <w:sz w:val="20"/>
          <w:szCs w:val="20"/>
          <w:lang w:val="en-US"/>
        </w:rPr>
        <w:t xml:space="preserve"> the State’s policies against torture.</w:t>
      </w:r>
      <w:r w:rsidR="68FAD598" w:rsidRPr="00CC562A">
        <w:rPr>
          <w:rFonts w:ascii="Cambria" w:hAnsi="Cambria"/>
          <w:sz w:val="20"/>
          <w:szCs w:val="20"/>
          <w:lang w:val="en-US"/>
        </w:rPr>
        <w:t xml:space="preserve"> </w:t>
      </w:r>
    </w:p>
    <w:p w14:paraId="62699AC0" w14:textId="25C36C70" w:rsidR="00C66010" w:rsidRPr="00CC562A" w:rsidRDefault="00993A8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compliance with this recommendation, the Commission urges the </w:t>
      </w:r>
      <w:r w:rsidR="00E22120" w:rsidRPr="00CC562A">
        <w:rPr>
          <w:rFonts w:ascii="Cambria" w:eastAsia="Cambria" w:hAnsi="Cambria" w:cs="Cambria"/>
          <w:sz w:val="20"/>
          <w:szCs w:val="20"/>
          <w:lang w:val="en-US"/>
        </w:rPr>
        <w:t>s</w:t>
      </w:r>
      <w:r w:rsidRPr="00CC562A">
        <w:rPr>
          <w:rFonts w:ascii="Cambria" w:eastAsia="Cambria" w:hAnsi="Cambria" w:cs="Cambria"/>
          <w:sz w:val="20"/>
          <w:szCs w:val="20"/>
          <w:lang w:val="en-US"/>
        </w:rPr>
        <w:t>tate</w:t>
      </w:r>
      <w:r w:rsidR="001F7BDA"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to implement measures directed to harmonizing their legislation so as to proceed with the adoption and implementation of the General Law on Torture. On the PNT, the IACHR reiterates civil society’s call for the</w:t>
      </w:r>
      <w:r w:rsidR="352C5F78" w:rsidRPr="00CC562A">
        <w:rPr>
          <w:rFonts w:ascii="Cambria" w:hAnsi="Cambria"/>
          <w:sz w:val="20"/>
          <w:szCs w:val="20"/>
          <w:lang w:val="en-US"/>
        </w:rPr>
        <w:t xml:space="preserve"> SEGOB </w:t>
      </w:r>
      <w:r w:rsidRPr="00CC562A">
        <w:rPr>
          <w:rFonts w:ascii="Cambria" w:hAnsi="Cambria"/>
          <w:sz w:val="20"/>
          <w:szCs w:val="20"/>
          <w:lang w:val="en-US"/>
        </w:rPr>
        <w:t>to adopt measures to continue the discussion, design, and development of the National Program, which is instituted by the General Law on Torture itself.</w:t>
      </w:r>
    </w:p>
    <w:p w14:paraId="0709ADF7" w14:textId="3675D4E0" w:rsidR="00280F0B" w:rsidRPr="00CC562A" w:rsidRDefault="00993A8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ensure that </w:t>
      </w:r>
      <w:r w:rsidRPr="00CC562A">
        <w:rPr>
          <w:rFonts w:ascii="Cambria" w:hAnsi="Cambria"/>
          <w:b/>
          <w:bCs/>
          <w:sz w:val="20"/>
          <w:szCs w:val="20"/>
          <w:lang w:val="en-US"/>
        </w:rPr>
        <w:t>the General Law on Torture exclude evidence and confessions obtained through torture and that the prosecuting party must prove the lawfulness of challenged evidence</w:t>
      </w:r>
      <w:r w:rsidR="6E1E6921" w:rsidRPr="00CC562A">
        <w:rPr>
          <w:rFonts w:ascii="Cambria" w:hAnsi="Cambria"/>
          <w:b/>
          <w:bCs/>
          <w:sz w:val="20"/>
          <w:szCs w:val="20"/>
          <w:lang w:val="en-US"/>
        </w:rPr>
        <w:t xml:space="preserve">, </w:t>
      </w:r>
      <w:r w:rsidRPr="00CC562A">
        <w:rPr>
          <w:rFonts w:ascii="Cambria" w:hAnsi="Cambria"/>
          <w:sz w:val="20"/>
          <w:szCs w:val="20"/>
          <w:lang w:val="en-US"/>
        </w:rPr>
        <w:t>the State indicated that this recommendation has been complied with based on issuance of the  2017 Law to Prevent, Investigate, and Punish Torture and other cruel, inhuman, or degrading treatment or punishment</w:t>
      </w:r>
      <w:r w:rsidR="00E22120" w:rsidRPr="00CC562A">
        <w:rPr>
          <w:rFonts w:ascii="Cambria" w:hAnsi="Cambria"/>
          <w:sz w:val="20"/>
          <w:szCs w:val="20"/>
          <w:lang w:val="en-US"/>
        </w:rPr>
        <w:t>, which</w:t>
      </w:r>
      <w:r w:rsidR="005956F9" w:rsidRPr="00CC562A">
        <w:rPr>
          <w:rFonts w:ascii="Cambria" w:hAnsi="Cambria"/>
          <w:sz w:val="20"/>
          <w:szCs w:val="20"/>
          <w:lang w:val="en-US"/>
        </w:rPr>
        <w:t xml:space="preserve"> clearly includes this prohibition in Article 50 as has already been reported by the IACHR</w:t>
      </w:r>
      <w:r w:rsidR="0162F58A" w:rsidRPr="00CC562A">
        <w:rPr>
          <w:rFonts w:ascii="Cambria" w:eastAsia="Cambria" w:hAnsi="Cambria" w:cs="Cambria"/>
          <w:sz w:val="20"/>
          <w:szCs w:val="20"/>
          <w:lang w:val="en-US"/>
        </w:rPr>
        <w:t>.</w:t>
      </w:r>
    </w:p>
    <w:p w14:paraId="53BA8201" w14:textId="666865F1" w:rsidR="00522749" w:rsidRPr="00CC562A" w:rsidRDefault="005956F9"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indicated that, nonetheless,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strengthen the regulatory framework in this area, various initiatives have been submitted to specify that the crime of torture is committed </w:t>
      </w:r>
      <w:r w:rsidR="00E22120" w:rsidRPr="00CC562A">
        <w:rPr>
          <w:rFonts w:ascii="Cambria" w:eastAsia="Cambria" w:hAnsi="Cambria" w:cs="Cambria"/>
          <w:sz w:val="20"/>
          <w:szCs w:val="20"/>
          <w:lang w:val="en-US"/>
        </w:rPr>
        <w:t>when</w:t>
      </w:r>
      <w:r w:rsidRPr="00CC562A">
        <w:rPr>
          <w:rFonts w:ascii="Cambria" w:eastAsia="Cambria" w:hAnsi="Cambria" w:cs="Cambria"/>
          <w:sz w:val="20"/>
          <w:szCs w:val="20"/>
          <w:lang w:val="en-US"/>
        </w:rPr>
        <w:t xml:space="preserve"> civil servants use intimidating means to obtain information or a confession from someone or a third party for </w:t>
      </w:r>
      <w:r w:rsidRPr="00CC562A">
        <w:rPr>
          <w:rFonts w:ascii="Cambria" w:eastAsia="Cambria" w:hAnsi="Cambria" w:cs="Cambria"/>
          <w:sz w:val="20"/>
          <w:szCs w:val="20"/>
          <w:lang w:val="en-US"/>
        </w:rPr>
        <w:lastRenderedPageBreak/>
        <w:t>purposes of criminal investigation. It is to be established that statements, interviews, and interrogations of the accused before an administrative authority shall be recorded by any means and recorded in video</w:t>
      </w:r>
      <w:r w:rsidR="7D73934B" w:rsidRPr="00CC562A">
        <w:rPr>
          <w:rFonts w:ascii="Cambria" w:eastAsia="Cambria" w:hAnsi="Cambria" w:cs="Cambria"/>
          <w:sz w:val="20"/>
          <w:szCs w:val="20"/>
          <w:lang w:val="en-US"/>
        </w:rPr>
        <w:t>.</w:t>
      </w:r>
      <w:r w:rsidR="4FC81B7A" w:rsidRPr="00CC562A">
        <w:rPr>
          <w:rFonts w:ascii="Cambria" w:hAnsi="Cambria"/>
          <w:sz w:val="20"/>
          <w:szCs w:val="20"/>
          <w:lang w:val="en-US"/>
        </w:rPr>
        <w:t xml:space="preserve"> </w:t>
      </w:r>
      <w:r w:rsidR="00BD497B" w:rsidRPr="00CC562A">
        <w:rPr>
          <w:rFonts w:ascii="Cambria" w:hAnsi="Cambria"/>
          <w:sz w:val="20"/>
          <w:lang w:val="en-US"/>
        </w:rPr>
        <w:t>In this regard, the State emphasized that Article</w:t>
      </w:r>
      <w:r w:rsidR="007677D2" w:rsidRPr="00CC562A">
        <w:rPr>
          <w:rFonts w:ascii="Cambria" w:hAnsi="Cambria"/>
          <w:sz w:val="20"/>
          <w:lang w:val="en-US"/>
        </w:rPr>
        <w:t xml:space="preserve"> 50 </w:t>
      </w:r>
      <w:r w:rsidR="00BD497B" w:rsidRPr="00CC562A">
        <w:rPr>
          <w:rFonts w:ascii="Cambria" w:hAnsi="Cambria"/>
          <w:sz w:val="20"/>
          <w:lang w:val="en-US"/>
        </w:rPr>
        <w:t xml:space="preserve">of the General Law to Prevent, </w:t>
      </w:r>
      <w:r w:rsidR="000B4897" w:rsidRPr="00CC562A">
        <w:rPr>
          <w:rFonts w:ascii="Cambria" w:hAnsi="Cambria"/>
          <w:sz w:val="20"/>
          <w:lang w:val="en-US"/>
        </w:rPr>
        <w:t>Investigate</w:t>
      </w:r>
      <w:r w:rsidR="00BD497B" w:rsidRPr="00CC562A">
        <w:rPr>
          <w:rFonts w:ascii="Cambria" w:hAnsi="Cambria"/>
          <w:sz w:val="20"/>
          <w:lang w:val="en-US"/>
        </w:rPr>
        <w:t xml:space="preserve">, and </w:t>
      </w:r>
      <w:r w:rsidR="000B4897" w:rsidRPr="00CC562A">
        <w:rPr>
          <w:rFonts w:ascii="Cambria" w:hAnsi="Cambria"/>
          <w:sz w:val="20"/>
          <w:lang w:val="en-US"/>
        </w:rPr>
        <w:t>Punish</w:t>
      </w:r>
      <w:r w:rsidR="00BD497B" w:rsidRPr="00CC562A">
        <w:rPr>
          <w:rFonts w:ascii="Cambria" w:hAnsi="Cambria"/>
          <w:sz w:val="20"/>
          <w:lang w:val="en-US"/>
        </w:rPr>
        <w:t xml:space="preserve"> Torture stipulates that evidence obtained through torture is declared invalid or excluded and the final paragraph of Article 51 of the same law establishes the burden of the Attorney General’s Office to</w:t>
      </w:r>
      <w:r w:rsidR="000B4897" w:rsidRPr="00CC562A">
        <w:rPr>
          <w:rFonts w:ascii="Cambria" w:hAnsi="Cambria"/>
          <w:sz w:val="20"/>
          <w:lang w:val="en-US"/>
        </w:rPr>
        <w:t xml:space="preserve"> certify that the evidence was lawfully obtained.</w:t>
      </w:r>
      <w:r w:rsidR="007677D2" w:rsidRPr="00CC562A">
        <w:rPr>
          <w:rStyle w:val="FootnoteReference"/>
          <w:rFonts w:ascii="Cambria" w:hAnsi="Cambria"/>
          <w:sz w:val="20"/>
          <w:lang w:val="en-US"/>
        </w:rPr>
        <w:footnoteReference w:id="114"/>
      </w:r>
    </w:p>
    <w:p w14:paraId="42D68D2D" w14:textId="15672AED" w:rsidR="00522749" w:rsidRPr="00CC562A" w:rsidRDefault="000B40F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Although the Mexican State has legal provisions to declare evidence </w:t>
      </w:r>
      <w:r w:rsidR="00E22120" w:rsidRPr="00CC562A">
        <w:rPr>
          <w:rFonts w:ascii="Cambria" w:hAnsi="Cambria"/>
          <w:sz w:val="20"/>
          <w:szCs w:val="20"/>
          <w:lang w:val="en-US"/>
        </w:rPr>
        <w:t xml:space="preserve">unlawful when it is </w:t>
      </w:r>
      <w:r w:rsidRPr="00CC562A">
        <w:rPr>
          <w:rFonts w:ascii="Cambria" w:hAnsi="Cambria"/>
          <w:sz w:val="20"/>
          <w:szCs w:val="20"/>
          <w:lang w:val="en-US"/>
        </w:rPr>
        <w:t xml:space="preserve">obtained on the basis of torture and that such evidence is to be excluded from criminal proceedings, the </w:t>
      </w:r>
      <w:r w:rsidR="4FC81B7A" w:rsidRPr="00CC562A">
        <w:rPr>
          <w:rFonts w:ascii="Cambria" w:hAnsi="Cambria"/>
          <w:sz w:val="20"/>
          <w:szCs w:val="20"/>
          <w:lang w:val="en-US"/>
        </w:rPr>
        <w:t>CMDPDH</w:t>
      </w:r>
      <w:r w:rsidRPr="00CC562A">
        <w:rPr>
          <w:rFonts w:ascii="Cambria" w:hAnsi="Cambria"/>
          <w:sz w:val="20"/>
          <w:szCs w:val="20"/>
          <w:lang w:val="en-US"/>
        </w:rPr>
        <w:t xml:space="preserve"> in its report asserted that the General Law on Torture is ineffective for combating the State’s widespread and sometimes systematic practice of </w:t>
      </w:r>
      <w:r w:rsidR="00E22120" w:rsidRPr="00CC562A">
        <w:rPr>
          <w:rFonts w:ascii="Cambria" w:hAnsi="Cambria"/>
          <w:sz w:val="20"/>
          <w:szCs w:val="20"/>
          <w:lang w:val="en-US"/>
        </w:rPr>
        <w:t>framing the accused</w:t>
      </w:r>
      <w:r w:rsidRPr="00CC562A">
        <w:rPr>
          <w:rFonts w:ascii="Cambria" w:hAnsi="Cambria"/>
          <w:sz w:val="20"/>
          <w:szCs w:val="20"/>
          <w:lang w:val="en-US"/>
        </w:rPr>
        <w:t xml:space="preserve"> based on acts of torture because institutions do not have the political will to create effective instruments to address the problem. According to information provided by the State,</w:t>
      </w:r>
      <w:r w:rsidR="00522749" w:rsidRPr="00CC562A">
        <w:rPr>
          <w:rStyle w:val="FootnoteReference"/>
          <w:rFonts w:ascii="Cambria" w:hAnsi="Cambria"/>
          <w:sz w:val="20"/>
          <w:szCs w:val="20"/>
          <w:lang w:val="en-US"/>
        </w:rPr>
        <w:footnoteReference w:id="115"/>
      </w:r>
      <w:r w:rsidRPr="00CC562A">
        <w:rPr>
          <w:rFonts w:ascii="Cambria" w:hAnsi="Cambria"/>
          <w:sz w:val="20"/>
          <w:szCs w:val="20"/>
          <w:lang w:val="en-US"/>
        </w:rPr>
        <w:t xml:space="preserve"> although Special Prosecutors’ Offices have been implemented for the criminal prosecution of torture, the reality is that the number of active Investigative Files or Preliminary Inquiries compared to cases that have been prosecuted is </w:t>
      </w:r>
      <w:r w:rsidR="00E22120" w:rsidRPr="00CC562A">
        <w:rPr>
          <w:rFonts w:ascii="Cambria" w:hAnsi="Cambria"/>
          <w:sz w:val="20"/>
          <w:szCs w:val="20"/>
          <w:lang w:val="en-US"/>
        </w:rPr>
        <w:t>disproportionate</w:t>
      </w:r>
      <w:r w:rsidRPr="00CC562A">
        <w:rPr>
          <w:rFonts w:ascii="Cambria" w:hAnsi="Cambria"/>
          <w:sz w:val="20"/>
          <w:szCs w:val="20"/>
          <w:lang w:val="en-US"/>
        </w:rPr>
        <w:t xml:space="preserve"> </w:t>
      </w:r>
      <w:r w:rsidR="00E22120" w:rsidRPr="00CC562A">
        <w:rPr>
          <w:rFonts w:ascii="Cambria" w:hAnsi="Cambria"/>
          <w:sz w:val="20"/>
          <w:szCs w:val="20"/>
          <w:lang w:val="en-US"/>
        </w:rPr>
        <w:t>given</w:t>
      </w:r>
      <w:r w:rsidRPr="00CC562A">
        <w:rPr>
          <w:rFonts w:ascii="Cambria" w:hAnsi="Cambria"/>
          <w:sz w:val="20"/>
          <w:szCs w:val="20"/>
          <w:lang w:val="en-US"/>
        </w:rPr>
        <w:t xml:space="preserve"> the degree of impunity that seeks to combat the recommendation. In addition, there is not sufficient information to provide </w:t>
      </w:r>
      <w:r w:rsidR="00E22120" w:rsidRPr="00CC562A">
        <w:rPr>
          <w:rFonts w:ascii="Cambria" w:hAnsi="Cambria"/>
          <w:sz w:val="20"/>
          <w:szCs w:val="20"/>
          <w:lang w:val="en-US"/>
        </w:rPr>
        <w:t xml:space="preserve">evidence showing </w:t>
      </w:r>
      <w:r w:rsidRPr="00CC562A">
        <w:rPr>
          <w:rFonts w:ascii="Cambria" w:hAnsi="Cambria"/>
          <w:sz w:val="20"/>
          <w:szCs w:val="20"/>
          <w:lang w:val="en-US"/>
        </w:rPr>
        <w:t xml:space="preserve">results in </w:t>
      </w:r>
      <w:r w:rsidR="00E22120" w:rsidRPr="00CC562A">
        <w:rPr>
          <w:rFonts w:ascii="Cambria" w:hAnsi="Cambria"/>
          <w:sz w:val="20"/>
          <w:szCs w:val="20"/>
          <w:lang w:val="en-US"/>
        </w:rPr>
        <w:t xml:space="preserve">terms of </w:t>
      </w:r>
      <w:r w:rsidRPr="00CC562A">
        <w:rPr>
          <w:rFonts w:ascii="Cambria" w:hAnsi="Cambria"/>
          <w:sz w:val="20"/>
          <w:szCs w:val="20"/>
          <w:lang w:val="en-US"/>
        </w:rPr>
        <w:t xml:space="preserve">compliance with the recommendation, particularly in the Judicial </w:t>
      </w:r>
      <w:r w:rsidR="00E22120" w:rsidRPr="00CC562A">
        <w:rPr>
          <w:rFonts w:ascii="Cambria" w:hAnsi="Cambria"/>
          <w:sz w:val="20"/>
          <w:szCs w:val="20"/>
          <w:lang w:val="en-US"/>
        </w:rPr>
        <w:t>Branches</w:t>
      </w:r>
      <w:r w:rsidRPr="00CC562A">
        <w:rPr>
          <w:rFonts w:ascii="Cambria" w:hAnsi="Cambria"/>
          <w:sz w:val="20"/>
          <w:szCs w:val="20"/>
          <w:lang w:val="en-US"/>
        </w:rPr>
        <w:t xml:space="preserve"> that </w:t>
      </w:r>
      <w:r w:rsidR="00717011" w:rsidRPr="00CC562A">
        <w:rPr>
          <w:rFonts w:ascii="Cambria" w:hAnsi="Cambria"/>
          <w:sz w:val="20"/>
          <w:szCs w:val="20"/>
          <w:lang w:val="en-US"/>
        </w:rPr>
        <w:t>civil society points to as handing down criminal judgment</w:t>
      </w:r>
      <w:r w:rsidR="00E22120" w:rsidRPr="00CC562A">
        <w:rPr>
          <w:rFonts w:ascii="Cambria" w:hAnsi="Cambria"/>
          <w:sz w:val="20"/>
          <w:szCs w:val="20"/>
          <w:lang w:val="en-US"/>
        </w:rPr>
        <w:t>s</w:t>
      </w:r>
      <w:r w:rsidR="00717011" w:rsidRPr="00CC562A">
        <w:rPr>
          <w:rFonts w:ascii="Cambria" w:hAnsi="Cambria"/>
          <w:sz w:val="20"/>
          <w:szCs w:val="20"/>
          <w:lang w:val="en-US"/>
        </w:rPr>
        <w:t xml:space="preserve"> based on confessions or evidence obtained under torture</w:t>
      </w:r>
      <w:r w:rsidR="4FC81B7A" w:rsidRPr="00CC562A">
        <w:rPr>
          <w:rFonts w:ascii="Cambria" w:hAnsi="Cambria"/>
          <w:sz w:val="20"/>
          <w:szCs w:val="20"/>
          <w:lang w:val="en-US"/>
        </w:rPr>
        <w:t xml:space="preserve">.  </w:t>
      </w:r>
    </w:p>
    <w:p w14:paraId="3BF2D143" w14:textId="64A718F3" w:rsidR="00522749" w:rsidRPr="00CC562A" w:rsidRDefault="0071701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its 2021 Annual Report, the Commission analyzed the </w:t>
      </w:r>
      <w:r w:rsidR="00E22120" w:rsidRPr="00CC562A">
        <w:rPr>
          <w:rFonts w:ascii="Cambria" w:hAnsi="Cambria"/>
          <w:sz w:val="20"/>
          <w:szCs w:val="20"/>
          <w:lang w:val="en-US"/>
        </w:rPr>
        <w:t xml:space="preserve">INEGI’s </w:t>
      </w:r>
      <w:r w:rsidRPr="00CC562A">
        <w:rPr>
          <w:rFonts w:ascii="Cambria" w:hAnsi="Cambria"/>
          <w:sz w:val="20"/>
          <w:szCs w:val="20"/>
          <w:lang w:val="en-US"/>
        </w:rPr>
        <w:t>2021 ENPOL.</w:t>
      </w:r>
      <w:r w:rsidR="00522749" w:rsidRPr="00CC562A">
        <w:rPr>
          <w:rStyle w:val="FootnoteReference"/>
          <w:rFonts w:ascii="Cambria" w:hAnsi="Cambria"/>
          <w:sz w:val="20"/>
          <w:szCs w:val="20"/>
          <w:lang w:val="en-US"/>
        </w:rPr>
        <w:footnoteReference w:id="116"/>
      </w:r>
      <w:r w:rsidRPr="00CC562A">
        <w:rPr>
          <w:rFonts w:ascii="Cambria" w:hAnsi="Cambria"/>
          <w:sz w:val="20"/>
          <w:szCs w:val="20"/>
          <w:lang w:val="en-US"/>
        </w:rPr>
        <w:t xml:space="preserve"> The </w:t>
      </w:r>
      <w:r w:rsidR="00E22120" w:rsidRPr="00CC562A">
        <w:rPr>
          <w:rFonts w:ascii="Cambria" w:hAnsi="Cambria"/>
          <w:sz w:val="20"/>
          <w:szCs w:val="20"/>
          <w:lang w:val="en-US"/>
        </w:rPr>
        <w:t xml:space="preserve">text of that </w:t>
      </w:r>
      <w:r w:rsidRPr="00CC562A">
        <w:rPr>
          <w:rFonts w:ascii="Cambria" w:hAnsi="Cambria"/>
          <w:sz w:val="20"/>
          <w:szCs w:val="20"/>
          <w:lang w:val="en-US"/>
        </w:rPr>
        <w:t xml:space="preserve">document indicated that </w:t>
      </w:r>
      <w:r w:rsidR="4FC81B7A" w:rsidRPr="00CC562A">
        <w:rPr>
          <w:rFonts w:ascii="Cambria" w:hAnsi="Cambria"/>
          <w:sz w:val="20"/>
          <w:szCs w:val="20"/>
          <w:lang w:val="en-US"/>
        </w:rPr>
        <w:t xml:space="preserve">18.2% </w:t>
      </w:r>
      <w:r w:rsidRPr="00CC562A">
        <w:rPr>
          <w:rFonts w:ascii="Cambria" w:hAnsi="Cambria"/>
          <w:sz w:val="20"/>
          <w:szCs w:val="20"/>
          <w:lang w:val="en-US"/>
        </w:rPr>
        <w:t>of th</w:t>
      </w:r>
      <w:r w:rsidR="00B73D79" w:rsidRPr="00CC562A">
        <w:rPr>
          <w:rFonts w:ascii="Cambria" w:hAnsi="Cambria"/>
          <w:sz w:val="20"/>
          <w:szCs w:val="20"/>
          <w:lang w:val="en-US"/>
        </w:rPr>
        <w:t xml:space="preserve">ose </w:t>
      </w:r>
      <w:r w:rsidRPr="00CC562A">
        <w:rPr>
          <w:rFonts w:ascii="Cambria" w:hAnsi="Cambria"/>
          <w:sz w:val="20"/>
          <w:szCs w:val="20"/>
          <w:lang w:val="en-US"/>
        </w:rPr>
        <w:t xml:space="preserve">deprived of liberty in the survey indicated that they gave or signed their statement because they were pressured or threatened and </w:t>
      </w:r>
      <w:r w:rsidR="4FC81B7A" w:rsidRPr="00CC562A">
        <w:rPr>
          <w:rFonts w:ascii="Cambria" w:hAnsi="Cambria"/>
          <w:sz w:val="20"/>
          <w:szCs w:val="20"/>
          <w:lang w:val="en-US"/>
        </w:rPr>
        <w:t>20% indic</w:t>
      </w:r>
      <w:r w:rsidRPr="00CC562A">
        <w:rPr>
          <w:rFonts w:ascii="Cambria" w:hAnsi="Cambria"/>
          <w:sz w:val="20"/>
          <w:szCs w:val="20"/>
          <w:lang w:val="en-US"/>
        </w:rPr>
        <w:t>ated that they were physically assaulted to convince them to declare their guilt</w:t>
      </w:r>
      <w:r w:rsidR="4FC81B7A" w:rsidRPr="00CC562A">
        <w:rPr>
          <w:rFonts w:ascii="Cambria" w:hAnsi="Cambria"/>
          <w:sz w:val="20"/>
          <w:szCs w:val="20"/>
          <w:lang w:val="en-US"/>
        </w:rPr>
        <w:t xml:space="preserve">. </w:t>
      </w:r>
      <w:r w:rsidRPr="00CC562A">
        <w:rPr>
          <w:rFonts w:ascii="Cambria" w:hAnsi="Cambria"/>
          <w:sz w:val="20"/>
          <w:szCs w:val="20"/>
          <w:lang w:val="en-US"/>
        </w:rPr>
        <w:t xml:space="preserve">In that the State did not provide sufficient information to </w:t>
      </w:r>
      <w:r w:rsidR="00B73D79" w:rsidRPr="00CC562A">
        <w:rPr>
          <w:rFonts w:ascii="Cambria" w:hAnsi="Cambria"/>
          <w:sz w:val="20"/>
          <w:szCs w:val="20"/>
          <w:lang w:val="en-US"/>
        </w:rPr>
        <w:t>show</w:t>
      </w:r>
      <w:r w:rsidRPr="00CC562A">
        <w:rPr>
          <w:rFonts w:ascii="Cambria" w:hAnsi="Cambria"/>
          <w:sz w:val="20"/>
          <w:szCs w:val="20"/>
          <w:lang w:val="en-US"/>
        </w:rPr>
        <w:t xml:space="preserve"> </w:t>
      </w:r>
      <w:r w:rsidR="00B73D79" w:rsidRPr="00CC562A">
        <w:rPr>
          <w:rFonts w:ascii="Cambria" w:hAnsi="Cambria"/>
          <w:sz w:val="20"/>
          <w:szCs w:val="20"/>
          <w:lang w:val="en-US"/>
        </w:rPr>
        <w:t xml:space="preserve">that </w:t>
      </w:r>
      <w:r w:rsidRPr="00CC562A">
        <w:rPr>
          <w:rFonts w:ascii="Cambria" w:hAnsi="Cambria"/>
          <w:sz w:val="20"/>
          <w:szCs w:val="20"/>
          <w:lang w:val="en-US"/>
        </w:rPr>
        <w:t>the practice of torture, cruel and inhuman treatment</w:t>
      </w:r>
      <w:r w:rsidR="00B73D79" w:rsidRPr="00CC562A">
        <w:rPr>
          <w:rFonts w:ascii="Cambria" w:hAnsi="Cambria"/>
          <w:sz w:val="20"/>
          <w:szCs w:val="20"/>
          <w:lang w:val="en-US"/>
        </w:rPr>
        <w:t xml:space="preserve"> is trending downward</w:t>
      </w:r>
      <w:r w:rsidRPr="00CC562A">
        <w:rPr>
          <w:rFonts w:ascii="Cambria" w:hAnsi="Cambria"/>
          <w:sz w:val="20"/>
          <w:szCs w:val="20"/>
          <w:lang w:val="en-US"/>
        </w:rPr>
        <w:t xml:space="preserve">, it continues to be </w:t>
      </w:r>
      <w:r w:rsidRPr="00CC562A">
        <w:rPr>
          <w:rFonts w:ascii="Cambria" w:hAnsi="Cambria"/>
          <w:b/>
          <w:bCs/>
          <w:sz w:val="20"/>
          <w:szCs w:val="20"/>
          <w:lang w:val="en-US"/>
        </w:rPr>
        <w:t>partially compliant</w:t>
      </w:r>
      <w:r w:rsidRPr="00CC562A">
        <w:rPr>
          <w:rFonts w:ascii="Cambria" w:hAnsi="Cambria"/>
          <w:sz w:val="20"/>
          <w:szCs w:val="20"/>
          <w:lang w:val="en-US"/>
        </w:rPr>
        <w:t xml:space="preserve"> with the recommendation</w:t>
      </w:r>
      <w:r w:rsidR="4FC81B7A" w:rsidRPr="00CC562A">
        <w:rPr>
          <w:rFonts w:ascii="Cambria" w:hAnsi="Cambria"/>
          <w:sz w:val="20"/>
          <w:szCs w:val="20"/>
          <w:lang w:val="en-US"/>
        </w:rPr>
        <w:t xml:space="preserve">. </w:t>
      </w:r>
    </w:p>
    <w:p w14:paraId="4C16E982" w14:textId="601A2871" w:rsidR="00C66010" w:rsidRPr="00CC562A" w:rsidRDefault="0071701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The Commission acknowledges the</w:t>
      </w:r>
      <w:r w:rsidR="4FC81B7A" w:rsidRPr="00CC562A">
        <w:rPr>
          <w:rFonts w:ascii="Cambria" w:hAnsi="Cambria"/>
          <w:sz w:val="20"/>
          <w:szCs w:val="20"/>
          <w:lang w:val="en-US"/>
        </w:rPr>
        <w:t xml:space="preserve"> CMDPDH</w:t>
      </w:r>
      <w:r w:rsidRPr="00CC562A">
        <w:rPr>
          <w:rFonts w:ascii="Cambria" w:hAnsi="Cambria"/>
          <w:sz w:val="20"/>
          <w:szCs w:val="20"/>
          <w:lang w:val="en-US"/>
        </w:rPr>
        <w:t xml:space="preserve">’s public announcement regarding the lack of </w:t>
      </w:r>
      <w:r w:rsidR="00596AFF" w:rsidRPr="00CC562A">
        <w:rPr>
          <w:rFonts w:ascii="Cambria" w:hAnsi="Cambria"/>
          <w:sz w:val="20"/>
          <w:szCs w:val="20"/>
          <w:lang w:val="en-US"/>
        </w:rPr>
        <w:t xml:space="preserve">State measures to release convicted persons </w:t>
      </w:r>
      <w:r w:rsidR="00B73D79" w:rsidRPr="00CC562A">
        <w:rPr>
          <w:rFonts w:ascii="Cambria" w:hAnsi="Cambria"/>
          <w:sz w:val="20"/>
          <w:szCs w:val="20"/>
          <w:lang w:val="en-US"/>
        </w:rPr>
        <w:t xml:space="preserve">from prison </w:t>
      </w:r>
      <w:r w:rsidR="00596AFF" w:rsidRPr="00CC562A">
        <w:rPr>
          <w:rFonts w:ascii="Cambria" w:hAnsi="Cambria"/>
          <w:sz w:val="20"/>
          <w:szCs w:val="20"/>
          <w:lang w:val="en-US"/>
        </w:rPr>
        <w:t>who have been the victims of acts of torture. That situation is of concern to the IACHR to the extent that no domestic remedies are being implemented to comply with international standards and provide a remedy for serious human rights violations</w:t>
      </w:r>
      <w:r w:rsidR="4FC81B7A" w:rsidRPr="00CC562A">
        <w:rPr>
          <w:rFonts w:ascii="Cambria" w:hAnsi="Cambria"/>
          <w:sz w:val="20"/>
          <w:szCs w:val="20"/>
          <w:lang w:val="en-US"/>
        </w:rPr>
        <w:t xml:space="preserve">. </w:t>
      </w:r>
    </w:p>
    <w:p w14:paraId="0C442412" w14:textId="27DAAE1F" w:rsidR="00C66010" w:rsidRPr="00CC562A" w:rsidRDefault="00596AF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view of the standards (General Law and the Constitution) legally establishing the exclusionary rule, there is </w:t>
      </w:r>
      <w:r w:rsidRPr="00CC562A">
        <w:rPr>
          <w:rFonts w:ascii="Cambria" w:hAnsi="Cambria"/>
          <w:b/>
          <w:bCs/>
          <w:sz w:val="20"/>
          <w:szCs w:val="20"/>
          <w:lang w:val="en-US"/>
        </w:rPr>
        <w:t>full compliance</w:t>
      </w:r>
      <w:r w:rsidRPr="00CC562A">
        <w:rPr>
          <w:rFonts w:ascii="Cambria" w:hAnsi="Cambria"/>
          <w:sz w:val="20"/>
          <w:szCs w:val="20"/>
          <w:lang w:val="en-US"/>
        </w:rPr>
        <w:t xml:space="preserve"> with th</w:t>
      </w:r>
      <w:r w:rsidR="007F1A6C" w:rsidRPr="00CC562A">
        <w:rPr>
          <w:rFonts w:ascii="Cambria" w:hAnsi="Cambria"/>
          <w:sz w:val="20"/>
          <w:szCs w:val="20"/>
          <w:lang w:val="en-US"/>
        </w:rPr>
        <w:t>is</w:t>
      </w:r>
      <w:r w:rsidRPr="00CC562A">
        <w:rPr>
          <w:rFonts w:ascii="Cambria" w:hAnsi="Cambria"/>
          <w:sz w:val="20"/>
          <w:szCs w:val="20"/>
          <w:lang w:val="en-US"/>
        </w:rPr>
        <w:t xml:space="preserve"> recommendation. </w:t>
      </w:r>
      <w:r w:rsidR="007F1A6C" w:rsidRPr="00CC562A">
        <w:rPr>
          <w:rFonts w:ascii="Cambria" w:hAnsi="Cambria"/>
          <w:sz w:val="20"/>
          <w:szCs w:val="20"/>
          <w:lang w:val="en-US"/>
        </w:rPr>
        <w:t>T</w:t>
      </w:r>
      <w:r w:rsidRPr="00CC562A">
        <w:rPr>
          <w:rFonts w:ascii="Cambria" w:hAnsi="Cambria"/>
          <w:sz w:val="20"/>
          <w:szCs w:val="20"/>
          <w:lang w:val="en-US"/>
        </w:rPr>
        <w:t xml:space="preserve">he IACHR will </w:t>
      </w:r>
      <w:r w:rsidR="007F1A6C" w:rsidRPr="00CC562A">
        <w:rPr>
          <w:rFonts w:ascii="Cambria" w:hAnsi="Cambria"/>
          <w:sz w:val="20"/>
          <w:szCs w:val="20"/>
          <w:lang w:val="en-US"/>
        </w:rPr>
        <w:t xml:space="preserve">also </w:t>
      </w:r>
      <w:r w:rsidRPr="00CC562A">
        <w:rPr>
          <w:rFonts w:ascii="Cambria" w:hAnsi="Cambria"/>
          <w:sz w:val="20"/>
          <w:szCs w:val="20"/>
          <w:lang w:val="en-US"/>
        </w:rPr>
        <w:t>continue</w:t>
      </w:r>
      <w:r w:rsidR="007F1A6C" w:rsidRPr="00CC562A">
        <w:rPr>
          <w:rFonts w:ascii="Cambria" w:hAnsi="Cambria"/>
          <w:sz w:val="20"/>
          <w:szCs w:val="20"/>
          <w:lang w:val="en-US"/>
        </w:rPr>
        <w:t xml:space="preserve"> to observe</w:t>
      </w:r>
      <w:r w:rsidRPr="00CC562A">
        <w:rPr>
          <w:rFonts w:ascii="Cambria" w:hAnsi="Cambria"/>
          <w:sz w:val="20"/>
          <w:szCs w:val="20"/>
          <w:lang w:val="en-US"/>
        </w:rPr>
        <w:t xml:space="preserve"> the implementation of the exclusionary rule</w:t>
      </w:r>
      <w:r w:rsidR="5703F628" w:rsidRPr="00CC562A">
        <w:rPr>
          <w:rFonts w:ascii="Cambria" w:hAnsi="Cambria"/>
          <w:sz w:val="20"/>
          <w:szCs w:val="20"/>
          <w:lang w:val="en-US"/>
        </w:rPr>
        <w:t>.</w:t>
      </w:r>
    </w:p>
    <w:p w14:paraId="7E186D29" w14:textId="6554F1E7" w:rsidR="009D2CE3" w:rsidRPr="00CC562A" w:rsidRDefault="00596AF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relation to the recommendation to </w:t>
      </w:r>
      <w:r w:rsidR="6E1E6921" w:rsidRPr="00CC562A">
        <w:rPr>
          <w:rFonts w:ascii="Cambria" w:hAnsi="Cambria"/>
          <w:b/>
          <w:bCs/>
          <w:sz w:val="20"/>
          <w:szCs w:val="20"/>
          <w:lang w:val="en-US"/>
        </w:rPr>
        <w:t>crea</w:t>
      </w:r>
      <w:r w:rsidRPr="00CC562A">
        <w:rPr>
          <w:rFonts w:ascii="Cambria" w:hAnsi="Cambria"/>
          <w:b/>
          <w:bCs/>
          <w:sz w:val="20"/>
          <w:szCs w:val="20"/>
          <w:lang w:val="en-US"/>
        </w:rPr>
        <w:t>te a Single National Registry of Detained Persons and ensure that they are immediately brought before a judge</w:t>
      </w:r>
      <w:r w:rsidR="6E1E6921" w:rsidRPr="00CC562A">
        <w:rPr>
          <w:rFonts w:ascii="Cambria" w:hAnsi="Cambria"/>
          <w:b/>
          <w:bCs/>
          <w:sz w:val="20"/>
          <w:szCs w:val="20"/>
          <w:lang w:val="en-US"/>
        </w:rPr>
        <w:t xml:space="preserve">, </w:t>
      </w:r>
      <w:r w:rsidRPr="00CC562A">
        <w:rPr>
          <w:rFonts w:ascii="Cambria" w:hAnsi="Cambria"/>
          <w:sz w:val="20"/>
          <w:szCs w:val="20"/>
          <w:lang w:val="en-US"/>
        </w:rPr>
        <w:t xml:space="preserve">the State indicated that on May 27, </w:t>
      </w:r>
      <w:r w:rsidR="005160F8" w:rsidRPr="00CC562A">
        <w:rPr>
          <w:rFonts w:ascii="Cambria" w:eastAsia="Cambria" w:hAnsi="Cambria" w:cs="Cambria"/>
          <w:sz w:val="20"/>
          <w:szCs w:val="20"/>
          <w:lang w:val="en-US"/>
        </w:rPr>
        <w:t>2019,</w:t>
      </w:r>
      <w:r w:rsidRPr="00CC562A">
        <w:rPr>
          <w:rFonts w:ascii="Cambria" w:eastAsia="Cambria" w:hAnsi="Cambria" w:cs="Cambria"/>
          <w:sz w:val="20"/>
          <w:szCs w:val="20"/>
          <w:lang w:val="en-US"/>
        </w:rPr>
        <w:t xml:space="preserve"> a decree was published issuing the National Law on the Registry of Detentions. In addition, it indicated that in the</w:t>
      </w:r>
      <w:r w:rsidR="7D73934B" w:rsidRPr="00CC562A">
        <w:rPr>
          <w:rFonts w:ascii="Cambria" w:eastAsia="Cambria" w:hAnsi="Cambria" w:cs="Cambria"/>
          <w:sz w:val="20"/>
          <w:szCs w:val="20"/>
          <w:lang w:val="en-US"/>
        </w:rPr>
        <w:t xml:space="preserve"> XLVII </w:t>
      </w:r>
      <w:r w:rsidRPr="00CC562A">
        <w:rPr>
          <w:rFonts w:ascii="Cambria" w:eastAsia="Cambria" w:hAnsi="Cambria" w:cs="Cambria"/>
          <w:sz w:val="20"/>
          <w:szCs w:val="20"/>
          <w:lang w:val="en-US"/>
        </w:rPr>
        <w:t xml:space="preserve">Regular Session of the National Council on Public Security, held on December 16, </w:t>
      </w:r>
      <w:r w:rsidR="7D73934B" w:rsidRPr="00CC562A">
        <w:rPr>
          <w:rFonts w:ascii="Cambria" w:eastAsia="Cambria" w:hAnsi="Cambria" w:cs="Cambria"/>
          <w:sz w:val="20"/>
          <w:szCs w:val="20"/>
          <w:lang w:val="en-US"/>
        </w:rPr>
        <w:t xml:space="preserve">2021, </w:t>
      </w:r>
      <w:r w:rsidRPr="00CC562A">
        <w:rPr>
          <w:rFonts w:ascii="Cambria" w:eastAsia="Cambria" w:hAnsi="Cambria" w:cs="Cambria"/>
          <w:sz w:val="20"/>
          <w:szCs w:val="20"/>
          <w:lang w:val="en-US"/>
        </w:rPr>
        <w:t xml:space="preserve">the </w:t>
      </w:r>
      <w:r w:rsidR="005160F8" w:rsidRPr="00CC562A">
        <w:rPr>
          <w:rFonts w:ascii="Cambria" w:eastAsia="Cambria" w:hAnsi="Cambria" w:cs="Cambria"/>
          <w:sz w:val="20"/>
          <w:szCs w:val="20"/>
          <w:lang w:val="en-US"/>
        </w:rPr>
        <w:t>2.0 Guidelines</w:t>
      </w:r>
      <w:r w:rsidRPr="00CC562A">
        <w:rPr>
          <w:rFonts w:ascii="Cambria" w:eastAsia="Cambria" w:hAnsi="Cambria" w:cs="Cambria"/>
          <w:sz w:val="20"/>
          <w:szCs w:val="20"/>
          <w:lang w:val="en-US"/>
        </w:rPr>
        <w:t xml:space="preserve"> on the National Registry of Detentions were presented and approved. Added to this,</w:t>
      </w:r>
      <w:r w:rsidR="001273A0" w:rsidRPr="00CC562A">
        <w:rPr>
          <w:rFonts w:ascii="Cambria" w:eastAsia="Cambria" w:hAnsi="Cambria" w:cs="Cambria"/>
          <w:sz w:val="20"/>
          <w:szCs w:val="20"/>
          <w:lang w:val="en-US"/>
        </w:rPr>
        <w:t xml:space="preserve"> on April 20, 2022, Annex 1 of the Agreement </w:t>
      </w:r>
      <w:r w:rsidR="7D73934B" w:rsidRPr="00CC562A">
        <w:rPr>
          <w:rFonts w:ascii="Cambria" w:eastAsia="Cambria" w:hAnsi="Cambria" w:cs="Cambria"/>
          <w:sz w:val="20"/>
          <w:szCs w:val="20"/>
          <w:lang w:val="en-US"/>
        </w:rPr>
        <w:t xml:space="preserve">09/XLVII/21 </w:t>
      </w:r>
      <w:r w:rsidR="001273A0" w:rsidRPr="00CC562A">
        <w:rPr>
          <w:rFonts w:ascii="Cambria" w:eastAsia="Cambria" w:hAnsi="Cambria" w:cs="Cambria"/>
          <w:sz w:val="20"/>
          <w:szCs w:val="20"/>
          <w:lang w:val="en-US"/>
        </w:rPr>
        <w:t>of the National Council on Public Security was published, approved in the</w:t>
      </w:r>
      <w:r w:rsidR="7D73934B" w:rsidRPr="00CC562A">
        <w:rPr>
          <w:rFonts w:ascii="Cambria" w:eastAsia="Cambria" w:hAnsi="Cambria" w:cs="Cambria"/>
          <w:sz w:val="20"/>
          <w:szCs w:val="20"/>
          <w:lang w:val="en-US"/>
        </w:rPr>
        <w:t xml:space="preserve"> XLVII </w:t>
      </w:r>
      <w:r w:rsidR="001273A0" w:rsidRPr="00CC562A">
        <w:rPr>
          <w:rFonts w:ascii="Cambria" w:eastAsia="Cambria" w:hAnsi="Cambria" w:cs="Cambria"/>
          <w:sz w:val="20"/>
          <w:szCs w:val="20"/>
          <w:lang w:val="en-US"/>
        </w:rPr>
        <w:t xml:space="preserve">Regular Session held on December 16, </w:t>
      </w:r>
      <w:r w:rsidR="7D73934B" w:rsidRPr="00CC562A">
        <w:rPr>
          <w:rFonts w:ascii="Cambria" w:eastAsia="Cambria" w:hAnsi="Cambria" w:cs="Cambria"/>
          <w:sz w:val="20"/>
          <w:szCs w:val="20"/>
          <w:lang w:val="en-US"/>
        </w:rPr>
        <w:t xml:space="preserve">2021, </w:t>
      </w:r>
      <w:r w:rsidR="001273A0" w:rsidRPr="00CC562A">
        <w:rPr>
          <w:rFonts w:ascii="Cambria" w:eastAsia="Cambria" w:hAnsi="Cambria" w:cs="Cambria"/>
          <w:sz w:val="20"/>
          <w:szCs w:val="20"/>
          <w:lang w:val="en-US"/>
        </w:rPr>
        <w:t xml:space="preserve">whereby the Head of the National </w:t>
      </w:r>
      <w:r w:rsidR="001273A0" w:rsidRPr="00CC562A">
        <w:rPr>
          <w:rFonts w:ascii="Cambria" w:eastAsia="Cambria" w:hAnsi="Cambria" w:cs="Cambria"/>
          <w:sz w:val="20"/>
          <w:szCs w:val="20"/>
          <w:lang w:val="en-US"/>
        </w:rPr>
        <w:lastRenderedPageBreak/>
        <w:t>Information Center of the Executive Secretariat of the National Secretariat of Public Security issue</w:t>
      </w:r>
      <w:r w:rsidR="007F1A6C" w:rsidRPr="00CC562A">
        <w:rPr>
          <w:rFonts w:ascii="Cambria" w:eastAsia="Cambria" w:hAnsi="Cambria" w:cs="Cambria"/>
          <w:sz w:val="20"/>
          <w:szCs w:val="20"/>
          <w:lang w:val="en-US"/>
        </w:rPr>
        <w:t>d</w:t>
      </w:r>
      <w:r w:rsidR="001273A0" w:rsidRPr="00CC562A">
        <w:rPr>
          <w:rFonts w:ascii="Cambria" w:eastAsia="Cambria" w:hAnsi="Cambria" w:cs="Cambria"/>
          <w:sz w:val="20"/>
          <w:szCs w:val="20"/>
          <w:lang w:val="en-US"/>
        </w:rPr>
        <w:t xml:space="preserve"> the Guidelines for the Workings, Operations, and Conservation of the National Registry of Detentions</w:t>
      </w:r>
      <w:r w:rsidR="7D73934B" w:rsidRPr="00CC562A">
        <w:rPr>
          <w:rFonts w:ascii="Cambria" w:eastAsia="Cambria" w:hAnsi="Cambria" w:cs="Cambria"/>
          <w:sz w:val="20"/>
          <w:szCs w:val="20"/>
          <w:lang w:val="en-US"/>
        </w:rPr>
        <w:t>.</w:t>
      </w:r>
    </w:p>
    <w:p w14:paraId="571DDDFA" w14:textId="30D381AD" w:rsidR="008A2DCC" w:rsidRPr="00CC562A" w:rsidRDefault="001273A0"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this regard, the State indicated that, by legal mandate, all agents of the State </w:t>
      </w:r>
      <w:r w:rsidR="000B4897" w:rsidRPr="00CC562A">
        <w:rPr>
          <w:rFonts w:ascii="Cambria" w:hAnsi="Cambria"/>
          <w:sz w:val="20"/>
          <w:lang w:val="en-US"/>
        </w:rPr>
        <w:t>and first responders at the three levels of government</w:t>
      </w:r>
      <w:r w:rsidR="007677D2" w:rsidRPr="00CC562A">
        <w:rPr>
          <w:rFonts w:ascii="Cambria" w:hAnsi="Cambria"/>
          <w:sz w:val="20"/>
          <w:lang w:val="en-US"/>
        </w:rPr>
        <w:t xml:space="preserve"> </w:t>
      </w:r>
      <w:r w:rsidRPr="00CC562A">
        <w:rPr>
          <w:rFonts w:ascii="Cambria" w:eastAsia="Cambria" w:hAnsi="Cambria" w:cs="Cambria"/>
          <w:sz w:val="20"/>
          <w:szCs w:val="20"/>
          <w:lang w:val="en-US"/>
        </w:rPr>
        <w:t xml:space="preserve">who place someone in custody must produce in due time and form their report to the National Registry of Detentions (hereinafter </w:t>
      </w:r>
      <w:r w:rsidR="659CA5EA" w:rsidRPr="00CC562A">
        <w:rPr>
          <w:rFonts w:ascii="Cambria" w:eastAsia="Cambria" w:hAnsi="Cambria" w:cs="Cambria"/>
          <w:sz w:val="20"/>
          <w:szCs w:val="20"/>
          <w:lang w:val="en-US"/>
        </w:rPr>
        <w:t>“RND”)</w:t>
      </w:r>
      <w:r w:rsidR="00E46F2F" w:rsidRPr="00CC562A">
        <w:rPr>
          <w:rFonts w:ascii="Cambria" w:eastAsia="Cambria" w:hAnsi="Cambria" w:cs="Cambria"/>
          <w:sz w:val="20"/>
          <w:szCs w:val="20"/>
          <w:lang w:val="en-US"/>
        </w:rPr>
        <w:t>. I</w:t>
      </w:r>
      <w:r w:rsidR="00E20C05" w:rsidRPr="00CC562A">
        <w:rPr>
          <w:rFonts w:ascii="Cambria" w:eastAsia="Cambria" w:hAnsi="Cambria" w:cs="Cambria"/>
          <w:sz w:val="20"/>
          <w:szCs w:val="20"/>
          <w:lang w:val="en-US"/>
        </w:rPr>
        <w:t>n positive or negative case</w:t>
      </w:r>
      <w:r w:rsidR="00E46F2F" w:rsidRPr="00CC562A">
        <w:rPr>
          <w:rFonts w:ascii="Cambria" w:eastAsia="Cambria" w:hAnsi="Cambria" w:cs="Cambria"/>
          <w:sz w:val="20"/>
          <w:szCs w:val="20"/>
          <w:lang w:val="en-US"/>
        </w:rPr>
        <w:t xml:space="preserve">s </w:t>
      </w:r>
      <w:r w:rsidR="00E20C05" w:rsidRPr="00CC562A">
        <w:rPr>
          <w:rFonts w:ascii="Cambria" w:eastAsia="Cambria" w:hAnsi="Cambria" w:cs="Cambria"/>
          <w:sz w:val="20"/>
          <w:szCs w:val="20"/>
          <w:lang w:val="en-US"/>
        </w:rPr>
        <w:t xml:space="preserve">they repeat their report to the area </w:t>
      </w:r>
      <w:r w:rsidR="00E46F2F" w:rsidRPr="00CC562A">
        <w:rPr>
          <w:rFonts w:ascii="Cambria" w:eastAsia="Cambria" w:hAnsi="Cambria" w:cs="Cambria"/>
          <w:sz w:val="20"/>
          <w:szCs w:val="20"/>
          <w:lang w:val="en-US"/>
        </w:rPr>
        <w:t xml:space="preserve">to indicate that it </w:t>
      </w:r>
      <w:r w:rsidR="00E20C05" w:rsidRPr="00CC562A">
        <w:rPr>
          <w:rFonts w:ascii="Cambria" w:eastAsia="Cambria" w:hAnsi="Cambria" w:cs="Cambria"/>
          <w:sz w:val="20"/>
          <w:szCs w:val="20"/>
          <w:lang w:val="en-US"/>
        </w:rPr>
        <w:t>was made available to the Social Representative of the Federation, who in the constitutionally established period will</w:t>
      </w:r>
      <w:r w:rsidR="00E46F2F" w:rsidRPr="00CC562A">
        <w:rPr>
          <w:rFonts w:ascii="Cambria" w:eastAsia="Cambria" w:hAnsi="Cambria" w:cs="Cambria"/>
          <w:sz w:val="20"/>
          <w:szCs w:val="20"/>
          <w:lang w:val="en-US"/>
        </w:rPr>
        <w:t xml:space="preserve"> promptly</w:t>
      </w:r>
      <w:r w:rsidR="00E20C05" w:rsidRPr="00CC562A">
        <w:rPr>
          <w:rFonts w:ascii="Cambria" w:eastAsia="Cambria" w:hAnsi="Cambria" w:cs="Cambria"/>
          <w:sz w:val="20"/>
          <w:szCs w:val="20"/>
          <w:lang w:val="en-US"/>
        </w:rPr>
        <w:t xml:space="preserve"> determine </w:t>
      </w:r>
      <w:r w:rsidR="00E46F2F" w:rsidRPr="00CC562A">
        <w:rPr>
          <w:rFonts w:ascii="Cambria" w:eastAsia="Cambria" w:hAnsi="Cambria" w:cs="Cambria"/>
          <w:sz w:val="20"/>
          <w:szCs w:val="20"/>
          <w:lang w:val="en-US"/>
        </w:rPr>
        <w:t xml:space="preserve">the </w:t>
      </w:r>
      <w:r w:rsidR="00E20C05" w:rsidRPr="00CC562A">
        <w:rPr>
          <w:rFonts w:ascii="Cambria" w:eastAsia="Cambria" w:hAnsi="Cambria" w:cs="Cambria"/>
          <w:sz w:val="20"/>
          <w:szCs w:val="20"/>
          <w:lang w:val="en-US"/>
        </w:rPr>
        <w:t>respective legal situation</w:t>
      </w:r>
      <w:r w:rsidR="00E46F2F" w:rsidRPr="00CC562A">
        <w:rPr>
          <w:rFonts w:ascii="Cambria" w:eastAsia="Cambria" w:hAnsi="Cambria" w:cs="Cambria"/>
          <w:sz w:val="20"/>
          <w:szCs w:val="20"/>
          <w:lang w:val="en-US"/>
        </w:rPr>
        <w:t xml:space="preserve"> of those in custody</w:t>
      </w:r>
      <w:r w:rsidR="00E20C05" w:rsidRPr="00CC562A">
        <w:rPr>
          <w:rFonts w:ascii="Cambria" w:eastAsia="Cambria" w:hAnsi="Cambria" w:cs="Cambria"/>
          <w:sz w:val="20"/>
          <w:szCs w:val="20"/>
          <w:lang w:val="en-US"/>
        </w:rPr>
        <w:t xml:space="preserve">, whether by prosecuting them and making them available to the respective Examining Magistrate or determining their respective legal situation in accordance with the provisions of the National Code of Criminal Procedure. The RND also allows public consultation </w:t>
      </w:r>
      <w:r w:rsidR="00E46F2F" w:rsidRPr="00CC562A">
        <w:rPr>
          <w:rFonts w:ascii="Cambria" w:eastAsia="Cambria" w:hAnsi="Cambria" w:cs="Cambria"/>
          <w:sz w:val="20"/>
          <w:szCs w:val="20"/>
          <w:lang w:val="en-US"/>
        </w:rPr>
        <w:t xml:space="preserve">so that detainees can be found </w:t>
      </w:r>
      <w:r w:rsidR="00E20C05" w:rsidRPr="00CC562A">
        <w:rPr>
          <w:rFonts w:ascii="Cambria" w:eastAsia="Cambria" w:hAnsi="Cambria" w:cs="Cambria"/>
          <w:sz w:val="20"/>
          <w:szCs w:val="20"/>
          <w:lang w:val="en-US"/>
        </w:rPr>
        <w:t xml:space="preserve">in real time. In addition, this consultation mechanism will be updated and constantly harmonized with other National Registries of the National System of Information on Public Security, which allows authorities to consult </w:t>
      </w:r>
      <w:r w:rsidR="007A4E40" w:rsidRPr="00CC562A">
        <w:rPr>
          <w:rFonts w:ascii="Cambria" w:eastAsia="Cambria" w:hAnsi="Cambria" w:cs="Cambria"/>
          <w:sz w:val="20"/>
          <w:szCs w:val="20"/>
          <w:lang w:val="en-US"/>
        </w:rPr>
        <w:t>arrest warrants or repeat offense</w:t>
      </w:r>
      <w:r w:rsidR="00E46F2F" w:rsidRPr="00CC562A">
        <w:rPr>
          <w:rFonts w:ascii="Cambria" w:eastAsia="Cambria" w:hAnsi="Cambria" w:cs="Cambria"/>
          <w:sz w:val="20"/>
          <w:szCs w:val="20"/>
          <w:lang w:val="en-US"/>
        </w:rPr>
        <w:t>s</w:t>
      </w:r>
      <w:r w:rsidR="007A4E40" w:rsidRPr="00CC562A">
        <w:rPr>
          <w:rFonts w:ascii="Cambria" w:eastAsia="Cambria" w:hAnsi="Cambria" w:cs="Cambria"/>
          <w:sz w:val="20"/>
          <w:szCs w:val="20"/>
          <w:lang w:val="en-US"/>
        </w:rPr>
        <w:t>.</w:t>
      </w:r>
    </w:p>
    <w:p w14:paraId="57CC2332" w14:textId="4B262F08" w:rsidR="00C66010" w:rsidRPr="00CC562A" w:rsidRDefault="007A4E40"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w:t>
      </w:r>
      <w:r w:rsidR="659CA5EA" w:rsidRPr="00CC562A">
        <w:rPr>
          <w:rFonts w:ascii="Cambria" w:eastAsia="Cambria" w:hAnsi="Cambria" w:cs="Cambria"/>
          <w:sz w:val="20"/>
          <w:szCs w:val="20"/>
          <w:lang w:val="en-US"/>
        </w:rPr>
        <w:t xml:space="preserve"> </w:t>
      </w:r>
      <w:r w:rsidR="4EB13977" w:rsidRPr="00CC562A">
        <w:rPr>
          <w:rFonts w:ascii="Cambria" w:eastAsia="Cambria" w:hAnsi="Cambria" w:cs="Cambria"/>
          <w:sz w:val="20"/>
          <w:szCs w:val="20"/>
          <w:lang w:val="en-US"/>
        </w:rPr>
        <w:t>CMDPDH establ</w:t>
      </w:r>
      <w:r w:rsidRPr="00CC562A">
        <w:rPr>
          <w:rFonts w:ascii="Cambria" w:eastAsia="Cambria" w:hAnsi="Cambria" w:cs="Cambria"/>
          <w:sz w:val="20"/>
          <w:szCs w:val="20"/>
          <w:lang w:val="en-US"/>
        </w:rPr>
        <w:t>ished</w:t>
      </w:r>
      <w:r w:rsidR="00ED6826" w:rsidRPr="00CC562A">
        <w:rPr>
          <w:rStyle w:val="FootnoteReference"/>
          <w:rFonts w:ascii="Cambria" w:eastAsia="Cambria" w:hAnsi="Cambria" w:cs="Cambria"/>
          <w:sz w:val="20"/>
          <w:szCs w:val="20"/>
          <w:lang w:val="en-US"/>
        </w:rPr>
        <w:footnoteReference w:id="117"/>
      </w:r>
      <w:r w:rsidR="459C68C9" w:rsidRPr="00CC562A">
        <w:rPr>
          <w:rFonts w:ascii="Cambria" w:eastAsia="Cambria" w:hAnsi="Cambria" w:cs="Cambria"/>
          <w:sz w:val="20"/>
          <w:szCs w:val="20"/>
          <w:lang w:val="en-US"/>
        </w:rPr>
        <w:t xml:space="preserve"> </w:t>
      </w:r>
      <w:r w:rsidR="00280B4C" w:rsidRPr="00CC562A">
        <w:rPr>
          <w:rFonts w:ascii="Cambria" w:eastAsia="Cambria" w:hAnsi="Cambria" w:cs="Cambria"/>
          <w:sz w:val="20"/>
          <w:szCs w:val="20"/>
          <w:lang w:val="en-US"/>
        </w:rPr>
        <w:t xml:space="preserve">in transitory Article 5 when creating the RND that “the permanent </w:t>
      </w:r>
      <w:r w:rsidR="00E46F2F" w:rsidRPr="00CC562A">
        <w:rPr>
          <w:rFonts w:ascii="Cambria" w:eastAsia="Cambria" w:hAnsi="Cambria" w:cs="Cambria"/>
          <w:sz w:val="20"/>
          <w:szCs w:val="20"/>
          <w:lang w:val="en-US"/>
        </w:rPr>
        <w:t>a</w:t>
      </w:r>
      <w:r w:rsidR="00D5781D" w:rsidRPr="00CC562A">
        <w:rPr>
          <w:rFonts w:ascii="Cambria" w:eastAsia="Cambria" w:hAnsi="Cambria" w:cs="Cambria"/>
          <w:sz w:val="20"/>
          <w:szCs w:val="20"/>
          <w:lang w:val="en-US"/>
        </w:rPr>
        <w:t>rmed forces</w:t>
      </w:r>
      <w:r w:rsidR="00280B4C" w:rsidRPr="00CC562A">
        <w:rPr>
          <w:rFonts w:ascii="Cambria" w:eastAsia="Cambria" w:hAnsi="Cambria" w:cs="Cambria"/>
          <w:sz w:val="20"/>
          <w:szCs w:val="20"/>
          <w:lang w:val="en-US"/>
        </w:rPr>
        <w:t xml:space="preserve"> while conducting public security tasks shall be subject to the provisions of this law; in this case</w:t>
      </w:r>
      <w:r w:rsidR="4EB13977" w:rsidRPr="00CC562A">
        <w:rPr>
          <w:rFonts w:ascii="Cambria" w:eastAsia="Cambria" w:hAnsi="Cambria" w:cs="Cambria"/>
          <w:sz w:val="20"/>
          <w:szCs w:val="20"/>
          <w:lang w:val="en-US"/>
        </w:rPr>
        <w:t xml:space="preserve">, </w:t>
      </w:r>
      <w:r w:rsidR="001E350A" w:rsidRPr="00CC562A">
        <w:rPr>
          <w:rFonts w:ascii="Cambria" w:eastAsia="Cambria" w:hAnsi="Cambria" w:cs="Cambria"/>
          <w:sz w:val="20"/>
          <w:szCs w:val="20"/>
          <w:lang w:val="en-US"/>
        </w:rPr>
        <w:t>the provisions of Article 19 shall not be applicable.” The referenced article establishes that</w:t>
      </w:r>
      <w:r w:rsidR="4EB13977" w:rsidRPr="00CC562A">
        <w:rPr>
          <w:rFonts w:ascii="Cambria" w:eastAsia="Cambria" w:hAnsi="Cambria" w:cs="Cambria"/>
          <w:sz w:val="20"/>
          <w:szCs w:val="20"/>
          <w:lang w:val="en-US"/>
        </w:rPr>
        <w:t xml:space="preserve"> “</w:t>
      </w:r>
      <w:r w:rsidR="001E350A" w:rsidRPr="00CC562A">
        <w:rPr>
          <w:rFonts w:ascii="Cambria" w:eastAsia="Cambria" w:hAnsi="Cambria" w:cs="Cambria"/>
          <w:sz w:val="20"/>
          <w:szCs w:val="20"/>
          <w:lang w:val="en-US"/>
        </w:rPr>
        <w:t xml:space="preserve">when arrests are </w:t>
      </w:r>
      <w:r w:rsidR="00E46F2F" w:rsidRPr="00CC562A">
        <w:rPr>
          <w:rFonts w:ascii="Cambria" w:eastAsia="Cambria" w:hAnsi="Cambria" w:cs="Cambria"/>
          <w:sz w:val="20"/>
          <w:szCs w:val="20"/>
          <w:lang w:val="en-US"/>
        </w:rPr>
        <w:t xml:space="preserve">made </w:t>
      </w:r>
      <w:r w:rsidR="001E350A" w:rsidRPr="00CC562A">
        <w:rPr>
          <w:rFonts w:ascii="Cambria" w:eastAsia="Cambria" w:hAnsi="Cambria" w:cs="Cambria"/>
          <w:sz w:val="20"/>
          <w:szCs w:val="20"/>
          <w:lang w:val="en-US"/>
        </w:rPr>
        <w:t>by authorities with function</w:t>
      </w:r>
      <w:r w:rsidR="00E46F2F" w:rsidRPr="00CC562A">
        <w:rPr>
          <w:rFonts w:ascii="Cambria" w:eastAsia="Cambria" w:hAnsi="Cambria" w:cs="Cambria"/>
          <w:sz w:val="20"/>
          <w:szCs w:val="20"/>
          <w:lang w:val="en-US"/>
        </w:rPr>
        <w:t>s</w:t>
      </w:r>
      <w:r w:rsidR="001E350A" w:rsidRPr="00CC562A">
        <w:rPr>
          <w:rFonts w:ascii="Cambria" w:eastAsia="Cambria" w:hAnsi="Cambria" w:cs="Cambria"/>
          <w:sz w:val="20"/>
          <w:szCs w:val="20"/>
          <w:lang w:val="en-US"/>
        </w:rPr>
        <w:t xml:space="preserve"> supporting public</w:t>
      </w:r>
      <w:r w:rsidR="00E46F2F" w:rsidRPr="00CC562A">
        <w:rPr>
          <w:rFonts w:ascii="Cambria" w:eastAsia="Cambria" w:hAnsi="Cambria" w:cs="Cambria"/>
          <w:sz w:val="20"/>
          <w:szCs w:val="20"/>
          <w:lang w:val="en-US"/>
        </w:rPr>
        <w:t xml:space="preserve"> </w:t>
      </w:r>
      <w:r w:rsidR="001E350A" w:rsidRPr="00CC562A">
        <w:rPr>
          <w:rFonts w:ascii="Cambria" w:eastAsia="Cambria" w:hAnsi="Cambria" w:cs="Cambria"/>
          <w:sz w:val="20"/>
          <w:szCs w:val="20"/>
          <w:lang w:val="en-US"/>
        </w:rPr>
        <w:t xml:space="preserve">security, they shall be strictly responsible for immediately advising the competent police authority </w:t>
      </w:r>
      <w:r w:rsidR="005160F8" w:rsidRPr="00CC562A">
        <w:rPr>
          <w:rFonts w:ascii="Cambria" w:eastAsia="Cambria" w:hAnsi="Cambria" w:cs="Cambria"/>
          <w:sz w:val="20"/>
          <w:szCs w:val="20"/>
          <w:lang w:val="en-US"/>
        </w:rPr>
        <w:t>of the</w:t>
      </w:r>
      <w:r w:rsidR="001E350A" w:rsidRPr="00CC562A">
        <w:rPr>
          <w:rFonts w:ascii="Cambria" w:eastAsia="Cambria" w:hAnsi="Cambria" w:cs="Cambria"/>
          <w:sz w:val="20"/>
          <w:szCs w:val="20"/>
          <w:lang w:val="en-US"/>
        </w:rPr>
        <w:t xml:space="preserve"> arrest, providing the information needed to allow the police to produce the corresponding record, under the terms established by this law.” In this regard, they argued that the preceding breaks with the obligation to provide input to the National Registry and affects the civilian authorities</w:t>
      </w:r>
      <w:r w:rsidR="00E46F2F" w:rsidRPr="00CC562A">
        <w:rPr>
          <w:rFonts w:ascii="Cambria" w:eastAsia="Cambria" w:hAnsi="Cambria" w:cs="Cambria"/>
          <w:sz w:val="20"/>
          <w:szCs w:val="20"/>
          <w:lang w:val="en-US"/>
        </w:rPr>
        <w:t>’</w:t>
      </w:r>
      <w:r w:rsidR="001E350A" w:rsidRPr="00CC562A">
        <w:rPr>
          <w:rFonts w:ascii="Cambria" w:eastAsia="Cambria" w:hAnsi="Cambria" w:cs="Cambria"/>
          <w:sz w:val="20"/>
          <w:szCs w:val="20"/>
          <w:lang w:val="en-US"/>
        </w:rPr>
        <w:t xml:space="preserve"> </w:t>
      </w:r>
      <w:r w:rsidR="00E46F2F" w:rsidRPr="00CC562A">
        <w:rPr>
          <w:rFonts w:ascii="Cambria" w:eastAsia="Cambria" w:hAnsi="Cambria" w:cs="Cambria"/>
          <w:sz w:val="20"/>
          <w:szCs w:val="20"/>
          <w:lang w:val="en-US"/>
        </w:rPr>
        <w:t>oversight</w:t>
      </w:r>
      <w:r w:rsidR="001E350A" w:rsidRPr="00CC562A">
        <w:rPr>
          <w:rFonts w:ascii="Cambria" w:eastAsia="Cambria" w:hAnsi="Cambria" w:cs="Cambria"/>
          <w:sz w:val="20"/>
          <w:szCs w:val="20"/>
          <w:lang w:val="en-US"/>
        </w:rPr>
        <w:t xml:space="preserve"> of arrests, leaving to the military authority the discretion, whether correct or not, to enter the civilian or military person arrested in the Registry</w:t>
      </w:r>
      <w:r w:rsidR="5E28C0A3" w:rsidRPr="00CC562A">
        <w:rPr>
          <w:rFonts w:ascii="Cambria" w:eastAsia="Cambria" w:hAnsi="Cambria" w:cs="Cambria"/>
          <w:sz w:val="20"/>
          <w:szCs w:val="20"/>
          <w:lang w:val="en-US"/>
        </w:rPr>
        <w:t xml:space="preserve">. </w:t>
      </w:r>
      <w:r w:rsidR="001E350A" w:rsidRPr="00CC562A">
        <w:rPr>
          <w:rFonts w:ascii="Cambria" w:eastAsia="Cambria" w:hAnsi="Cambria" w:cs="Cambria"/>
          <w:sz w:val="20"/>
          <w:szCs w:val="20"/>
          <w:lang w:val="en-US"/>
        </w:rPr>
        <w:t>In addition, the</w:t>
      </w:r>
      <w:r w:rsidR="659CA5EA" w:rsidRPr="00CC562A">
        <w:rPr>
          <w:rFonts w:ascii="Cambria" w:eastAsia="Cambria" w:hAnsi="Cambria" w:cs="Cambria"/>
          <w:sz w:val="20"/>
          <w:szCs w:val="20"/>
          <w:lang w:val="en-US"/>
        </w:rPr>
        <w:t xml:space="preserve"> </w:t>
      </w:r>
      <w:r w:rsidR="2906CBCE" w:rsidRPr="00CC562A">
        <w:rPr>
          <w:rFonts w:ascii="Cambria" w:eastAsia="Cambria" w:hAnsi="Cambria" w:cs="Cambria"/>
          <w:sz w:val="20"/>
          <w:szCs w:val="20"/>
          <w:lang w:val="en-US"/>
        </w:rPr>
        <w:t xml:space="preserve">CMDPDH </w:t>
      </w:r>
      <w:r w:rsidR="001E350A" w:rsidRPr="00CC562A">
        <w:rPr>
          <w:rFonts w:ascii="Cambria" w:eastAsia="Cambria" w:hAnsi="Cambria" w:cs="Cambria"/>
          <w:sz w:val="20"/>
          <w:szCs w:val="20"/>
          <w:lang w:val="en-US"/>
        </w:rPr>
        <w:t xml:space="preserve">reported that Articles </w:t>
      </w:r>
      <w:r w:rsidR="2906CBCE" w:rsidRPr="00CC562A">
        <w:rPr>
          <w:rFonts w:ascii="Cambria" w:eastAsia="Cambria" w:hAnsi="Cambria" w:cs="Cambria"/>
          <w:sz w:val="20"/>
          <w:szCs w:val="20"/>
          <w:lang w:val="en-US"/>
        </w:rPr>
        <w:t xml:space="preserve">34 </w:t>
      </w:r>
      <w:r w:rsidR="001E350A" w:rsidRPr="00CC562A">
        <w:rPr>
          <w:rFonts w:ascii="Cambria" w:eastAsia="Cambria" w:hAnsi="Cambria" w:cs="Cambria"/>
          <w:sz w:val="20"/>
          <w:szCs w:val="20"/>
          <w:lang w:val="en-US"/>
        </w:rPr>
        <w:t>and</w:t>
      </w:r>
      <w:r w:rsidR="2906CBCE" w:rsidRPr="00CC562A">
        <w:rPr>
          <w:rFonts w:ascii="Cambria" w:eastAsia="Cambria" w:hAnsi="Cambria" w:cs="Cambria"/>
          <w:sz w:val="20"/>
          <w:szCs w:val="20"/>
          <w:lang w:val="en-US"/>
        </w:rPr>
        <w:t xml:space="preserve"> 36 </w:t>
      </w:r>
      <w:r w:rsidR="001E350A" w:rsidRPr="00CC562A">
        <w:rPr>
          <w:rFonts w:ascii="Cambria" w:eastAsia="Cambria" w:hAnsi="Cambria" w:cs="Cambria"/>
          <w:sz w:val="20"/>
          <w:szCs w:val="20"/>
          <w:lang w:val="en-US"/>
        </w:rPr>
        <w:t xml:space="preserve">of the RND Law may provide incentives for and abuse </w:t>
      </w:r>
      <w:r w:rsidR="00395AC1" w:rsidRPr="00CC562A">
        <w:rPr>
          <w:rFonts w:ascii="Cambria" w:eastAsia="Cambria" w:hAnsi="Cambria" w:cs="Cambria"/>
          <w:sz w:val="20"/>
          <w:szCs w:val="20"/>
          <w:lang w:val="en-US"/>
        </w:rPr>
        <w:t xml:space="preserve">of </w:t>
      </w:r>
      <w:r w:rsidR="001E350A" w:rsidRPr="00CC562A">
        <w:rPr>
          <w:rFonts w:ascii="Cambria" w:eastAsia="Cambria" w:hAnsi="Cambria" w:cs="Cambria"/>
          <w:sz w:val="20"/>
          <w:szCs w:val="20"/>
          <w:lang w:val="en-US"/>
        </w:rPr>
        <w:t>arrests of persons</w:t>
      </w:r>
      <w:r w:rsidR="00395AC1" w:rsidRPr="00CC562A">
        <w:rPr>
          <w:rFonts w:ascii="Cambria" w:eastAsia="Cambria" w:hAnsi="Cambria" w:cs="Cambria"/>
          <w:sz w:val="20"/>
          <w:szCs w:val="20"/>
          <w:lang w:val="en-US"/>
        </w:rPr>
        <w:t xml:space="preserve"> using the argument of organized crime, as well as punishment without conviction of persons detained by establishing permanence in the Registry</w:t>
      </w:r>
      <w:r w:rsidR="2906CBCE" w:rsidRPr="00CC562A">
        <w:rPr>
          <w:rFonts w:ascii="Cambria" w:eastAsia="Cambria" w:hAnsi="Cambria" w:cs="Cambria"/>
          <w:sz w:val="20"/>
          <w:szCs w:val="20"/>
          <w:lang w:val="en-US"/>
        </w:rPr>
        <w:t xml:space="preserve">. </w:t>
      </w:r>
    </w:p>
    <w:p w14:paraId="12E73255" w14:textId="378E1D36" w:rsidR="007677D2" w:rsidRPr="00CC562A" w:rsidRDefault="007677D2" w:rsidP="007677D2">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Re</w:t>
      </w:r>
      <w:r w:rsidR="000B4897" w:rsidRPr="00CC562A">
        <w:rPr>
          <w:rFonts w:ascii="Cambria" w:hAnsi="Cambria"/>
          <w:sz w:val="20"/>
          <w:lang w:val="en-US"/>
        </w:rPr>
        <w:t xml:space="preserve">garding the above, in its observations on this report, the State indicated that what was alleged by the civil society organizations was remedied </w:t>
      </w:r>
      <w:r w:rsidR="00705048" w:rsidRPr="00CC562A">
        <w:rPr>
          <w:rFonts w:ascii="Cambria" w:hAnsi="Cambria"/>
          <w:sz w:val="20"/>
          <w:lang w:val="en-US"/>
        </w:rPr>
        <w:t xml:space="preserve">by an </w:t>
      </w:r>
      <w:r w:rsidR="000B4897" w:rsidRPr="00CC562A">
        <w:rPr>
          <w:rFonts w:ascii="Cambria" w:hAnsi="Cambria"/>
          <w:sz w:val="20"/>
          <w:lang w:val="en-US"/>
        </w:rPr>
        <w:t>updating of the guidelines of the</w:t>
      </w:r>
      <w:r w:rsidRPr="00CC562A">
        <w:rPr>
          <w:rFonts w:ascii="Cambria" w:hAnsi="Cambria"/>
          <w:sz w:val="20"/>
          <w:lang w:val="en-US"/>
        </w:rPr>
        <w:t xml:space="preserve"> RND 2.0</w:t>
      </w:r>
      <w:r w:rsidR="000B4897" w:rsidRPr="00CC562A">
        <w:rPr>
          <w:rFonts w:ascii="Cambria" w:hAnsi="Cambria"/>
          <w:sz w:val="20"/>
          <w:lang w:val="en-US"/>
        </w:rPr>
        <w:t>.</w:t>
      </w:r>
      <w:r w:rsidRPr="00CC562A">
        <w:rPr>
          <w:rStyle w:val="FootnoteReference"/>
          <w:rFonts w:ascii="Cambria" w:hAnsi="Cambria"/>
          <w:sz w:val="20"/>
          <w:lang w:val="en-US"/>
        </w:rPr>
        <w:footnoteReference w:id="118"/>
      </w:r>
    </w:p>
    <w:p w14:paraId="2AC9DB6D" w14:textId="17F10265" w:rsidR="00861D6F" w:rsidRPr="00CC562A" w:rsidRDefault="00395AC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Commission recognizes that the implementation of tangible legislative measures and approval of the RND guidelines by the coordinated authorities of the State are positive actions in terms of institutional progress in complying with the recommendation. Nonetheless, the Commission notes what the </w:t>
      </w:r>
      <w:r w:rsidR="352C5F78" w:rsidRPr="00CC562A">
        <w:rPr>
          <w:rFonts w:ascii="Cambria" w:hAnsi="Cambria"/>
          <w:sz w:val="20"/>
          <w:szCs w:val="20"/>
          <w:lang w:val="en-US"/>
        </w:rPr>
        <w:t xml:space="preserve">CMDPDH </w:t>
      </w:r>
      <w:r w:rsidRPr="00CC562A">
        <w:rPr>
          <w:rFonts w:ascii="Cambria" w:hAnsi="Cambria"/>
          <w:sz w:val="20"/>
          <w:szCs w:val="20"/>
          <w:lang w:val="en-US"/>
        </w:rPr>
        <w:t>states to the effect that the information in the National Registry is administered by military authorities, in the performance of public security functions, who have discretionary powers to operate the RND, a situation that affects the</w:t>
      </w:r>
      <w:r w:rsidR="352C5F78" w:rsidRPr="00CC562A">
        <w:rPr>
          <w:rFonts w:ascii="Cambria" w:hAnsi="Cambria"/>
          <w:sz w:val="20"/>
          <w:szCs w:val="20"/>
          <w:lang w:val="en-US"/>
        </w:rPr>
        <w:t xml:space="preserve"> </w:t>
      </w:r>
      <w:r w:rsidRPr="00CC562A">
        <w:rPr>
          <w:rFonts w:ascii="Cambria" w:hAnsi="Cambria"/>
          <w:sz w:val="20"/>
          <w:szCs w:val="20"/>
          <w:lang w:val="en-US"/>
        </w:rPr>
        <w:t>flow of information and the invasion of powers in citizen security.</w:t>
      </w:r>
      <w:r w:rsidR="352C5F78" w:rsidRPr="00CC562A">
        <w:rPr>
          <w:rFonts w:ascii="Cambria" w:hAnsi="Cambria"/>
          <w:sz w:val="20"/>
          <w:szCs w:val="20"/>
          <w:lang w:val="en-US"/>
        </w:rPr>
        <w:t xml:space="preserve"> </w:t>
      </w:r>
    </w:p>
    <w:p w14:paraId="2DB56CCC" w14:textId="48FA31AE" w:rsidR="00522749" w:rsidRPr="00CC562A" w:rsidRDefault="00395AC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It is important for the Commission to emphasize that prompt follow-up of the recommendation will continue,</w:t>
      </w:r>
      <w:r w:rsidR="00FC71F6" w:rsidRPr="00CC562A">
        <w:rPr>
          <w:rFonts w:ascii="Cambria" w:hAnsi="Cambria"/>
          <w:sz w:val="20"/>
          <w:szCs w:val="20"/>
          <w:lang w:val="en-US"/>
        </w:rPr>
        <w:t xml:space="preserve"> in that</w:t>
      </w:r>
      <w:r w:rsidRPr="00CC562A">
        <w:rPr>
          <w:rFonts w:ascii="Cambria" w:hAnsi="Cambria"/>
          <w:sz w:val="20"/>
          <w:szCs w:val="20"/>
          <w:lang w:val="en-US"/>
        </w:rPr>
        <w:t xml:space="preserve"> civil society organizations have repeatedly informed the IACHR that </w:t>
      </w:r>
      <w:r w:rsidR="00B572B8" w:rsidRPr="00CC562A">
        <w:rPr>
          <w:rFonts w:ascii="Cambria" w:hAnsi="Cambria"/>
          <w:sz w:val="20"/>
          <w:szCs w:val="20"/>
          <w:lang w:val="en-US"/>
        </w:rPr>
        <w:t>in practice when people are arrested there is no specific timeframe for complying with the obligation to make the persons charged immediately available to the Public Prosecutor’s Office, as outlined in the 2021</w:t>
      </w:r>
      <w:r w:rsidR="352C5F78" w:rsidRPr="00CC562A">
        <w:rPr>
          <w:rFonts w:ascii="Cambria" w:hAnsi="Cambria"/>
          <w:sz w:val="20"/>
          <w:szCs w:val="20"/>
          <w:lang w:val="en-US"/>
        </w:rPr>
        <w:t xml:space="preserve"> ENPOL</w:t>
      </w:r>
      <w:r w:rsidR="00B572B8" w:rsidRPr="00CC562A">
        <w:rPr>
          <w:rFonts w:ascii="Cambria" w:hAnsi="Cambria"/>
          <w:sz w:val="20"/>
          <w:szCs w:val="20"/>
          <w:lang w:val="en-US"/>
        </w:rPr>
        <w:t>.</w:t>
      </w:r>
      <w:r w:rsidR="00861D6F" w:rsidRPr="00CC562A">
        <w:rPr>
          <w:rStyle w:val="FootnoteReference"/>
          <w:rFonts w:ascii="Cambria" w:hAnsi="Cambria"/>
          <w:sz w:val="20"/>
          <w:szCs w:val="20"/>
          <w:lang w:val="en-US"/>
        </w:rPr>
        <w:footnoteReference w:id="119"/>
      </w:r>
      <w:r w:rsidR="00B572B8" w:rsidRPr="00CC562A">
        <w:rPr>
          <w:rFonts w:ascii="Cambria" w:hAnsi="Cambria"/>
          <w:sz w:val="20"/>
          <w:szCs w:val="20"/>
          <w:lang w:val="en-US"/>
        </w:rPr>
        <w:t xml:space="preserve"> </w:t>
      </w:r>
      <w:r w:rsidR="00B572B8" w:rsidRPr="00CC562A">
        <w:rPr>
          <w:rFonts w:ascii="Cambria" w:hAnsi="Cambria"/>
          <w:sz w:val="20"/>
          <w:szCs w:val="20"/>
          <w:lang w:val="en-US"/>
        </w:rPr>
        <w:lastRenderedPageBreak/>
        <w:t xml:space="preserve">Based on the foregoing and given the lack of information from the State, the Commission understands that there is </w:t>
      </w:r>
      <w:r w:rsidR="00B572B8" w:rsidRPr="00CC562A">
        <w:rPr>
          <w:rFonts w:ascii="Cambria" w:hAnsi="Cambria"/>
          <w:b/>
          <w:bCs/>
          <w:sz w:val="20"/>
          <w:szCs w:val="20"/>
          <w:lang w:val="en-US"/>
        </w:rPr>
        <w:t xml:space="preserve">partial compliance </w:t>
      </w:r>
      <w:r w:rsidR="00B572B8" w:rsidRPr="00CC562A">
        <w:rPr>
          <w:rFonts w:ascii="Cambria" w:hAnsi="Cambria"/>
          <w:sz w:val="20"/>
          <w:szCs w:val="20"/>
          <w:lang w:val="en-US"/>
        </w:rPr>
        <w:t>with the recommendation</w:t>
      </w:r>
      <w:r w:rsidR="352C5F78" w:rsidRPr="00CC562A">
        <w:rPr>
          <w:rFonts w:ascii="Cambria" w:hAnsi="Cambria"/>
          <w:sz w:val="20"/>
          <w:szCs w:val="20"/>
          <w:lang w:val="en-US"/>
        </w:rPr>
        <w:t xml:space="preserve">. </w:t>
      </w:r>
    </w:p>
    <w:p w14:paraId="6F70CC83" w14:textId="77B28FB9" w:rsidR="00C66010" w:rsidRPr="00CC562A" w:rsidRDefault="00B572B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To guide the implementation of the recommendation, the IACHR </w:t>
      </w:r>
      <w:r w:rsidR="003000E6" w:rsidRPr="00CC562A">
        <w:rPr>
          <w:rFonts w:ascii="Cambria" w:hAnsi="Cambria"/>
          <w:sz w:val="20"/>
          <w:szCs w:val="20"/>
          <w:lang w:val="en-US"/>
        </w:rPr>
        <w:t>sees fit to suggest the adoption of measures to ensure that, in practice, detainees are brought before the competent authorities within a specific period of time. In addition, the Commission advises th</w:t>
      </w:r>
      <w:r w:rsidR="00FC71F6" w:rsidRPr="00CC562A">
        <w:rPr>
          <w:rFonts w:ascii="Cambria" w:hAnsi="Cambria"/>
          <w:sz w:val="20"/>
          <w:szCs w:val="20"/>
          <w:lang w:val="en-US"/>
        </w:rPr>
        <w:t xml:space="preserve">at measures be </w:t>
      </w:r>
      <w:r w:rsidR="003000E6" w:rsidRPr="00CC562A">
        <w:rPr>
          <w:rFonts w:ascii="Cambria" w:hAnsi="Cambria"/>
          <w:sz w:val="20"/>
          <w:szCs w:val="20"/>
          <w:lang w:val="en-US"/>
        </w:rPr>
        <w:t>implement</w:t>
      </w:r>
      <w:r w:rsidR="00FC71F6" w:rsidRPr="00CC562A">
        <w:rPr>
          <w:rFonts w:ascii="Cambria" w:hAnsi="Cambria"/>
          <w:sz w:val="20"/>
          <w:szCs w:val="20"/>
          <w:lang w:val="en-US"/>
        </w:rPr>
        <w:t xml:space="preserve">ed </w:t>
      </w:r>
      <w:r w:rsidR="003000E6" w:rsidRPr="00CC562A">
        <w:rPr>
          <w:rFonts w:ascii="Cambria" w:hAnsi="Cambria"/>
          <w:sz w:val="20"/>
          <w:szCs w:val="20"/>
          <w:lang w:val="en-US"/>
        </w:rPr>
        <w:t xml:space="preserve">to ensure that </w:t>
      </w:r>
      <w:r w:rsidR="00FC71F6" w:rsidRPr="00CC562A">
        <w:rPr>
          <w:rFonts w:ascii="Cambria" w:hAnsi="Cambria"/>
          <w:sz w:val="20"/>
          <w:szCs w:val="20"/>
          <w:lang w:val="en-US"/>
        </w:rPr>
        <w:t>all authorities are required to enter</w:t>
      </w:r>
      <w:r w:rsidR="003000E6" w:rsidRPr="00CC562A">
        <w:rPr>
          <w:rFonts w:ascii="Cambria" w:hAnsi="Cambria"/>
          <w:sz w:val="20"/>
          <w:szCs w:val="20"/>
          <w:lang w:val="en-US"/>
        </w:rPr>
        <w:t xml:space="preserve"> people in the registry within the </w:t>
      </w:r>
      <w:r w:rsidR="00FC71F6" w:rsidRPr="00CC562A">
        <w:rPr>
          <w:rFonts w:ascii="Cambria" w:hAnsi="Cambria"/>
          <w:sz w:val="20"/>
          <w:szCs w:val="20"/>
          <w:lang w:val="en-US"/>
        </w:rPr>
        <w:t>context</w:t>
      </w:r>
      <w:r w:rsidR="003000E6" w:rsidRPr="00CC562A">
        <w:rPr>
          <w:rFonts w:ascii="Cambria" w:hAnsi="Cambria"/>
          <w:sz w:val="20"/>
          <w:szCs w:val="20"/>
          <w:lang w:val="en-US"/>
        </w:rPr>
        <w:t xml:space="preserve"> of their </w:t>
      </w:r>
      <w:r w:rsidR="00FC71F6" w:rsidRPr="00CC562A">
        <w:rPr>
          <w:rFonts w:ascii="Cambria" w:hAnsi="Cambria"/>
          <w:sz w:val="20"/>
          <w:szCs w:val="20"/>
          <w:lang w:val="en-US"/>
        </w:rPr>
        <w:t xml:space="preserve">jurisdiction and that this is not a </w:t>
      </w:r>
      <w:r w:rsidR="003000E6" w:rsidRPr="00CC562A">
        <w:rPr>
          <w:rFonts w:ascii="Cambria" w:hAnsi="Cambria"/>
          <w:sz w:val="20"/>
          <w:szCs w:val="20"/>
          <w:lang w:val="en-US"/>
        </w:rPr>
        <w:t>discretionary power.</w:t>
      </w:r>
      <w:r w:rsidR="4EF0288A" w:rsidRPr="00CC562A">
        <w:rPr>
          <w:rFonts w:ascii="Cambria" w:hAnsi="Cambria"/>
          <w:sz w:val="20"/>
          <w:szCs w:val="20"/>
          <w:lang w:val="en-US"/>
        </w:rPr>
        <w:t xml:space="preserve">  </w:t>
      </w:r>
    </w:p>
    <w:p w14:paraId="1AC07961" w14:textId="2855DA82" w:rsidR="00102F93" w:rsidRPr="00CC562A" w:rsidRDefault="00895920"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25896D83" w:rsidRPr="00CC562A">
        <w:rPr>
          <w:rFonts w:ascii="Cambria" w:hAnsi="Cambria"/>
          <w:b/>
          <w:bCs/>
          <w:sz w:val="20"/>
          <w:szCs w:val="20"/>
          <w:lang w:val="en-US"/>
        </w:rPr>
        <w:t>investiga</w:t>
      </w:r>
      <w:r w:rsidRPr="00CC562A">
        <w:rPr>
          <w:rFonts w:ascii="Cambria" w:hAnsi="Cambria"/>
          <w:b/>
          <w:bCs/>
          <w:sz w:val="20"/>
          <w:szCs w:val="20"/>
          <w:lang w:val="en-US"/>
        </w:rPr>
        <w:t xml:space="preserve">te cases in which judges do not order an investigation in allegations or indications of torture or mistreatment and ensure that the Istanbul Protocol is applied at the national level by competent and independent </w:t>
      </w:r>
      <w:r w:rsidR="0014181C" w:rsidRPr="00CC562A">
        <w:rPr>
          <w:rFonts w:ascii="Cambria" w:hAnsi="Cambria"/>
          <w:b/>
          <w:bCs/>
          <w:sz w:val="20"/>
          <w:szCs w:val="20"/>
          <w:lang w:val="en-US"/>
        </w:rPr>
        <w:t xml:space="preserve">authorities in an expeditious manner and on pain of punishment, </w:t>
      </w:r>
      <w:r w:rsidR="0014181C" w:rsidRPr="00CC562A">
        <w:rPr>
          <w:rFonts w:ascii="Cambria" w:hAnsi="Cambria"/>
          <w:sz w:val="20"/>
          <w:szCs w:val="20"/>
          <w:lang w:val="en-US"/>
        </w:rPr>
        <w:t>the State indicated that investigations of the crime of torture are based on the submission of a report, complaint, or an opinion issued by the</w:t>
      </w:r>
      <w:r w:rsidR="7D73934B" w:rsidRPr="00CC562A">
        <w:rPr>
          <w:rFonts w:ascii="Cambria" w:eastAsia="Cambria" w:hAnsi="Cambria" w:cs="Cambria"/>
          <w:sz w:val="20"/>
          <w:szCs w:val="20"/>
          <w:lang w:val="en-US"/>
        </w:rPr>
        <w:t xml:space="preserve"> </w:t>
      </w:r>
      <w:r w:rsidR="0014181C" w:rsidRPr="00CC562A">
        <w:rPr>
          <w:rFonts w:ascii="Cambria" w:eastAsia="Cambria" w:hAnsi="Cambria" w:cs="Cambria"/>
          <w:sz w:val="20"/>
          <w:szCs w:val="20"/>
          <w:lang w:val="en-US"/>
        </w:rPr>
        <w:t>competent court</w:t>
      </w:r>
      <w:r w:rsidR="00FC71F6" w:rsidRPr="00CC562A">
        <w:rPr>
          <w:rFonts w:ascii="Cambria" w:eastAsia="Cambria" w:hAnsi="Cambria" w:cs="Cambria"/>
          <w:sz w:val="20"/>
          <w:szCs w:val="20"/>
          <w:lang w:val="en-US"/>
        </w:rPr>
        <w:t xml:space="preserve"> as applicable,</w:t>
      </w:r>
      <w:r w:rsidR="0014181C" w:rsidRPr="00CC562A">
        <w:rPr>
          <w:rFonts w:ascii="Cambria" w:eastAsia="Cambria" w:hAnsi="Cambria" w:cs="Cambria"/>
          <w:sz w:val="20"/>
          <w:szCs w:val="20"/>
          <w:lang w:val="en-US"/>
        </w:rPr>
        <w:t xml:space="preserve"> at all times in accordance with the jurisdiction referred to in Article 22 of the General Law on Torture</w:t>
      </w:r>
      <w:r w:rsidR="7D73934B" w:rsidRPr="00CC562A">
        <w:rPr>
          <w:rFonts w:ascii="Cambria" w:eastAsia="Cambria" w:hAnsi="Cambria" w:cs="Cambria"/>
          <w:sz w:val="20"/>
          <w:szCs w:val="20"/>
          <w:lang w:val="en-US"/>
        </w:rPr>
        <w:t>.</w:t>
      </w:r>
      <w:r w:rsidR="53B87496" w:rsidRPr="00CC562A">
        <w:rPr>
          <w:rFonts w:ascii="Cambria" w:eastAsia="Cambria" w:hAnsi="Cambria" w:cs="Cambria"/>
          <w:sz w:val="20"/>
          <w:szCs w:val="20"/>
          <w:lang w:val="en-US"/>
        </w:rPr>
        <w:t xml:space="preserve"> </w:t>
      </w:r>
      <w:proofErr w:type="gramStart"/>
      <w:r w:rsidR="0014181C" w:rsidRPr="00CC562A">
        <w:rPr>
          <w:rFonts w:ascii="Cambria" w:eastAsia="Cambria" w:hAnsi="Cambria" w:cs="Cambria"/>
          <w:sz w:val="20"/>
          <w:szCs w:val="20"/>
          <w:lang w:val="en-US"/>
        </w:rPr>
        <w:t>In</w:t>
      </w:r>
      <w:r w:rsidR="7D73934B" w:rsidRPr="00CC562A">
        <w:rPr>
          <w:rFonts w:ascii="Cambria" w:eastAsia="Cambria" w:hAnsi="Cambria" w:cs="Cambria"/>
          <w:sz w:val="20"/>
          <w:szCs w:val="20"/>
          <w:lang w:val="en-US"/>
        </w:rPr>
        <w:t xml:space="preserve"> </w:t>
      </w:r>
      <w:r w:rsidR="005160F8" w:rsidRPr="00CC562A">
        <w:rPr>
          <w:rFonts w:ascii="Cambria" w:eastAsia="Cambria" w:hAnsi="Cambria" w:cs="Cambria"/>
          <w:sz w:val="20"/>
          <w:szCs w:val="20"/>
          <w:lang w:val="en-US"/>
        </w:rPr>
        <w:t>particular, Article</w:t>
      </w:r>
      <w:proofErr w:type="gramEnd"/>
      <w:r w:rsidR="0014181C" w:rsidRPr="00CC562A">
        <w:rPr>
          <w:rFonts w:ascii="Cambria" w:eastAsia="Cambria" w:hAnsi="Cambria" w:cs="Cambria"/>
          <w:sz w:val="20"/>
          <w:szCs w:val="20"/>
          <w:lang w:val="en-US"/>
        </w:rPr>
        <w:t xml:space="preserve"> </w:t>
      </w:r>
      <w:r w:rsidR="7D73934B" w:rsidRPr="00CC562A">
        <w:rPr>
          <w:rFonts w:ascii="Cambria" w:eastAsia="Cambria" w:hAnsi="Cambria" w:cs="Cambria"/>
          <w:sz w:val="20"/>
          <w:szCs w:val="20"/>
          <w:lang w:val="en-US"/>
        </w:rPr>
        <w:t xml:space="preserve">7 </w:t>
      </w:r>
      <w:r w:rsidR="0014181C" w:rsidRPr="00CC562A">
        <w:rPr>
          <w:rFonts w:ascii="Cambria" w:eastAsia="Cambria" w:hAnsi="Cambria" w:cs="Cambria"/>
          <w:sz w:val="20"/>
          <w:szCs w:val="20"/>
          <w:lang w:val="en-US"/>
        </w:rPr>
        <w:t xml:space="preserve">of the General Law establishes that the crime of torture shall be investigated and prosecuted ex officio based on </w:t>
      </w:r>
      <w:r w:rsidR="00FC71F6" w:rsidRPr="00CC562A">
        <w:rPr>
          <w:rFonts w:ascii="Cambria" w:eastAsia="Cambria" w:hAnsi="Cambria" w:cs="Cambria"/>
          <w:sz w:val="20"/>
          <w:szCs w:val="20"/>
          <w:lang w:val="en-US"/>
        </w:rPr>
        <w:t xml:space="preserve">a </w:t>
      </w:r>
      <w:r w:rsidR="0014181C" w:rsidRPr="00CC562A">
        <w:rPr>
          <w:rFonts w:ascii="Cambria" w:eastAsia="Cambria" w:hAnsi="Cambria" w:cs="Cambria"/>
          <w:sz w:val="20"/>
          <w:szCs w:val="20"/>
          <w:lang w:val="en-US"/>
        </w:rPr>
        <w:t xml:space="preserve">report or </w:t>
      </w:r>
      <w:r w:rsidR="00FC71F6" w:rsidRPr="00CC562A">
        <w:rPr>
          <w:rFonts w:ascii="Cambria" w:eastAsia="Cambria" w:hAnsi="Cambria" w:cs="Cambria"/>
          <w:sz w:val="20"/>
          <w:szCs w:val="20"/>
          <w:lang w:val="en-US"/>
        </w:rPr>
        <w:t>opinion</w:t>
      </w:r>
      <w:r w:rsidR="0014181C" w:rsidRPr="00CC562A">
        <w:rPr>
          <w:rFonts w:ascii="Cambria" w:eastAsia="Cambria" w:hAnsi="Cambria" w:cs="Cambria"/>
          <w:sz w:val="20"/>
          <w:szCs w:val="20"/>
          <w:lang w:val="en-US"/>
        </w:rPr>
        <w:t xml:space="preserve"> of the judicial authority. In addition, the State indicated that </w:t>
      </w:r>
      <w:r w:rsidR="00FC71F6" w:rsidRPr="00CC562A">
        <w:rPr>
          <w:rFonts w:ascii="Cambria" w:eastAsia="Cambria" w:hAnsi="Cambria" w:cs="Cambria"/>
          <w:sz w:val="20"/>
          <w:szCs w:val="20"/>
          <w:lang w:val="en-US"/>
        </w:rPr>
        <w:t xml:space="preserve">the actions of </w:t>
      </w:r>
      <w:r w:rsidR="0014181C" w:rsidRPr="00CC562A">
        <w:rPr>
          <w:rFonts w:ascii="Cambria" w:eastAsia="Cambria" w:hAnsi="Cambria" w:cs="Cambria"/>
          <w:sz w:val="20"/>
          <w:szCs w:val="20"/>
          <w:lang w:val="en-US"/>
        </w:rPr>
        <w:t xml:space="preserve">agents of the </w:t>
      </w:r>
      <w:r w:rsidR="002A0EFE" w:rsidRPr="00CC562A">
        <w:rPr>
          <w:rFonts w:ascii="Cambria" w:eastAsia="Cambria" w:hAnsi="Cambria" w:cs="Cambria"/>
          <w:sz w:val="20"/>
          <w:szCs w:val="20"/>
          <w:lang w:val="en-US"/>
        </w:rPr>
        <w:t>Federal Public Prosecutor’s Office of the Special Prosecutor for Investigation of the Crime of Torture (</w:t>
      </w:r>
      <w:r w:rsidR="7D73934B" w:rsidRPr="00CC562A">
        <w:rPr>
          <w:rFonts w:ascii="Cambria" w:eastAsia="Cambria" w:hAnsi="Cambria" w:cs="Cambria"/>
          <w:sz w:val="20"/>
          <w:szCs w:val="20"/>
          <w:lang w:val="en-US"/>
        </w:rPr>
        <w:t>FEIDT</w:t>
      </w:r>
      <w:r w:rsidR="002A0EFE" w:rsidRPr="00CC562A">
        <w:rPr>
          <w:rFonts w:ascii="Cambria" w:eastAsia="Cambria" w:hAnsi="Cambria" w:cs="Cambria"/>
          <w:sz w:val="20"/>
          <w:szCs w:val="20"/>
          <w:lang w:val="en-US"/>
        </w:rPr>
        <w:t>)</w:t>
      </w:r>
      <w:r w:rsidR="7D73934B" w:rsidRPr="00CC562A">
        <w:rPr>
          <w:rFonts w:ascii="Cambria" w:eastAsia="Cambria" w:hAnsi="Cambria" w:cs="Cambria"/>
          <w:sz w:val="20"/>
          <w:szCs w:val="20"/>
          <w:lang w:val="en-US"/>
        </w:rPr>
        <w:t xml:space="preserve"> </w:t>
      </w:r>
      <w:r w:rsidR="00FC71F6" w:rsidRPr="00CC562A">
        <w:rPr>
          <w:rFonts w:ascii="Cambria" w:eastAsia="Cambria" w:hAnsi="Cambria" w:cs="Cambria"/>
          <w:sz w:val="20"/>
          <w:szCs w:val="20"/>
          <w:lang w:val="en-US"/>
        </w:rPr>
        <w:t xml:space="preserve">are </w:t>
      </w:r>
      <w:r w:rsidR="002A0EFE" w:rsidRPr="00CC562A">
        <w:rPr>
          <w:rFonts w:ascii="Cambria" w:eastAsia="Cambria" w:hAnsi="Cambria" w:cs="Cambria"/>
          <w:sz w:val="20"/>
          <w:szCs w:val="20"/>
          <w:lang w:val="en-US"/>
        </w:rPr>
        <w:t>govern</w:t>
      </w:r>
      <w:r w:rsidR="00FC71F6" w:rsidRPr="00CC562A">
        <w:rPr>
          <w:rFonts w:ascii="Cambria" w:eastAsia="Cambria" w:hAnsi="Cambria" w:cs="Cambria"/>
          <w:sz w:val="20"/>
          <w:szCs w:val="20"/>
          <w:lang w:val="en-US"/>
        </w:rPr>
        <w:t>ed by</w:t>
      </w:r>
      <w:r w:rsidR="002A0EFE" w:rsidRPr="00CC562A">
        <w:rPr>
          <w:rFonts w:ascii="Cambria" w:eastAsia="Cambria" w:hAnsi="Cambria" w:cs="Cambria"/>
          <w:sz w:val="20"/>
          <w:szCs w:val="20"/>
          <w:lang w:val="en-US"/>
        </w:rPr>
        <w:t xml:space="preserve"> the Constitution, </w:t>
      </w:r>
      <w:r w:rsidR="00734287" w:rsidRPr="00CC562A">
        <w:rPr>
          <w:rFonts w:ascii="Cambria" w:hAnsi="Cambria"/>
          <w:sz w:val="20"/>
          <w:lang w:val="en-US"/>
        </w:rPr>
        <w:t>international treaties signed by the Mexican State,</w:t>
      </w:r>
      <w:r w:rsidR="007677D2" w:rsidRPr="00CC562A">
        <w:rPr>
          <w:rFonts w:ascii="Cambria" w:eastAsia="Cambria" w:hAnsi="Cambria" w:cs="Cambria"/>
          <w:sz w:val="20"/>
          <w:szCs w:val="20"/>
          <w:lang w:val="en-US"/>
        </w:rPr>
        <w:t xml:space="preserve"> </w:t>
      </w:r>
      <w:r w:rsidR="002A0EFE" w:rsidRPr="00CC562A">
        <w:rPr>
          <w:rFonts w:ascii="Cambria" w:eastAsia="Cambria" w:hAnsi="Cambria" w:cs="Cambria"/>
          <w:sz w:val="20"/>
          <w:szCs w:val="20"/>
          <w:lang w:val="en-US"/>
        </w:rPr>
        <w:t>laws on the subject, and the Standardized Protocol for the Investigation of the Crime of Torture</w:t>
      </w:r>
      <w:r w:rsidR="7D73934B" w:rsidRPr="00CC562A">
        <w:rPr>
          <w:rFonts w:ascii="Cambria" w:eastAsia="Cambria" w:hAnsi="Cambria" w:cs="Cambria"/>
          <w:sz w:val="20"/>
          <w:szCs w:val="20"/>
          <w:lang w:val="en-US"/>
        </w:rPr>
        <w:t xml:space="preserve">, </w:t>
      </w:r>
      <w:r w:rsidR="00FC71F6" w:rsidRPr="00CC562A">
        <w:rPr>
          <w:rFonts w:ascii="Cambria" w:eastAsia="Cambria" w:hAnsi="Cambria" w:cs="Cambria"/>
          <w:sz w:val="20"/>
          <w:szCs w:val="20"/>
          <w:lang w:val="en-US"/>
        </w:rPr>
        <w:t xml:space="preserve">pursuant to </w:t>
      </w:r>
      <w:r w:rsidR="002A0EFE" w:rsidRPr="00CC562A">
        <w:rPr>
          <w:rFonts w:ascii="Cambria" w:eastAsia="Cambria" w:hAnsi="Cambria" w:cs="Cambria"/>
          <w:sz w:val="20"/>
          <w:szCs w:val="20"/>
          <w:lang w:val="en-US"/>
        </w:rPr>
        <w:t xml:space="preserve">the provisions thereof. </w:t>
      </w:r>
      <w:r w:rsidR="005160F8" w:rsidRPr="00CC562A">
        <w:rPr>
          <w:rFonts w:ascii="Cambria" w:eastAsia="Cambria" w:hAnsi="Cambria" w:cs="Cambria"/>
          <w:sz w:val="20"/>
          <w:szCs w:val="20"/>
          <w:lang w:val="en-US"/>
        </w:rPr>
        <w:t>Thus</w:t>
      </w:r>
      <w:r w:rsidR="00734287" w:rsidRPr="00CC562A">
        <w:rPr>
          <w:rFonts w:ascii="Cambria" w:eastAsia="Cambria" w:hAnsi="Cambria" w:cs="Cambria"/>
          <w:sz w:val="20"/>
          <w:szCs w:val="20"/>
          <w:lang w:val="en-US"/>
        </w:rPr>
        <w:t>,</w:t>
      </w:r>
      <w:r w:rsidR="002A0EFE" w:rsidRPr="00CC562A">
        <w:rPr>
          <w:rFonts w:ascii="Cambria" w:eastAsia="Cambria" w:hAnsi="Cambria" w:cs="Cambria"/>
          <w:sz w:val="20"/>
          <w:szCs w:val="20"/>
          <w:lang w:val="en-US"/>
        </w:rPr>
        <w:t xml:space="preserve"> the investigation must be carried out immediately, efficiently, exhaustively, </w:t>
      </w:r>
      <w:r w:rsidR="00C80FE5" w:rsidRPr="00CC562A">
        <w:rPr>
          <w:rFonts w:ascii="Cambria" w:eastAsia="Cambria" w:hAnsi="Cambria" w:cs="Cambria"/>
          <w:sz w:val="20"/>
          <w:szCs w:val="20"/>
          <w:lang w:val="en-US"/>
        </w:rPr>
        <w:t>professionally,</w:t>
      </w:r>
      <w:r w:rsidR="002A0EFE" w:rsidRPr="00CC562A">
        <w:rPr>
          <w:rFonts w:ascii="Cambria" w:eastAsia="Cambria" w:hAnsi="Cambria" w:cs="Cambria"/>
          <w:sz w:val="20"/>
          <w:szCs w:val="20"/>
          <w:lang w:val="en-US"/>
        </w:rPr>
        <w:t xml:space="preserve"> and impartially, free of stereotypes and discrimination, and seek to explore all possible lines of investigation allowing the collection of data to clarify the incident that the law considers a crime, as well as the identification of the person who committed or participated in </w:t>
      </w:r>
      <w:r w:rsidR="00FC71F6" w:rsidRPr="00CC562A">
        <w:rPr>
          <w:rFonts w:ascii="Cambria" w:eastAsia="Cambria" w:hAnsi="Cambria" w:cs="Cambria"/>
          <w:sz w:val="20"/>
          <w:szCs w:val="20"/>
          <w:lang w:val="en-US"/>
        </w:rPr>
        <w:t xml:space="preserve">the </w:t>
      </w:r>
      <w:r w:rsidR="002A0EFE" w:rsidRPr="00CC562A">
        <w:rPr>
          <w:rFonts w:ascii="Cambria" w:eastAsia="Cambria" w:hAnsi="Cambria" w:cs="Cambria"/>
          <w:sz w:val="20"/>
          <w:szCs w:val="20"/>
          <w:lang w:val="en-US"/>
        </w:rPr>
        <w:t>commission of the crime</w:t>
      </w:r>
      <w:r w:rsidR="00734287" w:rsidRPr="00CC562A">
        <w:rPr>
          <w:rFonts w:ascii="Cambria" w:eastAsia="Cambria" w:hAnsi="Cambria" w:cs="Cambria"/>
          <w:sz w:val="20"/>
          <w:szCs w:val="20"/>
          <w:lang w:val="en-US"/>
        </w:rPr>
        <w:t>.</w:t>
      </w:r>
      <w:r w:rsidR="00886665" w:rsidRPr="00CC562A">
        <w:rPr>
          <w:rStyle w:val="FootnoteReference"/>
          <w:rFonts w:ascii="Cambria" w:eastAsia="Cambria" w:hAnsi="Cambria" w:cs="Cambria"/>
          <w:sz w:val="20"/>
          <w:szCs w:val="20"/>
          <w:lang w:val="en-US"/>
        </w:rPr>
        <w:footnoteReference w:id="120"/>
      </w:r>
    </w:p>
    <w:p w14:paraId="6D4CF4E3" w14:textId="09836B84" w:rsidR="007677D2" w:rsidRPr="00CC562A" w:rsidRDefault="00734287" w:rsidP="007677D2">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 xml:space="preserve">The State indicated that for this reason personnel attached to the Attorney General’s Office, the </w:t>
      </w:r>
      <w:r w:rsidR="0021581C" w:rsidRPr="00CC562A">
        <w:rPr>
          <w:rFonts w:ascii="Cambria" w:hAnsi="Cambria"/>
          <w:sz w:val="20"/>
          <w:lang w:val="en-US"/>
        </w:rPr>
        <w:t>police</w:t>
      </w:r>
      <w:r w:rsidRPr="00CC562A">
        <w:rPr>
          <w:rFonts w:ascii="Cambria" w:hAnsi="Cambria"/>
          <w:sz w:val="20"/>
          <w:lang w:val="en-US"/>
        </w:rPr>
        <w:t xml:space="preserve">, and experts avoid unnecessary delays during the investigation. It also indicated that they must provide victims with help, care, and assistance </w:t>
      </w:r>
      <w:r w:rsidR="00A92391" w:rsidRPr="00CC562A">
        <w:rPr>
          <w:rFonts w:ascii="Cambria" w:hAnsi="Cambria"/>
          <w:sz w:val="20"/>
          <w:lang w:val="en-US"/>
        </w:rPr>
        <w:t xml:space="preserve">services </w:t>
      </w:r>
      <w:r w:rsidR="00A92391" w:rsidRPr="00CC562A">
        <w:rPr>
          <w:rFonts w:ascii="Cambria" w:eastAsia="Cambria" w:hAnsi="Cambria" w:cs="Cambria"/>
          <w:sz w:val="20"/>
          <w:szCs w:val="20"/>
          <w:lang w:val="en-US"/>
        </w:rPr>
        <w:t>from</w:t>
      </w:r>
      <w:r w:rsidRPr="00CC562A">
        <w:rPr>
          <w:rFonts w:ascii="Cambria" w:eastAsia="Cambria" w:hAnsi="Cambria" w:cs="Cambria"/>
          <w:sz w:val="20"/>
          <w:szCs w:val="20"/>
          <w:lang w:val="en-US"/>
        </w:rPr>
        <w:t xml:space="preserve"> the moment they are </w:t>
      </w:r>
      <w:r w:rsidR="0021581C" w:rsidRPr="00CC562A">
        <w:rPr>
          <w:rFonts w:ascii="Cambria" w:eastAsia="Cambria" w:hAnsi="Cambria" w:cs="Cambria"/>
          <w:sz w:val="20"/>
          <w:szCs w:val="20"/>
          <w:lang w:val="en-US"/>
        </w:rPr>
        <w:t>requested</w:t>
      </w:r>
      <w:r w:rsidRPr="00CC562A">
        <w:rPr>
          <w:rFonts w:ascii="Cambria" w:eastAsia="Cambria" w:hAnsi="Cambria" w:cs="Cambria"/>
          <w:sz w:val="20"/>
          <w:szCs w:val="20"/>
          <w:lang w:val="en-US"/>
        </w:rPr>
        <w:t>, in addition to respecting and allowing the effective exercise of their rights as part of crime prevention.</w:t>
      </w:r>
      <w:r w:rsidR="007677D2" w:rsidRPr="00CC562A">
        <w:rPr>
          <w:rStyle w:val="FootnoteReference"/>
          <w:rFonts w:ascii="Cambria" w:eastAsia="Cambria" w:hAnsi="Cambria" w:cs="Cambria"/>
          <w:sz w:val="20"/>
          <w:szCs w:val="20"/>
          <w:lang w:val="en-US"/>
        </w:rPr>
        <w:footnoteReference w:id="121"/>
      </w:r>
    </w:p>
    <w:p w14:paraId="7771A3B2" w14:textId="49307D6D" w:rsidR="00197EFE" w:rsidRPr="00CC562A" w:rsidRDefault="002A0EFE"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w:t>
      </w:r>
      <w:r w:rsidR="2D308A46" w:rsidRPr="00CC562A">
        <w:rPr>
          <w:rFonts w:ascii="Cambria" w:eastAsia="Cambria" w:hAnsi="Cambria" w:cs="Cambria"/>
          <w:sz w:val="20"/>
          <w:szCs w:val="20"/>
          <w:lang w:val="en-US"/>
        </w:rPr>
        <w:t xml:space="preserve"> </w:t>
      </w:r>
      <w:r w:rsidR="69560A7C" w:rsidRPr="00CC562A">
        <w:rPr>
          <w:rFonts w:ascii="Cambria" w:eastAsia="Cambria" w:hAnsi="Cambria" w:cs="Cambria"/>
          <w:sz w:val="20"/>
          <w:szCs w:val="20"/>
          <w:lang w:val="en-US"/>
        </w:rPr>
        <w:t>CMDPDH</w:t>
      </w:r>
      <w:r w:rsidRPr="00CC562A">
        <w:rPr>
          <w:rFonts w:ascii="Cambria" w:eastAsia="Cambria" w:hAnsi="Cambria" w:cs="Cambria"/>
          <w:sz w:val="20"/>
          <w:szCs w:val="20"/>
          <w:lang w:val="en-US"/>
        </w:rPr>
        <w:t xml:space="preserve"> reported</w:t>
      </w:r>
      <w:r w:rsidR="008B6AE1" w:rsidRPr="00CC562A">
        <w:rPr>
          <w:rStyle w:val="FootnoteReference"/>
          <w:rFonts w:ascii="Cambria" w:eastAsia="Cambria" w:hAnsi="Cambria" w:cs="Cambria"/>
          <w:sz w:val="20"/>
          <w:szCs w:val="20"/>
          <w:lang w:val="en-US"/>
        </w:rPr>
        <w:footnoteReference w:id="122"/>
      </w:r>
      <w:r w:rsidR="69560A7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that, according to the reports from </w:t>
      </w:r>
      <w:r w:rsidR="69560A7C" w:rsidRPr="00CC562A">
        <w:rPr>
          <w:rFonts w:ascii="Cambria" w:eastAsia="Cambria" w:hAnsi="Cambria" w:cs="Cambria"/>
          <w:sz w:val="20"/>
          <w:szCs w:val="20"/>
          <w:lang w:val="en-US"/>
        </w:rPr>
        <w:t xml:space="preserve">27 </w:t>
      </w:r>
      <w:r w:rsidRPr="00CC562A">
        <w:rPr>
          <w:rFonts w:ascii="Cambria" w:eastAsia="Cambria" w:hAnsi="Cambria" w:cs="Cambria"/>
          <w:sz w:val="20"/>
          <w:szCs w:val="20"/>
          <w:lang w:val="en-US"/>
        </w:rPr>
        <w:t xml:space="preserve">of the </w:t>
      </w:r>
      <w:r w:rsidR="69560A7C" w:rsidRPr="00CC562A">
        <w:rPr>
          <w:rFonts w:ascii="Cambria" w:eastAsia="Cambria" w:hAnsi="Cambria" w:cs="Cambria"/>
          <w:sz w:val="20"/>
          <w:szCs w:val="20"/>
          <w:lang w:val="en-US"/>
        </w:rPr>
        <w:t>32</w:t>
      </w:r>
      <w:r w:rsidRPr="00CC562A">
        <w:rPr>
          <w:rFonts w:ascii="Cambria" w:eastAsia="Cambria" w:hAnsi="Cambria" w:cs="Cambria"/>
          <w:sz w:val="20"/>
          <w:szCs w:val="20"/>
          <w:lang w:val="en-US"/>
        </w:rPr>
        <w:t xml:space="preserve"> State Human Rights Commission</w:t>
      </w:r>
      <w:r w:rsidR="00FC71F6"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in the country, total compl</w:t>
      </w:r>
      <w:r w:rsidR="00F00FF9" w:rsidRPr="00CC562A">
        <w:rPr>
          <w:rFonts w:ascii="Cambria" w:eastAsia="Cambria" w:hAnsi="Cambria" w:cs="Cambria"/>
          <w:sz w:val="20"/>
          <w:szCs w:val="20"/>
          <w:lang w:val="en-US"/>
        </w:rPr>
        <w:t>aints</w:t>
      </w:r>
      <w:r w:rsidRPr="00CC562A">
        <w:rPr>
          <w:rFonts w:ascii="Cambria" w:eastAsia="Cambria" w:hAnsi="Cambria" w:cs="Cambria"/>
          <w:sz w:val="20"/>
          <w:szCs w:val="20"/>
          <w:lang w:val="en-US"/>
        </w:rPr>
        <w:t xml:space="preserve"> filed for torture and/or cruel, inhuman, or degrading treatment during the period between January</w:t>
      </w:r>
      <w:r w:rsidR="69560A7C" w:rsidRPr="00CC562A">
        <w:rPr>
          <w:rFonts w:ascii="Cambria" w:eastAsia="Cambria" w:hAnsi="Cambria" w:cs="Cambria"/>
          <w:sz w:val="20"/>
          <w:szCs w:val="20"/>
          <w:lang w:val="en-US"/>
        </w:rPr>
        <w:t xml:space="preserve"> 2006 </w:t>
      </w:r>
      <w:r w:rsidRPr="00CC562A">
        <w:rPr>
          <w:rFonts w:ascii="Cambria" w:eastAsia="Cambria" w:hAnsi="Cambria" w:cs="Cambria"/>
          <w:sz w:val="20"/>
          <w:szCs w:val="20"/>
          <w:lang w:val="en-US"/>
        </w:rPr>
        <w:t xml:space="preserve">and November </w:t>
      </w:r>
      <w:r w:rsidR="69560A7C" w:rsidRPr="00CC562A">
        <w:rPr>
          <w:rFonts w:ascii="Cambria" w:eastAsia="Cambria" w:hAnsi="Cambria" w:cs="Cambria"/>
          <w:sz w:val="20"/>
          <w:szCs w:val="20"/>
          <w:lang w:val="en-US"/>
        </w:rPr>
        <w:t xml:space="preserve">2021 </w:t>
      </w:r>
      <w:r w:rsidR="005160F8" w:rsidRPr="00CC562A">
        <w:rPr>
          <w:rFonts w:ascii="Cambria" w:eastAsia="Cambria" w:hAnsi="Cambria" w:cs="Cambria"/>
          <w:sz w:val="20"/>
          <w:szCs w:val="20"/>
          <w:lang w:val="en-US"/>
        </w:rPr>
        <w:t>amounted to</w:t>
      </w:r>
      <w:r w:rsidR="00FC71F6" w:rsidRPr="00CC562A">
        <w:rPr>
          <w:rFonts w:ascii="Cambria" w:eastAsia="Cambria" w:hAnsi="Cambria" w:cs="Cambria"/>
          <w:sz w:val="20"/>
          <w:szCs w:val="20"/>
          <w:lang w:val="en-US"/>
        </w:rPr>
        <w:t xml:space="preserve"> </w:t>
      </w:r>
      <w:r w:rsidR="69560A7C" w:rsidRPr="00CC562A">
        <w:rPr>
          <w:rFonts w:ascii="Cambria" w:eastAsia="Cambria" w:hAnsi="Cambria" w:cs="Cambria"/>
          <w:sz w:val="20"/>
          <w:szCs w:val="20"/>
          <w:lang w:val="en-US"/>
        </w:rPr>
        <w:t>28,192</w:t>
      </w:r>
      <w:r w:rsidR="00FC71F6" w:rsidRPr="00CC562A">
        <w:rPr>
          <w:rFonts w:ascii="Cambria" w:eastAsia="Cambria" w:hAnsi="Cambria" w:cs="Cambria"/>
          <w:sz w:val="20"/>
          <w:szCs w:val="20"/>
          <w:lang w:val="en-US"/>
        </w:rPr>
        <w:t xml:space="preserve"> complaints</w:t>
      </w:r>
      <w:r w:rsidR="69560A7C" w:rsidRPr="00CC562A">
        <w:rPr>
          <w:rFonts w:ascii="Cambria" w:eastAsia="Cambria" w:hAnsi="Cambria" w:cs="Cambria"/>
          <w:sz w:val="20"/>
          <w:szCs w:val="20"/>
          <w:lang w:val="en-US"/>
        </w:rPr>
        <w:t>.</w:t>
      </w:r>
      <w:r w:rsidR="00F00FF9" w:rsidRPr="00CC562A">
        <w:rPr>
          <w:rFonts w:ascii="Cambria" w:eastAsia="Cambria" w:hAnsi="Cambria" w:cs="Cambria"/>
          <w:sz w:val="20"/>
          <w:szCs w:val="20"/>
          <w:lang w:val="en-US"/>
        </w:rPr>
        <w:t xml:space="preserve"> Of the reports </w:t>
      </w:r>
      <w:r w:rsidR="005160F8" w:rsidRPr="00CC562A">
        <w:rPr>
          <w:rFonts w:ascii="Cambria" w:eastAsia="Cambria" w:hAnsi="Cambria" w:cs="Cambria"/>
          <w:sz w:val="20"/>
          <w:szCs w:val="20"/>
          <w:lang w:val="en-US"/>
        </w:rPr>
        <w:t>mentioned, Baja</w:t>
      </w:r>
      <w:r w:rsidR="69560A7C" w:rsidRPr="00CC562A">
        <w:rPr>
          <w:rFonts w:ascii="Cambria" w:eastAsia="Cambria" w:hAnsi="Cambria" w:cs="Cambria"/>
          <w:sz w:val="20"/>
          <w:szCs w:val="20"/>
          <w:lang w:val="en-US"/>
        </w:rPr>
        <w:t xml:space="preserve"> California </w:t>
      </w:r>
      <w:r w:rsidR="00F00FF9" w:rsidRPr="00CC562A">
        <w:rPr>
          <w:rFonts w:ascii="Cambria" w:eastAsia="Cambria" w:hAnsi="Cambria" w:cs="Cambria"/>
          <w:sz w:val="20"/>
          <w:szCs w:val="20"/>
          <w:lang w:val="en-US"/>
        </w:rPr>
        <w:t xml:space="preserve">consigned or prosecuted </w:t>
      </w:r>
      <w:r w:rsidR="69560A7C" w:rsidRPr="00CC562A">
        <w:rPr>
          <w:rFonts w:ascii="Cambria" w:eastAsia="Cambria" w:hAnsi="Cambria" w:cs="Cambria"/>
          <w:sz w:val="20"/>
          <w:szCs w:val="20"/>
          <w:lang w:val="en-US"/>
        </w:rPr>
        <w:t xml:space="preserve">10, Chihuahua 4, Jalisco 4 </w:t>
      </w:r>
      <w:r w:rsidR="00F00FF9" w:rsidRPr="00CC562A">
        <w:rPr>
          <w:rFonts w:ascii="Cambria" w:eastAsia="Cambria" w:hAnsi="Cambria" w:cs="Cambria"/>
          <w:sz w:val="20"/>
          <w:szCs w:val="20"/>
          <w:lang w:val="en-US"/>
        </w:rPr>
        <w:t xml:space="preserve">with one yet to be consigned-prosecuted in </w:t>
      </w:r>
      <w:r w:rsidR="16C40644" w:rsidRPr="00CC562A">
        <w:rPr>
          <w:rFonts w:ascii="Cambria" w:eastAsia="Cambria" w:hAnsi="Cambria" w:cs="Cambria"/>
          <w:sz w:val="20"/>
          <w:szCs w:val="20"/>
          <w:lang w:val="en-US"/>
        </w:rPr>
        <w:t>2022</w:t>
      </w:r>
      <w:r w:rsidR="69560A7C" w:rsidRPr="00CC562A">
        <w:rPr>
          <w:rFonts w:ascii="Cambria" w:eastAsia="Cambria" w:hAnsi="Cambria" w:cs="Cambria"/>
          <w:sz w:val="20"/>
          <w:szCs w:val="20"/>
          <w:lang w:val="en-US"/>
        </w:rPr>
        <w:t xml:space="preserve">, Coahuila 2, </w:t>
      </w:r>
      <w:proofErr w:type="spellStart"/>
      <w:r w:rsidR="69560A7C" w:rsidRPr="00CC562A">
        <w:rPr>
          <w:rFonts w:ascii="Cambria" w:eastAsia="Cambria" w:hAnsi="Cambria" w:cs="Cambria"/>
          <w:sz w:val="20"/>
          <w:szCs w:val="20"/>
          <w:lang w:val="en-US"/>
        </w:rPr>
        <w:t>Yucatán</w:t>
      </w:r>
      <w:proofErr w:type="spellEnd"/>
      <w:r w:rsidR="69560A7C" w:rsidRPr="00CC562A">
        <w:rPr>
          <w:rFonts w:ascii="Cambria" w:eastAsia="Cambria" w:hAnsi="Cambria" w:cs="Cambria"/>
          <w:sz w:val="20"/>
          <w:szCs w:val="20"/>
          <w:lang w:val="en-US"/>
        </w:rPr>
        <w:t xml:space="preserve"> 2, </w:t>
      </w:r>
      <w:r w:rsidR="00F00FF9" w:rsidRPr="00CC562A">
        <w:rPr>
          <w:rFonts w:ascii="Cambria" w:eastAsia="Cambria" w:hAnsi="Cambria" w:cs="Cambria"/>
          <w:sz w:val="20"/>
          <w:szCs w:val="20"/>
          <w:lang w:val="en-US"/>
        </w:rPr>
        <w:t xml:space="preserve">and the states of </w:t>
      </w:r>
      <w:r w:rsidR="69560A7C" w:rsidRPr="00CC562A">
        <w:rPr>
          <w:rFonts w:ascii="Cambria" w:eastAsia="Cambria" w:hAnsi="Cambria" w:cs="Cambria"/>
          <w:sz w:val="20"/>
          <w:szCs w:val="20"/>
          <w:lang w:val="en-US"/>
        </w:rPr>
        <w:t>Tlaxcala, Sinaloa</w:t>
      </w:r>
      <w:r w:rsidR="00F00FF9" w:rsidRPr="00CC562A">
        <w:rPr>
          <w:rFonts w:ascii="Cambria" w:eastAsia="Cambria" w:hAnsi="Cambria" w:cs="Cambria"/>
          <w:sz w:val="20"/>
          <w:szCs w:val="20"/>
          <w:lang w:val="en-US"/>
        </w:rPr>
        <w:t>, and</w:t>
      </w:r>
      <w:r w:rsidR="69560A7C" w:rsidRPr="00CC562A">
        <w:rPr>
          <w:rFonts w:ascii="Cambria" w:eastAsia="Cambria" w:hAnsi="Cambria" w:cs="Cambria"/>
          <w:sz w:val="20"/>
          <w:szCs w:val="20"/>
          <w:lang w:val="en-US"/>
        </w:rPr>
        <w:t xml:space="preserve"> Puebla consi</w:t>
      </w:r>
      <w:r w:rsidR="00F00FF9" w:rsidRPr="00CC562A">
        <w:rPr>
          <w:rFonts w:ascii="Cambria" w:eastAsia="Cambria" w:hAnsi="Cambria" w:cs="Cambria"/>
          <w:sz w:val="20"/>
          <w:szCs w:val="20"/>
          <w:lang w:val="en-US"/>
        </w:rPr>
        <w:t>gned-prosecuted one each respectively.</w:t>
      </w:r>
      <w:r w:rsidR="69560A7C" w:rsidRPr="00CC562A">
        <w:rPr>
          <w:rFonts w:ascii="Cambria" w:eastAsia="Cambria" w:hAnsi="Cambria" w:cs="Cambria"/>
          <w:sz w:val="20"/>
          <w:szCs w:val="20"/>
          <w:lang w:val="en-US"/>
        </w:rPr>
        <w:t xml:space="preserve"> </w:t>
      </w:r>
      <w:r w:rsidR="00F00FF9" w:rsidRPr="00CC562A">
        <w:rPr>
          <w:rFonts w:ascii="Cambria" w:eastAsia="Cambria" w:hAnsi="Cambria" w:cs="Cambria"/>
          <w:sz w:val="20"/>
          <w:szCs w:val="20"/>
          <w:lang w:val="en-US"/>
        </w:rPr>
        <w:t xml:space="preserve">For their part, </w:t>
      </w:r>
      <w:r w:rsidR="69560A7C" w:rsidRPr="00CC562A">
        <w:rPr>
          <w:rFonts w:ascii="Cambria" w:eastAsia="Cambria" w:hAnsi="Cambria" w:cs="Cambria"/>
          <w:sz w:val="20"/>
          <w:szCs w:val="20"/>
          <w:lang w:val="en-US"/>
        </w:rPr>
        <w:t xml:space="preserve">Aguascalientes, Durango, Guanajuato, Nuevo </w:t>
      </w:r>
      <w:proofErr w:type="spellStart"/>
      <w:r w:rsidR="69560A7C" w:rsidRPr="00CC562A">
        <w:rPr>
          <w:rFonts w:ascii="Cambria" w:eastAsia="Cambria" w:hAnsi="Cambria" w:cs="Cambria"/>
          <w:sz w:val="20"/>
          <w:szCs w:val="20"/>
          <w:lang w:val="en-US"/>
        </w:rPr>
        <w:t>León</w:t>
      </w:r>
      <w:proofErr w:type="spellEnd"/>
      <w:r w:rsidR="69560A7C" w:rsidRPr="00CC562A">
        <w:rPr>
          <w:rFonts w:ascii="Cambria" w:eastAsia="Cambria" w:hAnsi="Cambria" w:cs="Cambria"/>
          <w:sz w:val="20"/>
          <w:szCs w:val="20"/>
          <w:lang w:val="en-US"/>
        </w:rPr>
        <w:t>, Oaxaca, Tamaulipas</w:t>
      </w:r>
      <w:r w:rsidR="00F00FF9" w:rsidRPr="00CC562A">
        <w:rPr>
          <w:rFonts w:ascii="Cambria" w:eastAsia="Cambria" w:hAnsi="Cambria" w:cs="Cambria"/>
          <w:sz w:val="20"/>
          <w:szCs w:val="20"/>
          <w:lang w:val="en-US"/>
        </w:rPr>
        <w:t>, and</w:t>
      </w:r>
      <w:r w:rsidR="69560A7C" w:rsidRPr="00CC562A">
        <w:rPr>
          <w:rFonts w:ascii="Cambria" w:eastAsia="Cambria" w:hAnsi="Cambria" w:cs="Cambria"/>
          <w:sz w:val="20"/>
          <w:szCs w:val="20"/>
          <w:lang w:val="en-US"/>
        </w:rPr>
        <w:t xml:space="preserve"> Zacatecas respond</w:t>
      </w:r>
      <w:r w:rsidR="00F00FF9" w:rsidRPr="00CC562A">
        <w:rPr>
          <w:rFonts w:ascii="Cambria" w:eastAsia="Cambria" w:hAnsi="Cambria" w:cs="Cambria"/>
          <w:sz w:val="20"/>
          <w:szCs w:val="20"/>
          <w:lang w:val="en-US"/>
        </w:rPr>
        <w:t>ed with zero complaints consigned or prosecuted and there is no information on the remaining states. Regarding judgments, state courts reported</w:t>
      </w:r>
      <w:r w:rsidR="69560A7C" w:rsidRPr="00CC562A">
        <w:rPr>
          <w:rFonts w:ascii="Cambria" w:eastAsia="Cambria" w:hAnsi="Cambria" w:cs="Cambria"/>
          <w:sz w:val="20"/>
          <w:szCs w:val="20"/>
          <w:lang w:val="en-US"/>
        </w:rPr>
        <w:t xml:space="preserve"> 27 </w:t>
      </w:r>
      <w:r w:rsidR="005160F8" w:rsidRPr="00CC562A">
        <w:rPr>
          <w:rFonts w:ascii="Cambria" w:eastAsia="Cambria" w:hAnsi="Cambria" w:cs="Cambria"/>
          <w:sz w:val="20"/>
          <w:szCs w:val="20"/>
          <w:lang w:val="en-US"/>
        </w:rPr>
        <w:t>judgments</w:t>
      </w:r>
      <w:r w:rsidR="00F00FF9" w:rsidRPr="00CC562A">
        <w:rPr>
          <w:rFonts w:ascii="Cambria" w:eastAsia="Cambria" w:hAnsi="Cambria" w:cs="Cambria"/>
          <w:sz w:val="20"/>
          <w:szCs w:val="20"/>
          <w:lang w:val="en-US"/>
        </w:rPr>
        <w:t xml:space="preserve"> for torture in the period from </w:t>
      </w:r>
      <w:r w:rsidR="69560A7C" w:rsidRPr="00CC562A">
        <w:rPr>
          <w:rFonts w:ascii="Cambria" w:eastAsia="Cambria" w:hAnsi="Cambria" w:cs="Cambria"/>
          <w:sz w:val="20"/>
          <w:szCs w:val="20"/>
          <w:lang w:val="en-US"/>
        </w:rPr>
        <w:t xml:space="preserve">2006 </w:t>
      </w:r>
      <w:r w:rsidR="00F00FF9" w:rsidRPr="00CC562A">
        <w:rPr>
          <w:rFonts w:ascii="Cambria" w:eastAsia="Cambria" w:hAnsi="Cambria" w:cs="Cambria"/>
          <w:sz w:val="20"/>
          <w:szCs w:val="20"/>
          <w:lang w:val="en-US"/>
        </w:rPr>
        <w:t>to</w:t>
      </w:r>
      <w:r w:rsidR="69560A7C" w:rsidRPr="00CC562A">
        <w:rPr>
          <w:rFonts w:ascii="Cambria" w:eastAsia="Cambria" w:hAnsi="Cambria" w:cs="Cambria"/>
          <w:sz w:val="20"/>
          <w:szCs w:val="20"/>
          <w:lang w:val="en-US"/>
        </w:rPr>
        <w:t xml:space="preserve"> 2021. </w:t>
      </w:r>
      <w:r w:rsidR="00F00FF9" w:rsidRPr="00CC562A">
        <w:rPr>
          <w:rFonts w:ascii="Cambria" w:eastAsia="Cambria" w:hAnsi="Cambria" w:cs="Cambria"/>
          <w:sz w:val="20"/>
          <w:szCs w:val="20"/>
          <w:lang w:val="en-US"/>
        </w:rPr>
        <w:t>In addition, 19 State Prosecutors’ Offices provided information regarding the victims of torture, who numbered</w:t>
      </w:r>
      <w:r w:rsidR="69560A7C" w:rsidRPr="00CC562A">
        <w:rPr>
          <w:rFonts w:ascii="Cambria" w:eastAsia="Cambria" w:hAnsi="Cambria" w:cs="Cambria"/>
          <w:sz w:val="20"/>
          <w:szCs w:val="20"/>
          <w:lang w:val="en-US"/>
        </w:rPr>
        <w:t xml:space="preserve"> 14,813 </w:t>
      </w:r>
      <w:r w:rsidR="00F00FF9" w:rsidRPr="00CC562A">
        <w:rPr>
          <w:rFonts w:ascii="Cambria" w:eastAsia="Cambria" w:hAnsi="Cambria" w:cs="Cambria"/>
          <w:sz w:val="20"/>
          <w:szCs w:val="20"/>
          <w:lang w:val="en-US"/>
        </w:rPr>
        <w:t xml:space="preserve">as of November 31, </w:t>
      </w:r>
      <w:r w:rsidR="69560A7C" w:rsidRPr="00CC562A">
        <w:rPr>
          <w:rFonts w:ascii="Cambria" w:eastAsia="Cambria" w:hAnsi="Cambria" w:cs="Cambria"/>
          <w:sz w:val="20"/>
          <w:szCs w:val="20"/>
          <w:lang w:val="en-US"/>
        </w:rPr>
        <w:t>2021.</w:t>
      </w:r>
      <w:r w:rsidR="007677D2" w:rsidRPr="00CC562A">
        <w:rPr>
          <w:rFonts w:ascii="Cambria" w:eastAsia="Cambria" w:hAnsi="Cambria" w:cs="Cambria"/>
          <w:sz w:val="20"/>
          <w:szCs w:val="20"/>
          <w:lang w:val="en-US"/>
        </w:rPr>
        <w:t xml:space="preserve"> </w:t>
      </w:r>
      <w:r w:rsidR="00E7400E" w:rsidRPr="00CC562A">
        <w:rPr>
          <w:rFonts w:ascii="Cambria" w:eastAsia="Cambria" w:hAnsi="Cambria" w:cs="Cambria"/>
          <w:sz w:val="20"/>
          <w:szCs w:val="20"/>
          <w:lang w:val="en-US"/>
        </w:rPr>
        <w:t>For its part, the State indicated that the</w:t>
      </w:r>
      <w:r w:rsidR="007677D2" w:rsidRPr="00CC562A">
        <w:rPr>
          <w:rFonts w:ascii="Cambria" w:eastAsia="Cambria" w:hAnsi="Cambria" w:cs="Cambria"/>
          <w:sz w:val="20"/>
          <w:szCs w:val="20"/>
          <w:lang w:val="en-US"/>
        </w:rPr>
        <w:t xml:space="preserve"> CEAV, </w:t>
      </w:r>
      <w:r w:rsidR="00705048" w:rsidRPr="00CC562A">
        <w:rPr>
          <w:rFonts w:ascii="Cambria" w:eastAsia="Cambria" w:hAnsi="Cambria" w:cs="Cambria"/>
          <w:sz w:val="20"/>
          <w:szCs w:val="20"/>
          <w:lang w:val="en-US"/>
        </w:rPr>
        <w:t>through the Federal Legal Counsel, legally represents</w:t>
      </w:r>
      <w:r w:rsidR="007677D2" w:rsidRPr="00CC562A">
        <w:rPr>
          <w:rFonts w:ascii="Cambria" w:eastAsia="Cambria" w:hAnsi="Cambria" w:cs="Cambria"/>
          <w:sz w:val="20"/>
          <w:szCs w:val="20"/>
          <w:lang w:val="en-US"/>
        </w:rPr>
        <w:t xml:space="preserve"> 5,269 cas</w:t>
      </w:r>
      <w:r w:rsidR="00705048" w:rsidRPr="00CC562A">
        <w:rPr>
          <w:rFonts w:ascii="Cambria" w:eastAsia="Cambria" w:hAnsi="Cambria" w:cs="Cambria"/>
          <w:sz w:val="20"/>
          <w:szCs w:val="20"/>
          <w:lang w:val="en-US"/>
        </w:rPr>
        <w:t xml:space="preserve">es of torture. Of </w:t>
      </w:r>
      <w:r w:rsidR="00A92391" w:rsidRPr="00CC562A">
        <w:rPr>
          <w:rFonts w:ascii="Cambria" w:eastAsia="Cambria" w:hAnsi="Cambria" w:cs="Cambria"/>
          <w:sz w:val="20"/>
          <w:szCs w:val="20"/>
          <w:lang w:val="en-US"/>
        </w:rPr>
        <w:t>these, 365</w:t>
      </w:r>
      <w:r w:rsidR="007677D2" w:rsidRPr="00CC562A">
        <w:rPr>
          <w:rFonts w:ascii="Cambria" w:eastAsia="Cambria" w:hAnsi="Cambria" w:cs="Cambria"/>
          <w:sz w:val="20"/>
          <w:szCs w:val="20"/>
          <w:lang w:val="en-US"/>
        </w:rPr>
        <w:t xml:space="preserve"> </w:t>
      </w:r>
      <w:r w:rsidR="00705048" w:rsidRPr="00CC562A">
        <w:rPr>
          <w:rFonts w:ascii="Cambria" w:eastAsia="Cambria" w:hAnsi="Cambria" w:cs="Cambria"/>
          <w:sz w:val="20"/>
          <w:szCs w:val="20"/>
          <w:lang w:val="en-US"/>
        </w:rPr>
        <w:t xml:space="preserve">were heard in </w:t>
      </w:r>
      <w:r w:rsidR="007677D2" w:rsidRPr="00CC562A">
        <w:rPr>
          <w:rFonts w:ascii="Cambria" w:eastAsia="Cambria" w:hAnsi="Cambria" w:cs="Cambria"/>
          <w:sz w:val="20"/>
          <w:szCs w:val="20"/>
          <w:lang w:val="en-US"/>
        </w:rPr>
        <w:t xml:space="preserve">2017, 540 </w:t>
      </w:r>
      <w:r w:rsidR="00705048" w:rsidRPr="00CC562A">
        <w:rPr>
          <w:rFonts w:ascii="Cambria" w:eastAsia="Cambria" w:hAnsi="Cambria" w:cs="Cambria"/>
          <w:sz w:val="20"/>
          <w:szCs w:val="20"/>
          <w:lang w:val="en-US"/>
        </w:rPr>
        <w:t>in</w:t>
      </w:r>
      <w:r w:rsidR="007677D2" w:rsidRPr="00CC562A">
        <w:rPr>
          <w:rFonts w:ascii="Cambria" w:eastAsia="Cambria" w:hAnsi="Cambria" w:cs="Cambria"/>
          <w:sz w:val="20"/>
          <w:szCs w:val="20"/>
          <w:lang w:val="en-US"/>
        </w:rPr>
        <w:t xml:space="preserve"> 2018; 673 </w:t>
      </w:r>
      <w:r w:rsidR="00705048" w:rsidRPr="00CC562A">
        <w:rPr>
          <w:rFonts w:ascii="Cambria" w:eastAsia="Cambria" w:hAnsi="Cambria" w:cs="Cambria"/>
          <w:sz w:val="20"/>
          <w:szCs w:val="20"/>
          <w:lang w:val="en-US"/>
        </w:rPr>
        <w:t>i</w:t>
      </w:r>
      <w:r w:rsidR="007677D2" w:rsidRPr="00CC562A">
        <w:rPr>
          <w:rFonts w:ascii="Cambria" w:eastAsia="Cambria" w:hAnsi="Cambria" w:cs="Cambria"/>
          <w:sz w:val="20"/>
          <w:szCs w:val="20"/>
          <w:lang w:val="en-US"/>
        </w:rPr>
        <w:t xml:space="preserve">n 2019; 574 </w:t>
      </w:r>
      <w:r w:rsidR="00705048" w:rsidRPr="00CC562A">
        <w:rPr>
          <w:rFonts w:ascii="Cambria" w:eastAsia="Cambria" w:hAnsi="Cambria" w:cs="Cambria"/>
          <w:sz w:val="20"/>
          <w:szCs w:val="20"/>
          <w:lang w:val="en-US"/>
        </w:rPr>
        <w:t>i</w:t>
      </w:r>
      <w:r w:rsidR="007677D2" w:rsidRPr="00CC562A">
        <w:rPr>
          <w:rFonts w:ascii="Cambria" w:eastAsia="Cambria" w:hAnsi="Cambria" w:cs="Cambria"/>
          <w:sz w:val="20"/>
          <w:szCs w:val="20"/>
          <w:lang w:val="en-US"/>
        </w:rPr>
        <w:t xml:space="preserve">n 2020; 1275 </w:t>
      </w:r>
      <w:r w:rsidR="00705048" w:rsidRPr="00CC562A">
        <w:rPr>
          <w:rFonts w:ascii="Cambria" w:eastAsia="Cambria" w:hAnsi="Cambria" w:cs="Cambria"/>
          <w:sz w:val="20"/>
          <w:szCs w:val="20"/>
          <w:lang w:val="en-US"/>
        </w:rPr>
        <w:t>i</w:t>
      </w:r>
      <w:r w:rsidR="007677D2" w:rsidRPr="00CC562A">
        <w:rPr>
          <w:rFonts w:ascii="Cambria" w:eastAsia="Cambria" w:hAnsi="Cambria" w:cs="Cambria"/>
          <w:sz w:val="20"/>
          <w:szCs w:val="20"/>
          <w:lang w:val="en-US"/>
        </w:rPr>
        <w:t xml:space="preserve">n 2021; 1723 </w:t>
      </w:r>
      <w:r w:rsidR="00705048" w:rsidRPr="00CC562A">
        <w:rPr>
          <w:rFonts w:ascii="Cambria" w:eastAsia="Cambria" w:hAnsi="Cambria" w:cs="Cambria"/>
          <w:sz w:val="20"/>
          <w:szCs w:val="20"/>
          <w:lang w:val="en-US"/>
        </w:rPr>
        <w:t>i</w:t>
      </w:r>
      <w:r w:rsidR="007677D2" w:rsidRPr="00CC562A">
        <w:rPr>
          <w:rFonts w:ascii="Cambria" w:eastAsia="Cambria" w:hAnsi="Cambria" w:cs="Cambria"/>
          <w:sz w:val="20"/>
          <w:szCs w:val="20"/>
          <w:lang w:val="en-US"/>
        </w:rPr>
        <w:t xml:space="preserve">n 2022, </w:t>
      </w:r>
      <w:r w:rsidR="00705048" w:rsidRPr="00CC562A">
        <w:rPr>
          <w:rFonts w:ascii="Cambria" w:eastAsia="Cambria" w:hAnsi="Cambria" w:cs="Cambria"/>
          <w:sz w:val="20"/>
          <w:szCs w:val="20"/>
          <w:lang w:val="en-US"/>
        </w:rPr>
        <w:t xml:space="preserve">and 199 up to January </w:t>
      </w:r>
      <w:r w:rsidR="007677D2" w:rsidRPr="00CC562A">
        <w:rPr>
          <w:rFonts w:ascii="Cambria" w:eastAsia="Cambria" w:hAnsi="Cambria" w:cs="Cambria"/>
          <w:sz w:val="20"/>
          <w:szCs w:val="20"/>
          <w:lang w:val="en-US"/>
        </w:rPr>
        <w:t>2023</w:t>
      </w:r>
      <w:r w:rsidR="00705048" w:rsidRPr="00CC562A">
        <w:rPr>
          <w:rFonts w:ascii="Cambria" w:eastAsia="Cambria" w:hAnsi="Cambria" w:cs="Cambria"/>
          <w:sz w:val="20"/>
          <w:szCs w:val="20"/>
          <w:lang w:val="en-US"/>
        </w:rPr>
        <w:t>. In this regard, the State has</w:t>
      </w:r>
      <w:r w:rsidR="007677D2" w:rsidRPr="00CC562A">
        <w:rPr>
          <w:rFonts w:ascii="Cambria" w:eastAsia="Cambria" w:hAnsi="Cambria" w:cs="Cambria"/>
          <w:sz w:val="20"/>
          <w:szCs w:val="20"/>
          <w:lang w:val="en-US"/>
        </w:rPr>
        <w:t xml:space="preserve"> </w:t>
      </w:r>
      <w:r w:rsidR="00705048" w:rsidRPr="00CC562A">
        <w:rPr>
          <w:rFonts w:ascii="Cambria" w:eastAsia="Cambria" w:hAnsi="Cambria" w:cs="Cambria"/>
          <w:sz w:val="20"/>
          <w:szCs w:val="20"/>
          <w:lang w:val="en-US"/>
        </w:rPr>
        <w:t>pointed out that the increase in these figures is the result of actions taken by the</w:t>
      </w:r>
      <w:r w:rsidR="002E3562" w:rsidRPr="00CC562A">
        <w:rPr>
          <w:rFonts w:ascii="Cambria" w:eastAsia="Cambria" w:hAnsi="Cambria" w:cs="Cambria"/>
          <w:sz w:val="20"/>
          <w:szCs w:val="20"/>
          <w:lang w:val="en-US"/>
        </w:rPr>
        <w:t xml:space="preserve"> National Institute of the Office </w:t>
      </w:r>
      <w:r w:rsidR="002E3562" w:rsidRPr="00CC562A">
        <w:rPr>
          <w:rFonts w:ascii="Cambria" w:eastAsia="Cambria" w:hAnsi="Cambria" w:cs="Cambria"/>
          <w:sz w:val="20"/>
          <w:szCs w:val="20"/>
          <w:lang w:val="en-US"/>
        </w:rPr>
        <w:lastRenderedPageBreak/>
        <w:t>of the Public Defender which in 2018 submitted a wide-ranging series of criminal complaints on cases of this kind.</w:t>
      </w:r>
      <w:r w:rsidR="007677D2" w:rsidRPr="00CC562A">
        <w:rPr>
          <w:rStyle w:val="FootnoteReference"/>
          <w:rFonts w:ascii="Cambria" w:eastAsia="Cambria" w:hAnsi="Cambria" w:cs="Cambria"/>
          <w:sz w:val="20"/>
          <w:szCs w:val="20"/>
          <w:lang w:val="es-CO"/>
        </w:rPr>
        <w:footnoteReference w:id="123"/>
      </w:r>
    </w:p>
    <w:p w14:paraId="3EA20596" w14:textId="12DDA3DC" w:rsidR="007F43BA" w:rsidRPr="00CC562A" w:rsidRDefault="00191F3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According to the number of preliminary inquests and investigative files open</w:t>
      </w:r>
      <w:r w:rsidR="00B83912" w:rsidRPr="00CC562A">
        <w:rPr>
          <w:rFonts w:ascii="Cambria" w:eastAsia="Cambria" w:hAnsi="Cambria" w:cs="Cambria"/>
          <w:sz w:val="20"/>
          <w:szCs w:val="20"/>
          <w:lang w:val="en-US"/>
        </w:rPr>
        <w:t>ed</w:t>
      </w:r>
      <w:r w:rsidRPr="00CC562A">
        <w:rPr>
          <w:rFonts w:ascii="Cambria" w:eastAsia="Cambria" w:hAnsi="Cambria" w:cs="Cambria"/>
          <w:sz w:val="20"/>
          <w:szCs w:val="20"/>
          <w:lang w:val="en-US"/>
        </w:rPr>
        <w:t xml:space="preserve"> for the crime of torture in the </w:t>
      </w:r>
      <w:r w:rsidR="46B33E8F" w:rsidRPr="00CC562A">
        <w:rPr>
          <w:rFonts w:ascii="Cambria" w:eastAsia="Cambria" w:hAnsi="Cambria" w:cs="Cambria"/>
          <w:sz w:val="20"/>
          <w:szCs w:val="20"/>
          <w:lang w:val="en-US"/>
        </w:rPr>
        <w:t>FGR</w:t>
      </w:r>
      <w:r w:rsidRPr="00CC562A">
        <w:rPr>
          <w:rFonts w:ascii="Cambria" w:eastAsia="Cambria" w:hAnsi="Cambria" w:cs="Cambria"/>
          <w:sz w:val="20"/>
          <w:szCs w:val="20"/>
          <w:lang w:val="en-US"/>
        </w:rPr>
        <w:t xml:space="preserve"> during the period from January 2006 to November 2021, there were a total</w:t>
      </w:r>
      <w:r w:rsidR="1BC61175" w:rsidRPr="00CC562A">
        <w:rPr>
          <w:rFonts w:ascii="Cambria" w:eastAsia="Cambria" w:hAnsi="Cambria" w:cs="Cambria"/>
          <w:sz w:val="20"/>
          <w:szCs w:val="20"/>
          <w:lang w:val="en-US"/>
        </w:rPr>
        <w:t xml:space="preserve"> 15,667 </w:t>
      </w:r>
      <w:r w:rsidR="00826638" w:rsidRPr="00CC562A">
        <w:rPr>
          <w:rFonts w:ascii="Cambria" w:eastAsia="Cambria" w:hAnsi="Cambria" w:cs="Cambria"/>
          <w:sz w:val="20"/>
          <w:szCs w:val="20"/>
          <w:lang w:val="en-US"/>
        </w:rPr>
        <w:t>inquests and files, 71 or 0.43% of which were recorded or prosecuted. In addition, only three</w:t>
      </w:r>
      <w:r w:rsidR="1BC61175" w:rsidRPr="00CC562A">
        <w:rPr>
          <w:rFonts w:ascii="Cambria" w:eastAsia="Cambria" w:hAnsi="Cambria" w:cs="Cambria"/>
          <w:sz w:val="20"/>
          <w:szCs w:val="20"/>
          <w:lang w:val="en-US"/>
        </w:rPr>
        <w:t xml:space="preserve"> (1 </w:t>
      </w:r>
      <w:r w:rsidR="00826638" w:rsidRPr="00CC562A">
        <w:rPr>
          <w:rFonts w:ascii="Cambria" w:eastAsia="Cambria" w:hAnsi="Cambria" w:cs="Cambria"/>
          <w:sz w:val="20"/>
          <w:szCs w:val="20"/>
          <w:lang w:val="en-US"/>
        </w:rPr>
        <w:t>i</w:t>
      </w:r>
      <w:r w:rsidR="1BC61175" w:rsidRPr="00CC562A">
        <w:rPr>
          <w:rFonts w:ascii="Cambria" w:eastAsia="Cambria" w:hAnsi="Cambria" w:cs="Cambria"/>
          <w:sz w:val="20"/>
          <w:szCs w:val="20"/>
          <w:lang w:val="en-US"/>
        </w:rPr>
        <w:t xml:space="preserve">n 2016, 1 </w:t>
      </w:r>
      <w:r w:rsidR="00826638" w:rsidRPr="00CC562A">
        <w:rPr>
          <w:rFonts w:ascii="Cambria" w:eastAsia="Cambria" w:hAnsi="Cambria" w:cs="Cambria"/>
          <w:sz w:val="20"/>
          <w:szCs w:val="20"/>
          <w:lang w:val="en-US"/>
        </w:rPr>
        <w:t>i</w:t>
      </w:r>
      <w:r w:rsidR="1BC61175" w:rsidRPr="00CC562A">
        <w:rPr>
          <w:rFonts w:ascii="Cambria" w:eastAsia="Cambria" w:hAnsi="Cambria" w:cs="Cambria"/>
          <w:sz w:val="20"/>
          <w:szCs w:val="20"/>
          <w:lang w:val="en-US"/>
        </w:rPr>
        <w:t>n 2017</w:t>
      </w:r>
      <w:r w:rsidR="00826638" w:rsidRPr="00CC562A">
        <w:rPr>
          <w:rFonts w:ascii="Cambria" w:eastAsia="Cambria" w:hAnsi="Cambria" w:cs="Cambria"/>
          <w:sz w:val="20"/>
          <w:szCs w:val="20"/>
          <w:lang w:val="en-US"/>
        </w:rPr>
        <w:t>, and</w:t>
      </w:r>
      <w:r w:rsidR="1BC61175" w:rsidRPr="00CC562A">
        <w:rPr>
          <w:rFonts w:ascii="Cambria" w:eastAsia="Cambria" w:hAnsi="Cambria" w:cs="Cambria"/>
          <w:sz w:val="20"/>
          <w:szCs w:val="20"/>
          <w:lang w:val="en-US"/>
        </w:rPr>
        <w:t xml:space="preserve"> 1 </w:t>
      </w:r>
      <w:r w:rsidR="00826638" w:rsidRPr="00CC562A">
        <w:rPr>
          <w:rFonts w:ascii="Cambria" w:eastAsia="Cambria" w:hAnsi="Cambria" w:cs="Cambria"/>
          <w:sz w:val="20"/>
          <w:szCs w:val="20"/>
          <w:lang w:val="en-US"/>
        </w:rPr>
        <w:t>in</w:t>
      </w:r>
      <w:r w:rsidR="1BC61175" w:rsidRPr="00CC562A">
        <w:rPr>
          <w:rFonts w:ascii="Cambria" w:eastAsia="Cambria" w:hAnsi="Cambria" w:cs="Cambria"/>
          <w:sz w:val="20"/>
          <w:szCs w:val="20"/>
          <w:lang w:val="en-US"/>
        </w:rPr>
        <w:t xml:space="preserve"> 2019) </w:t>
      </w:r>
      <w:r w:rsidR="00826638" w:rsidRPr="00CC562A">
        <w:rPr>
          <w:rFonts w:ascii="Cambria" w:eastAsia="Cambria" w:hAnsi="Cambria" w:cs="Cambria"/>
          <w:sz w:val="20"/>
          <w:szCs w:val="20"/>
          <w:lang w:val="en-US"/>
        </w:rPr>
        <w:t xml:space="preserve">ended with a judgment. In addition, the investigative files </w:t>
      </w:r>
      <w:r w:rsidR="00B83912" w:rsidRPr="00CC562A">
        <w:rPr>
          <w:rFonts w:ascii="Cambria" w:eastAsia="Cambria" w:hAnsi="Cambria" w:cs="Cambria"/>
          <w:sz w:val="20"/>
          <w:szCs w:val="20"/>
          <w:lang w:val="en-US"/>
        </w:rPr>
        <w:t>on</w:t>
      </w:r>
      <w:r w:rsidR="00826638" w:rsidRPr="00CC562A">
        <w:rPr>
          <w:rFonts w:ascii="Cambria" w:eastAsia="Cambria" w:hAnsi="Cambria" w:cs="Cambria"/>
          <w:sz w:val="20"/>
          <w:szCs w:val="20"/>
          <w:lang w:val="en-US"/>
        </w:rPr>
        <w:t xml:space="preserve"> cruel, inhuman, or degrading treatment or punishment in the FGR amounted to</w:t>
      </w:r>
      <w:r w:rsidR="1BC61175" w:rsidRPr="00CC562A">
        <w:rPr>
          <w:rFonts w:ascii="Cambria" w:eastAsia="Cambria" w:hAnsi="Cambria" w:cs="Cambria"/>
          <w:sz w:val="20"/>
          <w:szCs w:val="20"/>
          <w:lang w:val="en-US"/>
        </w:rPr>
        <w:t xml:space="preserve"> 191 </w:t>
      </w:r>
      <w:r w:rsidR="00826638" w:rsidRPr="00CC562A">
        <w:rPr>
          <w:rFonts w:ascii="Cambria" w:eastAsia="Cambria" w:hAnsi="Cambria" w:cs="Cambria"/>
          <w:sz w:val="20"/>
          <w:szCs w:val="20"/>
          <w:lang w:val="en-US"/>
        </w:rPr>
        <w:t>in</w:t>
      </w:r>
      <w:r w:rsidR="1BC61175" w:rsidRPr="00CC562A">
        <w:rPr>
          <w:rFonts w:ascii="Cambria" w:eastAsia="Cambria" w:hAnsi="Cambria" w:cs="Cambria"/>
          <w:sz w:val="20"/>
          <w:szCs w:val="20"/>
          <w:lang w:val="en-US"/>
        </w:rPr>
        <w:t xml:space="preserve"> 2018, 539 </w:t>
      </w:r>
      <w:r w:rsidR="00826638" w:rsidRPr="00CC562A">
        <w:rPr>
          <w:rFonts w:ascii="Cambria" w:eastAsia="Cambria" w:hAnsi="Cambria" w:cs="Cambria"/>
          <w:sz w:val="20"/>
          <w:szCs w:val="20"/>
          <w:lang w:val="en-US"/>
        </w:rPr>
        <w:t>i</w:t>
      </w:r>
      <w:r w:rsidR="1BC61175" w:rsidRPr="00CC562A">
        <w:rPr>
          <w:rFonts w:ascii="Cambria" w:eastAsia="Cambria" w:hAnsi="Cambria" w:cs="Cambria"/>
          <w:sz w:val="20"/>
          <w:szCs w:val="20"/>
          <w:lang w:val="en-US"/>
        </w:rPr>
        <w:t xml:space="preserve">n 2019, 381 </w:t>
      </w:r>
      <w:r w:rsidR="00826638" w:rsidRPr="00CC562A">
        <w:rPr>
          <w:rFonts w:ascii="Cambria" w:eastAsia="Cambria" w:hAnsi="Cambria" w:cs="Cambria"/>
          <w:sz w:val="20"/>
          <w:szCs w:val="20"/>
          <w:lang w:val="en-US"/>
        </w:rPr>
        <w:t>i</w:t>
      </w:r>
      <w:r w:rsidR="1BC61175" w:rsidRPr="00CC562A">
        <w:rPr>
          <w:rFonts w:ascii="Cambria" w:eastAsia="Cambria" w:hAnsi="Cambria" w:cs="Cambria"/>
          <w:sz w:val="20"/>
          <w:szCs w:val="20"/>
          <w:lang w:val="en-US"/>
        </w:rPr>
        <w:t>n 2020</w:t>
      </w:r>
      <w:r w:rsidR="00826638" w:rsidRPr="00CC562A">
        <w:rPr>
          <w:rFonts w:ascii="Cambria" w:eastAsia="Cambria" w:hAnsi="Cambria" w:cs="Cambria"/>
          <w:sz w:val="20"/>
          <w:szCs w:val="20"/>
          <w:lang w:val="en-US"/>
        </w:rPr>
        <w:t>, and</w:t>
      </w:r>
      <w:r w:rsidR="1BC61175" w:rsidRPr="00CC562A">
        <w:rPr>
          <w:rFonts w:ascii="Cambria" w:eastAsia="Cambria" w:hAnsi="Cambria" w:cs="Cambria"/>
          <w:sz w:val="20"/>
          <w:szCs w:val="20"/>
          <w:lang w:val="en-US"/>
        </w:rPr>
        <w:t xml:space="preserve"> 596 </w:t>
      </w:r>
      <w:r w:rsidR="00826638" w:rsidRPr="00CC562A">
        <w:rPr>
          <w:rFonts w:ascii="Cambria" w:eastAsia="Cambria" w:hAnsi="Cambria" w:cs="Cambria"/>
          <w:sz w:val="20"/>
          <w:szCs w:val="20"/>
          <w:lang w:val="en-US"/>
        </w:rPr>
        <w:t>up to November</w:t>
      </w:r>
      <w:r w:rsidR="1BC61175" w:rsidRPr="00CC562A">
        <w:rPr>
          <w:rFonts w:ascii="Cambria" w:eastAsia="Cambria" w:hAnsi="Cambria" w:cs="Cambria"/>
          <w:sz w:val="20"/>
          <w:szCs w:val="20"/>
          <w:lang w:val="en-US"/>
        </w:rPr>
        <w:t xml:space="preserve"> 2021. </w:t>
      </w:r>
    </w:p>
    <w:p w14:paraId="6750D3AD" w14:textId="40D487F4" w:rsidR="00C66010" w:rsidRPr="00CC562A" w:rsidRDefault="008266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w:t>
      </w:r>
      <w:r w:rsidR="3F045D7D" w:rsidRPr="00CC562A">
        <w:rPr>
          <w:rFonts w:ascii="Cambria" w:eastAsia="Cambria" w:hAnsi="Cambria" w:cs="Cambria"/>
          <w:sz w:val="20"/>
          <w:szCs w:val="20"/>
          <w:lang w:val="en-US"/>
        </w:rPr>
        <w:t xml:space="preserve"> </w:t>
      </w:r>
      <w:r w:rsidR="46B33E8F" w:rsidRPr="00CC562A">
        <w:rPr>
          <w:rFonts w:ascii="Cambria" w:eastAsia="Cambria" w:hAnsi="Cambria" w:cs="Cambria"/>
          <w:sz w:val="20"/>
          <w:szCs w:val="20"/>
          <w:lang w:val="en-US"/>
        </w:rPr>
        <w:t>CNDH</w:t>
      </w:r>
      <w:r w:rsidR="3F045D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informed the </w:t>
      </w:r>
      <w:r w:rsidR="6997AC72" w:rsidRPr="00CC562A">
        <w:rPr>
          <w:rFonts w:ascii="Cambria" w:eastAsia="Cambria" w:hAnsi="Cambria" w:cs="Cambria"/>
          <w:sz w:val="20"/>
          <w:szCs w:val="20"/>
          <w:lang w:val="en-US"/>
        </w:rPr>
        <w:t xml:space="preserve">CMDPDH </w:t>
      </w:r>
      <w:r w:rsidRPr="00CC562A">
        <w:rPr>
          <w:rFonts w:ascii="Cambria" w:eastAsia="Cambria" w:hAnsi="Cambria" w:cs="Cambria"/>
          <w:sz w:val="20"/>
          <w:szCs w:val="20"/>
          <w:lang w:val="en-US"/>
        </w:rPr>
        <w:t>that, from January</w:t>
      </w:r>
      <w:r w:rsidR="3F045D7D" w:rsidRPr="00CC562A">
        <w:rPr>
          <w:rFonts w:ascii="Cambria" w:eastAsia="Cambria" w:hAnsi="Cambria" w:cs="Cambria"/>
          <w:sz w:val="20"/>
          <w:szCs w:val="20"/>
          <w:lang w:val="en-US"/>
        </w:rPr>
        <w:t xml:space="preserve"> 2006</w:t>
      </w:r>
      <w:r w:rsidRPr="00CC562A">
        <w:rPr>
          <w:rFonts w:ascii="Cambria" w:eastAsia="Cambria" w:hAnsi="Cambria" w:cs="Cambria"/>
          <w:sz w:val="20"/>
          <w:szCs w:val="20"/>
          <w:lang w:val="en-US"/>
        </w:rPr>
        <w:t xml:space="preserve"> to November </w:t>
      </w:r>
      <w:r w:rsidR="3F045D7D" w:rsidRPr="00CC562A">
        <w:rPr>
          <w:rFonts w:ascii="Cambria" w:eastAsia="Cambria" w:hAnsi="Cambria" w:cs="Cambria"/>
          <w:sz w:val="20"/>
          <w:szCs w:val="20"/>
          <w:lang w:val="en-US"/>
        </w:rPr>
        <w:t xml:space="preserve">2021, </w:t>
      </w:r>
      <w:r w:rsidRPr="00CC562A">
        <w:rPr>
          <w:rFonts w:ascii="Cambria" w:eastAsia="Cambria" w:hAnsi="Cambria" w:cs="Cambria"/>
          <w:sz w:val="20"/>
          <w:szCs w:val="20"/>
          <w:lang w:val="en-US"/>
        </w:rPr>
        <w:t xml:space="preserve">it received </w:t>
      </w:r>
      <w:r w:rsidR="3F045D7D" w:rsidRPr="00CC562A">
        <w:rPr>
          <w:rFonts w:ascii="Cambria" w:eastAsia="Cambria" w:hAnsi="Cambria" w:cs="Cambria"/>
          <w:sz w:val="20"/>
          <w:szCs w:val="20"/>
          <w:lang w:val="en-US"/>
        </w:rPr>
        <w:t xml:space="preserve">11,076 </w:t>
      </w:r>
      <w:r w:rsidRPr="00CC562A">
        <w:rPr>
          <w:rFonts w:ascii="Cambria" w:eastAsia="Cambria" w:hAnsi="Cambria" w:cs="Cambria"/>
          <w:sz w:val="20"/>
          <w:szCs w:val="20"/>
          <w:lang w:val="en-US"/>
        </w:rPr>
        <w:t>complaints of torture and cruel, inhuman, and degrading treatment, of which</w:t>
      </w:r>
      <w:r w:rsidR="3F045D7D" w:rsidRPr="00CC562A">
        <w:rPr>
          <w:rFonts w:ascii="Cambria" w:eastAsia="Cambria" w:hAnsi="Cambria" w:cs="Cambria"/>
          <w:sz w:val="20"/>
          <w:szCs w:val="20"/>
          <w:lang w:val="en-US"/>
        </w:rPr>
        <w:t xml:space="preserve"> 393 </w:t>
      </w:r>
      <w:r w:rsidRPr="00CC562A">
        <w:rPr>
          <w:rFonts w:ascii="Cambria" w:eastAsia="Cambria" w:hAnsi="Cambria" w:cs="Cambria"/>
          <w:sz w:val="20"/>
          <w:szCs w:val="20"/>
          <w:lang w:val="en-US"/>
        </w:rPr>
        <w:t xml:space="preserve">represent violations involving torture, </w:t>
      </w:r>
      <w:r w:rsidR="3F045D7D" w:rsidRPr="00CC562A">
        <w:rPr>
          <w:rFonts w:ascii="Cambria" w:eastAsia="Cambria" w:hAnsi="Cambria" w:cs="Cambria"/>
          <w:sz w:val="20"/>
          <w:szCs w:val="20"/>
          <w:lang w:val="en-US"/>
        </w:rPr>
        <w:t xml:space="preserve">1,261 </w:t>
      </w:r>
      <w:r w:rsidRPr="00CC562A">
        <w:rPr>
          <w:rFonts w:ascii="Cambria" w:eastAsia="Cambria" w:hAnsi="Cambria" w:cs="Cambria"/>
          <w:sz w:val="20"/>
          <w:szCs w:val="20"/>
          <w:lang w:val="en-US"/>
        </w:rPr>
        <w:t>relate to cruel and/or degrading treatment</w:t>
      </w:r>
      <w:r w:rsidR="3F045D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 violation until </w:t>
      </w:r>
      <w:r w:rsidR="3F045D7D" w:rsidRPr="00CC562A">
        <w:rPr>
          <w:rFonts w:ascii="Cambria" w:eastAsia="Cambria" w:hAnsi="Cambria" w:cs="Cambria"/>
          <w:sz w:val="20"/>
          <w:szCs w:val="20"/>
          <w:lang w:val="en-US"/>
        </w:rPr>
        <w:t>2008)</w:t>
      </w:r>
      <w:r w:rsidRPr="00CC562A">
        <w:rPr>
          <w:rFonts w:ascii="Cambria" w:eastAsia="Cambria" w:hAnsi="Cambria" w:cs="Cambria"/>
          <w:sz w:val="20"/>
          <w:szCs w:val="20"/>
          <w:lang w:val="en-US"/>
        </w:rPr>
        <w:t>, and</w:t>
      </w:r>
      <w:r w:rsidR="3F045D7D" w:rsidRPr="00CC562A">
        <w:rPr>
          <w:rFonts w:ascii="Cambria" w:eastAsia="Cambria" w:hAnsi="Cambria" w:cs="Cambria"/>
          <w:sz w:val="20"/>
          <w:szCs w:val="20"/>
          <w:lang w:val="en-US"/>
        </w:rPr>
        <w:t xml:space="preserve"> 9,422 </w:t>
      </w:r>
      <w:r w:rsidRPr="00CC562A">
        <w:rPr>
          <w:rFonts w:ascii="Cambria" w:eastAsia="Cambria" w:hAnsi="Cambria" w:cs="Cambria"/>
          <w:sz w:val="20"/>
          <w:szCs w:val="20"/>
          <w:lang w:val="en-US"/>
        </w:rPr>
        <w:t>relate to cruel, inhuman, and degrading treatment. With respect to the authorities indicated as</w:t>
      </w:r>
      <w:r w:rsidR="3F045D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being responsible for torture, the</w:t>
      </w:r>
      <w:r w:rsidR="3F045D7D" w:rsidRPr="00CC562A">
        <w:rPr>
          <w:rFonts w:ascii="Cambria" w:eastAsia="Cambria" w:hAnsi="Cambria" w:cs="Cambria"/>
          <w:sz w:val="20"/>
          <w:szCs w:val="20"/>
          <w:lang w:val="en-US"/>
        </w:rPr>
        <w:t xml:space="preserve"> CNDH</w:t>
      </w:r>
      <w:r w:rsidRPr="00CC562A">
        <w:rPr>
          <w:rFonts w:ascii="Cambria" w:eastAsia="Cambria" w:hAnsi="Cambria" w:cs="Cambria"/>
          <w:sz w:val="20"/>
          <w:szCs w:val="20"/>
          <w:lang w:val="en-US"/>
        </w:rPr>
        <w:t xml:space="preserve"> reported that the </w:t>
      </w:r>
      <w:r w:rsidR="3F045D7D" w:rsidRPr="00CC562A">
        <w:rPr>
          <w:rFonts w:ascii="Cambria" w:eastAsia="Cambria" w:hAnsi="Cambria" w:cs="Cambria"/>
          <w:sz w:val="20"/>
          <w:szCs w:val="20"/>
          <w:lang w:val="en-US"/>
        </w:rPr>
        <w:t>SEDENA</w:t>
      </w:r>
      <w:r w:rsidRPr="00CC562A">
        <w:rPr>
          <w:rFonts w:ascii="Cambria" w:eastAsia="Cambria" w:hAnsi="Cambria" w:cs="Cambria"/>
          <w:sz w:val="20"/>
          <w:szCs w:val="20"/>
          <w:lang w:val="en-US"/>
        </w:rPr>
        <w:t xml:space="preserve"> has </w:t>
      </w:r>
      <w:r w:rsidR="3F045D7D" w:rsidRPr="00CC562A">
        <w:rPr>
          <w:rFonts w:ascii="Cambria" w:eastAsia="Cambria" w:hAnsi="Cambria" w:cs="Cambria"/>
          <w:sz w:val="20"/>
          <w:szCs w:val="20"/>
          <w:lang w:val="en-US"/>
        </w:rPr>
        <w:t xml:space="preserve">108 </w:t>
      </w:r>
      <w:r w:rsidRPr="00CC562A">
        <w:rPr>
          <w:rFonts w:ascii="Cambria" w:eastAsia="Cambria" w:hAnsi="Cambria" w:cs="Cambria"/>
          <w:sz w:val="20"/>
          <w:szCs w:val="20"/>
          <w:lang w:val="en-US"/>
        </w:rPr>
        <w:t>complaints</w:t>
      </w:r>
      <w:r w:rsidR="3F045D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w:t>
      </w:r>
      <w:r w:rsidR="3F045D7D" w:rsidRPr="00CC562A">
        <w:rPr>
          <w:rFonts w:ascii="Cambria" w:eastAsia="Cambria" w:hAnsi="Cambria" w:cs="Cambria"/>
          <w:sz w:val="20"/>
          <w:szCs w:val="20"/>
          <w:lang w:val="en-US"/>
        </w:rPr>
        <w:t xml:space="preserve"> FGR</w:t>
      </w:r>
      <w:r w:rsidR="00671684" w:rsidRPr="00CC562A">
        <w:rPr>
          <w:rFonts w:ascii="Cambria" w:eastAsia="Cambria" w:hAnsi="Cambria" w:cs="Cambria"/>
          <w:sz w:val="20"/>
          <w:szCs w:val="20"/>
          <w:vertAlign w:val="superscript"/>
          <w:lang w:val="en-US"/>
        </w:rPr>
        <w:footnoteReference w:id="124"/>
      </w:r>
      <w:r w:rsidR="3F045D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has</w:t>
      </w:r>
      <w:r w:rsidR="3F045D7D" w:rsidRPr="00CC562A">
        <w:rPr>
          <w:rFonts w:ascii="Cambria" w:eastAsia="Cambria" w:hAnsi="Cambria" w:cs="Cambria"/>
          <w:sz w:val="20"/>
          <w:szCs w:val="20"/>
          <w:lang w:val="en-US"/>
        </w:rPr>
        <w:t xml:space="preserve"> 129, </w:t>
      </w:r>
      <w:r w:rsidRPr="00CC562A">
        <w:rPr>
          <w:rFonts w:ascii="Cambria" w:eastAsia="Cambria" w:hAnsi="Cambria" w:cs="Cambria"/>
          <w:sz w:val="20"/>
          <w:szCs w:val="20"/>
          <w:lang w:val="en-US"/>
        </w:rPr>
        <w:t>the</w:t>
      </w:r>
      <w:r w:rsidR="3F045D7D" w:rsidRPr="00CC562A">
        <w:rPr>
          <w:rFonts w:ascii="Cambria" w:eastAsia="Cambria" w:hAnsi="Cambria" w:cs="Cambria"/>
          <w:sz w:val="20"/>
          <w:szCs w:val="20"/>
          <w:lang w:val="en-US"/>
        </w:rPr>
        <w:t xml:space="preserve"> SEMAR </w:t>
      </w:r>
      <w:r w:rsidRPr="00CC562A">
        <w:rPr>
          <w:rFonts w:ascii="Cambria" w:eastAsia="Cambria" w:hAnsi="Cambria" w:cs="Cambria"/>
          <w:sz w:val="20"/>
          <w:szCs w:val="20"/>
          <w:lang w:val="en-US"/>
        </w:rPr>
        <w:t xml:space="preserve">has </w:t>
      </w:r>
      <w:r w:rsidR="3F045D7D" w:rsidRPr="00CC562A">
        <w:rPr>
          <w:rFonts w:ascii="Cambria" w:eastAsia="Cambria" w:hAnsi="Cambria" w:cs="Cambria"/>
          <w:sz w:val="20"/>
          <w:szCs w:val="20"/>
          <w:lang w:val="en-US"/>
        </w:rPr>
        <w:t xml:space="preserve">66, </w:t>
      </w:r>
      <w:r w:rsidRPr="00CC562A">
        <w:rPr>
          <w:rFonts w:ascii="Cambria" w:eastAsia="Cambria" w:hAnsi="Cambria" w:cs="Cambria"/>
          <w:sz w:val="20"/>
          <w:szCs w:val="20"/>
          <w:lang w:val="en-US"/>
        </w:rPr>
        <w:t xml:space="preserve">the Federal Police has </w:t>
      </w:r>
      <w:r w:rsidR="3F045D7D" w:rsidRPr="00CC562A">
        <w:rPr>
          <w:rFonts w:ascii="Cambria" w:eastAsia="Cambria" w:hAnsi="Cambria" w:cs="Cambria"/>
          <w:sz w:val="20"/>
          <w:szCs w:val="20"/>
          <w:lang w:val="en-US"/>
        </w:rPr>
        <w:t>114,</w:t>
      </w:r>
      <w:r w:rsidR="001D44CC" w:rsidRPr="00CC562A">
        <w:rPr>
          <w:rFonts w:ascii="Cambria" w:eastAsia="Cambria" w:hAnsi="Cambria" w:cs="Cambria"/>
          <w:sz w:val="20"/>
          <w:szCs w:val="20"/>
          <w:lang w:val="en-US"/>
        </w:rPr>
        <w:t xml:space="preserve"> and the National Security Commission has </w:t>
      </w:r>
      <w:r w:rsidR="00B83912" w:rsidRPr="00CC562A">
        <w:rPr>
          <w:rFonts w:ascii="Cambria" w:eastAsia="Cambria" w:hAnsi="Cambria" w:cs="Cambria"/>
          <w:sz w:val="20"/>
          <w:szCs w:val="20"/>
          <w:lang w:val="en-US"/>
        </w:rPr>
        <w:t>four</w:t>
      </w:r>
      <w:r w:rsidR="001D44CC" w:rsidRPr="00CC562A">
        <w:rPr>
          <w:rFonts w:ascii="Cambria" w:eastAsia="Cambria" w:hAnsi="Cambria" w:cs="Cambria"/>
          <w:sz w:val="20"/>
          <w:szCs w:val="20"/>
          <w:lang w:val="en-US"/>
        </w:rPr>
        <w:t>, considering that a single complaint may involve various authorities</w:t>
      </w:r>
      <w:r w:rsidR="3F045D7D" w:rsidRPr="00CC562A">
        <w:rPr>
          <w:rFonts w:ascii="Cambria" w:eastAsia="Cambria" w:hAnsi="Cambria" w:cs="Cambria"/>
          <w:sz w:val="20"/>
          <w:szCs w:val="20"/>
          <w:lang w:val="en-US"/>
        </w:rPr>
        <w:t xml:space="preserve">. </w:t>
      </w:r>
    </w:p>
    <w:p w14:paraId="45FED876" w14:textId="72CEF1AC" w:rsidR="00522749" w:rsidRPr="00CC562A" w:rsidRDefault="001D44CC"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Based on the information analyzed, the Commission </w:t>
      </w:r>
      <w:r w:rsidR="00B83912" w:rsidRPr="00CC562A">
        <w:rPr>
          <w:rFonts w:ascii="Cambria" w:hAnsi="Cambria"/>
          <w:sz w:val="20"/>
          <w:szCs w:val="20"/>
          <w:lang w:val="en-US"/>
        </w:rPr>
        <w:t>believes</w:t>
      </w:r>
      <w:r w:rsidRPr="00CC562A">
        <w:rPr>
          <w:rFonts w:ascii="Cambria" w:hAnsi="Cambria"/>
          <w:sz w:val="20"/>
          <w:szCs w:val="20"/>
          <w:lang w:val="en-US"/>
        </w:rPr>
        <w:t xml:space="preserve"> that there is </w:t>
      </w:r>
      <w:r w:rsidRPr="00CC562A">
        <w:rPr>
          <w:rFonts w:ascii="Cambria" w:hAnsi="Cambria"/>
          <w:b/>
          <w:bCs/>
          <w:sz w:val="20"/>
          <w:szCs w:val="20"/>
          <w:lang w:val="en-US"/>
        </w:rPr>
        <w:t xml:space="preserve">partial compliance </w:t>
      </w:r>
      <w:r w:rsidRPr="00CC562A">
        <w:rPr>
          <w:rFonts w:ascii="Cambria" w:hAnsi="Cambria"/>
          <w:sz w:val="20"/>
          <w:szCs w:val="20"/>
          <w:lang w:val="en-US"/>
        </w:rPr>
        <w:t>with the recommendation</w:t>
      </w:r>
      <w:r w:rsidR="00B83912" w:rsidRPr="00CC562A">
        <w:rPr>
          <w:rFonts w:ascii="Cambria" w:hAnsi="Cambria"/>
          <w:sz w:val="20"/>
          <w:szCs w:val="20"/>
          <w:lang w:val="en-US"/>
        </w:rPr>
        <w:t>. This is</w:t>
      </w:r>
      <w:r w:rsidRPr="00CC562A">
        <w:rPr>
          <w:rFonts w:ascii="Cambria" w:hAnsi="Cambria"/>
          <w:sz w:val="20"/>
          <w:szCs w:val="20"/>
          <w:lang w:val="en-US"/>
        </w:rPr>
        <w:t xml:space="preserve"> because, although domestic mechanisms have been implemented for investigating torture, there is no evidence on their results with which to affirm or evaluate improvement in the investigation and prosecution of this crime. An example of this is the few convictions or judgments that have been issued compared to the number of cases that have been submitted for consideration by the authorities</w:t>
      </w:r>
      <w:r w:rsidR="25896D83" w:rsidRPr="00CC562A">
        <w:rPr>
          <w:rFonts w:ascii="Cambria" w:hAnsi="Cambria"/>
          <w:sz w:val="20"/>
          <w:szCs w:val="20"/>
          <w:lang w:val="en-US"/>
        </w:rPr>
        <w:t xml:space="preserve">. </w:t>
      </w:r>
    </w:p>
    <w:p w14:paraId="702F76A1" w14:textId="61CA786B" w:rsidR="00C66010" w:rsidRPr="00CC562A" w:rsidRDefault="001D44CC" w:rsidP="00001918">
      <w:pPr>
        <w:numPr>
          <w:ilvl w:val="0"/>
          <w:numId w:val="2"/>
        </w:numPr>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In this regard, </w:t>
      </w: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guide the implementation of this recommendation, the Commission urges the State to adopt institutional strengthening measures intended to implement the mechanisms</w:t>
      </w:r>
      <w:r w:rsidR="00B83912" w:rsidRPr="00CC562A">
        <w:rPr>
          <w:rFonts w:ascii="Cambria" w:hAnsi="Cambria"/>
          <w:sz w:val="20"/>
          <w:szCs w:val="20"/>
          <w:lang w:val="en-US"/>
        </w:rPr>
        <w:t xml:space="preserve"> </w:t>
      </w:r>
      <w:r w:rsidR="0095214B" w:rsidRPr="00CC562A">
        <w:rPr>
          <w:rFonts w:ascii="Cambria" w:hAnsi="Cambria"/>
          <w:sz w:val="20"/>
          <w:szCs w:val="20"/>
          <w:lang w:val="en-US"/>
        </w:rPr>
        <w:t>for investigating torture in Mexico and to provide quantitative and qualitative information on these actions.</w:t>
      </w:r>
    </w:p>
    <w:p w14:paraId="2F79406D" w14:textId="56F9CE42" w:rsidR="00C66010" w:rsidRPr="00CC562A" w:rsidRDefault="0095214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As for the </w:t>
      </w:r>
      <w:r w:rsidRPr="00CC562A">
        <w:rPr>
          <w:rFonts w:ascii="Cambria" w:eastAsia="Cambria" w:hAnsi="Cambria" w:cs="Cambria"/>
          <w:b/>
          <w:bCs/>
          <w:sz w:val="20"/>
          <w:szCs w:val="20"/>
          <w:lang w:val="en-US"/>
        </w:rPr>
        <w:t>mandatory use of cameras during interrogations and patrols</w:t>
      </w:r>
      <w:r w:rsidR="6E1E6921" w:rsidRPr="00CC562A">
        <w:rPr>
          <w:rFonts w:ascii="Cambria" w:hAnsi="Cambria"/>
          <w:b/>
          <w:bCs/>
          <w:sz w:val="20"/>
          <w:szCs w:val="20"/>
          <w:lang w:val="en-US"/>
        </w:rPr>
        <w:t xml:space="preserve">, </w:t>
      </w:r>
      <w:r w:rsidRPr="00CC562A">
        <w:rPr>
          <w:rFonts w:ascii="Cambria" w:hAnsi="Cambria"/>
          <w:sz w:val="20"/>
          <w:szCs w:val="20"/>
          <w:lang w:val="en-US"/>
        </w:rPr>
        <w:t xml:space="preserve">the State indicated that the State Delegations of the FGR have video systems </w:t>
      </w:r>
      <w:r w:rsidR="00B83912" w:rsidRPr="00CC562A">
        <w:rPr>
          <w:rFonts w:ascii="Cambria" w:hAnsi="Cambria"/>
          <w:sz w:val="20"/>
          <w:szCs w:val="20"/>
          <w:lang w:val="en-US"/>
        </w:rPr>
        <w:t xml:space="preserve">that </w:t>
      </w:r>
      <w:r w:rsidRPr="00CC562A">
        <w:rPr>
          <w:rFonts w:ascii="Cambria" w:hAnsi="Cambria"/>
          <w:sz w:val="20"/>
          <w:szCs w:val="20"/>
          <w:lang w:val="en-US"/>
        </w:rPr>
        <w:t xml:space="preserve">are used not only for institutional domestic security but also to inhibit cruel, inhuman, and degrading treatment in facilities. In addition, to date surveillance video camera systems have been established at various points in the cities, as well as in businesses, and according to statistics they do </w:t>
      </w:r>
      <w:r w:rsidR="00B83912" w:rsidRPr="00CC562A">
        <w:rPr>
          <w:rFonts w:ascii="Cambria" w:hAnsi="Cambria"/>
          <w:sz w:val="20"/>
          <w:szCs w:val="20"/>
          <w:lang w:val="en-US"/>
        </w:rPr>
        <w:t>help to reduce</w:t>
      </w:r>
      <w:r w:rsidRPr="00CC562A">
        <w:rPr>
          <w:rFonts w:ascii="Cambria" w:hAnsi="Cambria"/>
          <w:sz w:val="20"/>
          <w:szCs w:val="20"/>
          <w:lang w:val="en-US"/>
        </w:rPr>
        <w:t xml:space="preserve"> crime and general insecurity. However, to date it has not been possible to implement the use of cameras in patrols or in interrogations.</w:t>
      </w:r>
      <w:r w:rsidR="00946551" w:rsidRPr="00CC562A">
        <w:rPr>
          <w:rStyle w:val="FootnoteReference"/>
          <w:rFonts w:ascii="Cambria" w:eastAsia="Cambria" w:hAnsi="Cambria" w:cs="Cambria"/>
          <w:sz w:val="20"/>
          <w:szCs w:val="20"/>
          <w:lang w:val="en-US"/>
        </w:rPr>
        <w:footnoteReference w:id="125"/>
      </w:r>
    </w:p>
    <w:p w14:paraId="486AAB58" w14:textId="4C5A1251" w:rsidR="007677D2" w:rsidRPr="00CC562A" w:rsidRDefault="002E3562" w:rsidP="007677D2">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The</w:t>
      </w:r>
      <w:r w:rsidR="007677D2" w:rsidRPr="00CC562A">
        <w:rPr>
          <w:rFonts w:ascii="Cambria" w:hAnsi="Cambria"/>
          <w:sz w:val="20"/>
          <w:lang w:val="en-US"/>
        </w:rPr>
        <w:t xml:space="preserve"> FGR </w:t>
      </w:r>
      <w:r w:rsidRPr="00CC562A">
        <w:rPr>
          <w:rFonts w:ascii="Cambria" w:hAnsi="Cambria"/>
          <w:sz w:val="20"/>
          <w:lang w:val="en-US"/>
        </w:rPr>
        <w:t xml:space="preserve">added that a series of chambers interconnected with the Central Offices have been set up that monitor areas related to detainee management. There is also a Monitoring Center that closely monitors a person entering the institution until his/her stay as a detainee ends, </w:t>
      </w:r>
      <w:r w:rsidR="007677D2" w:rsidRPr="00CC562A">
        <w:rPr>
          <w:rFonts w:ascii="Cambria" w:hAnsi="Cambria"/>
          <w:sz w:val="20"/>
          <w:lang w:val="en-US"/>
        </w:rPr>
        <w:t>verif</w:t>
      </w:r>
      <w:r w:rsidRPr="00CC562A">
        <w:rPr>
          <w:rFonts w:ascii="Cambria" w:hAnsi="Cambria"/>
          <w:sz w:val="20"/>
          <w:lang w:val="en-US"/>
        </w:rPr>
        <w:t xml:space="preserve">ying </w:t>
      </w:r>
      <w:r w:rsidR="00C01682" w:rsidRPr="00CC562A">
        <w:rPr>
          <w:rFonts w:ascii="Cambria" w:hAnsi="Cambria"/>
          <w:sz w:val="20"/>
          <w:lang w:val="en-US"/>
        </w:rPr>
        <w:t>that no cruel, inhuman, and degrading treatment is carried out during that stay.</w:t>
      </w:r>
      <w:r w:rsidR="007677D2" w:rsidRPr="00CC562A">
        <w:rPr>
          <w:rStyle w:val="FootnoteReference"/>
          <w:rFonts w:ascii="Cambria" w:hAnsi="Cambria"/>
          <w:sz w:val="20"/>
          <w:lang w:val="en-US"/>
        </w:rPr>
        <w:footnoteReference w:id="126"/>
      </w:r>
    </w:p>
    <w:p w14:paraId="4CA9AAB1" w14:textId="6A4984B1" w:rsidR="00522749" w:rsidRPr="00CC562A" w:rsidRDefault="0095214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Based on information provided by the State, the Inter-American Commission finds that sufficient, necessary, and timely actions have not been carried out at the legislative level to establish the </w:t>
      </w:r>
      <w:r w:rsidRPr="00CC562A">
        <w:rPr>
          <w:rFonts w:ascii="Cambria" w:hAnsi="Cambria"/>
          <w:sz w:val="20"/>
          <w:szCs w:val="20"/>
          <w:lang w:val="en-US"/>
        </w:rPr>
        <w:lastRenderedPageBreak/>
        <w:t xml:space="preserve">mandatory use of cameras and other security protocols in interrogations. Thus, the recommendation is </w:t>
      </w:r>
      <w:r w:rsidRPr="00CC562A">
        <w:rPr>
          <w:rFonts w:ascii="Cambria" w:hAnsi="Cambria"/>
          <w:b/>
          <w:bCs/>
          <w:sz w:val="20"/>
          <w:szCs w:val="20"/>
          <w:lang w:val="en-US"/>
        </w:rPr>
        <w:t>pending compliance</w:t>
      </w:r>
      <w:r w:rsidR="25896D83" w:rsidRPr="00CC562A">
        <w:rPr>
          <w:rFonts w:ascii="Cambria" w:hAnsi="Cambria"/>
          <w:sz w:val="20"/>
          <w:szCs w:val="20"/>
          <w:lang w:val="en-US"/>
        </w:rPr>
        <w:t>.</w:t>
      </w:r>
    </w:p>
    <w:p w14:paraId="5F05EB4C" w14:textId="4F31220E" w:rsidR="003F22A5" w:rsidRPr="00CC562A" w:rsidRDefault="006D3F0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compliance with this recommendation, the Commission urges the State to adopt measures ensuring the use of security protocols to prevent torture</w:t>
      </w:r>
      <w:r w:rsidR="00B83912" w:rsidRPr="00CC562A">
        <w:rPr>
          <w:rFonts w:ascii="Cambria" w:eastAsia="Cambria" w:hAnsi="Cambria" w:cs="Cambria"/>
          <w:sz w:val="20"/>
          <w:szCs w:val="20"/>
          <w:lang w:val="en-US"/>
        </w:rPr>
        <w:t>, which</w:t>
      </w:r>
      <w:r w:rsidRPr="00CC562A">
        <w:rPr>
          <w:rFonts w:ascii="Cambria" w:eastAsia="Cambria" w:hAnsi="Cambria" w:cs="Cambria"/>
          <w:sz w:val="20"/>
          <w:szCs w:val="20"/>
          <w:lang w:val="en-US"/>
        </w:rPr>
        <w:t xml:space="preserve"> may consist, for example, of training sessions on their use</w:t>
      </w:r>
      <w:r w:rsidR="00B8391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as well as any other institutional strengthening action. In this regard, effective adoption of regulation</w:t>
      </w:r>
      <w:r w:rsidR="009A74E8"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authorizing the use of these instruments is necessary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comply with this recommendation</w:t>
      </w:r>
      <w:r w:rsidR="419E352D" w:rsidRPr="00CC562A">
        <w:rPr>
          <w:rFonts w:ascii="Cambria" w:hAnsi="Cambria"/>
          <w:sz w:val="20"/>
          <w:szCs w:val="20"/>
          <w:lang w:val="en-US"/>
        </w:rPr>
        <w:t>.</w:t>
      </w:r>
    </w:p>
    <w:p w14:paraId="74A09894" w14:textId="01FF0BFF" w:rsidR="00450D93" w:rsidRPr="00CC562A" w:rsidRDefault="00A858C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hAnsi="Cambria"/>
          <w:b/>
          <w:bCs/>
          <w:sz w:val="20"/>
          <w:szCs w:val="20"/>
          <w:lang w:val="en-US"/>
        </w:rPr>
        <w:t>ensure uniform statistics</w:t>
      </w:r>
      <w:r w:rsidR="6E1E6921" w:rsidRPr="00CC562A">
        <w:rPr>
          <w:rFonts w:ascii="Cambria" w:hAnsi="Cambria"/>
          <w:b/>
          <w:bCs/>
          <w:sz w:val="20"/>
          <w:szCs w:val="20"/>
          <w:lang w:val="en-US"/>
        </w:rPr>
        <w:t xml:space="preserve"> </w:t>
      </w:r>
      <w:r w:rsidRPr="00CC562A">
        <w:rPr>
          <w:rFonts w:ascii="Cambria" w:hAnsi="Cambria"/>
          <w:b/>
          <w:bCs/>
          <w:sz w:val="20"/>
          <w:szCs w:val="20"/>
          <w:lang w:val="en-US"/>
        </w:rPr>
        <w:t>and improve the information gathering system</w:t>
      </w:r>
      <w:r w:rsidR="6E1E6921" w:rsidRPr="00CC562A">
        <w:rPr>
          <w:rFonts w:ascii="Cambria" w:hAnsi="Cambria"/>
          <w:b/>
          <w:bCs/>
          <w:sz w:val="20"/>
          <w:szCs w:val="20"/>
          <w:lang w:val="en-US"/>
        </w:rPr>
        <w:t xml:space="preserve">, </w:t>
      </w:r>
      <w:r w:rsidRPr="00CC562A">
        <w:rPr>
          <w:rFonts w:ascii="Cambria" w:hAnsi="Cambria"/>
          <w:sz w:val="20"/>
          <w:szCs w:val="20"/>
          <w:lang w:val="en-US"/>
        </w:rPr>
        <w:t xml:space="preserve">the State submitted information indicating that it adopted the Technical Standard for the </w:t>
      </w:r>
      <w:r w:rsidRPr="00CC562A">
        <w:rPr>
          <w:rFonts w:ascii="Cambria" w:eastAsia="Cambria" w:hAnsi="Cambria" w:cs="Cambria"/>
          <w:sz w:val="20"/>
          <w:szCs w:val="20"/>
          <w:lang w:val="en-US"/>
        </w:rPr>
        <w:t>National Justice Procurement Statistical System</w:t>
      </w:r>
      <w:r w:rsidR="7D73934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hereinafter</w:t>
      </w:r>
      <w:r w:rsidR="281E726A" w:rsidRPr="00CC562A">
        <w:rPr>
          <w:rFonts w:ascii="Cambria" w:eastAsia="Cambria" w:hAnsi="Cambria" w:cs="Cambria"/>
          <w:sz w:val="20"/>
          <w:szCs w:val="20"/>
          <w:lang w:val="en-US"/>
        </w:rPr>
        <w:t xml:space="preserve"> “</w:t>
      </w:r>
      <w:r w:rsidR="7D73934B" w:rsidRPr="00CC562A">
        <w:rPr>
          <w:rFonts w:ascii="Cambria" w:eastAsia="Cambria" w:hAnsi="Cambria" w:cs="Cambria"/>
          <w:sz w:val="20"/>
          <w:szCs w:val="20"/>
          <w:lang w:val="en-US"/>
        </w:rPr>
        <w:t>SENAP</w:t>
      </w:r>
      <w:r w:rsidR="281E726A" w:rsidRPr="00CC562A">
        <w:rPr>
          <w:rFonts w:ascii="Cambria" w:eastAsia="Cambria" w:hAnsi="Cambria" w:cs="Cambria"/>
          <w:sz w:val="20"/>
          <w:szCs w:val="20"/>
          <w:lang w:val="en-US"/>
        </w:rPr>
        <w:t>”</w:t>
      </w:r>
      <w:r w:rsidR="7D73934B"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in 2021</w:t>
      </w:r>
      <w:r w:rsidR="419E352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It also reiterated that in 2021 it also issued the Guidelines for the operation of the National Registry of the Crime of Torture</w:t>
      </w:r>
      <w:r w:rsidR="5CD5C053" w:rsidRPr="00CC562A">
        <w:rPr>
          <w:rFonts w:ascii="Cambria" w:eastAsia="Cambria" w:hAnsi="Cambria" w:cs="Cambria"/>
          <w:sz w:val="20"/>
          <w:szCs w:val="20"/>
          <w:lang w:val="en-US"/>
        </w:rPr>
        <w:t xml:space="preserve"> (RENADET). </w:t>
      </w:r>
      <w:r w:rsidR="00B910EF" w:rsidRPr="00CC562A">
        <w:rPr>
          <w:rFonts w:ascii="Cambria" w:eastAsia="Cambria" w:hAnsi="Cambria" w:cs="Cambria"/>
          <w:sz w:val="20"/>
          <w:szCs w:val="20"/>
          <w:lang w:val="en-US"/>
        </w:rPr>
        <w:t xml:space="preserve">The State indicated that the National Registry incorporates databases from the Public Prosecution </w:t>
      </w:r>
      <w:r w:rsidR="005160F8" w:rsidRPr="00CC562A">
        <w:rPr>
          <w:rFonts w:ascii="Cambria" w:eastAsia="Cambria" w:hAnsi="Cambria" w:cs="Cambria"/>
          <w:sz w:val="20"/>
          <w:szCs w:val="20"/>
          <w:lang w:val="en-US"/>
        </w:rPr>
        <w:t>Institutions, the</w:t>
      </w:r>
      <w:r w:rsidR="00B910EF" w:rsidRPr="00CC562A">
        <w:rPr>
          <w:rFonts w:ascii="Cambria" w:eastAsia="Cambria" w:hAnsi="Cambria" w:cs="Cambria"/>
          <w:sz w:val="20"/>
          <w:szCs w:val="20"/>
          <w:lang w:val="en-US"/>
        </w:rPr>
        <w:t xml:space="preserve"> National Commission, Human Rights Protection Bodies, and Victim Support Commissions, as well as international organizations </w:t>
      </w:r>
      <w:r w:rsidR="00092CF3" w:rsidRPr="00CC562A">
        <w:rPr>
          <w:rFonts w:ascii="Cambria" w:eastAsia="Cambria" w:hAnsi="Cambria" w:cs="Cambria"/>
          <w:sz w:val="20"/>
          <w:szCs w:val="20"/>
          <w:lang w:val="en-US"/>
        </w:rPr>
        <w:t>developed in international human right protection systems, providing for greater control and knowledge regarding cases of human rights violations that may arise. In addition, the State indicated that the 2021</w:t>
      </w:r>
      <w:r w:rsidR="7D73934B" w:rsidRPr="00CC562A">
        <w:rPr>
          <w:rFonts w:ascii="Cambria" w:eastAsia="Cambria" w:hAnsi="Cambria" w:cs="Cambria"/>
          <w:sz w:val="20"/>
          <w:szCs w:val="20"/>
          <w:lang w:val="en-US"/>
        </w:rPr>
        <w:t xml:space="preserve"> ENPO</w:t>
      </w:r>
      <w:r w:rsidR="715B42E9" w:rsidRPr="00CC562A">
        <w:rPr>
          <w:rFonts w:ascii="Cambria" w:eastAsia="Cambria" w:hAnsi="Cambria" w:cs="Cambria"/>
          <w:sz w:val="20"/>
          <w:szCs w:val="20"/>
          <w:lang w:val="en-US"/>
        </w:rPr>
        <w:t xml:space="preserve"> </w:t>
      </w:r>
      <w:r w:rsidR="00092CF3" w:rsidRPr="00CC562A">
        <w:rPr>
          <w:rFonts w:ascii="Cambria" w:eastAsia="Cambria" w:hAnsi="Cambria" w:cs="Cambria"/>
          <w:sz w:val="20"/>
          <w:szCs w:val="20"/>
          <w:lang w:val="en-US"/>
        </w:rPr>
        <w:t>is a fundamental instrument to be observed in eradicating torture and cruel, inhuman, or degrading treatment or punishment of detainees, defendants, and those deprived of liberty. Added to this, the Prosecutor’s Office currently has an information system called</w:t>
      </w:r>
      <w:r w:rsidR="7D73934B" w:rsidRPr="00CC562A">
        <w:rPr>
          <w:rFonts w:ascii="Cambria" w:eastAsia="Cambria" w:hAnsi="Cambria" w:cs="Cambria"/>
          <w:sz w:val="20"/>
          <w:szCs w:val="20"/>
          <w:lang w:val="en-US"/>
        </w:rPr>
        <w:t xml:space="preserve"> </w:t>
      </w:r>
      <w:proofErr w:type="spellStart"/>
      <w:r w:rsidR="7D73934B" w:rsidRPr="00CC562A">
        <w:rPr>
          <w:rFonts w:ascii="Cambria" w:eastAsia="Cambria" w:hAnsi="Cambria" w:cs="Cambria"/>
          <w:sz w:val="20"/>
          <w:szCs w:val="20"/>
          <w:lang w:val="en-US"/>
        </w:rPr>
        <w:t>Justici@NET</w:t>
      </w:r>
      <w:proofErr w:type="spellEnd"/>
      <w:r w:rsidR="7D73934B" w:rsidRPr="00CC562A">
        <w:rPr>
          <w:rFonts w:ascii="Cambria" w:eastAsia="Cambria" w:hAnsi="Cambria" w:cs="Cambria"/>
          <w:sz w:val="20"/>
          <w:szCs w:val="20"/>
          <w:lang w:val="en-US"/>
        </w:rPr>
        <w:t xml:space="preserve">, </w:t>
      </w:r>
      <w:r w:rsidR="00092CF3" w:rsidRPr="00CC562A">
        <w:rPr>
          <w:rFonts w:ascii="Cambria" w:eastAsia="Cambria" w:hAnsi="Cambria" w:cs="Cambria"/>
          <w:sz w:val="20"/>
          <w:szCs w:val="20"/>
          <w:lang w:val="en-US"/>
        </w:rPr>
        <w:t xml:space="preserve">which </w:t>
      </w:r>
      <w:r w:rsidR="00FE6394" w:rsidRPr="00CC562A">
        <w:rPr>
          <w:rFonts w:ascii="Cambria" w:eastAsia="Cambria" w:hAnsi="Cambria" w:cs="Cambria"/>
          <w:sz w:val="20"/>
          <w:szCs w:val="20"/>
          <w:lang w:val="en-US"/>
        </w:rPr>
        <w:t xml:space="preserve">tracks cases from the moment they are filed until their </w:t>
      </w:r>
      <w:proofErr w:type="gramStart"/>
      <w:r w:rsidR="00FE6394" w:rsidRPr="00CC562A">
        <w:rPr>
          <w:rFonts w:ascii="Cambria" w:eastAsia="Cambria" w:hAnsi="Cambria" w:cs="Cambria"/>
          <w:sz w:val="20"/>
          <w:szCs w:val="20"/>
          <w:lang w:val="en-US"/>
        </w:rPr>
        <w:t>final conclusion</w:t>
      </w:r>
      <w:proofErr w:type="gramEnd"/>
      <w:r w:rsidR="00FE6394" w:rsidRPr="00CC562A">
        <w:rPr>
          <w:rFonts w:ascii="Cambria" w:eastAsia="Cambria" w:hAnsi="Cambria" w:cs="Cambria"/>
          <w:sz w:val="20"/>
          <w:szCs w:val="20"/>
          <w:lang w:val="en-US"/>
        </w:rPr>
        <w:t xml:space="preserve">, incorporating all the details that make up an electronic file equal to the investigative file, and </w:t>
      </w:r>
      <w:r w:rsidR="00B83912" w:rsidRPr="00CC562A">
        <w:rPr>
          <w:rFonts w:ascii="Cambria" w:eastAsia="Cambria" w:hAnsi="Cambria" w:cs="Cambria"/>
          <w:sz w:val="20"/>
          <w:szCs w:val="20"/>
          <w:lang w:val="en-US"/>
        </w:rPr>
        <w:t>this is</w:t>
      </w:r>
      <w:r w:rsidR="00FE6394" w:rsidRPr="00CC562A">
        <w:rPr>
          <w:rFonts w:ascii="Cambria" w:eastAsia="Cambria" w:hAnsi="Cambria" w:cs="Cambria"/>
          <w:sz w:val="20"/>
          <w:szCs w:val="20"/>
          <w:lang w:val="en-US"/>
        </w:rPr>
        <w:t xml:space="preserve"> used to obtain information requested by various areas</w:t>
      </w:r>
      <w:r w:rsidR="7D73934B" w:rsidRPr="00CC562A">
        <w:rPr>
          <w:rFonts w:ascii="Cambria" w:eastAsia="Cambria" w:hAnsi="Cambria" w:cs="Cambria"/>
          <w:sz w:val="20"/>
          <w:szCs w:val="20"/>
          <w:lang w:val="en-US"/>
        </w:rPr>
        <w:t>.</w:t>
      </w:r>
    </w:p>
    <w:p w14:paraId="6397CC92" w14:textId="6E9A9C63" w:rsidR="00450D93" w:rsidRPr="00CC562A" w:rsidRDefault="00FE6394"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judicial matters, the State indicated that </w:t>
      </w:r>
      <w:r w:rsidR="0099629C" w:rsidRPr="00CC562A">
        <w:rPr>
          <w:rFonts w:ascii="Cambria" w:eastAsia="Cambria" w:hAnsi="Cambria" w:cs="Cambria"/>
          <w:sz w:val="20"/>
          <w:szCs w:val="20"/>
          <w:lang w:val="en-US"/>
        </w:rPr>
        <w:t>in terms of the Amparo Law, it was appropriate to extend the indirect amparo lawsuit regarding the failure to create and operate the</w:t>
      </w:r>
      <w:r w:rsidR="7D73934B" w:rsidRPr="00CC562A">
        <w:rPr>
          <w:rFonts w:ascii="Cambria" w:eastAsia="Cambria" w:hAnsi="Cambria" w:cs="Cambria"/>
          <w:sz w:val="20"/>
          <w:szCs w:val="20"/>
          <w:lang w:val="en-US"/>
        </w:rPr>
        <w:t xml:space="preserve"> </w:t>
      </w:r>
      <w:r w:rsidR="532939D2" w:rsidRPr="00CC562A">
        <w:rPr>
          <w:rFonts w:ascii="Cambria" w:eastAsia="Cambria" w:hAnsi="Cambria" w:cs="Cambria"/>
          <w:sz w:val="20"/>
          <w:szCs w:val="20"/>
          <w:lang w:val="en-US"/>
        </w:rPr>
        <w:t>RENADET</w:t>
      </w:r>
      <w:r w:rsidR="00472FBF" w:rsidRPr="00CC562A">
        <w:rPr>
          <w:rFonts w:ascii="Cambria" w:eastAsia="Cambria" w:hAnsi="Cambria" w:cs="Cambria"/>
          <w:sz w:val="20"/>
          <w:szCs w:val="20"/>
          <w:lang w:val="en-US"/>
        </w:rPr>
        <w:t xml:space="preserve"> and thus </w:t>
      </w:r>
      <w:r w:rsidR="0099629C" w:rsidRPr="00CC562A">
        <w:rPr>
          <w:rFonts w:ascii="Cambria" w:eastAsia="Cambria" w:hAnsi="Cambria" w:cs="Cambria"/>
          <w:sz w:val="20"/>
          <w:szCs w:val="20"/>
          <w:lang w:val="en-US"/>
        </w:rPr>
        <w:t xml:space="preserve">the failure to register someone who filed a torture report, when the action claimed in the initial complaint is the prosecutor’s failure to directly investigate a report of torture. It also indicated that the actions seeking to extend the lawsuit directly </w:t>
      </w:r>
      <w:r w:rsidR="00472FBF" w:rsidRPr="00CC562A">
        <w:rPr>
          <w:rFonts w:ascii="Cambria" w:eastAsia="Cambria" w:hAnsi="Cambria" w:cs="Cambria"/>
          <w:sz w:val="20"/>
          <w:szCs w:val="20"/>
          <w:lang w:val="en-US"/>
        </w:rPr>
        <w:t>address</w:t>
      </w:r>
      <w:r w:rsidR="0099629C" w:rsidRPr="00CC562A">
        <w:rPr>
          <w:rFonts w:ascii="Cambria" w:eastAsia="Cambria" w:hAnsi="Cambria" w:cs="Cambria"/>
          <w:sz w:val="20"/>
          <w:szCs w:val="20"/>
          <w:lang w:val="en-US"/>
        </w:rPr>
        <w:t xml:space="preserve"> the prosecutor’s failure to diligently investigate that crime, as registering the victim and thus the incident reported in the</w:t>
      </w:r>
      <w:r w:rsidR="7D73934B" w:rsidRPr="00CC562A">
        <w:rPr>
          <w:rFonts w:ascii="Cambria" w:eastAsia="Cambria" w:hAnsi="Cambria" w:cs="Cambria"/>
          <w:sz w:val="20"/>
          <w:szCs w:val="20"/>
          <w:lang w:val="en-US"/>
        </w:rPr>
        <w:t xml:space="preserve"> </w:t>
      </w:r>
      <w:r w:rsidR="532939D2" w:rsidRPr="00CC562A">
        <w:rPr>
          <w:rFonts w:ascii="Cambria" w:eastAsia="Cambria" w:hAnsi="Cambria" w:cs="Cambria"/>
          <w:sz w:val="20"/>
          <w:szCs w:val="20"/>
          <w:lang w:val="en-US"/>
        </w:rPr>
        <w:t>RENADET</w:t>
      </w:r>
      <w:r w:rsidR="7D73934B" w:rsidRPr="00CC562A">
        <w:rPr>
          <w:rFonts w:ascii="Cambria" w:eastAsia="Cambria" w:hAnsi="Cambria" w:cs="Cambria"/>
          <w:sz w:val="20"/>
          <w:szCs w:val="20"/>
          <w:lang w:val="en-US"/>
        </w:rPr>
        <w:t xml:space="preserve"> </w:t>
      </w:r>
      <w:r w:rsidR="00472FBF" w:rsidRPr="00CC562A">
        <w:rPr>
          <w:rFonts w:ascii="Cambria" w:eastAsia="Cambria" w:hAnsi="Cambria" w:cs="Cambria"/>
          <w:sz w:val="20"/>
          <w:szCs w:val="20"/>
          <w:lang w:val="en-US"/>
        </w:rPr>
        <w:t>is</w:t>
      </w:r>
      <w:r w:rsidR="0099629C" w:rsidRPr="00CC562A">
        <w:rPr>
          <w:rFonts w:ascii="Cambria" w:eastAsia="Cambria" w:hAnsi="Cambria" w:cs="Cambria"/>
          <w:sz w:val="20"/>
          <w:szCs w:val="20"/>
          <w:lang w:val="en-US"/>
        </w:rPr>
        <w:t xml:space="preserve"> one of the first actions that should be taken by the respective prosecutors.</w:t>
      </w:r>
      <w:r w:rsidR="00946551" w:rsidRPr="00CC562A">
        <w:rPr>
          <w:rStyle w:val="FootnoteReference"/>
          <w:rFonts w:ascii="Cambria" w:eastAsia="Cambria" w:hAnsi="Cambria" w:cs="Cambria"/>
          <w:sz w:val="20"/>
          <w:szCs w:val="20"/>
          <w:lang w:val="en-US"/>
        </w:rPr>
        <w:footnoteReference w:id="127"/>
      </w:r>
    </w:p>
    <w:p w14:paraId="19F4ECC5" w14:textId="487B55D1" w:rsidR="003F22A5" w:rsidRPr="00CC562A" w:rsidRDefault="00AC18C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w:t>
      </w:r>
      <w:r w:rsidR="4AF227C3" w:rsidRPr="00CC562A">
        <w:rPr>
          <w:rFonts w:ascii="Cambria" w:eastAsia="Cambria" w:hAnsi="Cambria" w:cs="Cambria"/>
          <w:sz w:val="20"/>
          <w:szCs w:val="20"/>
          <w:lang w:val="en-US"/>
        </w:rPr>
        <w:t xml:space="preserve"> CMDPDH </w:t>
      </w:r>
      <w:r w:rsidR="2DD9370F" w:rsidRPr="00CC562A">
        <w:rPr>
          <w:rFonts w:ascii="Cambria" w:eastAsia="Cambria" w:hAnsi="Cambria" w:cs="Cambria"/>
          <w:sz w:val="20"/>
          <w:szCs w:val="20"/>
          <w:lang w:val="en-US"/>
        </w:rPr>
        <w:t>reiter</w:t>
      </w:r>
      <w:r w:rsidRPr="00CC562A">
        <w:rPr>
          <w:rFonts w:ascii="Cambria" w:eastAsia="Cambria" w:hAnsi="Cambria" w:cs="Cambria"/>
          <w:sz w:val="20"/>
          <w:szCs w:val="20"/>
          <w:lang w:val="en-US"/>
        </w:rPr>
        <w:t>ated the information outlined in the context of the recommendation to investigate cases in which judges have not ordered an investigation when there are reports or indications of torture.</w:t>
      </w:r>
      <w:r w:rsidR="00157391" w:rsidRPr="00CC562A">
        <w:rPr>
          <w:rStyle w:val="FootnoteReference"/>
          <w:rFonts w:ascii="Cambria" w:eastAsia="Cambria" w:hAnsi="Cambria" w:cs="Cambria"/>
          <w:sz w:val="20"/>
          <w:szCs w:val="20"/>
          <w:lang w:val="en-US"/>
        </w:rPr>
        <w:footnoteReference w:id="128"/>
      </w:r>
    </w:p>
    <w:p w14:paraId="3E98208C" w14:textId="160D0699" w:rsidR="007677D2" w:rsidRPr="00CC562A" w:rsidRDefault="00C01682" w:rsidP="007677D2">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Regarding that observation, the State indicated that in 2019 the Federal Public Defender’s Office</w:t>
      </w:r>
      <w:r w:rsidR="007677D2" w:rsidRPr="00CC562A">
        <w:rPr>
          <w:rFonts w:ascii="Cambria" w:hAnsi="Cambria"/>
          <w:sz w:val="20"/>
          <w:lang w:val="en-US"/>
        </w:rPr>
        <w:t xml:space="preserve"> </w:t>
      </w:r>
      <w:r w:rsidRPr="00CC562A">
        <w:rPr>
          <w:rFonts w:ascii="Cambria" w:hAnsi="Cambria"/>
          <w:sz w:val="20"/>
          <w:lang w:val="en-US"/>
        </w:rPr>
        <w:t xml:space="preserve">initiated a complaints process on cases of torture committed in previous years and in those proceedings the judges ordered investigations to be conducted and that </w:t>
      </w:r>
      <w:r w:rsidR="00191347" w:rsidRPr="00CC562A">
        <w:rPr>
          <w:rFonts w:ascii="Cambria" w:hAnsi="Cambria"/>
          <w:sz w:val="20"/>
          <w:lang w:val="en-US"/>
        </w:rPr>
        <w:t>potential</w:t>
      </w:r>
      <w:r w:rsidRPr="00CC562A">
        <w:rPr>
          <w:rFonts w:ascii="Cambria" w:hAnsi="Cambria"/>
          <w:sz w:val="20"/>
          <w:lang w:val="en-US"/>
        </w:rPr>
        <w:t xml:space="preserve"> victims be found, which mea</w:t>
      </w:r>
      <w:r w:rsidR="00191347" w:rsidRPr="00CC562A">
        <w:rPr>
          <w:rFonts w:ascii="Cambria" w:hAnsi="Cambria"/>
          <w:sz w:val="20"/>
          <w:lang w:val="en-US"/>
        </w:rPr>
        <w:t>nt an</w:t>
      </w:r>
      <w:r w:rsidRPr="00CC562A">
        <w:rPr>
          <w:rFonts w:ascii="Cambria" w:hAnsi="Cambria"/>
          <w:sz w:val="20"/>
          <w:lang w:val="en-US"/>
        </w:rPr>
        <w:t xml:space="preserve"> increase in the CEAV’s representation in cases of this kind.</w:t>
      </w:r>
      <w:r w:rsidR="007677D2" w:rsidRPr="00CC562A">
        <w:rPr>
          <w:rStyle w:val="FootnoteReference"/>
          <w:rFonts w:ascii="Cambria" w:hAnsi="Cambria"/>
          <w:sz w:val="20"/>
          <w:lang w:val="en-US"/>
        </w:rPr>
        <w:footnoteReference w:id="129"/>
      </w:r>
    </w:p>
    <w:p w14:paraId="70282361" w14:textId="07D290B4" w:rsidR="00522749" w:rsidRPr="00CC562A" w:rsidRDefault="00AC18C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Notwithstanding the progress made </w:t>
      </w:r>
      <w:proofErr w:type="gramStart"/>
      <w:r w:rsidRPr="00CC562A">
        <w:rPr>
          <w:rFonts w:ascii="Cambria" w:eastAsia="Cambria" w:hAnsi="Cambria" w:cs="Cambria"/>
          <w:sz w:val="20"/>
          <w:szCs w:val="20"/>
          <w:lang w:val="en-US"/>
        </w:rPr>
        <w:t>in the area of</w:t>
      </w:r>
      <w:proofErr w:type="gramEnd"/>
      <w:r w:rsidRPr="00CC562A">
        <w:rPr>
          <w:rFonts w:ascii="Cambria" w:eastAsia="Cambria" w:hAnsi="Cambria" w:cs="Cambria"/>
          <w:sz w:val="20"/>
          <w:szCs w:val="20"/>
          <w:lang w:val="en-US"/>
        </w:rPr>
        <w:t xml:space="preserve"> generating information on torture, althoug</w:t>
      </w:r>
      <w:r w:rsidR="00472FBF" w:rsidRPr="00CC562A">
        <w:rPr>
          <w:rFonts w:ascii="Cambria" w:eastAsia="Cambria" w:hAnsi="Cambria" w:cs="Cambria"/>
          <w:sz w:val="20"/>
          <w:szCs w:val="20"/>
          <w:lang w:val="en-US"/>
        </w:rPr>
        <w:t>h</w:t>
      </w:r>
      <w:r w:rsidRPr="00CC562A">
        <w:rPr>
          <w:rFonts w:ascii="Cambria" w:eastAsia="Cambria" w:hAnsi="Cambria" w:cs="Cambria"/>
          <w:sz w:val="20"/>
          <w:szCs w:val="20"/>
          <w:lang w:val="en-US"/>
        </w:rPr>
        <w:t xml:space="preserve"> the information provides an accounting of the structures</w:t>
      </w:r>
      <w:r w:rsidR="532939D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that facilitate the compilation of information on this </w:t>
      </w:r>
      <w:r w:rsidR="005160F8" w:rsidRPr="00CC562A">
        <w:rPr>
          <w:rFonts w:ascii="Cambria" w:eastAsia="Cambria" w:hAnsi="Cambria" w:cs="Cambria"/>
          <w:sz w:val="20"/>
          <w:szCs w:val="20"/>
          <w:lang w:val="en-US"/>
        </w:rPr>
        <w:t>subject it</w:t>
      </w:r>
      <w:r w:rsidRPr="00CC562A">
        <w:rPr>
          <w:rFonts w:ascii="Cambria" w:eastAsia="Cambria" w:hAnsi="Cambria" w:cs="Cambria"/>
          <w:sz w:val="20"/>
          <w:szCs w:val="20"/>
          <w:lang w:val="en-US"/>
        </w:rPr>
        <w:t xml:space="preserve"> does not provide results on implementation that would make it possible to evaluate progress made </w:t>
      </w:r>
      <w:r w:rsidRPr="00CC562A">
        <w:rPr>
          <w:rFonts w:ascii="Cambria" w:eastAsia="Cambria" w:hAnsi="Cambria" w:cs="Cambria"/>
          <w:sz w:val="20"/>
          <w:szCs w:val="20"/>
          <w:lang w:val="en-US"/>
        </w:rPr>
        <w:lastRenderedPageBreak/>
        <w:t xml:space="preserve">or challenges faced with regard to the recommendation. </w:t>
      </w:r>
      <w:r w:rsidR="00191347" w:rsidRPr="00CC562A">
        <w:rPr>
          <w:rFonts w:ascii="Cambria" w:hAnsi="Cambria"/>
          <w:sz w:val="20"/>
          <w:lang w:val="en-US"/>
        </w:rPr>
        <w:t xml:space="preserve">In addition, although the Commission appreciates the information provided regarding the </w:t>
      </w:r>
      <w:r w:rsidR="007677D2" w:rsidRPr="00CC562A">
        <w:rPr>
          <w:rFonts w:ascii="Cambria" w:hAnsi="Cambria"/>
          <w:sz w:val="20"/>
          <w:lang w:val="en-US"/>
        </w:rPr>
        <w:t xml:space="preserve">RENADET, </w:t>
      </w:r>
      <w:r w:rsidR="00191347" w:rsidRPr="00CC562A">
        <w:rPr>
          <w:rFonts w:ascii="Cambria" w:hAnsi="Cambria"/>
          <w:sz w:val="20"/>
          <w:lang w:val="en-US"/>
        </w:rPr>
        <w:t>it is important that the information not be limited solely to what is provided by Prosecutors’ Offices or Attorney General’s Offices</w:t>
      </w:r>
      <w:r w:rsidR="007677D2" w:rsidRPr="00CC562A">
        <w:rPr>
          <w:rFonts w:ascii="Cambria" w:hAnsi="Cambria"/>
          <w:sz w:val="20"/>
          <w:lang w:val="en-US"/>
        </w:rPr>
        <w:t xml:space="preserve">. </w:t>
      </w:r>
      <w:r w:rsidRPr="00CC562A">
        <w:rPr>
          <w:rFonts w:ascii="Cambria" w:eastAsia="Cambria" w:hAnsi="Cambria" w:cs="Cambria"/>
          <w:sz w:val="20"/>
          <w:szCs w:val="20"/>
          <w:lang w:val="en-US"/>
        </w:rPr>
        <w:t>Reiterating the failure to implement the</w:t>
      </w:r>
      <w:r w:rsidR="532939D2" w:rsidRPr="00CC562A">
        <w:rPr>
          <w:rFonts w:ascii="Cambria" w:eastAsia="Cambria" w:hAnsi="Cambria" w:cs="Cambria"/>
          <w:sz w:val="20"/>
          <w:szCs w:val="20"/>
          <w:lang w:val="en-US"/>
        </w:rPr>
        <w:t xml:space="preserve"> RENADET,</w:t>
      </w:r>
      <w:r w:rsidR="2DD9370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IACHR considers that </w:t>
      </w:r>
      <w:r w:rsidR="00057B56" w:rsidRPr="00CC562A">
        <w:rPr>
          <w:rFonts w:ascii="Cambria" w:eastAsia="Cambria" w:hAnsi="Cambria" w:cs="Cambria"/>
          <w:b/>
          <w:bCs/>
          <w:sz w:val="20"/>
          <w:szCs w:val="20"/>
          <w:lang w:val="en-US"/>
        </w:rPr>
        <w:t xml:space="preserve">compliance </w:t>
      </w:r>
      <w:r w:rsidR="00057B56" w:rsidRPr="00CC562A">
        <w:rPr>
          <w:rFonts w:ascii="Cambria" w:eastAsia="Cambria" w:hAnsi="Cambria" w:cs="Cambria"/>
          <w:sz w:val="20"/>
          <w:szCs w:val="20"/>
          <w:lang w:val="en-US"/>
        </w:rPr>
        <w:t xml:space="preserve">with this recommendation remains </w:t>
      </w:r>
      <w:r w:rsidR="00057B56" w:rsidRPr="00CC562A">
        <w:rPr>
          <w:rFonts w:ascii="Cambria" w:eastAsia="Cambria" w:hAnsi="Cambria" w:cs="Cambria"/>
          <w:b/>
          <w:bCs/>
          <w:sz w:val="20"/>
          <w:szCs w:val="20"/>
          <w:lang w:val="en-US"/>
        </w:rPr>
        <w:t>pending</w:t>
      </w:r>
      <w:r w:rsidR="00057B56" w:rsidRPr="00CC562A">
        <w:rPr>
          <w:rFonts w:ascii="Cambria" w:eastAsia="Cambria" w:hAnsi="Cambria" w:cs="Cambria"/>
          <w:sz w:val="20"/>
          <w:szCs w:val="20"/>
          <w:lang w:val="en-US"/>
        </w:rPr>
        <w:t>.</w:t>
      </w:r>
    </w:p>
    <w:p w14:paraId="3E0F64FC" w14:textId="65E14CEF" w:rsidR="003F22A5" w:rsidRPr="00CC562A" w:rsidRDefault="00057B5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the implementation of this recommendation, the Commission sees fit to suggest the adoption and development of specific guidelines and </w:t>
      </w:r>
      <w:r w:rsidR="00472FBF" w:rsidRPr="00CC562A">
        <w:rPr>
          <w:rFonts w:ascii="Cambria" w:eastAsia="Cambria" w:hAnsi="Cambria" w:cs="Cambria"/>
          <w:sz w:val="20"/>
          <w:szCs w:val="20"/>
          <w:lang w:val="en-US"/>
        </w:rPr>
        <w:t xml:space="preserve">a </w:t>
      </w:r>
      <w:r w:rsidRPr="00CC562A">
        <w:rPr>
          <w:rFonts w:ascii="Cambria" w:eastAsia="Cambria" w:hAnsi="Cambria" w:cs="Cambria"/>
          <w:sz w:val="20"/>
          <w:szCs w:val="20"/>
          <w:lang w:val="en-US"/>
        </w:rPr>
        <w:t>methodology that would provide disaggregated information on the subject. In addition, the Commission urges the adoption of measures for compiling statistics at all levels, enabling specialized authorities to provide information in this regard</w:t>
      </w:r>
      <w:r w:rsidR="2692909E" w:rsidRPr="00CC562A">
        <w:rPr>
          <w:rFonts w:ascii="Cambria" w:eastAsia="Cambria" w:hAnsi="Cambria" w:cs="Cambria"/>
          <w:sz w:val="20"/>
          <w:szCs w:val="20"/>
          <w:lang w:val="en-US"/>
        </w:rPr>
        <w:t xml:space="preserve">. </w:t>
      </w:r>
    </w:p>
    <w:p w14:paraId="274B73D8" w14:textId="6A18AB13" w:rsidR="008A2DCC" w:rsidRPr="00CC562A" w:rsidRDefault="0065538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eastAsia="Cambria" w:hAnsi="Cambria" w:cs="Cambria"/>
          <w:b/>
          <w:bCs/>
          <w:sz w:val="20"/>
          <w:szCs w:val="20"/>
          <w:lang w:val="en-US"/>
        </w:rPr>
        <w:t>eliminate “</w:t>
      </w:r>
      <w:proofErr w:type="spellStart"/>
      <w:r w:rsidRPr="00CC562A">
        <w:rPr>
          <w:rFonts w:ascii="Cambria" w:eastAsia="Cambria" w:hAnsi="Cambria" w:cs="Cambria"/>
          <w:b/>
          <w:bCs/>
          <w:sz w:val="20"/>
          <w:szCs w:val="20"/>
          <w:lang w:val="en-US"/>
        </w:rPr>
        <w:t>arraigo</w:t>
      </w:r>
      <w:proofErr w:type="spellEnd"/>
      <w:r w:rsidRPr="00CC562A">
        <w:rPr>
          <w:rFonts w:ascii="Cambria" w:eastAsia="Cambria" w:hAnsi="Cambria" w:cs="Cambria"/>
          <w:b/>
          <w:bCs/>
          <w:sz w:val="20"/>
          <w:szCs w:val="20"/>
          <w:lang w:val="en-US"/>
        </w:rPr>
        <w:t>” (</w:t>
      </w:r>
      <w:r w:rsidR="00AB6B91" w:rsidRPr="00CC562A">
        <w:rPr>
          <w:rFonts w:ascii="Cambria" w:eastAsia="Cambria" w:hAnsi="Cambria" w:cs="Cambria"/>
          <w:b/>
          <w:bCs/>
          <w:sz w:val="20"/>
          <w:szCs w:val="20"/>
          <w:lang w:val="en-US"/>
        </w:rPr>
        <w:t>pre-charge detention</w:t>
      </w:r>
      <w:r w:rsidRPr="00CC562A">
        <w:rPr>
          <w:rFonts w:ascii="Cambria" w:eastAsia="Cambria" w:hAnsi="Cambria" w:cs="Cambria"/>
          <w:b/>
          <w:bCs/>
          <w:sz w:val="20"/>
          <w:szCs w:val="20"/>
          <w:lang w:val="en-US"/>
        </w:rPr>
        <w:t>) and quasi flagrante delicto (</w:t>
      </w:r>
      <w:proofErr w:type="spellStart"/>
      <w:r w:rsidRPr="00CC562A">
        <w:rPr>
          <w:rFonts w:ascii="Cambria" w:eastAsia="Cambria" w:hAnsi="Cambria" w:cs="Cambria"/>
          <w:b/>
          <w:bCs/>
          <w:i/>
          <w:iCs/>
          <w:sz w:val="20"/>
          <w:szCs w:val="20"/>
          <w:lang w:val="en-US"/>
        </w:rPr>
        <w:t>flagrancia</w:t>
      </w:r>
      <w:proofErr w:type="spellEnd"/>
      <w:r w:rsidRPr="00CC562A">
        <w:rPr>
          <w:rFonts w:ascii="Cambria" w:eastAsia="Cambria" w:hAnsi="Cambria" w:cs="Cambria"/>
          <w:b/>
          <w:bCs/>
          <w:i/>
          <w:iCs/>
          <w:sz w:val="20"/>
          <w:szCs w:val="20"/>
          <w:lang w:val="en-US"/>
        </w:rPr>
        <w:t xml:space="preserve"> </w:t>
      </w:r>
      <w:proofErr w:type="spellStart"/>
      <w:r w:rsidRPr="00CC562A">
        <w:rPr>
          <w:rFonts w:ascii="Cambria" w:eastAsia="Cambria" w:hAnsi="Cambria" w:cs="Cambria"/>
          <w:b/>
          <w:bCs/>
          <w:i/>
          <w:iCs/>
          <w:sz w:val="20"/>
          <w:szCs w:val="20"/>
          <w:lang w:val="en-US"/>
        </w:rPr>
        <w:t>equiparada</w:t>
      </w:r>
      <w:proofErr w:type="spellEnd"/>
      <w:r w:rsidRPr="00CC562A">
        <w:rPr>
          <w:rFonts w:ascii="Cambria" w:eastAsia="Cambria" w:hAnsi="Cambria" w:cs="Cambria"/>
          <w:b/>
          <w:bCs/>
          <w:sz w:val="20"/>
          <w:szCs w:val="20"/>
          <w:lang w:val="en-US"/>
        </w:rPr>
        <w:t>)</w:t>
      </w:r>
      <w:r w:rsidRPr="00CC562A">
        <w:rPr>
          <w:rFonts w:ascii="Cambria" w:eastAsia="Cambria" w:hAnsi="Cambria" w:cs="Cambria"/>
          <w:sz w:val="20"/>
          <w:szCs w:val="20"/>
          <w:lang w:val="en-US"/>
        </w:rPr>
        <w:t xml:space="preserve">, the State indicated that in accordance with the provisions of Article 16 of its Constitution, the concept of </w:t>
      </w:r>
      <w:proofErr w:type="spellStart"/>
      <w:r w:rsidRPr="00CC562A">
        <w:rPr>
          <w:rFonts w:ascii="Cambria" w:eastAsia="Cambria" w:hAnsi="Cambria" w:cs="Cambria"/>
          <w:i/>
          <w:iCs/>
          <w:sz w:val="20"/>
          <w:szCs w:val="20"/>
          <w:lang w:val="en-US"/>
        </w:rPr>
        <w:t>arraigo</w:t>
      </w:r>
      <w:proofErr w:type="spellEnd"/>
      <w:r w:rsidRPr="00CC562A">
        <w:rPr>
          <w:rFonts w:ascii="Cambria" w:eastAsia="Cambria" w:hAnsi="Cambria" w:cs="Cambria"/>
          <w:i/>
          <w:iCs/>
          <w:sz w:val="20"/>
          <w:szCs w:val="20"/>
          <w:lang w:val="en-US"/>
        </w:rPr>
        <w:t xml:space="preserve"> </w:t>
      </w:r>
      <w:r w:rsidRPr="00CC562A">
        <w:rPr>
          <w:rFonts w:ascii="Cambria" w:eastAsia="Cambria" w:hAnsi="Cambria" w:cs="Cambria"/>
          <w:sz w:val="20"/>
          <w:szCs w:val="20"/>
          <w:lang w:val="en-US"/>
        </w:rPr>
        <w:t>is only admissible with respect to offenses involving organized crime. In this regard, the last two legislative sessions</w:t>
      </w:r>
      <w:r w:rsidR="00AB6B91" w:rsidRPr="00CC562A">
        <w:rPr>
          <w:rFonts w:ascii="Cambria" w:eastAsia="Cambria" w:hAnsi="Cambria" w:cs="Cambria"/>
          <w:sz w:val="20"/>
          <w:szCs w:val="20"/>
          <w:lang w:val="en-US"/>
        </w:rPr>
        <w:t xml:space="preserve"> have followed up on </w:t>
      </w:r>
      <w:r w:rsidRPr="00CC562A">
        <w:rPr>
          <w:rFonts w:ascii="Cambria" w:eastAsia="Cambria" w:hAnsi="Cambria" w:cs="Cambria"/>
          <w:sz w:val="20"/>
          <w:szCs w:val="20"/>
          <w:lang w:val="en-US"/>
        </w:rPr>
        <w:t xml:space="preserve">the submission of bills </w:t>
      </w:r>
      <w:r w:rsidR="00472FBF" w:rsidRPr="00CC562A">
        <w:rPr>
          <w:rFonts w:ascii="Cambria" w:eastAsia="Cambria" w:hAnsi="Cambria" w:cs="Cambria"/>
          <w:sz w:val="20"/>
          <w:szCs w:val="20"/>
          <w:lang w:val="en-US"/>
        </w:rPr>
        <w:t xml:space="preserve">meant </w:t>
      </w:r>
      <w:r w:rsidRPr="00CC562A">
        <w:rPr>
          <w:rFonts w:ascii="Cambria" w:eastAsia="Cambria" w:hAnsi="Cambria" w:cs="Cambria"/>
          <w:sz w:val="20"/>
          <w:szCs w:val="20"/>
          <w:lang w:val="en-US"/>
        </w:rPr>
        <w:t xml:space="preserve">to </w:t>
      </w:r>
      <w:r w:rsidR="00AB6B91" w:rsidRPr="00CC562A">
        <w:rPr>
          <w:rFonts w:ascii="Cambria" w:eastAsia="Cambria" w:hAnsi="Cambria" w:cs="Cambria"/>
          <w:sz w:val="20"/>
          <w:szCs w:val="20"/>
          <w:lang w:val="en-US"/>
        </w:rPr>
        <w:t xml:space="preserve">eliminate </w:t>
      </w:r>
      <w:proofErr w:type="spellStart"/>
      <w:r w:rsidR="00AB6B91" w:rsidRPr="00CC562A">
        <w:rPr>
          <w:rFonts w:ascii="Cambria" w:eastAsia="Cambria" w:hAnsi="Cambria" w:cs="Cambria"/>
          <w:i/>
          <w:iCs/>
          <w:sz w:val="20"/>
          <w:szCs w:val="20"/>
          <w:lang w:val="en-US"/>
        </w:rPr>
        <w:t>arraigo</w:t>
      </w:r>
      <w:proofErr w:type="spellEnd"/>
      <w:r w:rsidR="00AB6B91" w:rsidRPr="00CC562A">
        <w:rPr>
          <w:rFonts w:ascii="Cambria" w:eastAsia="Cambria" w:hAnsi="Cambria" w:cs="Cambria"/>
          <w:sz w:val="20"/>
          <w:szCs w:val="20"/>
          <w:lang w:val="en-US"/>
        </w:rPr>
        <w:t>.</w:t>
      </w:r>
    </w:p>
    <w:p w14:paraId="4F945D81" w14:textId="1F3541C9" w:rsidR="006364A9" w:rsidRPr="00CC562A" w:rsidRDefault="00AB6B91" w:rsidP="00605AB6">
      <w:pPr>
        <w:numPr>
          <w:ilvl w:val="0"/>
          <w:numId w:val="2"/>
        </w:numPr>
        <w:spacing w:before="240"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this regard, the</w:t>
      </w:r>
      <w:r w:rsidR="1EB29F69" w:rsidRPr="00CC562A">
        <w:rPr>
          <w:rFonts w:ascii="Cambria" w:hAnsi="Cambria"/>
          <w:sz w:val="20"/>
          <w:szCs w:val="20"/>
          <w:lang w:val="en-US"/>
        </w:rPr>
        <w:t xml:space="preserve"> CMDPDH</w:t>
      </w:r>
      <w:r w:rsidR="006364A9" w:rsidRPr="00CC562A">
        <w:rPr>
          <w:rStyle w:val="FootnoteReference"/>
          <w:rFonts w:ascii="Cambria" w:hAnsi="Cambria"/>
          <w:sz w:val="20"/>
          <w:szCs w:val="20"/>
          <w:lang w:val="en-US"/>
        </w:rPr>
        <w:footnoteReference w:id="130"/>
      </w:r>
      <w:r w:rsidR="1EB29F69" w:rsidRPr="00CC562A">
        <w:rPr>
          <w:rFonts w:ascii="Cambria" w:hAnsi="Cambria"/>
          <w:sz w:val="20"/>
          <w:szCs w:val="20"/>
          <w:lang w:val="en-US"/>
        </w:rPr>
        <w:t xml:space="preserve"> </w:t>
      </w:r>
      <w:r w:rsidRPr="00CC562A">
        <w:rPr>
          <w:rFonts w:ascii="Cambria" w:hAnsi="Cambria"/>
          <w:sz w:val="20"/>
          <w:szCs w:val="20"/>
          <w:lang w:val="en-US"/>
        </w:rPr>
        <w:t xml:space="preserve">reported that the figures provided by the authorities on this </w:t>
      </w:r>
      <w:r w:rsidR="00472FBF" w:rsidRPr="00CC562A">
        <w:rPr>
          <w:rFonts w:ascii="Cambria" w:hAnsi="Cambria"/>
          <w:sz w:val="20"/>
          <w:szCs w:val="20"/>
          <w:lang w:val="en-US"/>
        </w:rPr>
        <w:t>practice</w:t>
      </w:r>
      <w:r w:rsidRPr="00CC562A">
        <w:rPr>
          <w:rFonts w:ascii="Cambria" w:hAnsi="Cambria"/>
          <w:sz w:val="20"/>
          <w:szCs w:val="20"/>
          <w:lang w:val="en-US"/>
        </w:rPr>
        <w:t>, which was applied excessively in earl</w:t>
      </w:r>
      <w:r w:rsidR="00472FBF" w:rsidRPr="00CC562A">
        <w:rPr>
          <w:rFonts w:ascii="Cambria" w:hAnsi="Cambria"/>
          <w:sz w:val="20"/>
          <w:szCs w:val="20"/>
          <w:lang w:val="en-US"/>
        </w:rPr>
        <w:t>ier</w:t>
      </w:r>
      <w:r w:rsidRPr="00CC562A">
        <w:rPr>
          <w:rFonts w:ascii="Cambria" w:hAnsi="Cambria"/>
          <w:sz w:val="20"/>
          <w:szCs w:val="20"/>
          <w:lang w:val="en-US"/>
        </w:rPr>
        <w:t xml:space="preserve"> years, are </w:t>
      </w:r>
      <w:r w:rsidRPr="00CC562A">
        <w:rPr>
          <w:rFonts w:ascii="Cambria" w:hAnsi="Cambria"/>
          <w:i/>
          <w:iCs/>
          <w:sz w:val="20"/>
          <w:szCs w:val="20"/>
          <w:lang w:val="en-US"/>
        </w:rPr>
        <w:t>per se</w:t>
      </w:r>
      <w:r w:rsidRPr="00CC562A">
        <w:rPr>
          <w:rFonts w:ascii="Cambria" w:hAnsi="Cambria"/>
          <w:sz w:val="20"/>
          <w:szCs w:val="20"/>
          <w:lang w:val="en-US"/>
        </w:rPr>
        <w:t xml:space="preserve"> </w:t>
      </w:r>
      <w:r w:rsidR="007677D2" w:rsidRPr="00CC562A">
        <w:rPr>
          <w:rFonts w:ascii="Cambria" w:hAnsi="Cambria"/>
          <w:sz w:val="20"/>
          <w:szCs w:val="20"/>
          <w:lang w:val="en-US"/>
        </w:rPr>
        <w:t>“</w:t>
      </w:r>
      <w:r w:rsidRPr="00CC562A">
        <w:rPr>
          <w:rFonts w:ascii="Cambria" w:hAnsi="Cambria"/>
          <w:sz w:val="20"/>
          <w:szCs w:val="20"/>
          <w:lang w:val="en-US"/>
        </w:rPr>
        <w:t xml:space="preserve">evidence </w:t>
      </w:r>
      <w:r w:rsidR="00FA104D" w:rsidRPr="00CC562A">
        <w:rPr>
          <w:rFonts w:ascii="Cambria" w:hAnsi="Cambria"/>
          <w:sz w:val="20"/>
          <w:szCs w:val="20"/>
          <w:lang w:val="en-US"/>
        </w:rPr>
        <w:t>of a crime against humanity</w:t>
      </w:r>
      <w:r w:rsidR="007677D2" w:rsidRPr="00CC562A">
        <w:rPr>
          <w:rFonts w:ascii="Cambria" w:hAnsi="Cambria"/>
          <w:sz w:val="20"/>
          <w:szCs w:val="20"/>
          <w:lang w:val="en-US"/>
        </w:rPr>
        <w:t>”,</w:t>
      </w:r>
      <w:r w:rsidR="00FA104D" w:rsidRPr="00CC562A">
        <w:rPr>
          <w:rFonts w:ascii="Cambria" w:hAnsi="Cambria"/>
          <w:sz w:val="20"/>
          <w:szCs w:val="20"/>
          <w:lang w:val="en-US"/>
        </w:rPr>
        <w:t xml:space="preserve"> due to its systematic use, the unlikelihood of its casual occurrence, and because they reflect the organizational capacity and foresight of Mexican State authorities regarding this policy that seeks to incriminate anyone based solely on the presumption of their links to organized crime.</w:t>
      </w:r>
      <w:r w:rsidR="006364A9" w:rsidRPr="00CC562A">
        <w:rPr>
          <w:rStyle w:val="FootnoteReference"/>
          <w:rFonts w:ascii="Cambria" w:hAnsi="Cambria"/>
          <w:sz w:val="20"/>
          <w:szCs w:val="20"/>
          <w:lang w:val="en-US"/>
        </w:rPr>
        <w:footnoteReference w:id="131"/>
      </w:r>
      <w:r w:rsidR="00FA104D" w:rsidRPr="00CC562A">
        <w:rPr>
          <w:rFonts w:ascii="Cambria" w:hAnsi="Cambria"/>
          <w:sz w:val="20"/>
          <w:szCs w:val="20"/>
          <w:lang w:val="en-US"/>
        </w:rPr>
        <w:t xml:space="preserve"> In addition, they mentioned that there is currently a reform initiative to remove </w:t>
      </w:r>
      <w:proofErr w:type="spellStart"/>
      <w:r w:rsidR="00FA104D" w:rsidRPr="00CC562A">
        <w:rPr>
          <w:rFonts w:ascii="Cambria" w:hAnsi="Cambria"/>
          <w:i/>
          <w:iCs/>
          <w:sz w:val="20"/>
          <w:szCs w:val="20"/>
          <w:lang w:val="en-US"/>
        </w:rPr>
        <w:t>arraigo</w:t>
      </w:r>
      <w:proofErr w:type="spellEnd"/>
      <w:r w:rsidR="00FA104D" w:rsidRPr="00CC562A">
        <w:rPr>
          <w:rFonts w:ascii="Cambria" w:hAnsi="Cambria"/>
          <w:i/>
          <w:iCs/>
          <w:sz w:val="20"/>
          <w:szCs w:val="20"/>
          <w:lang w:val="en-US"/>
        </w:rPr>
        <w:t xml:space="preserve"> </w:t>
      </w:r>
      <w:r w:rsidR="00FA104D" w:rsidRPr="00CC562A">
        <w:rPr>
          <w:rFonts w:ascii="Cambria" w:hAnsi="Cambria"/>
          <w:sz w:val="20"/>
          <w:szCs w:val="20"/>
          <w:lang w:val="en-US"/>
        </w:rPr>
        <w:t xml:space="preserve">from the Constitution. Nonetheless, this initiative has not yet been submitted to the full Senate for approval and the mere existence of </w:t>
      </w:r>
      <w:proofErr w:type="spellStart"/>
      <w:r w:rsidR="00FA104D" w:rsidRPr="00CC562A">
        <w:rPr>
          <w:rFonts w:ascii="Cambria" w:hAnsi="Cambria"/>
          <w:i/>
          <w:iCs/>
          <w:sz w:val="20"/>
          <w:szCs w:val="20"/>
          <w:lang w:val="en-US"/>
        </w:rPr>
        <w:t>arraigo</w:t>
      </w:r>
      <w:proofErr w:type="spellEnd"/>
      <w:r w:rsidR="00FA104D" w:rsidRPr="00CC562A">
        <w:rPr>
          <w:rFonts w:ascii="Cambria" w:hAnsi="Cambria"/>
          <w:i/>
          <w:iCs/>
          <w:sz w:val="20"/>
          <w:szCs w:val="20"/>
          <w:lang w:val="en-US"/>
        </w:rPr>
        <w:t xml:space="preserve"> </w:t>
      </w:r>
      <w:r w:rsidR="00FA104D" w:rsidRPr="00CC562A">
        <w:rPr>
          <w:rFonts w:ascii="Cambria" w:hAnsi="Cambria"/>
          <w:sz w:val="20"/>
          <w:szCs w:val="20"/>
          <w:lang w:val="en-US"/>
        </w:rPr>
        <w:t>in the Constitution</w:t>
      </w:r>
      <w:r w:rsidR="1EB29F69" w:rsidRPr="00CC562A">
        <w:rPr>
          <w:rFonts w:ascii="Cambria" w:hAnsi="Cambria"/>
          <w:sz w:val="20"/>
          <w:szCs w:val="20"/>
          <w:lang w:val="en-US"/>
        </w:rPr>
        <w:t xml:space="preserve"> represent</w:t>
      </w:r>
      <w:r w:rsidR="00FA104D" w:rsidRPr="00CC562A">
        <w:rPr>
          <w:rFonts w:ascii="Cambria" w:hAnsi="Cambria"/>
          <w:sz w:val="20"/>
          <w:szCs w:val="20"/>
          <w:lang w:val="en-US"/>
        </w:rPr>
        <w:t>s a threat to the guarantee of human rights in Mexico</w:t>
      </w:r>
      <w:r w:rsidR="1EB29F69" w:rsidRPr="00CC562A">
        <w:rPr>
          <w:rFonts w:ascii="Cambria" w:hAnsi="Cambria"/>
          <w:sz w:val="20"/>
          <w:szCs w:val="20"/>
          <w:lang w:val="en-US"/>
        </w:rPr>
        <w:t xml:space="preserve">. </w:t>
      </w:r>
    </w:p>
    <w:p w14:paraId="088FB3BE" w14:textId="77777777" w:rsidR="00DB71FA" w:rsidRPr="00CC562A" w:rsidRDefault="00DB71FA" w:rsidP="00605AB6">
      <w:pPr>
        <w:spacing w:after="0" w:line="240" w:lineRule="auto"/>
        <w:ind w:left="720"/>
        <w:jc w:val="both"/>
        <w:rPr>
          <w:rFonts w:ascii="Cambria" w:eastAsia="Cambria" w:hAnsi="Cambria" w:cs="Cambria"/>
          <w:sz w:val="20"/>
          <w:szCs w:val="20"/>
          <w:lang w:val="en-US"/>
        </w:rPr>
      </w:pPr>
    </w:p>
    <w:p w14:paraId="1536E166" w14:textId="3A619D9A" w:rsidR="003F22A5" w:rsidRPr="00CC562A" w:rsidRDefault="1EB29F69" w:rsidP="00605AB6">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Final</w:t>
      </w:r>
      <w:r w:rsidR="00FA104D" w:rsidRPr="00CC562A">
        <w:rPr>
          <w:rFonts w:ascii="Cambria" w:hAnsi="Cambria"/>
          <w:sz w:val="20"/>
          <w:szCs w:val="20"/>
          <w:lang w:val="en-US"/>
        </w:rPr>
        <w:t>ly, the</w:t>
      </w:r>
      <w:r w:rsidRPr="00CC562A">
        <w:rPr>
          <w:rFonts w:ascii="Cambria" w:hAnsi="Cambria"/>
          <w:sz w:val="20"/>
          <w:szCs w:val="20"/>
          <w:lang w:val="en-US"/>
        </w:rPr>
        <w:t xml:space="preserve"> CMDPDH </w:t>
      </w:r>
      <w:r w:rsidR="00472FBF" w:rsidRPr="00CC562A">
        <w:rPr>
          <w:rFonts w:ascii="Cambria" w:hAnsi="Cambria"/>
          <w:sz w:val="20"/>
          <w:szCs w:val="20"/>
          <w:lang w:val="en-US"/>
        </w:rPr>
        <w:t>said</w:t>
      </w:r>
      <w:r w:rsidR="00900ED4" w:rsidRPr="00CC562A">
        <w:rPr>
          <w:rFonts w:ascii="Cambria" w:hAnsi="Cambria"/>
          <w:sz w:val="20"/>
          <w:szCs w:val="20"/>
          <w:lang w:val="en-US"/>
        </w:rPr>
        <w:t xml:space="preserve"> that reports of arbitrary arrests continued during </w:t>
      </w:r>
      <w:r w:rsidR="49546BB9" w:rsidRPr="00CC562A">
        <w:rPr>
          <w:rFonts w:ascii="Cambria" w:hAnsi="Cambria"/>
          <w:sz w:val="20"/>
          <w:szCs w:val="20"/>
          <w:lang w:val="en-US"/>
        </w:rPr>
        <w:t>2022</w:t>
      </w:r>
      <w:r w:rsidRPr="00CC562A">
        <w:rPr>
          <w:rFonts w:ascii="Cambria" w:hAnsi="Cambria"/>
          <w:sz w:val="20"/>
          <w:szCs w:val="20"/>
          <w:lang w:val="en-US"/>
        </w:rPr>
        <w:t xml:space="preserve">. </w:t>
      </w:r>
      <w:r w:rsidR="00900ED4" w:rsidRPr="00CC562A">
        <w:rPr>
          <w:rFonts w:ascii="Cambria" w:hAnsi="Cambria"/>
          <w:sz w:val="20"/>
          <w:szCs w:val="20"/>
          <w:lang w:val="en-US"/>
        </w:rPr>
        <w:t>According to the CNDH warning system, 79 arbitrary arrest complaints were received during the period from January to May</w:t>
      </w:r>
      <w:r w:rsidRPr="00CC562A">
        <w:rPr>
          <w:rFonts w:ascii="Cambria" w:hAnsi="Cambria"/>
          <w:sz w:val="20"/>
          <w:szCs w:val="20"/>
          <w:lang w:val="en-US"/>
        </w:rPr>
        <w:t xml:space="preserve"> 2022</w:t>
      </w:r>
      <w:r w:rsidR="00900ED4" w:rsidRPr="00CC562A">
        <w:rPr>
          <w:rFonts w:ascii="Cambria" w:hAnsi="Cambria"/>
          <w:sz w:val="20"/>
          <w:szCs w:val="20"/>
          <w:lang w:val="en-US"/>
        </w:rPr>
        <w:t>. In addition, the current government has</w:t>
      </w:r>
      <w:r w:rsidRPr="00CC562A">
        <w:rPr>
          <w:rFonts w:ascii="Cambria" w:hAnsi="Cambria"/>
          <w:sz w:val="20"/>
          <w:szCs w:val="20"/>
          <w:lang w:val="en-US"/>
        </w:rPr>
        <w:t xml:space="preserve"> </w:t>
      </w:r>
      <w:r w:rsidR="00900ED4" w:rsidRPr="00CC562A">
        <w:rPr>
          <w:rFonts w:ascii="Cambria" w:hAnsi="Cambria"/>
          <w:sz w:val="20"/>
          <w:szCs w:val="20"/>
          <w:lang w:val="en-US"/>
        </w:rPr>
        <w:t xml:space="preserve">exacerbated </w:t>
      </w:r>
      <w:r w:rsidR="00653BD5" w:rsidRPr="00CC562A">
        <w:rPr>
          <w:rFonts w:ascii="Cambria" w:hAnsi="Cambria"/>
          <w:sz w:val="20"/>
          <w:szCs w:val="20"/>
          <w:lang w:val="en-US"/>
        </w:rPr>
        <w:t>the</w:t>
      </w:r>
      <w:r w:rsidR="00900ED4" w:rsidRPr="00CC562A">
        <w:rPr>
          <w:rFonts w:ascii="Cambria" w:hAnsi="Cambria"/>
          <w:sz w:val="20"/>
          <w:szCs w:val="20"/>
          <w:lang w:val="en-US"/>
        </w:rPr>
        <w:t xml:space="preserve"> worst practices of punitive populism; thus,</w:t>
      </w:r>
      <w:r w:rsidR="00653BD5" w:rsidRPr="00CC562A">
        <w:rPr>
          <w:rFonts w:ascii="Cambria" w:hAnsi="Cambria"/>
          <w:sz w:val="20"/>
          <w:szCs w:val="20"/>
          <w:lang w:val="en-US"/>
        </w:rPr>
        <w:t xml:space="preserve"> following a reform of Article 19 of the Constitution, 16 crimes are considered subject to ex officio preventive detention. This concept, whereby </w:t>
      </w:r>
      <w:r w:rsidR="00472FBF" w:rsidRPr="00CC562A">
        <w:rPr>
          <w:rFonts w:ascii="Cambria" w:hAnsi="Cambria"/>
          <w:sz w:val="20"/>
          <w:szCs w:val="20"/>
          <w:lang w:val="en-US"/>
        </w:rPr>
        <w:t xml:space="preserve">judges </w:t>
      </w:r>
      <w:r w:rsidR="00653BD5" w:rsidRPr="00CC562A">
        <w:rPr>
          <w:rFonts w:ascii="Cambria" w:hAnsi="Cambria"/>
          <w:sz w:val="20"/>
          <w:szCs w:val="20"/>
          <w:lang w:val="en-US"/>
        </w:rPr>
        <w:t xml:space="preserve">are required to imprison </w:t>
      </w:r>
      <w:r w:rsidR="00472FBF" w:rsidRPr="00CC562A">
        <w:rPr>
          <w:rFonts w:ascii="Cambria" w:hAnsi="Cambria"/>
          <w:sz w:val="20"/>
          <w:szCs w:val="20"/>
          <w:lang w:val="en-US"/>
        </w:rPr>
        <w:t>people</w:t>
      </w:r>
      <w:r w:rsidR="00653BD5" w:rsidRPr="00CC562A">
        <w:rPr>
          <w:rFonts w:ascii="Cambria" w:hAnsi="Cambria"/>
          <w:sz w:val="20"/>
          <w:szCs w:val="20"/>
          <w:lang w:val="en-US"/>
        </w:rPr>
        <w:t xml:space="preserve"> simply </w:t>
      </w:r>
      <w:r w:rsidR="00472FBF" w:rsidRPr="00CC562A">
        <w:rPr>
          <w:rFonts w:ascii="Cambria" w:hAnsi="Cambria"/>
          <w:sz w:val="20"/>
          <w:szCs w:val="20"/>
          <w:lang w:val="en-US"/>
        </w:rPr>
        <w:t>because</w:t>
      </w:r>
      <w:r w:rsidR="00653BD5" w:rsidRPr="00CC562A">
        <w:rPr>
          <w:rFonts w:ascii="Cambria" w:hAnsi="Cambria"/>
          <w:sz w:val="20"/>
          <w:szCs w:val="20"/>
          <w:lang w:val="en-US"/>
        </w:rPr>
        <w:t xml:space="preserve"> there are indications of their having committed one of these crimes, has provoked a significant increase in the number of persons deprived of liberty.</w:t>
      </w:r>
    </w:p>
    <w:p w14:paraId="20F41AE8" w14:textId="77777777" w:rsidR="00DB71FA" w:rsidRPr="00CC562A" w:rsidRDefault="00DB71FA" w:rsidP="00605AB6">
      <w:pPr>
        <w:spacing w:after="0" w:line="240" w:lineRule="auto"/>
        <w:ind w:left="720"/>
        <w:jc w:val="both"/>
        <w:rPr>
          <w:rFonts w:ascii="Cambria" w:eastAsia="Cambria" w:hAnsi="Cambria" w:cs="Cambria"/>
          <w:sz w:val="20"/>
          <w:szCs w:val="20"/>
          <w:lang w:val="en-US"/>
        </w:rPr>
      </w:pPr>
    </w:p>
    <w:p w14:paraId="74BF6F35" w14:textId="068FB368" w:rsidR="008F1F83" w:rsidRPr="00CC562A" w:rsidRDefault="00653BD5" w:rsidP="00605AB6">
      <w:pPr>
        <w:numPr>
          <w:ilvl w:val="0"/>
          <w:numId w:val="2"/>
        </w:numPr>
        <w:spacing w:after="0" w:line="240" w:lineRule="auto"/>
        <w:ind w:left="0" w:firstLine="720"/>
        <w:jc w:val="both"/>
        <w:rPr>
          <w:rFonts w:ascii="Cambria" w:hAnsi="Cambria"/>
          <w:sz w:val="20"/>
          <w:szCs w:val="20"/>
          <w:lang w:val="en-US"/>
        </w:rPr>
      </w:pPr>
      <w:r w:rsidRPr="00CC562A">
        <w:rPr>
          <w:rFonts w:ascii="Cambria" w:hAnsi="Cambria"/>
          <w:sz w:val="20"/>
          <w:szCs w:val="20"/>
          <w:lang w:val="en-US"/>
        </w:rPr>
        <w:t xml:space="preserve">In accordance with this recommendation, the State has begun to establish legislative routes for elimination of the </w:t>
      </w:r>
      <w:proofErr w:type="spellStart"/>
      <w:r w:rsidRPr="00CC562A">
        <w:rPr>
          <w:rFonts w:ascii="Cambria" w:hAnsi="Cambria"/>
          <w:i/>
          <w:iCs/>
          <w:sz w:val="20"/>
          <w:szCs w:val="20"/>
          <w:lang w:val="en-US"/>
        </w:rPr>
        <w:t>arraigo</w:t>
      </w:r>
      <w:proofErr w:type="spellEnd"/>
      <w:r w:rsidRPr="00CC562A">
        <w:rPr>
          <w:rFonts w:ascii="Cambria" w:hAnsi="Cambria"/>
          <w:i/>
          <w:iCs/>
          <w:sz w:val="20"/>
          <w:szCs w:val="20"/>
          <w:lang w:val="en-US"/>
        </w:rPr>
        <w:t xml:space="preserve">, </w:t>
      </w:r>
      <w:r w:rsidRPr="00CC562A">
        <w:rPr>
          <w:rFonts w:ascii="Cambria" w:hAnsi="Cambria"/>
          <w:sz w:val="20"/>
          <w:szCs w:val="20"/>
          <w:lang w:val="en-US"/>
        </w:rPr>
        <w:t>as noted by the</w:t>
      </w:r>
      <w:r w:rsidR="2DD9370F" w:rsidRPr="00CC562A">
        <w:rPr>
          <w:rFonts w:ascii="Cambria" w:hAnsi="Cambria"/>
          <w:sz w:val="20"/>
          <w:szCs w:val="20"/>
          <w:lang w:val="en-US"/>
        </w:rPr>
        <w:t xml:space="preserve"> </w:t>
      </w:r>
      <w:r w:rsidR="00900ED4" w:rsidRPr="00CC562A">
        <w:rPr>
          <w:rFonts w:ascii="Cambria" w:hAnsi="Cambria"/>
          <w:sz w:val="20"/>
          <w:szCs w:val="20"/>
          <w:lang w:val="en-US"/>
        </w:rPr>
        <w:t>IACHR</w:t>
      </w:r>
      <w:r w:rsidR="2DD9370F" w:rsidRPr="00CC562A">
        <w:rPr>
          <w:rFonts w:ascii="Cambria" w:hAnsi="Cambria"/>
          <w:sz w:val="20"/>
          <w:szCs w:val="20"/>
          <w:lang w:val="en-US"/>
        </w:rPr>
        <w:t xml:space="preserve"> </w:t>
      </w:r>
      <w:r w:rsidRPr="00CC562A">
        <w:rPr>
          <w:rFonts w:ascii="Cambria" w:hAnsi="Cambria"/>
          <w:sz w:val="20"/>
          <w:szCs w:val="20"/>
          <w:lang w:val="en-US"/>
        </w:rPr>
        <w:t>in the 2021 Follow-up Report. However, as of the date of this report, there are no dat</w:t>
      </w:r>
      <w:r w:rsidR="00472FBF" w:rsidRPr="00CC562A">
        <w:rPr>
          <w:rFonts w:ascii="Cambria" w:hAnsi="Cambria"/>
          <w:sz w:val="20"/>
          <w:szCs w:val="20"/>
          <w:lang w:val="en-US"/>
        </w:rPr>
        <w:t>a</w:t>
      </w:r>
      <w:r w:rsidRPr="00CC562A">
        <w:rPr>
          <w:rFonts w:ascii="Cambria" w:hAnsi="Cambria"/>
          <w:sz w:val="20"/>
          <w:szCs w:val="20"/>
          <w:lang w:val="en-US"/>
        </w:rPr>
        <w:t xml:space="preserve"> that would allow the Commission to evaluate progress made in complying with the recommendation</w:t>
      </w:r>
      <w:r w:rsidR="49546BB9" w:rsidRPr="00CC562A">
        <w:rPr>
          <w:rFonts w:ascii="Cambria" w:hAnsi="Cambria"/>
          <w:sz w:val="20"/>
          <w:szCs w:val="20"/>
          <w:lang w:val="en-US"/>
        </w:rPr>
        <w:t>.</w:t>
      </w:r>
    </w:p>
    <w:p w14:paraId="704682B5" w14:textId="77777777" w:rsidR="00DB71FA" w:rsidRPr="00CC562A" w:rsidRDefault="00DB71FA" w:rsidP="00605AB6">
      <w:pPr>
        <w:spacing w:after="0" w:line="240" w:lineRule="auto"/>
        <w:ind w:left="720"/>
        <w:jc w:val="both"/>
        <w:rPr>
          <w:rFonts w:ascii="Cambria" w:hAnsi="Cambria"/>
          <w:sz w:val="20"/>
          <w:szCs w:val="20"/>
          <w:lang w:val="en-US"/>
        </w:rPr>
      </w:pPr>
    </w:p>
    <w:p w14:paraId="00054590" w14:textId="20BEAFA0" w:rsidR="00522749" w:rsidRPr="00CC562A" w:rsidRDefault="00653BD5" w:rsidP="00605AB6">
      <w:pPr>
        <w:numPr>
          <w:ilvl w:val="0"/>
          <w:numId w:val="2"/>
        </w:numPr>
        <w:spacing w:after="0" w:line="240" w:lineRule="auto"/>
        <w:ind w:left="0" w:firstLine="720"/>
        <w:jc w:val="both"/>
        <w:rPr>
          <w:rFonts w:ascii="Cambria" w:hAnsi="Cambria"/>
          <w:b/>
          <w:bCs/>
          <w:sz w:val="20"/>
          <w:szCs w:val="20"/>
          <w:lang w:val="en-US"/>
        </w:rPr>
      </w:pPr>
      <w:r w:rsidRPr="00CC562A">
        <w:rPr>
          <w:rFonts w:ascii="Cambria" w:hAnsi="Cambria"/>
          <w:sz w:val="20"/>
          <w:szCs w:val="20"/>
          <w:lang w:val="en-US"/>
        </w:rPr>
        <w:t xml:space="preserve">The </w:t>
      </w:r>
      <w:r w:rsidR="00900ED4" w:rsidRPr="00CC562A">
        <w:rPr>
          <w:rFonts w:ascii="Cambria" w:hAnsi="Cambria"/>
          <w:sz w:val="20"/>
          <w:szCs w:val="20"/>
          <w:lang w:val="en-US"/>
        </w:rPr>
        <w:t>IACHR</w:t>
      </w:r>
      <w:r w:rsidRPr="00CC562A">
        <w:rPr>
          <w:rFonts w:ascii="Cambria" w:hAnsi="Cambria"/>
          <w:sz w:val="20"/>
          <w:szCs w:val="20"/>
          <w:lang w:val="en-US"/>
        </w:rPr>
        <w:t xml:space="preserve"> knows that various civil society organizations have reiterated their prote</w:t>
      </w:r>
      <w:r w:rsidR="00472FBF" w:rsidRPr="00CC562A">
        <w:rPr>
          <w:rFonts w:ascii="Cambria" w:hAnsi="Cambria"/>
          <w:sz w:val="20"/>
          <w:szCs w:val="20"/>
          <w:lang w:val="en-US"/>
        </w:rPr>
        <w:t>sts</w:t>
      </w:r>
      <w:r w:rsidRPr="00CC562A">
        <w:rPr>
          <w:rFonts w:ascii="Cambria" w:hAnsi="Cambria"/>
          <w:sz w:val="20"/>
          <w:szCs w:val="20"/>
          <w:lang w:val="en-US"/>
        </w:rPr>
        <w:t xml:space="preserve"> against </w:t>
      </w:r>
      <w:proofErr w:type="spellStart"/>
      <w:r w:rsidRPr="00CC562A">
        <w:rPr>
          <w:rFonts w:ascii="Cambria" w:hAnsi="Cambria"/>
          <w:i/>
          <w:iCs/>
          <w:sz w:val="20"/>
          <w:szCs w:val="20"/>
          <w:lang w:val="en-US"/>
        </w:rPr>
        <w:t>arraigo</w:t>
      </w:r>
      <w:proofErr w:type="spellEnd"/>
      <w:r w:rsidRPr="00CC562A">
        <w:rPr>
          <w:rFonts w:ascii="Cambria" w:hAnsi="Cambria"/>
          <w:i/>
          <w:iCs/>
          <w:sz w:val="20"/>
          <w:szCs w:val="20"/>
          <w:lang w:val="en-US"/>
        </w:rPr>
        <w:t xml:space="preserve"> </w:t>
      </w:r>
      <w:r w:rsidRPr="00CC562A">
        <w:rPr>
          <w:rFonts w:ascii="Cambria" w:hAnsi="Cambria"/>
          <w:sz w:val="20"/>
          <w:szCs w:val="20"/>
          <w:lang w:val="en-US"/>
        </w:rPr>
        <w:t>as being notoriously in violation of human rights</w:t>
      </w:r>
      <w:r w:rsidR="2DD9370F" w:rsidRPr="00CC562A">
        <w:rPr>
          <w:rFonts w:ascii="Cambria" w:hAnsi="Cambria"/>
          <w:sz w:val="20"/>
          <w:szCs w:val="20"/>
          <w:lang w:val="en-US"/>
        </w:rPr>
        <w:t xml:space="preserve">. </w:t>
      </w:r>
      <w:r w:rsidRPr="00CC562A">
        <w:rPr>
          <w:rFonts w:ascii="Cambria" w:hAnsi="Cambria"/>
          <w:sz w:val="20"/>
          <w:szCs w:val="20"/>
          <w:lang w:val="en-US"/>
        </w:rPr>
        <w:t xml:space="preserve">The Commission notes with concern that in </w:t>
      </w:r>
      <w:r w:rsidR="00555F46" w:rsidRPr="00CC562A">
        <w:rPr>
          <w:rFonts w:ascii="Cambria" w:hAnsi="Cambria"/>
          <w:sz w:val="20"/>
          <w:szCs w:val="20"/>
          <w:lang w:val="en-US"/>
        </w:rPr>
        <w:t>n</w:t>
      </w:r>
      <w:r w:rsidRPr="00CC562A">
        <w:rPr>
          <w:rFonts w:ascii="Cambria" w:hAnsi="Cambria"/>
          <w:sz w:val="20"/>
          <w:szCs w:val="20"/>
          <w:lang w:val="en-US"/>
        </w:rPr>
        <w:t>one of its orders</w:t>
      </w:r>
      <w:r w:rsidR="00555F46" w:rsidRPr="00CC562A">
        <w:rPr>
          <w:rFonts w:ascii="Cambria" w:hAnsi="Cambria"/>
          <w:sz w:val="20"/>
          <w:szCs w:val="20"/>
          <w:lang w:val="en-US"/>
        </w:rPr>
        <w:t xml:space="preserve"> has</w:t>
      </w:r>
      <w:r w:rsidRPr="00CC562A">
        <w:rPr>
          <w:rFonts w:ascii="Cambria" w:hAnsi="Cambria"/>
          <w:sz w:val="20"/>
          <w:szCs w:val="20"/>
          <w:lang w:val="en-US"/>
        </w:rPr>
        <w:t xml:space="preserve"> the government carried out actions targeting immediate or gradual compliance </w:t>
      </w: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eliminate </w:t>
      </w:r>
      <w:proofErr w:type="spellStart"/>
      <w:r w:rsidRPr="00CC562A">
        <w:rPr>
          <w:rFonts w:ascii="Cambria" w:hAnsi="Cambria"/>
          <w:i/>
          <w:iCs/>
          <w:sz w:val="20"/>
          <w:szCs w:val="20"/>
          <w:lang w:val="en-US"/>
        </w:rPr>
        <w:t>arraigo</w:t>
      </w:r>
      <w:proofErr w:type="spellEnd"/>
      <w:r w:rsidRPr="00CC562A">
        <w:rPr>
          <w:rFonts w:ascii="Cambria" w:hAnsi="Cambria"/>
          <w:i/>
          <w:iCs/>
          <w:sz w:val="20"/>
          <w:szCs w:val="20"/>
          <w:lang w:val="en-US"/>
        </w:rPr>
        <w:t xml:space="preserve"> </w:t>
      </w:r>
      <w:r w:rsidR="00555F46" w:rsidRPr="00CC562A">
        <w:rPr>
          <w:rFonts w:ascii="Cambria" w:hAnsi="Cambria"/>
          <w:sz w:val="20"/>
          <w:szCs w:val="20"/>
          <w:lang w:val="en-US"/>
        </w:rPr>
        <w:t>i</w:t>
      </w:r>
      <w:r w:rsidRPr="00CC562A">
        <w:rPr>
          <w:rFonts w:ascii="Cambria" w:hAnsi="Cambria"/>
          <w:sz w:val="20"/>
          <w:szCs w:val="20"/>
          <w:lang w:val="en-US"/>
        </w:rPr>
        <w:t>n Mexico. The</w:t>
      </w:r>
      <w:r w:rsidR="77BBFF4E"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IACHR</w:t>
      </w:r>
      <w:r w:rsidR="77BBFF4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noted earlier that quasi flagrante delicto was already eradicated in Mexican law</w:t>
      </w:r>
      <w:r w:rsidR="00A37291" w:rsidRPr="00CC562A">
        <w:rPr>
          <w:rFonts w:ascii="Cambria" w:eastAsia="Cambria" w:hAnsi="Cambria" w:cs="Cambria"/>
          <w:sz w:val="20"/>
          <w:szCs w:val="20"/>
          <w:lang w:val="en-US"/>
        </w:rPr>
        <w:t xml:space="preserve"> in 2015, so that there is </w:t>
      </w:r>
      <w:r w:rsidR="00A37291" w:rsidRPr="00CC562A">
        <w:rPr>
          <w:rFonts w:ascii="Cambria" w:eastAsia="Cambria" w:hAnsi="Cambria" w:cs="Cambria"/>
          <w:b/>
          <w:bCs/>
          <w:sz w:val="20"/>
          <w:szCs w:val="20"/>
          <w:lang w:val="en-US"/>
        </w:rPr>
        <w:t>partial compliance</w:t>
      </w:r>
      <w:r w:rsidR="00A37291" w:rsidRPr="00CC562A">
        <w:rPr>
          <w:rFonts w:ascii="Cambria" w:eastAsia="Cambria" w:hAnsi="Cambria" w:cs="Cambria"/>
          <w:sz w:val="20"/>
          <w:szCs w:val="20"/>
          <w:lang w:val="en-US"/>
        </w:rPr>
        <w:t xml:space="preserve"> with the recommendation in this aspect. </w:t>
      </w:r>
      <w:proofErr w:type="gramStart"/>
      <w:r w:rsidR="00A37291" w:rsidRPr="00CC562A">
        <w:rPr>
          <w:rFonts w:ascii="Cambria" w:eastAsia="Cambria" w:hAnsi="Cambria" w:cs="Cambria"/>
          <w:sz w:val="20"/>
          <w:szCs w:val="20"/>
          <w:lang w:val="en-US"/>
        </w:rPr>
        <w:t>Considering the foregoing, there</w:t>
      </w:r>
      <w:proofErr w:type="gramEnd"/>
      <w:r w:rsidR="00A37291" w:rsidRPr="00CC562A">
        <w:rPr>
          <w:rFonts w:ascii="Cambria" w:eastAsia="Cambria" w:hAnsi="Cambria" w:cs="Cambria"/>
          <w:sz w:val="20"/>
          <w:szCs w:val="20"/>
          <w:lang w:val="en-US"/>
        </w:rPr>
        <w:t xml:space="preserve"> is </w:t>
      </w:r>
      <w:r w:rsidR="00A37291" w:rsidRPr="00CC562A">
        <w:rPr>
          <w:rFonts w:ascii="Cambria" w:eastAsia="Cambria" w:hAnsi="Cambria" w:cs="Cambria"/>
          <w:b/>
          <w:bCs/>
          <w:sz w:val="20"/>
          <w:szCs w:val="20"/>
          <w:lang w:val="en-US"/>
        </w:rPr>
        <w:t xml:space="preserve">partial compliance </w:t>
      </w:r>
      <w:r w:rsidR="00A37291" w:rsidRPr="00CC562A">
        <w:rPr>
          <w:rFonts w:ascii="Cambria" w:eastAsia="Cambria" w:hAnsi="Cambria" w:cs="Cambria"/>
          <w:sz w:val="20"/>
          <w:szCs w:val="20"/>
          <w:lang w:val="en-US"/>
        </w:rPr>
        <w:t>with the recommendation</w:t>
      </w:r>
      <w:r w:rsidR="77BBFF4E" w:rsidRPr="00CC562A">
        <w:rPr>
          <w:rFonts w:ascii="Cambria" w:hAnsi="Cambria"/>
          <w:b/>
          <w:bCs/>
          <w:sz w:val="20"/>
          <w:szCs w:val="20"/>
          <w:lang w:val="en-US"/>
        </w:rPr>
        <w:t>.</w:t>
      </w:r>
    </w:p>
    <w:p w14:paraId="24ABBB70" w14:textId="77777777" w:rsidR="00DB71FA" w:rsidRPr="00CC562A" w:rsidRDefault="00DB71FA" w:rsidP="00605AB6">
      <w:pPr>
        <w:spacing w:after="0" w:line="240" w:lineRule="auto"/>
        <w:ind w:left="720"/>
        <w:jc w:val="both"/>
        <w:rPr>
          <w:rFonts w:ascii="Cambria" w:hAnsi="Cambria"/>
          <w:b/>
          <w:bCs/>
          <w:sz w:val="20"/>
          <w:szCs w:val="20"/>
          <w:lang w:val="en-US"/>
        </w:rPr>
      </w:pPr>
    </w:p>
    <w:p w14:paraId="27BFB165" w14:textId="7C140BCE" w:rsidR="00522749" w:rsidRPr="00CC562A" w:rsidRDefault="00A37291" w:rsidP="00605AB6">
      <w:pPr>
        <w:numPr>
          <w:ilvl w:val="0"/>
          <w:numId w:val="2"/>
        </w:numPr>
        <w:spacing w:line="240" w:lineRule="auto"/>
        <w:ind w:left="0" w:firstLine="720"/>
        <w:jc w:val="both"/>
        <w:rPr>
          <w:rFonts w:ascii="Cambria" w:hAnsi="Cambria"/>
          <w:b/>
          <w:bCs/>
          <w:sz w:val="20"/>
          <w:szCs w:val="20"/>
          <w:lang w:val="en-US"/>
        </w:rPr>
      </w:pPr>
      <w:proofErr w:type="gramStart"/>
      <w:r w:rsidRPr="00CC562A">
        <w:rPr>
          <w:rFonts w:ascii="Cambria" w:hAnsi="Cambria"/>
          <w:sz w:val="20"/>
          <w:szCs w:val="20"/>
          <w:lang w:val="en-US"/>
        </w:rPr>
        <w:lastRenderedPageBreak/>
        <w:t>In order to</w:t>
      </w:r>
      <w:proofErr w:type="gramEnd"/>
      <w:r w:rsidRPr="00CC562A">
        <w:rPr>
          <w:rFonts w:ascii="Cambria" w:hAnsi="Cambria"/>
          <w:sz w:val="20"/>
          <w:szCs w:val="20"/>
          <w:lang w:val="en-US"/>
        </w:rPr>
        <w:t xml:space="preserve"> guide the implementation of this recommendation, the</w:t>
      </w:r>
      <w:r w:rsidR="00605AB6" w:rsidRPr="00CC562A">
        <w:rPr>
          <w:rFonts w:ascii="Cambria" w:hAnsi="Cambria"/>
          <w:sz w:val="20"/>
          <w:szCs w:val="20"/>
          <w:lang w:val="en-US"/>
        </w:rPr>
        <w:t xml:space="preserve"> </w:t>
      </w:r>
      <w:r w:rsidR="00900ED4" w:rsidRPr="00CC562A">
        <w:rPr>
          <w:rFonts w:ascii="Cambria" w:hAnsi="Cambria"/>
          <w:sz w:val="20"/>
          <w:szCs w:val="20"/>
          <w:lang w:val="en-US"/>
        </w:rPr>
        <w:t>IACHR</w:t>
      </w:r>
      <w:r w:rsidR="00605AB6" w:rsidRPr="00CC562A">
        <w:rPr>
          <w:rFonts w:ascii="Cambria" w:hAnsi="Cambria"/>
          <w:sz w:val="20"/>
          <w:szCs w:val="20"/>
          <w:lang w:val="en-US"/>
        </w:rPr>
        <w:t xml:space="preserve"> </w:t>
      </w:r>
      <w:r w:rsidRPr="00CC562A">
        <w:rPr>
          <w:rFonts w:ascii="Cambria" w:hAnsi="Cambria"/>
          <w:sz w:val="20"/>
          <w:szCs w:val="20"/>
          <w:lang w:val="en-US"/>
        </w:rPr>
        <w:t xml:space="preserve">sees fit to underscore the importance of adopting </w:t>
      </w:r>
      <w:r w:rsidR="00555F46" w:rsidRPr="00CC562A">
        <w:rPr>
          <w:rFonts w:ascii="Cambria" w:hAnsi="Cambria"/>
          <w:sz w:val="20"/>
          <w:szCs w:val="20"/>
          <w:lang w:val="en-US"/>
        </w:rPr>
        <w:t>S</w:t>
      </w:r>
      <w:r w:rsidRPr="00CC562A">
        <w:rPr>
          <w:rFonts w:ascii="Cambria" w:hAnsi="Cambria"/>
          <w:sz w:val="20"/>
          <w:szCs w:val="20"/>
          <w:lang w:val="en-US"/>
        </w:rPr>
        <w:t xml:space="preserve">tate measures directed to the legislative elimination of the </w:t>
      </w:r>
      <w:proofErr w:type="spellStart"/>
      <w:r w:rsidRPr="00CC562A">
        <w:rPr>
          <w:rFonts w:ascii="Cambria" w:hAnsi="Cambria"/>
          <w:i/>
          <w:iCs/>
          <w:sz w:val="20"/>
          <w:szCs w:val="20"/>
          <w:lang w:val="en-US"/>
        </w:rPr>
        <w:t>arraigo</w:t>
      </w:r>
      <w:proofErr w:type="spellEnd"/>
      <w:r w:rsidR="2692909E" w:rsidRPr="00CC562A">
        <w:rPr>
          <w:rFonts w:ascii="Cambria" w:hAnsi="Cambria"/>
          <w:sz w:val="20"/>
          <w:szCs w:val="20"/>
          <w:lang w:val="en-US"/>
        </w:rPr>
        <w:t>.</w:t>
      </w:r>
      <w:r w:rsidR="77BBFF4E" w:rsidRPr="00CC562A">
        <w:rPr>
          <w:rFonts w:ascii="Cambria" w:hAnsi="Cambria"/>
          <w:sz w:val="20"/>
          <w:szCs w:val="20"/>
          <w:lang w:val="en-US"/>
        </w:rPr>
        <w:t xml:space="preserve"> </w:t>
      </w:r>
    </w:p>
    <w:p w14:paraId="220195DD" w14:textId="5FBC772B" w:rsidR="00F7756F" w:rsidRPr="000654DE" w:rsidRDefault="003F22A5" w:rsidP="000654DE">
      <w:pPr>
        <w:pStyle w:val="Heading2"/>
        <w:numPr>
          <w:ilvl w:val="0"/>
          <w:numId w:val="5"/>
        </w:numPr>
        <w:spacing w:before="24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E</w:t>
      </w:r>
      <w:r w:rsidR="00A37291" w:rsidRPr="00CC562A">
        <w:rPr>
          <w:rFonts w:ascii="Cambria" w:hAnsi="Cambria"/>
          <w:b/>
          <w:bCs/>
          <w:color w:val="000000" w:themeColor="text1"/>
          <w:sz w:val="22"/>
          <w:szCs w:val="22"/>
          <w:lang w:val="en-US"/>
        </w:rPr>
        <w:t>xtrajudicial Executions</w:t>
      </w:r>
    </w:p>
    <w:p w14:paraId="69847543" w14:textId="08D580B5" w:rsidR="003F22A5" w:rsidRPr="00CC562A" w:rsidRDefault="00EE7767"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eastAsia="Cambria" w:hAnsi="Cambria" w:cs="Cambria"/>
          <w:sz w:val="20"/>
          <w:szCs w:val="20"/>
          <w:lang w:val="en-US"/>
        </w:rPr>
        <w:t>In any act in which there is deprivation of life by members of the security forces, conduct an exhaustive inquiry and investigation in accordance with international standards, and ensure that investigations of the scene of the crime are carried out by experts who are not members of police or military agencies</w:t>
      </w:r>
      <w:r w:rsidR="003F22A5" w:rsidRPr="00CC562A">
        <w:rPr>
          <w:rFonts w:ascii="Cambria" w:eastAsia="Cambria" w:hAnsi="Cambria" w:cs="Cambria"/>
          <w:sz w:val="20"/>
          <w:szCs w:val="20"/>
          <w:lang w:val="en-US"/>
        </w:rPr>
        <w:t>.</w:t>
      </w:r>
    </w:p>
    <w:p w14:paraId="3D8FF3CB" w14:textId="3F77F0AB" w:rsidR="00C83114" w:rsidRPr="00CC562A" w:rsidRDefault="00EE7767"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Ensure that the </w:t>
      </w:r>
      <w:r w:rsidR="00555F46" w:rsidRPr="00CC562A">
        <w:rPr>
          <w:rFonts w:ascii="Cambria" w:eastAsia="Cambria" w:hAnsi="Cambria" w:cs="Cambria"/>
          <w:sz w:val="20"/>
          <w:szCs w:val="20"/>
          <w:lang w:val="en-US"/>
        </w:rPr>
        <w:t>a</w:t>
      </w:r>
      <w:r w:rsidR="00D5781D" w:rsidRPr="00CC562A">
        <w:rPr>
          <w:rFonts w:ascii="Cambria" w:eastAsia="Cambria" w:hAnsi="Cambria" w:cs="Cambria"/>
          <w:sz w:val="20"/>
          <w:szCs w:val="20"/>
          <w:lang w:val="en-US"/>
        </w:rPr>
        <w:t>rmed forces</w:t>
      </w:r>
      <w:r w:rsidRPr="00CC562A">
        <w:rPr>
          <w:rFonts w:ascii="Cambria" w:eastAsia="Cambria" w:hAnsi="Cambria" w:cs="Cambria"/>
          <w:sz w:val="20"/>
          <w:szCs w:val="20"/>
          <w:lang w:val="en-US"/>
        </w:rPr>
        <w:t xml:space="preserve"> record the numbers of people killed and injured </w:t>
      </w:r>
      <w:r w:rsidR="00555F46" w:rsidRPr="00CC562A">
        <w:rPr>
          <w:rFonts w:ascii="Cambria" w:eastAsia="Cambria" w:hAnsi="Cambria" w:cs="Cambria"/>
          <w:sz w:val="20"/>
          <w:szCs w:val="20"/>
          <w:lang w:val="en-US"/>
        </w:rPr>
        <w:t>in</w:t>
      </w:r>
      <w:r w:rsidRPr="00CC562A">
        <w:rPr>
          <w:rFonts w:ascii="Cambria" w:eastAsia="Cambria" w:hAnsi="Cambria" w:cs="Cambria"/>
          <w:sz w:val="20"/>
          <w:szCs w:val="20"/>
          <w:lang w:val="en-US"/>
        </w:rPr>
        <w:t xml:space="preserve"> their operations and that the corresponding investigations are opened when appropriate</w:t>
      </w:r>
      <w:r w:rsidR="00C83114" w:rsidRPr="00CC562A">
        <w:rPr>
          <w:rFonts w:ascii="Cambria" w:eastAsia="Cambria" w:hAnsi="Cambria" w:cs="Cambria"/>
          <w:sz w:val="20"/>
          <w:szCs w:val="20"/>
          <w:lang w:val="en-US"/>
        </w:rPr>
        <w:t xml:space="preserve">. </w:t>
      </w:r>
    </w:p>
    <w:p w14:paraId="5688768E" w14:textId="264AB50F" w:rsidR="00C83114" w:rsidRPr="00CC562A" w:rsidRDefault="00C83114"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Establ</w:t>
      </w:r>
      <w:r w:rsidR="00EE7767" w:rsidRPr="00CC562A">
        <w:rPr>
          <w:rFonts w:ascii="Cambria" w:eastAsia="Cambria" w:hAnsi="Cambria" w:cs="Cambria"/>
          <w:sz w:val="20"/>
          <w:szCs w:val="20"/>
          <w:lang w:val="en-US"/>
        </w:rPr>
        <w:t>ish a national registry of the location of unidentified remains of persons with a violent cause of death, buried in cemeteries throughout the country. Also recommended is a search for clandestine graves in states that have experienced high levels of violence</w:t>
      </w:r>
      <w:r w:rsidRPr="00CC562A">
        <w:rPr>
          <w:rFonts w:ascii="Cambria" w:eastAsia="Cambria" w:hAnsi="Cambria" w:cs="Cambria"/>
          <w:sz w:val="20"/>
          <w:szCs w:val="20"/>
          <w:lang w:val="en-US"/>
        </w:rPr>
        <w:t xml:space="preserve">. </w:t>
      </w:r>
    </w:p>
    <w:p w14:paraId="4C390E2F" w14:textId="00013096" w:rsidR="00C83114" w:rsidRPr="00CC562A" w:rsidRDefault="00C83114"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Crea</w:t>
      </w:r>
      <w:r w:rsidR="00EE7767" w:rsidRPr="00CC562A">
        <w:rPr>
          <w:rFonts w:ascii="Cambria" w:eastAsia="Cambria" w:hAnsi="Cambria" w:cs="Cambria"/>
          <w:sz w:val="20"/>
          <w:szCs w:val="20"/>
          <w:lang w:val="en-US"/>
        </w:rPr>
        <w:t>te an autonomous national forensic services institution with adequate infrastructure, sufficient human and financial resources, and standardized protocols applicable nationwide</w:t>
      </w:r>
      <w:r w:rsidRPr="00CC562A">
        <w:rPr>
          <w:rFonts w:ascii="Cambria" w:eastAsia="Cambria" w:hAnsi="Cambria" w:cs="Cambria"/>
          <w:sz w:val="20"/>
          <w:szCs w:val="20"/>
          <w:lang w:val="en-US"/>
        </w:rPr>
        <w:t xml:space="preserve">. </w:t>
      </w:r>
    </w:p>
    <w:p w14:paraId="43E210CB" w14:textId="4B5A4DDE" w:rsidR="00C83114" w:rsidRPr="00CC562A" w:rsidRDefault="00EE7767"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Carry out all exhumation and identification of remains procedures with strict adherence to the requirements to ensure dignified treatment of the victims’ families by the authorities at all levels of government involved in the process</w:t>
      </w:r>
      <w:r w:rsidR="00C83114" w:rsidRPr="00CC562A">
        <w:rPr>
          <w:rFonts w:ascii="Cambria" w:eastAsia="Cambria" w:hAnsi="Cambria" w:cs="Cambria"/>
          <w:sz w:val="20"/>
          <w:szCs w:val="20"/>
          <w:lang w:val="en-US"/>
        </w:rPr>
        <w:t xml:space="preserve">. </w:t>
      </w:r>
    </w:p>
    <w:p w14:paraId="52AB0EEA" w14:textId="6014A6EF" w:rsidR="00C83114" w:rsidRPr="00CC562A" w:rsidRDefault="00C83114"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Continu</w:t>
      </w:r>
      <w:r w:rsidR="00EE7767" w:rsidRPr="00CC562A">
        <w:rPr>
          <w:rFonts w:ascii="Cambria" w:eastAsia="Cambria" w:hAnsi="Cambria" w:cs="Cambria"/>
          <w:sz w:val="20"/>
          <w:szCs w:val="20"/>
          <w:lang w:val="en-US"/>
        </w:rPr>
        <w:t xml:space="preserve">e and reinforce the work of the Forensic Commission for the Identification of Remains in cases found along migrant routes. Adopt the measures needed to establish the Transnational Mechanism for Access to Justice for Migrants and Their Families, and to </w:t>
      </w:r>
      <w:r w:rsidR="00C80FE5" w:rsidRPr="00CC562A">
        <w:rPr>
          <w:rFonts w:ascii="Cambria" w:eastAsia="Cambria" w:hAnsi="Cambria" w:cs="Cambria"/>
          <w:sz w:val="20"/>
          <w:szCs w:val="20"/>
          <w:lang w:val="en-US"/>
        </w:rPr>
        <w:t>create a</w:t>
      </w:r>
      <w:r w:rsidR="00EE7767" w:rsidRPr="00CC562A">
        <w:rPr>
          <w:rFonts w:ascii="Cambria" w:eastAsia="Cambria" w:hAnsi="Cambria" w:cs="Cambria"/>
          <w:sz w:val="20"/>
          <w:szCs w:val="20"/>
          <w:lang w:val="en-US"/>
        </w:rPr>
        <w:t xml:space="preserve"> Special Prosecutor’s Office for Crimes of Violence against Migrants at the federal level</w:t>
      </w:r>
      <w:r w:rsidRPr="00CC562A">
        <w:rPr>
          <w:rFonts w:ascii="Cambria" w:eastAsia="Cambria" w:hAnsi="Cambria" w:cs="Cambria"/>
          <w:sz w:val="20"/>
          <w:szCs w:val="20"/>
          <w:lang w:val="en-US"/>
        </w:rPr>
        <w:t xml:space="preserve">. </w:t>
      </w:r>
    </w:p>
    <w:p w14:paraId="076818AE" w14:textId="1C583841" w:rsidR="00C83114" w:rsidRPr="00CC562A" w:rsidRDefault="00C83114" w:rsidP="00001918">
      <w:pPr>
        <w:numPr>
          <w:ilvl w:val="0"/>
          <w:numId w:val="7"/>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Implement</w:t>
      </w:r>
      <w:r w:rsidR="00631A65" w:rsidRPr="00CC562A">
        <w:rPr>
          <w:rFonts w:ascii="Cambria" w:eastAsia="Cambria" w:hAnsi="Cambria" w:cs="Cambria"/>
          <w:sz w:val="20"/>
          <w:szCs w:val="20"/>
          <w:lang w:val="en-US"/>
        </w:rPr>
        <w:t xml:space="preserve"> a national mechanism to facilitate the exchange of </w:t>
      </w:r>
      <w:r w:rsidR="00555F46" w:rsidRPr="00CC562A">
        <w:rPr>
          <w:rFonts w:ascii="Cambria" w:eastAsia="Cambria" w:hAnsi="Cambria" w:cs="Cambria"/>
          <w:sz w:val="20"/>
          <w:szCs w:val="20"/>
          <w:lang w:val="en-US"/>
        </w:rPr>
        <w:t>forensic</w:t>
      </w:r>
      <w:r w:rsidR="00631A65" w:rsidRPr="00CC562A">
        <w:rPr>
          <w:rFonts w:ascii="Cambria" w:eastAsia="Cambria" w:hAnsi="Cambria" w:cs="Cambria"/>
          <w:sz w:val="20"/>
          <w:szCs w:val="20"/>
          <w:lang w:val="en-US"/>
        </w:rPr>
        <w:t xml:space="preserve"> information on unidentified remains of Mexican and Central American persons missing in Mexico with the forensic databases of missing migrants that have been developed in the region</w:t>
      </w:r>
      <w:r w:rsidRPr="00CC562A">
        <w:rPr>
          <w:rFonts w:ascii="Cambria" w:eastAsia="Cambria" w:hAnsi="Cambria" w:cs="Cambria"/>
          <w:sz w:val="20"/>
          <w:szCs w:val="20"/>
          <w:lang w:val="en-US"/>
        </w:rPr>
        <w:t xml:space="preserve">. </w:t>
      </w:r>
    </w:p>
    <w:p w14:paraId="2F0B7165" w14:textId="3EEEF7B9" w:rsidR="003F22A5" w:rsidRPr="00CC562A" w:rsidRDefault="003F22A5" w:rsidP="00A208A0">
      <w:pPr>
        <w:spacing w:after="0" w:line="240" w:lineRule="auto"/>
        <w:jc w:val="both"/>
        <w:rPr>
          <w:rFonts w:ascii="Cambria" w:eastAsia="Cambria" w:hAnsi="Cambria" w:cs="Cambria"/>
          <w:sz w:val="20"/>
          <w:szCs w:val="20"/>
          <w:lang w:val="en-US"/>
        </w:rPr>
      </w:pPr>
    </w:p>
    <w:p w14:paraId="6973AEBD" w14:textId="190E0132" w:rsidR="0025108C" w:rsidRPr="00CC562A" w:rsidRDefault="00631A65"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eastAsia="Cambria" w:hAnsi="Cambria" w:cs="Cambria"/>
          <w:b/>
          <w:bCs/>
          <w:sz w:val="20"/>
          <w:szCs w:val="20"/>
          <w:lang w:val="en-US"/>
        </w:rPr>
        <w:t>conduct an inquiry and exhaustive investigation in accordance with international standards in any case where there is deprivation of life by members of the security forces and ensure that investigations of the scene of the crime are conducted by experts who are not members of police forces</w:t>
      </w:r>
      <w:r w:rsidRPr="00CC562A">
        <w:rPr>
          <w:rFonts w:ascii="Cambria" w:eastAsia="Cambria" w:hAnsi="Cambria" w:cs="Cambria"/>
          <w:sz w:val="20"/>
          <w:szCs w:val="20"/>
          <w:lang w:val="en-US"/>
        </w:rPr>
        <w:t>, the State indicated that the</w:t>
      </w:r>
      <w:r w:rsidR="7D73934B" w:rsidRPr="00CC562A">
        <w:rPr>
          <w:rFonts w:ascii="Cambria" w:eastAsia="Cambria" w:hAnsi="Cambria" w:cs="Cambria"/>
          <w:sz w:val="20"/>
          <w:szCs w:val="20"/>
          <w:lang w:val="en-US"/>
        </w:rPr>
        <w:t xml:space="preserve"> FGR </w:t>
      </w:r>
      <w:r w:rsidRPr="00CC562A">
        <w:rPr>
          <w:rFonts w:ascii="Cambria" w:eastAsia="Cambria" w:hAnsi="Cambria" w:cs="Cambria"/>
          <w:sz w:val="20"/>
          <w:szCs w:val="20"/>
          <w:lang w:val="en-US"/>
        </w:rPr>
        <w:t>complies with the recommendation where there is deprivation of life by members of security forces, conducting an exhaustive investigation in accordance with international standards. As provided in Article</w:t>
      </w:r>
      <w:r w:rsidR="7D73934B" w:rsidRPr="00CC562A">
        <w:rPr>
          <w:rFonts w:ascii="Cambria" w:eastAsia="Cambria" w:hAnsi="Cambria" w:cs="Cambria"/>
          <w:sz w:val="20"/>
          <w:szCs w:val="20"/>
          <w:lang w:val="en-US"/>
        </w:rPr>
        <w:t xml:space="preserve"> 21</w:t>
      </w:r>
      <w:r w:rsidRPr="00CC562A">
        <w:rPr>
          <w:rFonts w:ascii="Cambria" w:eastAsia="Cambria" w:hAnsi="Cambria" w:cs="Cambria"/>
          <w:sz w:val="20"/>
          <w:szCs w:val="20"/>
          <w:lang w:val="en-US"/>
        </w:rPr>
        <w:t xml:space="preserve"> of its Constitution, the investigation of crimes is the responsibility of the Prosecutor’s Office and the police, which shall act</w:t>
      </w:r>
      <w:r w:rsidR="000B3E0C" w:rsidRPr="00CC562A">
        <w:rPr>
          <w:rFonts w:ascii="Cambria" w:eastAsia="Cambria" w:hAnsi="Cambria" w:cs="Cambria"/>
          <w:sz w:val="20"/>
          <w:szCs w:val="20"/>
          <w:lang w:val="en-US"/>
        </w:rPr>
        <w:t xml:space="preserve"> under the leadership and command thereof in the performance of this exercise. Criminal proceedings before the courts are the responsibility of the Prosecutor’s Office; in addition, the imposition of penalties, their modification and duration are exclusively the domain of the judicial authority. In this regard, the State indicated that when someone dies during an operation in which members of the National Guard have participated, the facts are investigat</w:t>
      </w:r>
      <w:r w:rsidR="000D7C95" w:rsidRPr="00CC562A">
        <w:rPr>
          <w:rFonts w:ascii="Cambria" w:eastAsia="Cambria" w:hAnsi="Cambria" w:cs="Cambria"/>
          <w:sz w:val="20"/>
          <w:szCs w:val="20"/>
          <w:lang w:val="en-US"/>
        </w:rPr>
        <w:t>ed</w:t>
      </w:r>
      <w:r w:rsidR="000B3E0C" w:rsidRPr="00CC562A">
        <w:rPr>
          <w:rFonts w:ascii="Cambria" w:eastAsia="Cambria" w:hAnsi="Cambria" w:cs="Cambria"/>
          <w:sz w:val="20"/>
          <w:szCs w:val="20"/>
          <w:lang w:val="en-US"/>
        </w:rPr>
        <w:t xml:space="preserve"> by the</w:t>
      </w:r>
      <w:r w:rsidR="7D73934B" w:rsidRPr="00CC562A">
        <w:rPr>
          <w:rFonts w:ascii="Cambria" w:eastAsia="Cambria" w:hAnsi="Cambria" w:cs="Cambria"/>
          <w:sz w:val="20"/>
          <w:szCs w:val="20"/>
          <w:lang w:val="en-US"/>
        </w:rPr>
        <w:t xml:space="preserve"> FGR.</w:t>
      </w:r>
      <w:r w:rsidR="450DAB04" w:rsidRPr="00CC562A">
        <w:rPr>
          <w:rFonts w:ascii="Cambria" w:eastAsia="Cambria" w:hAnsi="Cambria" w:cs="Cambria"/>
          <w:sz w:val="20"/>
          <w:szCs w:val="20"/>
          <w:lang w:val="en-US"/>
        </w:rPr>
        <w:t xml:space="preserve"> </w:t>
      </w:r>
      <w:r w:rsidR="000B3E0C" w:rsidRPr="00CC562A">
        <w:rPr>
          <w:rFonts w:ascii="Cambria" w:eastAsia="Cambria" w:hAnsi="Cambria" w:cs="Cambria"/>
          <w:sz w:val="20"/>
          <w:szCs w:val="20"/>
          <w:lang w:val="en-US"/>
        </w:rPr>
        <w:t xml:space="preserve">Whenever there are actions that may constitute crimes, the investigation of such actions is the obligation of the authority. Added to this, and in accordance with Articles </w:t>
      </w:r>
      <w:r w:rsidR="7D73934B" w:rsidRPr="00CC562A">
        <w:rPr>
          <w:rFonts w:ascii="Cambria" w:eastAsia="Cambria" w:hAnsi="Cambria" w:cs="Cambria"/>
          <w:sz w:val="20"/>
          <w:szCs w:val="20"/>
          <w:lang w:val="en-US"/>
        </w:rPr>
        <w:t>11</w:t>
      </w:r>
      <w:r w:rsidR="000B3E0C" w:rsidRPr="00CC562A">
        <w:rPr>
          <w:rFonts w:ascii="Cambria" w:eastAsia="Cambria" w:hAnsi="Cambria" w:cs="Cambria"/>
          <w:sz w:val="20"/>
          <w:szCs w:val="20"/>
          <w:lang w:val="en-US"/>
        </w:rPr>
        <w:t xml:space="preserve">(IX) and 13(VIII) of the FGR Law, the Specialized Prosecutor’s Office for Internal Affairs conducts the investigations and pursues criminal action regarding crimes committed by personnel attached to the institution’s substantive and </w:t>
      </w:r>
      <w:r w:rsidR="000B3E0C" w:rsidRPr="00CC562A">
        <w:rPr>
          <w:rFonts w:ascii="Cambria" w:eastAsia="Cambria" w:hAnsi="Cambria" w:cs="Cambria"/>
          <w:sz w:val="20"/>
          <w:szCs w:val="20"/>
          <w:lang w:val="en-US"/>
        </w:rPr>
        <w:lastRenderedPageBreak/>
        <w:t>administrative agencies</w:t>
      </w:r>
      <w:r w:rsidR="000D7C95" w:rsidRPr="00CC562A">
        <w:rPr>
          <w:rFonts w:ascii="Cambria" w:eastAsia="Cambria" w:hAnsi="Cambria" w:cs="Cambria"/>
          <w:sz w:val="20"/>
          <w:szCs w:val="20"/>
          <w:lang w:val="en-US"/>
        </w:rPr>
        <w:t>,</w:t>
      </w:r>
      <w:r w:rsidR="000B3E0C" w:rsidRPr="00CC562A">
        <w:rPr>
          <w:rFonts w:ascii="Cambria" w:eastAsia="Cambria" w:hAnsi="Cambria" w:cs="Cambria"/>
          <w:sz w:val="20"/>
          <w:szCs w:val="20"/>
          <w:lang w:val="en-US"/>
        </w:rPr>
        <w:t xml:space="preserve"> recording, follow</w:t>
      </w:r>
      <w:r w:rsidR="000D7C95" w:rsidRPr="00CC562A">
        <w:rPr>
          <w:rFonts w:ascii="Cambria" w:eastAsia="Cambria" w:hAnsi="Cambria" w:cs="Cambria"/>
          <w:sz w:val="20"/>
          <w:szCs w:val="20"/>
          <w:lang w:val="en-US"/>
        </w:rPr>
        <w:t xml:space="preserve">ing </w:t>
      </w:r>
      <w:r w:rsidR="000B3E0C" w:rsidRPr="00CC562A">
        <w:rPr>
          <w:rFonts w:ascii="Cambria" w:eastAsia="Cambria" w:hAnsi="Cambria" w:cs="Cambria"/>
          <w:sz w:val="20"/>
          <w:szCs w:val="20"/>
          <w:lang w:val="en-US"/>
        </w:rPr>
        <w:t xml:space="preserve">up, channeling, and </w:t>
      </w:r>
      <w:r w:rsidR="000D7C95" w:rsidRPr="00CC562A">
        <w:rPr>
          <w:rFonts w:ascii="Cambria" w:eastAsia="Cambria" w:hAnsi="Cambria" w:cs="Cambria"/>
          <w:sz w:val="20"/>
          <w:szCs w:val="20"/>
          <w:lang w:val="en-US"/>
        </w:rPr>
        <w:t>attending</w:t>
      </w:r>
      <w:r w:rsidR="000B3E0C" w:rsidRPr="00CC562A">
        <w:rPr>
          <w:rFonts w:ascii="Cambria" w:eastAsia="Cambria" w:hAnsi="Cambria" w:cs="Cambria"/>
          <w:sz w:val="20"/>
          <w:szCs w:val="20"/>
          <w:lang w:val="en-US"/>
        </w:rPr>
        <w:t xml:space="preserve"> to matters </w:t>
      </w:r>
      <w:r w:rsidR="00E2569B" w:rsidRPr="00CC562A">
        <w:rPr>
          <w:rFonts w:ascii="Cambria" w:eastAsia="Cambria" w:hAnsi="Cambria" w:cs="Cambria"/>
          <w:sz w:val="20"/>
          <w:szCs w:val="20"/>
          <w:lang w:val="en-US"/>
        </w:rPr>
        <w:t>for purpose</w:t>
      </w:r>
      <w:r w:rsidR="000D7C95" w:rsidRPr="00CC562A">
        <w:rPr>
          <w:rFonts w:ascii="Cambria" w:eastAsia="Cambria" w:hAnsi="Cambria" w:cs="Cambria"/>
          <w:sz w:val="20"/>
          <w:szCs w:val="20"/>
          <w:lang w:val="en-US"/>
        </w:rPr>
        <w:t>s</w:t>
      </w:r>
      <w:r w:rsidR="00E2569B" w:rsidRPr="00CC562A">
        <w:rPr>
          <w:rFonts w:ascii="Cambria" w:eastAsia="Cambria" w:hAnsi="Cambria" w:cs="Cambria"/>
          <w:sz w:val="20"/>
          <w:szCs w:val="20"/>
          <w:lang w:val="en-US"/>
        </w:rPr>
        <w:t xml:space="preserve"> of appropriate relief through the single window. It is also responsible for conducting and developing supervisory visits, investigation, review, and oversight of the actions of agents of the Prosecutor’s Office, agents of the Ministerial Federal Police, experts, analysts, facilitators, experts, and generally civil servants in the FGR.</w:t>
      </w:r>
    </w:p>
    <w:p w14:paraId="5E423D3D"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1E269CE8" w14:textId="287D3B14" w:rsidR="0025108C" w:rsidRPr="00CC562A" w:rsidRDefault="00E2569B"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indicated that the Standardized Protocol for the Investigation of the Crimes of </w:t>
      </w:r>
      <w:r w:rsidR="00507873" w:rsidRPr="00CC562A">
        <w:rPr>
          <w:rFonts w:ascii="Cambria" w:eastAsia="Cambria" w:hAnsi="Cambria" w:cs="Cambria"/>
          <w:sz w:val="20"/>
          <w:szCs w:val="20"/>
          <w:lang w:val="en-US"/>
        </w:rPr>
        <w:t>F</w:t>
      </w:r>
      <w:r w:rsidRPr="00CC562A">
        <w:rPr>
          <w:rFonts w:ascii="Cambria" w:eastAsia="Cambria" w:hAnsi="Cambria" w:cs="Cambria"/>
          <w:sz w:val="20"/>
          <w:szCs w:val="20"/>
          <w:lang w:val="en-US"/>
        </w:rPr>
        <w:t xml:space="preserve">orced Disappearance and Disappearance Committed by </w:t>
      </w:r>
      <w:r w:rsidR="00507873" w:rsidRPr="00CC562A">
        <w:rPr>
          <w:rFonts w:ascii="Cambria" w:eastAsia="Cambria" w:hAnsi="Cambria" w:cs="Cambria"/>
          <w:sz w:val="20"/>
          <w:szCs w:val="20"/>
          <w:lang w:val="en-US"/>
        </w:rPr>
        <w:t>Private Parties</w:t>
      </w:r>
      <w:r w:rsidR="7D73934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also </w:t>
      </w:r>
      <w:r w:rsidR="7D73934B" w:rsidRPr="00CC562A">
        <w:rPr>
          <w:rFonts w:ascii="Cambria" w:eastAsia="Cambria" w:hAnsi="Cambria" w:cs="Cambria"/>
          <w:sz w:val="20"/>
          <w:szCs w:val="20"/>
          <w:lang w:val="en-US"/>
        </w:rPr>
        <w:t>establ</w:t>
      </w:r>
      <w:r w:rsidRPr="00CC562A">
        <w:rPr>
          <w:rFonts w:ascii="Cambria" w:eastAsia="Cambria" w:hAnsi="Cambria" w:cs="Cambria"/>
          <w:sz w:val="20"/>
          <w:szCs w:val="20"/>
          <w:lang w:val="en-US"/>
        </w:rPr>
        <w:t xml:space="preserve">ishes a specific and differentiated investigative technique for investigations of this kind, offering a detailed guide regarding the investigation of these crimes during the initial criminal proceeding stage, as well as guidelines for conducting the investigation using a methodological scheme </w:t>
      </w:r>
      <w:r w:rsidR="00267D27" w:rsidRPr="00CC562A">
        <w:rPr>
          <w:rFonts w:ascii="Cambria" w:eastAsia="Cambria" w:hAnsi="Cambria" w:cs="Cambria"/>
          <w:sz w:val="20"/>
          <w:szCs w:val="20"/>
          <w:lang w:val="en-US"/>
        </w:rPr>
        <w:t xml:space="preserve">under a Plan of Investigation on the application of investigative acts that take into consideration the specific characteristics of the victims and their vulnerable status. </w:t>
      </w:r>
      <w:r w:rsidR="00191347" w:rsidRPr="00CC562A">
        <w:rPr>
          <w:rFonts w:ascii="Cambria" w:eastAsia="Cambria" w:hAnsi="Cambria" w:cs="Cambria"/>
          <w:sz w:val="20"/>
          <w:szCs w:val="20"/>
          <w:lang w:val="en-US"/>
        </w:rPr>
        <w:t xml:space="preserve"> </w:t>
      </w:r>
      <w:r w:rsidR="00C15715" w:rsidRPr="00CC562A">
        <w:rPr>
          <w:rFonts w:ascii="Cambria" w:hAnsi="Cambria"/>
          <w:sz w:val="20"/>
          <w:lang w:val="en-US"/>
        </w:rPr>
        <w:t>The protocol also develops</w:t>
      </w:r>
      <w:r w:rsidR="007677D2" w:rsidRPr="00CC562A">
        <w:rPr>
          <w:rFonts w:ascii="Cambria" w:hAnsi="Cambria"/>
          <w:sz w:val="20"/>
          <w:lang w:val="en-US"/>
        </w:rPr>
        <w:t xml:space="preserve"> </w:t>
      </w:r>
      <w:r w:rsidR="00C15715" w:rsidRPr="00CC562A">
        <w:rPr>
          <w:rFonts w:ascii="Cambria" w:hAnsi="Cambria"/>
          <w:sz w:val="20"/>
          <w:lang w:val="en-US"/>
        </w:rPr>
        <w:t xml:space="preserve">investigative approaches according to the subject under investigation (whether or not a public servant is involved), a theoretical analysis of the crimes under investigation, a specific investigative technique for cases of persons disappeared from political movements </w:t>
      </w:r>
      <w:r w:rsidR="0021581C" w:rsidRPr="00CC562A">
        <w:rPr>
          <w:rFonts w:ascii="Cambria" w:hAnsi="Cambria"/>
          <w:sz w:val="20"/>
          <w:lang w:val="en-US"/>
        </w:rPr>
        <w:t>of</w:t>
      </w:r>
      <w:r w:rsidR="00C15715" w:rsidRPr="00CC562A">
        <w:rPr>
          <w:rFonts w:ascii="Cambria" w:hAnsi="Cambria"/>
          <w:sz w:val="20"/>
          <w:lang w:val="en-US"/>
        </w:rPr>
        <w:t xml:space="preserve"> the past</w:t>
      </w:r>
      <w:r w:rsidR="007677D2" w:rsidRPr="00CC562A">
        <w:rPr>
          <w:rFonts w:ascii="Cambria" w:eastAsia="Cambria" w:hAnsi="Cambria" w:cs="Cambria"/>
          <w:color w:val="000000" w:themeColor="text1"/>
          <w:sz w:val="20"/>
          <w:szCs w:val="20"/>
          <w:lang w:val="en-US"/>
        </w:rPr>
        <w:t xml:space="preserve">, </w:t>
      </w:r>
      <w:r w:rsidR="00C15715" w:rsidRPr="00CC562A">
        <w:rPr>
          <w:rFonts w:ascii="Cambria" w:hAnsi="Cambria"/>
          <w:sz w:val="20"/>
          <w:lang w:val="en-US"/>
        </w:rPr>
        <w:t>notification and delivery of someone who is found without life, procedures used after a minor is found in order to return him to his nuclear family</w:t>
      </w:r>
      <w:r w:rsidR="00C15715" w:rsidRPr="00CC562A">
        <w:rPr>
          <w:rFonts w:ascii="Cambria" w:eastAsia="Cambria" w:hAnsi="Cambria" w:cs="Cambria"/>
          <w:color w:val="000000" w:themeColor="text1"/>
          <w:sz w:val="20"/>
          <w:szCs w:val="20"/>
          <w:lang w:val="en-US"/>
        </w:rPr>
        <w:t xml:space="preserve">, as well as inter-American jurisprudence related to the investigation of forced disappearance and </w:t>
      </w:r>
      <w:r w:rsidR="00122232" w:rsidRPr="00CC562A">
        <w:rPr>
          <w:rFonts w:ascii="Cambria" w:eastAsia="Cambria" w:hAnsi="Cambria" w:cs="Cambria"/>
          <w:color w:val="000000" w:themeColor="text1"/>
          <w:sz w:val="20"/>
          <w:szCs w:val="20"/>
          <w:lang w:val="en-US"/>
        </w:rPr>
        <w:t>the action of public servants in this area</w:t>
      </w:r>
      <w:r w:rsidR="007677D2" w:rsidRPr="00CC562A">
        <w:rPr>
          <w:rFonts w:ascii="Cambria" w:hAnsi="Cambria"/>
          <w:sz w:val="20"/>
          <w:lang w:val="en-US"/>
        </w:rPr>
        <w:t xml:space="preserve">. </w:t>
      </w:r>
      <w:r w:rsidR="00122232" w:rsidRPr="00CC562A">
        <w:rPr>
          <w:rFonts w:ascii="Cambria" w:hAnsi="Cambria"/>
          <w:sz w:val="20"/>
          <w:lang w:val="en-US"/>
        </w:rPr>
        <w:t>In addition</w:t>
      </w:r>
      <w:r w:rsidR="007677D2" w:rsidRPr="00CC562A">
        <w:rPr>
          <w:rFonts w:ascii="Cambria" w:hAnsi="Cambria"/>
          <w:sz w:val="20"/>
          <w:lang w:val="en-US"/>
        </w:rPr>
        <w:t>, t</w:t>
      </w:r>
      <w:r w:rsidR="00267D27" w:rsidRPr="00CC562A">
        <w:rPr>
          <w:rFonts w:ascii="Cambria" w:eastAsia="Cambria" w:hAnsi="Cambria" w:cs="Cambria"/>
          <w:sz w:val="20"/>
          <w:szCs w:val="20"/>
          <w:lang w:val="en-US"/>
        </w:rPr>
        <w:t>he</w:t>
      </w:r>
      <w:r w:rsidR="7D73934B" w:rsidRPr="00CC562A">
        <w:rPr>
          <w:rFonts w:ascii="Cambria" w:eastAsia="Cambria" w:hAnsi="Cambria" w:cs="Cambria"/>
          <w:sz w:val="20"/>
          <w:szCs w:val="20"/>
          <w:lang w:val="en-US"/>
        </w:rPr>
        <w:t xml:space="preserve"> PHI </w:t>
      </w:r>
      <w:r w:rsidR="00267D27" w:rsidRPr="00CC562A">
        <w:rPr>
          <w:rFonts w:ascii="Cambria" w:eastAsia="Cambria" w:hAnsi="Cambria" w:cs="Cambria"/>
          <w:sz w:val="20"/>
          <w:szCs w:val="20"/>
          <w:lang w:val="en-US"/>
        </w:rPr>
        <w:t>considers the Minnesota Protocol not only as a source of good practices in the investigation of these crimes but also as an instrument to be utilized in the investigation of cases that involve finding deceased victims</w:t>
      </w:r>
      <w:r w:rsidR="7D73934B" w:rsidRPr="00CC562A">
        <w:rPr>
          <w:rFonts w:ascii="Cambria" w:eastAsia="Cambria" w:hAnsi="Cambria" w:cs="Cambria"/>
          <w:sz w:val="20"/>
          <w:szCs w:val="20"/>
          <w:lang w:val="en-US"/>
        </w:rPr>
        <w:t>.</w:t>
      </w:r>
    </w:p>
    <w:p w14:paraId="6BEDD14F"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70FA0B45" w14:textId="43768B48" w:rsidR="003F22A5" w:rsidRPr="00CC562A" w:rsidRDefault="450DAB04"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Final</w:t>
      </w:r>
      <w:r w:rsidR="00267D27" w:rsidRPr="00CC562A">
        <w:rPr>
          <w:rFonts w:ascii="Cambria" w:eastAsia="Cambria" w:hAnsi="Cambria" w:cs="Cambria"/>
          <w:sz w:val="20"/>
          <w:szCs w:val="20"/>
          <w:lang w:val="en-US"/>
        </w:rPr>
        <w:t>ly, the State indicated that the</w:t>
      </w:r>
      <w:r w:rsidR="7D73934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SCJN</w:t>
      </w:r>
      <w:r w:rsidR="7D73934B" w:rsidRPr="00CC562A">
        <w:rPr>
          <w:rFonts w:ascii="Cambria" w:eastAsia="Cambria" w:hAnsi="Cambria" w:cs="Cambria"/>
          <w:sz w:val="20"/>
          <w:szCs w:val="20"/>
          <w:lang w:val="en-US"/>
        </w:rPr>
        <w:t xml:space="preserve"> </w:t>
      </w:r>
      <w:r w:rsidR="00267D27" w:rsidRPr="00CC562A">
        <w:rPr>
          <w:rFonts w:ascii="Cambria" w:eastAsia="Cambria" w:hAnsi="Cambria" w:cs="Cambria"/>
          <w:sz w:val="20"/>
          <w:szCs w:val="20"/>
          <w:lang w:val="en-US"/>
        </w:rPr>
        <w:t xml:space="preserve">heard </w:t>
      </w:r>
      <w:r w:rsidR="00A62353" w:rsidRPr="00CC562A">
        <w:rPr>
          <w:rFonts w:ascii="Cambria" w:eastAsia="Cambria" w:hAnsi="Cambria" w:cs="Cambria"/>
          <w:sz w:val="20"/>
          <w:szCs w:val="20"/>
          <w:lang w:val="en-US"/>
        </w:rPr>
        <w:t xml:space="preserve">Complaint Appeal </w:t>
      </w:r>
      <w:r w:rsidR="7D73934B" w:rsidRPr="00CC562A">
        <w:rPr>
          <w:rFonts w:ascii="Cambria" w:eastAsia="Cambria" w:hAnsi="Cambria" w:cs="Cambria"/>
          <w:sz w:val="20"/>
          <w:szCs w:val="20"/>
          <w:lang w:val="en-US"/>
        </w:rPr>
        <w:t xml:space="preserve">363/2021, </w:t>
      </w:r>
      <w:r w:rsidR="00A62353" w:rsidRPr="00CC562A">
        <w:rPr>
          <w:rFonts w:ascii="Cambria" w:eastAsia="Cambria" w:hAnsi="Cambria" w:cs="Cambria"/>
          <w:sz w:val="20"/>
          <w:szCs w:val="20"/>
          <w:lang w:val="en-US"/>
        </w:rPr>
        <w:t>in which it deemed that the Minnesota Protocol was a standard related to the question of constitutionality posed by the complainant, as regard</w:t>
      </w:r>
      <w:r w:rsidR="00727BCC" w:rsidRPr="00CC562A">
        <w:rPr>
          <w:rFonts w:ascii="Cambria" w:eastAsia="Cambria" w:hAnsi="Cambria" w:cs="Cambria"/>
          <w:sz w:val="20"/>
          <w:szCs w:val="20"/>
          <w:lang w:val="en-US"/>
        </w:rPr>
        <w:t>s</w:t>
      </w:r>
      <w:r w:rsidR="00A62353" w:rsidRPr="00CC562A">
        <w:rPr>
          <w:rFonts w:ascii="Cambria" w:eastAsia="Cambria" w:hAnsi="Cambria" w:cs="Cambria"/>
          <w:sz w:val="20"/>
          <w:szCs w:val="20"/>
          <w:lang w:val="en-US"/>
        </w:rPr>
        <w:t xml:space="preserve"> the conduct of the </w:t>
      </w:r>
      <w:r w:rsidR="00727BCC" w:rsidRPr="00CC562A">
        <w:rPr>
          <w:rFonts w:ascii="Cambria" w:eastAsia="Cambria" w:hAnsi="Cambria" w:cs="Cambria"/>
          <w:sz w:val="20"/>
          <w:szCs w:val="20"/>
          <w:lang w:val="en-US"/>
        </w:rPr>
        <w:t>prosecutorial</w:t>
      </w:r>
      <w:r w:rsidR="00A62353" w:rsidRPr="00CC562A">
        <w:rPr>
          <w:rFonts w:ascii="Cambria" w:eastAsia="Cambria" w:hAnsi="Cambria" w:cs="Cambria"/>
          <w:sz w:val="20"/>
          <w:szCs w:val="20"/>
          <w:lang w:val="en-US"/>
        </w:rPr>
        <w:t xml:space="preserve"> investigation and the criteria for reconciling the civilian and military forums. Thus, it felt that the subject had an impact on the judgment</w:t>
      </w:r>
      <w:r w:rsidR="7D73934B" w:rsidRPr="00CC562A">
        <w:rPr>
          <w:rFonts w:ascii="Cambria" w:eastAsia="Cambria" w:hAnsi="Cambria" w:cs="Cambria"/>
          <w:sz w:val="20"/>
          <w:szCs w:val="20"/>
          <w:lang w:val="en-US"/>
        </w:rPr>
        <w:t xml:space="preserve">, </w:t>
      </w:r>
      <w:r w:rsidR="00A62353" w:rsidRPr="00CC562A">
        <w:rPr>
          <w:rFonts w:ascii="Cambria" w:eastAsia="Cambria" w:hAnsi="Cambria" w:cs="Cambria"/>
          <w:sz w:val="20"/>
          <w:szCs w:val="20"/>
          <w:lang w:val="en-US"/>
        </w:rPr>
        <w:t>as it was prosecuted for actions that the cited Protocol refers to in the context of extrajudicial execution</w:t>
      </w:r>
      <w:r w:rsidR="7D73934B" w:rsidRPr="00CC562A">
        <w:rPr>
          <w:rFonts w:ascii="Cambria" w:eastAsia="Cambria" w:hAnsi="Cambria" w:cs="Cambria"/>
          <w:sz w:val="20"/>
          <w:szCs w:val="20"/>
          <w:lang w:val="en-US"/>
        </w:rPr>
        <w:t xml:space="preserve">. </w:t>
      </w:r>
      <w:r w:rsidR="00A62353" w:rsidRPr="00CC562A">
        <w:rPr>
          <w:rFonts w:ascii="Cambria" w:eastAsia="Cambria" w:hAnsi="Cambria" w:cs="Cambria"/>
          <w:sz w:val="20"/>
          <w:szCs w:val="20"/>
          <w:lang w:val="en-US"/>
        </w:rPr>
        <w:t xml:space="preserve">That document defines a series of criteria to be followed in the investigation of acts of this kind, which have an impact on prosecution, the evaluation of evidence, and the determination of responsibilities. Currently, the matter arising from that appeal is now pending resolution under Direct </w:t>
      </w:r>
      <w:r w:rsidR="00A62353" w:rsidRPr="00CC562A">
        <w:rPr>
          <w:rFonts w:ascii="Cambria" w:eastAsia="Cambria" w:hAnsi="Cambria" w:cs="Cambria"/>
          <w:i/>
          <w:iCs/>
          <w:sz w:val="20"/>
          <w:szCs w:val="20"/>
          <w:lang w:val="en-US"/>
        </w:rPr>
        <w:t>Amparo</w:t>
      </w:r>
      <w:r w:rsidR="00A62353" w:rsidRPr="00CC562A">
        <w:rPr>
          <w:rFonts w:ascii="Cambria" w:eastAsia="Cambria" w:hAnsi="Cambria" w:cs="Cambria"/>
          <w:sz w:val="20"/>
          <w:szCs w:val="20"/>
          <w:lang w:val="en-US"/>
        </w:rPr>
        <w:t xml:space="preserve"> under Review</w:t>
      </w:r>
      <w:r w:rsidR="7D73934B" w:rsidRPr="00CC562A">
        <w:rPr>
          <w:rFonts w:ascii="Cambria" w:eastAsia="Cambria" w:hAnsi="Cambria" w:cs="Cambria"/>
          <w:sz w:val="20"/>
          <w:szCs w:val="20"/>
          <w:lang w:val="en-US"/>
        </w:rPr>
        <w:t xml:space="preserve"> 13/2021</w:t>
      </w:r>
      <w:r w:rsidR="00A62353" w:rsidRPr="00CC562A">
        <w:rPr>
          <w:rFonts w:ascii="Cambria" w:eastAsia="Cambria" w:hAnsi="Cambria" w:cs="Cambria"/>
          <w:sz w:val="20"/>
          <w:szCs w:val="20"/>
          <w:lang w:val="en-US"/>
        </w:rPr>
        <w:t>.</w:t>
      </w:r>
      <w:r w:rsidR="00946551" w:rsidRPr="00CC562A">
        <w:rPr>
          <w:rStyle w:val="FootnoteReference"/>
          <w:rFonts w:ascii="Cambria" w:eastAsia="Cambria" w:hAnsi="Cambria" w:cs="Cambria"/>
          <w:sz w:val="20"/>
          <w:szCs w:val="20"/>
          <w:lang w:val="en-US"/>
        </w:rPr>
        <w:footnoteReference w:id="132"/>
      </w:r>
    </w:p>
    <w:p w14:paraId="50940E9F"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07707044" w14:textId="019F104B" w:rsidR="00F7756F" w:rsidRPr="00CC562A" w:rsidRDefault="00A62353"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Commission notes tha</w:t>
      </w:r>
      <w:r w:rsidR="00727BCC" w:rsidRPr="00CC562A">
        <w:rPr>
          <w:rFonts w:ascii="Cambria" w:eastAsia="Cambria" w:hAnsi="Cambria" w:cs="Cambria"/>
          <w:sz w:val="20"/>
          <w:szCs w:val="20"/>
          <w:lang w:val="en-US"/>
        </w:rPr>
        <w:t xml:space="preserve">t </w:t>
      </w:r>
      <w:r w:rsidRPr="00CC562A">
        <w:rPr>
          <w:rFonts w:ascii="Cambria" w:eastAsia="Cambria" w:hAnsi="Cambria" w:cs="Cambria"/>
          <w:sz w:val="20"/>
          <w:szCs w:val="20"/>
          <w:lang w:val="en-US"/>
        </w:rPr>
        <w:t>in the 2021 Annual Follow-up Report</w:t>
      </w:r>
      <w:r w:rsidR="00F7756F" w:rsidRPr="00CC562A">
        <w:rPr>
          <w:rStyle w:val="FootnoteReference"/>
          <w:rFonts w:ascii="Cambria" w:eastAsia="Cambria" w:hAnsi="Cambria" w:cs="Cambria"/>
          <w:sz w:val="20"/>
          <w:szCs w:val="20"/>
          <w:lang w:val="en-US"/>
        </w:rPr>
        <w:footnoteReference w:id="133"/>
      </w:r>
      <w:r w:rsidR="0914DCE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civil society organizations called the Commission’s attention to the constant increase in armed forces activity in public </w:t>
      </w:r>
      <w:r w:rsidR="00211812" w:rsidRPr="00CC562A">
        <w:rPr>
          <w:rFonts w:ascii="Cambria" w:eastAsia="Cambria" w:hAnsi="Cambria" w:cs="Cambria"/>
          <w:sz w:val="20"/>
          <w:szCs w:val="20"/>
          <w:lang w:val="en-US"/>
        </w:rPr>
        <w:t>security functions within Mexico. In this regard, the State asserts that, although there is participation by authorities wi</w:t>
      </w:r>
      <w:r w:rsidR="00727BCC" w:rsidRPr="00CC562A">
        <w:rPr>
          <w:rFonts w:ascii="Cambria" w:eastAsia="Cambria" w:hAnsi="Cambria" w:cs="Cambria"/>
          <w:sz w:val="20"/>
          <w:szCs w:val="20"/>
          <w:lang w:val="en-US"/>
        </w:rPr>
        <w:t>th</w:t>
      </w:r>
      <w:r w:rsidR="00211812" w:rsidRPr="00CC562A">
        <w:rPr>
          <w:rFonts w:ascii="Cambria" w:eastAsia="Cambria" w:hAnsi="Cambria" w:cs="Cambria"/>
          <w:sz w:val="20"/>
          <w:szCs w:val="20"/>
          <w:lang w:val="en-US"/>
        </w:rPr>
        <w:t xml:space="preserve"> military commands, as in the case of the National Guard, those authorities are</w:t>
      </w:r>
      <w:r w:rsidR="0072044F" w:rsidRPr="00CC562A">
        <w:rPr>
          <w:rFonts w:ascii="Cambria" w:eastAsia="Cambria" w:hAnsi="Cambria" w:cs="Cambria"/>
          <w:sz w:val="20"/>
          <w:szCs w:val="20"/>
          <w:lang w:val="en-US"/>
        </w:rPr>
        <w:t xml:space="preserve"> supervised in accordance with constitutional and legal procedures provided in domestic law. Nonetheless,</w:t>
      </w:r>
      <w:r w:rsidR="0914DCEB" w:rsidRPr="00CC562A">
        <w:rPr>
          <w:rFonts w:ascii="Cambria" w:eastAsia="Cambria" w:hAnsi="Cambria" w:cs="Cambria"/>
          <w:sz w:val="20"/>
          <w:szCs w:val="20"/>
          <w:lang w:val="en-US"/>
        </w:rPr>
        <w:t xml:space="preserve"> </w:t>
      </w:r>
      <w:r w:rsidR="0072044F" w:rsidRPr="00CC562A">
        <w:rPr>
          <w:rFonts w:ascii="Cambria" w:eastAsia="Cambria" w:hAnsi="Cambria" w:cs="Cambria"/>
          <w:sz w:val="20"/>
          <w:szCs w:val="20"/>
          <w:lang w:val="en-US"/>
        </w:rPr>
        <w:t xml:space="preserve">public pronouncements of the </w:t>
      </w:r>
      <w:r w:rsidR="0914DCEB" w:rsidRPr="00CC562A">
        <w:rPr>
          <w:rFonts w:ascii="Cambria" w:eastAsia="Cambria" w:hAnsi="Cambria" w:cs="Cambria"/>
          <w:sz w:val="20"/>
          <w:szCs w:val="20"/>
          <w:lang w:val="en-US"/>
        </w:rPr>
        <w:t xml:space="preserve">CMDPDH </w:t>
      </w:r>
      <w:r w:rsidR="0072044F" w:rsidRPr="00CC562A">
        <w:rPr>
          <w:rFonts w:ascii="Cambria" w:eastAsia="Cambria" w:hAnsi="Cambria" w:cs="Cambria"/>
          <w:sz w:val="20"/>
          <w:szCs w:val="20"/>
          <w:lang w:val="en-US"/>
        </w:rPr>
        <w:t>and the PROD</w:t>
      </w:r>
      <w:r w:rsidR="00727BCC" w:rsidRPr="00CC562A">
        <w:rPr>
          <w:rFonts w:ascii="Cambria" w:eastAsia="Cambria" w:hAnsi="Cambria" w:cs="Cambria"/>
          <w:sz w:val="20"/>
          <w:szCs w:val="20"/>
          <w:lang w:val="en-US"/>
        </w:rPr>
        <w:t>H</w:t>
      </w:r>
      <w:r w:rsidR="0072044F" w:rsidRPr="00CC562A">
        <w:rPr>
          <w:rFonts w:ascii="Cambria" w:eastAsia="Cambria" w:hAnsi="Cambria" w:cs="Cambria"/>
          <w:sz w:val="20"/>
          <w:szCs w:val="20"/>
          <w:lang w:val="en-US"/>
        </w:rPr>
        <w:t xml:space="preserve"> Center are known to exist indicating that the authorities do not have a legal framework that adheres to international standards impeding the proper exercise of public security functions by State forces. This is the case of the National Law on the Use of Force, which has a negative impact on the right to protest, discouraging people from exercising their rights in response to the security forces’ discretionary power to deploy different types of the use of force</w:t>
      </w:r>
      <w:r w:rsidR="0914DCEB" w:rsidRPr="00CC562A">
        <w:rPr>
          <w:rFonts w:ascii="Cambria" w:eastAsia="Cambria" w:hAnsi="Cambria" w:cs="Cambria"/>
          <w:sz w:val="20"/>
          <w:szCs w:val="20"/>
          <w:lang w:val="en-US"/>
        </w:rPr>
        <w:t xml:space="preserve">. </w:t>
      </w:r>
    </w:p>
    <w:p w14:paraId="3C94A3F8"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2BAA00A0" w14:textId="78DB3F4A" w:rsidR="00522749" w:rsidRPr="00CC562A" w:rsidRDefault="0072044F"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that the State did not provide updated information to determine the level of implementation of mechanisms overseeing operations involving the use of lethal force, particularly in the case of the </w:t>
      </w:r>
      <w:r w:rsidR="00D5781D" w:rsidRPr="00CC562A">
        <w:rPr>
          <w:rFonts w:ascii="Cambria" w:eastAsia="Cambria" w:hAnsi="Cambria" w:cs="Cambria"/>
          <w:sz w:val="20"/>
          <w:szCs w:val="20"/>
          <w:lang w:val="en-US"/>
        </w:rPr>
        <w:t>armed forces</w:t>
      </w:r>
      <w:r w:rsidRPr="00CC562A">
        <w:rPr>
          <w:rFonts w:ascii="Cambria" w:eastAsia="Cambria" w:hAnsi="Cambria" w:cs="Cambria"/>
          <w:sz w:val="20"/>
          <w:szCs w:val="20"/>
          <w:lang w:val="en-US"/>
        </w:rPr>
        <w:t>, the</w:t>
      </w:r>
      <w:r w:rsidR="0914DCEB" w:rsidRPr="00CC562A">
        <w:rPr>
          <w:rFonts w:ascii="Cambria" w:hAnsi="Cambria"/>
          <w:sz w:val="20"/>
          <w:szCs w:val="20"/>
          <w:lang w:val="en-US"/>
        </w:rPr>
        <w:t xml:space="preserve"> </w:t>
      </w:r>
      <w:r w:rsidR="00900ED4" w:rsidRPr="00CC562A">
        <w:rPr>
          <w:rFonts w:ascii="Cambria" w:hAnsi="Cambria"/>
          <w:sz w:val="20"/>
          <w:szCs w:val="20"/>
          <w:lang w:val="en-US"/>
        </w:rPr>
        <w:t>IACHR</w:t>
      </w:r>
      <w:r w:rsidR="0914DCEB" w:rsidRPr="00CC562A">
        <w:rPr>
          <w:rFonts w:ascii="Cambria" w:hAnsi="Cambria"/>
          <w:sz w:val="20"/>
          <w:szCs w:val="20"/>
          <w:lang w:val="en-US"/>
        </w:rPr>
        <w:t xml:space="preserve"> consider</w:t>
      </w:r>
      <w:r w:rsidRPr="00CC562A">
        <w:rPr>
          <w:rFonts w:ascii="Cambria" w:hAnsi="Cambria"/>
          <w:sz w:val="20"/>
          <w:szCs w:val="20"/>
          <w:lang w:val="en-US"/>
        </w:rPr>
        <w:t xml:space="preserve">s that this recommendation is still </w:t>
      </w:r>
      <w:r w:rsidRPr="00CC562A">
        <w:rPr>
          <w:rFonts w:ascii="Cambria" w:hAnsi="Cambria"/>
          <w:b/>
          <w:bCs/>
          <w:sz w:val="20"/>
          <w:szCs w:val="20"/>
          <w:lang w:val="en-US"/>
        </w:rPr>
        <w:t>pending compliance</w:t>
      </w:r>
      <w:r w:rsidR="0914DCEB" w:rsidRPr="00CC562A">
        <w:rPr>
          <w:rFonts w:ascii="Cambria" w:hAnsi="Cambria"/>
          <w:b/>
          <w:bCs/>
          <w:sz w:val="20"/>
          <w:szCs w:val="20"/>
          <w:lang w:val="en-US"/>
        </w:rPr>
        <w:t>.</w:t>
      </w:r>
      <w:r w:rsidR="0914DCEB" w:rsidRPr="00CC562A">
        <w:rPr>
          <w:rFonts w:ascii="Cambria" w:hAnsi="Cambria"/>
          <w:sz w:val="20"/>
          <w:szCs w:val="20"/>
          <w:lang w:val="en-US"/>
        </w:rPr>
        <w:t xml:space="preserve"> </w:t>
      </w:r>
    </w:p>
    <w:p w14:paraId="2C3E11A3"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75FD53A5" w14:textId="34E4FB46" w:rsidR="003F22A5" w:rsidRPr="00CC562A" w:rsidRDefault="0072044F"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 xml:space="preserve">To guide the implementation of this recommendation, </w:t>
      </w:r>
      <w:r w:rsidR="00E8033B" w:rsidRPr="00CC562A">
        <w:rPr>
          <w:rFonts w:ascii="Cambria" w:eastAsia="Cambria" w:hAnsi="Cambria" w:cs="Cambria"/>
          <w:sz w:val="20"/>
          <w:szCs w:val="20"/>
          <w:lang w:val="en-US"/>
        </w:rPr>
        <w:t>the Commission sees fit to suggest</w:t>
      </w:r>
      <w:r w:rsidR="00533087" w:rsidRPr="00CC562A">
        <w:rPr>
          <w:rFonts w:ascii="Cambria" w:eastAsia="Cambria" w:hAnsi="Cambria" w:cs="Cambria"/>
          <w:sz w:val="20"/>
          <w:szCs w:val="20"/>
          <w:lang w:val="en-US"/>
        </w:rPr>
        <w:t xml:space="preserve"> </w:t>
      </w:r>
      <w:r w:rsidR="00E8033B" w:rsidRPr="00CC562A">
        <w:rPr>
          <w:rFonts w:ascii="Cambria" w:eastAsia="Cambria" w:hAnsi="Cambria" w:cs="Cambria"/>
          <w:sz w:val="20"/>
          <w:szCs w:val="20"/>
          <w:lang w:val="en-US"/>
        </w:rPr>
        <w:t xml:space="preserve">the adoption of measures that promote the investigation of the crimes in question. In addition, it considers it important that specific data be provided </w:t>
      </w:r>
      <w:proofErr w:type="gramStart"/>
      <w:r w:rsidR="00E8033B" w:rsidRPr="00CC562A">
        <w:rPr>
          <w:rFonts w:ascii="Cambria" w:eastAsia="Cambria" w:hAnsi="Cambria" w:cs="Cambria"/>
          <w:sz w:val="20"/>
          <w:szCs w:val="20"/>
          <w:lang w:val="en-US"/>
        </w:rPr>
        <w:t>with regard to</w:t>
      </w:r>
      <w:proofErr w:type="gramEnd"/>
      <w:r w:rsidR="00E8033B" w:rsidRPr="00CC562A">
        <w:rPr>
          <w:rFonts w:ascii="Cambria" w:eastAsia="Cambria" w:hAnsi="Cambria" w:cs="Cambria"/>
          <w:sz w:val="20"/>
          <w:szCs w:val="20"/>
          <w:lang w:val="en-US"/>
        </w:rPr>
        <w:t xml:space="preserve"> how an exhaustive investigation consistent with international standards is being guaranteed, as well as information regarding those cases in which there was participation by independent experts</w:t>
      </w:r>
      <w:r w:rsidR="4EF0288A" w:rsidRPr="00CC562A">
        <w:rPr>
          <w:rFonts w:ascii="Cambria" w:eastAsia="Cambria" w:hAnsi="Cambria" w:cs="Cambria"/>
          <w:sz w:val="20"/>
          <w:szCs w:val="20"/>
          <w:lang w:val="en-US"/>
        </w:rPr>
        <w:t>.</w:t>
      </w:r>
      <w:r w:rsidR="2692909E" w:rsidRPr="00CC562A">
        <w:rPr>
          <w:rFonts w:ascii="Cambria" w:eastAsia="Cambria" w:hAnsi="Cambria" w:cs="Cambria"/>
          <w:sz w:val="20"/>
          <w:szCs w:val="20"/>
          <w:lang w:val="en-US"/>
        </w:rPr>
        <w:t xml:space="preserve"> </w:t>
      </w:r>
    </w:p>
    <w:p w14:paraId="53918B02"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28C09D55" w14:textId="3EAED99A" w:rsidR="003F22A5" w:rsidRPr="00CC562A" w:rsidRDefault="00E8033B"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ensure that the armed forces </w:t>
      </w:r>
      <w:r w:rsidR="6C032B4E" w:rsidRPr="00CC562A">
        <w:rPr>
          <w:rFonts w:ascii="Cambria" w:hAnsi="Cambria"/>
          <w:b/>
          <w:bCs/>
          <w:sz w:val="20"/>
          <w:szCs w:val="20"/>
          <w:lang w:val="en-US"/>
        </w:rPr>
        <w:t>re</w:t>
      </w:r>
      <w:r w:rsidRPr="00CC562A">
        <w:rPr>
          <w:rFonts w:ascii="Cambria" w:hAnsi="Cambria"/>
          <w:b/>
          <w:bCs/>
          <w:sz w:val="20"/>
          <w:szCs w:val="20"/>
          <w:lang w:val="en-US"/>
        </w:rPr>
        <w:t xml:space="preserve">cord </w:t>
      </w:r>
      <w:r w:rsidR="00C80FE5" w:rsidRPr="00CC562A">
        <w:rPr>
          <w:rFonts w:ascii="Cambria" w:hAnsi="Cambria"/>
          <w:b/>
          <w:bCs/>
          <w:sz w:val="20"/>
          <w:szCs w:val="20"/>
          <w:lang w:val="en-US"/>
        </w:rPr>
        <w:t>the number</w:t>
      </w:r>
      <w:r w:rsidRPr="00CC562A">
        <w:rPr>
          <w:rFonts w:ascii="Cambria" w:hAnsi="Cambria"/>
          <w:b/>
          <w:bCs/>
          <w:sz w:val="20"/>
          <w:szCs w:val="20"/>
          <w:lang w:val="en-US"/>
        </w:rPr>
        <w:t xml:space="preserve"> of persons killed and injured in their operations and open the relevant investigations</w:t>
      </w:r>
      <w:r w:rsidR="6C032B4E" w:rsidRPr="00CC562A">
        <w:rPr>
          <w:rFonts w:ascii="Cambria" w:hAnsi="Cambria"/>
          <w:b/>
          <w:bCs/>
          <w:sz w:val="20"/>
          <w:szCs w:val="20"/>
          <w:lang w:val="en-US"/>
        </w:rPr>
        <w:t xml:space="preserve">, </w:t>
      </w:r>
      <w:r w:rsidRPr="00CC562A">
        <w:rPr>
          <w:rFonts w:ascii="Cambria" w:eastAsia="Cambria" w:hAnsi="Cambria" w:cs="Cambria"/>
          <w:sz w:val="20"/>
          <w:szCs w:val="20"/>
          <w:lang w:val="en-US"/>
        </w:rPr>
        <w:t>the State indicated that the registry of figures is kept by the Executive Secretariat of the of the National Public Security System</w:t>
      </w:r>
      <w:r w:rsidR="7D73934B" w:rsidRPr="00CC562A">
        <w:rPr>
          <w:rFonts w:ascii="Cambria" w:eastAsia="Cambria" w:hAnsi="Cambria" w:cs="Cambria"/>
          <w:sz w:val="20"/>
          <w:szCs w:val="20"/>
          <w:lang w:val="en-US"/>
        </w:rPr>
        <w:t>.</w:t>
      </w:r>
      <w:r w:rsidR="450DAB0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 addition, it indicated that a database has been created relating to military crimes, establishing the statistics </w:t>
      </w:r>
      <w:r w:rsidR="00BA1261" w:rsidRPr="00CC562A">
        <w:rPr>
          <w:rFonts w:ascii="Cambria" w:eastAsia="Cambria" w:hAnsi="Cambria" w:cs="Cambria"/>
          <w:sz w:val="20"/>
          <w:szCs w:val="20"/>
          <w:lang w:val="en-US"/>
        </w:rPr>
        <w:t>on</w:t>
      </w:r>
      <w:r w:rsidRPr="00CC562A">
        <w:rPr>
          <w:rFonts w:ascii="Cambria" w:eastAsia="Cambria" w:hAnsi="Cambria" w:cs="Cambria"/>
          <w:sz w:val="20"/>
          <w:szCs w:val="20"/>
          <w:lang w:val="en-US"/>
        </w:rPr>
        <w:t xml:space="preserve"> crimes committed by military components</w:t>
      </w:r>
      <w:r w:rsidR="7D73934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When this happens, jurisdiction over the investigation is at the federal level, under the</w:t>
      </w:r>
      <w:r w:rsidR="0A41AAB2" w:rsidRPr="00CC562A">
        <w:rPr>
          <w:rFonts w:ascii="Cambria" w:eastAsia="Cambria" w:hAnsi="Cambria" w:cs="Cambria"/>
          <w:sz w:val="20"/>
          <w:szCs w:val="20"/>
          <w:lang w:val="en-US"/>
        </w:rPr>
        <w:t xml:space="preserve"> FGR.</w:t>
      </w:r>
    </w:p>
    <w:p w14:paraId="5DC6E2C4"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106E6AF5" w14:textId="7D8A30E4" w:rsidR="00F7756F" w:rsidRPr="00CC562A" w:rsidRDefault="00752FED"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Commission appreciates as a positive step that the State has implemented registries of persons killed and injured in operations of the </w:t>
      </w:r>
      <w:r w:rsidR="00BA1261" w:rsidRPr="00CC562A">
        <w:rPr>
          <w:rFonts w:ascii="Cambria" w:hAnsi="Cambria"/>
          <w:sz w:val="20"/>
          <w:szCs w:val="20"/>
          <w:lang w:val="en-US"/>
        </w:rPr>
        <w:t>s</w:t>
      </w:r>
      <w:r w:rsidRPr="00CC562A">
        <w:rPr>
          <w:rFonts w:ascii="Cambria" w:hAnsi="Cambria"/>
          <w:sz w:val="20"/>
          <w:szCs w:val="20"/>
          <w:lang w:val="en-US"/>
        </w:rPr>
        <w:t xml:space="preserve">ecurity </w:t>
      </w:r>
      <w:r w:rsidR="00BA1261" w:rsidRPr="00CC562A">
        <w:rPr>
          <w:rFonts w:ascii="Cambria" w:hAnsi="Cambria"/>
          <w:sz w:val="20"/>
          <w:szCs w:val="20"/>
          <w:lang w:val="en-US"/>
        </w:rPr>
        <w:t>f</w:t>
      </w:r>
      <w:r w:rsidRPr="00CC562A">
        <w:rPr>
          <w:rFonts w:ascii="Cambria" w:hAnsi="Cambria"/>
          <w:sz w:val="20"/>
          <w:szCs w:val="20"/>
          <w:lang w:val="en-US"/>
        </w:rPr>
        <w:t xml:space="preserve">orces through the Executive Secretariat of the </w:t>
      </w:r>
      <w:r w:rsidR="0914DCEB" w:rsidRPr="00CC562A">
        <w:rPr>
          <w:rFonts w:ascii="Cambria" w:hAnsi="Cambria"/>
          <w:sz w:val="20"/>
          <w:szCs w:val="20"/>
          <w:lang w:val="en-US"/>
        </w:rPr>
        <w:t xml:space="preserve">SNSP. </w:t>
      </w:r>
      <w:r w:rsidRPr="00CC562A">
        <w:rPr>
          <w:rFonts w:ascii="Cambria" w:hAnsi="Cambria"/>
          <w:sz w:val="20"/>
          <w:szCs w:val="20"/>
          <w:lang w:val="en-US"/>
        </w:rPr>
        <w:t>Nonetheless,</w:t>
      </w:r>
      <w:r w:rsidR="0914DCEB" w:rsidRPr="00CC562A">
        <w:rPr>
          <w:rFonts w:ascii="Cambria" w:hAnsi="Cambria"/>
          <w:sz w:val="20"/>
          <w:szCs w:val="20"/>
          <w:lang w:val="en-US"/>
        </w:rPr>
        <w:t xml:space="preserve"> </w:t>
      </w:r>
      <w:r w:rsidRPr="00CC562A">
        <w:rPr>
          <w:rFonts w:ascii="Cambria" w:hAnsi="Cambria"/>
          <w:sz w:val="20"/>
          <w:szCs w:val="20"/>
          <w:lang w:val="en-US"/>
        </w:rPr>
        <w:t>the State did not provide sufficient and specific information facilitating correct evaluation of the implementation of the recommendation, since although there is a central registry in operation and the SNSP continues the task of obtaining and processing information related to these crimes in national territory, the</w:t>
      </w:r>
      <w:r w:rsidR="0A41AAB2" w:rsidRPr="00CC562A">
        <w:rPr>
          <w:rFonts w:ascii="Cambria" w:hAnsi="Cambria"/>
          <w:sz w:val="20"/>
          <w:szCs w:val="20"/>
          <w:lang w:val="en-US"/>
        </w:rPr>
        <w:t xml:space="preserve"> </w:t>
      </w:r>
      <w:r w:rsidR="00900ED4" w:rsidRPr="00CC562A">
        <w:rPr>
          <w:rFonts w:ascii="Cambria" w:hAnsi="Cambria"/>
          <w:sz w:val="20"/>
          <w:szCs w:val="20"/>
          <w:lang w:val="en-US"/>
        </w:rPr>
        <w:t>IACHR</w:t>
      </w:r>
      <w:r w:rsidR="0A41AAB2" w:rsidRPr="00CC562A">
        <w:rPr>
          <w:rFonts w:ascii="Cambria" w:hAnsi="Cambria"/>
          <w:sz w:val="20"/>
          <w:szCs w:val="20"/>
          <w:lang w:val="en-US"/>
        </w:rPr>
        <w:t xml:space="preserve"> </w:t>
      </w:r>
      <w:r w:rsidRPr="00CC562A">
        <w:rPr>
          <w:rFonts w:ascii="Cambria" w:hAnsi="Cambria"/>
          <w:sz w:val="20"/>
          <w:szCs w:val="20"/>
          <w:lang w:val="en-US"/>
        </w:rPr>
        <w:t xml:space="preserve">does not have sufficient evidence to determine that an improvement has been made in the development of public policies the purpose of which is to address and investigate cases of those who have died and been injured in the operations of the </w:t>
      </w:r>
      <w:r w:rsidR="00D5781D" w:rsidRPr="00CC562A">
        <w:rPr>
          <w:rFonts w:ascii="Cambria" w:hAnsi="Cambria"/>
          <w:sz w:val="20"/>
          <w:szCs w:val="20"/>
          <w:lang w:val="en-US"/>
        </w:rPr>
        <w:t>a</w:t>
      </w:r>
      <w:r w:rsidRPr="00CC562A">
        <w:rPr>
          <w:rFonts w:ascii="Cambria" w:hAnsi="Cambria"/>
          <w:sz w:val="20"/>
          <w:szCs w:val="20"/>
          <w:lang w:val="en-US"/>
        </w:rPr>
        <w:t xml:space="preserve">rmed </w:t>
      </w:r>
      <w:r w:rsidR="00D5781D" w:rsidRPr="00CC562A">
        <w:rPr>
          <w:rFonts w:ascii="Cambria" w:hAnsi="Cambria"/>
          <w:sz w:val="20"/>
          <w:szCs w:val="20"/>
          <w:lang w:val="en-US"/>
        </w:rPr>
        <w:t>f</w:t>
      </w:r>
      <w:r w:rsidRPr="00CC562A">
        <w:rPr>
          <w:rFonts w:ascii="Cambria" w:hAnsi="Cambria"/>
          <w:sz w:val="20"/>
          <w:szCs w:val="20"/>
          <w:lang w:val="en-US"/>
        </w:rPr>
        <w:t>orces</w:t>
      </w:r>
      <w:r w:rsidR="0914DCEB" w:rsidRPr="00CC562A">
        <w:rPr>
          <w:rFonts w:ascii="Cambria" w:hAnsi="Cambria"/>
          <w:sz w:val="20"/>
          <w:szCs w:val="20"/>
          <w:lang w:val="en-US"/>
        </w:rPr>
        <w:t xml:space="preserve">. </w:t>
      </w:r>
    </w:p>
    <w:p w14:paraId="5D436D8E"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40884F3F" w14:textId="7FE0B654" w:rsidR="00522749" w:rsidRPr="00CC562A" w:rsidRDefault="0914DCEB"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Re</w:t>
      </w:r>
      <w:r w:rsidR="00276638" w:rsidRPr="00CC562A">
        <w:rPr>
          <w:rFonts w:ascii="Cambria" w:hAnsi="Cambria"/>
          <w:sz w:val="20"/>
          <w:szCs w:val="20"/>
          <w:lang w:val="en-US"/>
        </w:rPr>
        <w:t>garding this recommendation, the</w:t>
      </w:r>
      <w:r w:rsidRPr="00CC562A">
        <w:rPr>
          <w:rFonts w:ascii="Cambria" w:hAnsi="Cambria"/>
          <w:sz w:val="20"/>
          <w:szCs w:val="20"/>
          <w:lang w:val="en-US"/>
        </w:rPr>
        <w:t xml:space="preserve"> </w:t>
      </w:r>
      <w:r w:rsidR="00900ED4" w:rsidRPr="00CC562A">
        <w:rPr>
          <w:rFonts w:ascii="Cambria" w:hAnsi="Cambria"/>
          <w:sz w:val="20"/>
          <w:szCs w:val="20"/>
          <w:lang w:val="en-US"/>
        </w:rPr>
        <w:t>IACHR</w:t>
      </w:r>
      <w:r w:rsidRPr="00CC562A">
        <w:rPr>
          <w:rFonts w:ascii="Cambria" w:hAnsi="Cambria"/>
          <w:sz w:val="20"/>
          <w:szCs w:val="20"/>
          <w:lang w:val="en-US"/>
        </w:rPr>
        <w:t xml:space="preserve"> </w:t>
      </w:r>
      <w:r w:rsidR="00276638" w:rsidRPr="00CC562A">
        <w:rPr>
          <w:rFonts w:ascii="Cambria" w:hAnsi="Cambria"/>
          <w:sz w:val="20"/>
          <w:szCs w:val="20"/>
          <w:lang w:val="en-US"/>
        </w:rPr>
        <w:t xml:space="preserve">reiterates the observations it made in </w:t>
      </w:r>
      <w:r w:rsidRPr="00CC562A">
        <w:rPr>
          <w:rFonts w:ascii="Cambria" w:hAnsi="Cambria"/>
          <w:sz w:val="20"/>
          <w:szCs w:val="20"/>
          <w:lang w:val="en-US"/>
        </w:rPr>
        <w:t>2021</w:t>
      </w:r>
      <w:r w:rsidR="00276638" w:rsidRPr="00CC562A">
        <w:rPr>
          <w:rFonts w:ascii="Cambria" w:hAnsi="Cambria"/>
          <w:sz w:val="20"/>
          <w:szCs w:val="20"/>
          <w:lang w:val="en-US"/>
        </w:rPr>
        <w:t xml:space="preserve"> </w:t>
      </w:r>
      <w:proofErr w:type="gramStart"/>
      <w:r w:rsidR="00276638" w:rsidRPr="00CC562A">
        <w:rPr>
          <w:rFonts w:ascii="Cambria" w:hAnsi="Cambria"/>
          <w:sz w:val="20"/>
          <w:szCs w:val="20"/>
          <w:lang w:val="en-US"/>
        </w:rPr>
        <w:t>with regard to</w:t>
      </w:r>
      <w:proofErr w:type="gramEnd"/>
      <w:r w:rsidR="00276638" w:rsidRPr="00CC562A">
        <w:rPr>
          <w:rFonts w:ascii="Cambria" w:hAnsi="Cambria"/>
          <w:sz w:val="20"/>
          <w:szCs w:val="20"/>
          <w:lang w:val="en-US"/>
        </w:rPr>
        <w:t xml:space="preserve"> problems related to the preparation of reports on operations involving the use of lethal force as established in the National Law on the Use of Force. Add</w:t>
      </w:r>
      <w:r w:rsidR="00BA1261" w:rsidRPr="00CC562A">
        <w:rPr>
          <w:rFonts w:ascii="Cambria" w:hAnsi="Cambria"/>
          <w:sz w:val="20"/>
          <w:szCs w:val="20"/>
          <w:lang w:val="en-US"/>
        </w:rPr>
        <w:t>itionally</w:t>
      </w:r>
      <w:r w:rsidR="00276638" w:rsidRPr="00CC562A">
        <w:rPr>
          <w:rFonts w:ascii="Cambria" w:hAnsi="Cambria"/>
          <w:sz w:val="20"/>
          <w:szCs w:val="20"/>
          <w:lang w:val="en-US"/>
        </w:rPr>
        <w:t>, the Commission finds that</w:t>
      </w:r>
      <w:r w:rsidRPr="00CC562A">
        <w:rPr>
          <w:rFonts w:ascii="Cambria" w:hAnsi="Cambria"/>
          <w:sz w:val="20"/>
          <w:szCs w:val="20"/>
          <w:lang w:val="en-US"/>
        </w:rPr>
        <w:t xml:space="preserve"> </w:t>
      </w:r>
      <w:r w:rsidR="00752FED" w:rsidRPr="00CC562A">
        <w:rPr>
          <w:rFonts w:ascii="Cambria" w:hAnsi="Cambria"/>
          <w:sz w:val="20"/>
          <w:szCs w:val="20"/>
          <w:lang w:val="en-US"/>
        </w:rPr>
        <w:t>the State</w:t>
      </w:r>
      <w:r w:rsidRPr="00CC562A">
        <w:rPr>
          <w:rFonts w:ascii="Cambria" w:hAnsi="Cambria"/>
          <w:sz w:val="20"/>
          <w:szCs w:val="20"/>
          <w:lang w:val="en-US"/>
        </w:rPr>
        <w:t xml:space="preserve"> ha</w:t>
      </w:r>
      <w:r w:rsidR="00736A6B" w:rsidRPr="00CC562A">
        <w:rPr>
          <w:rFonts w:ascii="Cambria" w:hAnsi="Cambria"/>
          <w:sz w:val="20"/>
          <w:szCs w:val="20"/>
          <w:lang w:val="en-US"/>
        </w:rPr>
        <w:t xml:space="preserve">s provided information </w:t>
      </w:r>
      <w:r w:rsidR="00BA1261" w:rsidRPr="00CC562A">
        <w:rPr>
          <w:rFonts w:ascii="Cambria" w:hAnsi="Cambria"/>
          <w:sz w:val="20"/>
          <w:szCs w:val="20"/>
          <w:lang w:val="en-US"/>
        </w:rPr>
        <w:t xml:space="preserve">with respect to the part of </w:t>
      </w:r>
      <w:r w:rsidR="00736A6B" w:rsidRPr="00CC562A">
        <w:rPr>
          <w:rFonts w:ascii="Cambria" w:hAnsi="Cambria"/>
          <w:sz w:val="20"/>
          <w:szCs w:val="20"/>
          <w:lang w:val="en-US"/>
        </w:rPr>
        <w:t xml:space="preserve">the recommendation related to the </w:t>
      </w:r>
      <w:r w:rsidR="00C80FE5" w:rsidRPr="00CC562A">
        <w:rPr>
          <w:rFonts w:ascii="Cambria" w:hAnsi="Cambria"/>
          <w:sz w:val="20"/>
          <w:szCs w:val="20"/>
          <w:lang w:val="en-US"/>
        </w:rPr>
        <w:t>registry but</w:t>
      </w:r>
      <w:r w:rsidR="00736A6B" w:rsidRPr="00CC562A">
        <w:rPr>
          <w:rFonts w:ascii="Cambria" w:hAnsi="Cambria"/>
          <w:sz w:val="20"/>
          <w:szCs w:val="20"/>
          <w:lang w:val="en-US"/>
        </w:rPr>
        <w:t xml:space="preserve"> did not provide information on opening investigations </w:t>
      </w:r>
      <w:proofErr w:type="gramStart"/>
      <w:r w:rsidR="00736A6B" w:rsidRPr="00CC562A">
        <w:rPr>
          <w:rFonts w:ascii="Cambria" w:hAnsi="Cambria"/>
          <w:sz w:val="20"/>
          <w:szCs w:val="20"/>
          <w:lang w:val="en-US"/>
        </w:rPr>
        <w:t>on the subject of extrajudicial</w:t>
      </w:r>
      <w:proofErr w:type="gramEnd"/>
      <w:r w:rsidR="00736A6B" w:rsidRPr="00CC562A">
        <w:rPr>
          <w:rFonts w:ascii="Cambria" w:hAnsi="Cambria"/>
          <w:sz w:val="20"/>
          <w:szCs w:val="20"/>
          <w:lang w:val="en-US"/>
        </w:rPr>
        <w:t xml:space="preserve"> executions or any indication on opening investigations and prosecutions of cases that would make it possible to evaluate in what sense the State is complying with this recommendation. </w:t>
      </w:r>
      <w:r w:rsidR="00BA1261" w:rsidRPr="00CC562A">
        <w:rPr>
          <w:rFonts w:ascii="Cambria" w:hAnsi="Cambria"/>
          <w:sz w:val="20"/>
          <w:szCs w:val="20"/>
          <w:lang w:val="en-US"/>
        </w:rPr>
        <w:t>Accordingly</w:t>
      </w:r>
      <w:r w:rsidR="00736A6B" w:rsidRPr="00CC562A">
        <w:rPr>
          <w:rFonts w:ascii="Cambria" w:hAnsi="Cambria"/>
          <w:sz w:val="20"/>
          <w:szCs w:val="20"/>
          <w:lang w:val="en-US"/>
        </w:rPr>
        <w:t>, the</w:t>
      </w:r>
      <w:r w:rsidR="00276638" w:rsidRPr="00CC562A">
        <w:rPr>
          <w:rFonts w:ascii="Cambria" w:hAnsi="Cambria"/>
          <w:sz w:val="20"/>
          <w:szCs w:val="20"/>
          <w:lang w:val="en-US"/>
        </w:rPr>
        <w:t xml:space="preserve"> IACHR</w:t>
      </w:r>
      <w:r w:rsidRPr="00CC562A">
        <w:rPr>
          <w:rFonts w:ascii="Cambria" w:hAnsi="Cambria"/>
          <w:sz w:val="20"/>
          <w:szCs w:val="20"/>
          <w:lang w:val="en-US"/>
        </w:rPr>
        <w:t xml:space="preserve"> </w:t>
      </w:r>
      <w:r w:rsidR="00736A6B" w:rsidRPr="00CC562A">
        <w:rPr>
          <w:rFonts w:ascii="Cambria" w:hAnsi="Cambria"/>
          <w:sz w:val="20"/>
          <w:szCs w:val="20"/>
          <w:lang w:val="en-US"/>
        </w:rPr>
        <w:t xml:space="preserve">finds that there is </w:t>
      </w:r>
      <w:r w:rsidR="00736A6B" w:rsidRPr="00CC562A">
        <w:rPr>
          <w:rFonts w:ascii="Cambria" w:hAnsi="Cambria"/>
          <w:b/>
          <w:bCs/>
          <w:sz w:val="20"/>
          <w:szCs w:val="20"/>
          <w:lang w:val="en-US"/>
        </w:rPr>
        <w:t xml:space="preserve">substantial partial compliance </w:t>
      </w:r>
      <w:r w:rsidR="00736A6B" w:rsidRPr="00CC562A">
        <w:rPr>
          <w:rFonts w:ascii="Cambria" w:hAnsi="Cambria"/>
          <w:sz w:val="20"/>
          <w:szCs w:val="20"/>
          <w:lang w:val="en-US"/>
        </w:rPr>
        <w:t>with this recommendation</w:t>
      </w:r>
      <w:r w:rsidRPr="00CC562A">
        <w:rPr>
          <w:rFonts w:ascii="Cambria" w:hAnsi="Cambria"/>
          <w:b/>
          <w:bCs/>
          <w:sz w:val="20"/>
          <w:szCs w:val="20"/>
          <w:lang w:val="en-US"/>
        </w:rPr>
        <w:t>.</w:t>
      </w:r>
      <w:r w:rsidRPr="00CC562A">
        <w:rPr>
          <w:rFonts w:ascii="Cambria" w:hAnsi="Cambria"/>
          <w:sz w:val="20"/>
          <w:szCs w:val="20"/>
          <w:lang w:val="en-US"/>
        </w:rPr>
        <w:t xml:space="preserve"> </w:t>
      </w:r>
    </w:p>
    <w:p w14:paraId="26256732"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25B2D4BF" w14:textId="6EDC3401" w:rsidR="003F22A5" w:rsidRPr="00CC562A" w:rsidRDefault="00F108AA"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00451A1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Commission suggests the adoption of</w:t>
      </w:r>
      <w:r w:rsidR="00451A1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measures directed to strengthening the registry created to ensure it is implemented using an objective and transparent methodology for systematizing the information </w:t>
      </w:r>
      <w:proofErr w:type="gramStart"/>
      <w:r w:rsidRPr="00CC562A">
        <w:rPr>
          <w:rFonts w:ascii="Cambria" w:eastAsia="Cambria" w:hAnsi="Cambria" w:cs="Cambria"/>
          <w:sz w:val="20"/>
          <w:szCs w:val="20"/>
          <w:lang w:val="en-US"/>
        </w:rPr>
        <w:t>with regard to</w:t>
      </w:r>
      <w:proofErr w:type="gramEnd"/>
      <w:r w:rsidRPr="00CC562A">
        <w:rPr>
          <w:rFonts w:ascii="Cambria" w:eastAsia="Cambria" w:hAnsi="Cambria" w:cs="Cambria"/>
          <w:sz w:val="20"/>
          <w:szCs w:val="20"/>
          <w:lang w:val="en-US"/>
        </w:rPr>
        <w:t xml:space="preserve"> those killed or wounded by the </w:t>
      </w:r>
      <w:r w:rsidR="00D5781D" w:rsidRPr="00CC562A">
        <w:rPr>
          <w:rFonts w:ascii="Cambria" w:eastAsia="Cambria" w:hAnsi="Cambria" w:cs="Cambria"/>
          <w:sz w:val="20"/>
          <w:szCs w:val="20"/>
          <w:lang w:val="en-US"/>
        </w:rPr>
        <w:t>armed forces</w:t>
      </w:r>
      <w:r w:rsidRPr="00CC562A">
        <w:rPr>
          <w:rFonts w:ascii="Cambria" w:eastAsia="Cambria" w:hAnsi="Cambria" w:cs="Cambria"/>
          <w:sz w:val="20"/>
          <w:szCs w:val="20"/>
          <w:lang w:val="en-US"/>
        </w:rPr>
        <w:t xml:space="preserve"> and also promotes the investigation of these cases</w:t>
      </w:r>
      <w:r w:rsidR="2B1FB78C" w:rsidRPr="00CC562A">
        <w:rPr>
          <w:rFonts w:ascii="Cambria" w:eastAsia="Cambria" w:hAnsi="Cambria" w:cs="Cambria"/>
          <w:sz w:val="20"/>
          <w:szCs w:val="20"/>
          <w:lang w:val="en-US"/>
        </w:rPr>
        <w:t>.</w:t>
      </w:r>
      <w:r w:rsidR="4EF0288A"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 addition,</w:t>
      </w:r>
      <w:r w:rsidR="4EF0288A"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0451A1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urges</w:t>
      </w:r>
      <w:r w:rsidR="4EF0288A"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4EF0288A"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to submit information on how the registry is being used and the measures implemented </w:t>
      </w:r>
      <w:r w:rsidR="00931818" w:rsidRPr="00CC562A">
        <w:rPr>
          <w:rFonts w:ascii="Cambria" w:eastAsia="Cambria" w:hAnsi="Cambria" w:cs="Cambria"/>
          <w:sz w:val="20"/>
          <w:szCs w:val="20"/>
          <w:lang w:val="en-US"/>
        </w:rPr>
        <w:t xml:space="preserve">to </w:t>
      </w:r>
      <w:r w:rsidR="00BA1261" w:rsidRPr="00CC562A">
        <w:rPr>
          <w:rFonts w:ascii="Cambria" w:eastAsia="Cambria" w:hAnsi="Cambria" w:cs="Cambria"/>
          <w:sz w:val="20"/>
          <w:szCs w:val="20"/>
          <w:lang w:val="en-US"/>
        </w:rPr>
        <w:t>amend</w:t>
      </w:r>
      <w:r w:rsidR="00931818" w:rsidRPr="00CC562A">
        <w:rPr>
          <w:rFonts w:ascii="Cambria" w:eastAsia="Cambria" w:hAnsi="Cambria" w:cs="Cambria"/>
          <w:sz w:val="20"/>
          <w:szCs w:val="20"/>
          <w:lang w:val="en-US"/>
        </w:rPr>
        <w:t xml:space="preserve"> the questionnaire regarding the Registry of the National Law on the Use of Force</w:t>
      </w:r>
      <w:r w:rsidR="1B575601" w:rsidRPr="00CC562A">
        <w:rPr>
          <w:rFonts w:ascii="Cambria" w:eastAsia="Cambria" w:hAnsi="Cambria" w:cs="Cambria"/>
          <w:sz w:val="20"/>
          <w:szCs w:val="20"/>
          <w:lang w:val="en-US"/>
        </w:rPr>
        <w:t>.</w:t>
      </w:r>
    </w:p>
    <w:p w14:paraId="19EB78E3"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1F3E34A7" w14:textId="38721AF8" w:rsidR="002476A7" w:rsidRPr="00CC562A" w:rsidRDefault="00D850E6"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respect to the recommendation to establish </w:t>
      </w:r>
      <w:r w:rsidRPr="00CC562A">
        <w:rPr>
          <w:rFonts w:ascii="Cambria" w:eastAsia="Cambria" w:hAnsi="Cambria" w:cs="Cambria"/>
          <w:b/>
          <w:bCs/>
          <w:sz w:val="20"/>
          <w:szCs w:val="20"/>
          <w:lang w:val="en-US"/>
        </w:rPr>
        <w:t>a national registry of locations of unidentified remains and search for clandestine graves</w:t>
      </w:r>
      <w:r w:rsidR="6C032B4E"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450DAB04"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in </w:t>
      </w:r>
      <w:r w:rsidR="4D87637B" w:rsidRPr="00CC562A">
        <w:rPr>
          <w:rFonts w:ascii="Cambria" w:eastAsia="Cambria" w:hAnsi="Cambria" w:cs="Cambria"/>
          <w:sz w:val="20"/>
          <w:szCs w:val="20"/>
          <w:lang w:val="en-US"/>
        </w:rPr>
        <w:t xml:space="preserve">2018 </w:t>
      </w:r>
      <w:r w:rsidRPr="00CC562A">
        <w:rPr>
          <w:rFonts w:ascii="Cambria" w:eastAsia="Cambria" w:hAnsi="Cambria" w:cs="Cambria"/>
          <w:sz w:val="20"/>
          <w:szCs w:val="20"/>
          <w:lang w:val="en-US"/>
        </w:rPr>
        <w:t>it approved the technological guidelines of the national forensic database and the national registry of unidentified and unclaimed deceased persons as provided in the General Law on Disappearances</w:t>
      </w:r>
      <w:r w:rsidR="3855FC6D"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On November</w:t>
      </w:r>
      <w:r w:rsidR="3855FC6D" w:rsidRPr="00CC562A">
        <w:rPr>
          <w:rFonts w:ascii="Cambria" w:eastAsia="Cambria" w:hAnsi="Cambria" w:cs="Cambria"/>
          <w:sz w:val="20"/>
          <w:szCs w:val="20"/>
          <w:lang w:val="en-US"/>
        </w:rPr>
        <w:t xml:space="preserve"> 27</w:t>
      </w:r>
      <w:r w:rsidRPr="00CC562A">
        <w:rPr>
          <w:rFonts w:ascii="Cambria" w:eastAsia="Cambria" w:hAnsi="Cambria" w:cs="Cambria"/>
          <w:sz w:val="20"/>
          <w:szCs w:val="20"/>
          <w:lang w:val="en-US"/>
        </w:rPr>
        <w:t>,</w:t>
      </w:r>
      <w:r w:rsidR="3855FC6D" w:rsidRPr="00CC562A">
        <w:rPr>
          <w:rFonts w:ascii="Cambria" w:eastAsia="Cambria" w:hAnsi="Cambria" w:cs="Cambria"/>
          <w:sz w:val="20"/>
          <w:szCs w:val="20"/>
          <w:lang w:val="en-US"/>
        </w:rPr>
        <w:t xml:space="preserve"> 2018, </w:t>
      </w:r>
      <w:r w:rsidRPr="00CC562A">
        <w:rPr>
          <w:rFonts w:ascii="Cambria" w:eastAsia="Cambria" w:hAnsi="Cambria" w:cs="Cambria"/>
          <w:sz w:val="20"/>
          <w:szCs w:val="20"/>
          <w:lang w:val="en-US"/>
        </w:rPr>
        <w:t xml:space="preserve">the public prosecution institutions approved by a majority the “Guidelines determining the techniques and procedures for the preservation of corpses </w:t>
      </w:r>
      <w:r w:rsidR="00102061" w:rsidRPr="00CC562A">
        <w:rPr>
          <w:rFonts w:ascii="Cambria" w:eastAsia="Cambria" w:hAnsi="Cambria" w:cs="Cambria"/>
          <w:sz w:val="20"/>
          <w:szCs w:val="20"/>
          <w:lang w:val="en-US"/>
        </w:rPr>
        <w:t>and remains of the disappeared.”</w:t>
      </w:r>
      <w:r w:rsidR="007677D2" w:rsidRPr="00CC562A">
        <w:rPr>
          <w:rFonts w:ascii="Cambria" w:hAnsi="Cambria"/>
          <w:sz w:val="20"/>
          <w:lang w:val="en-US"/>
        </w:rPr>
        <w:t xml:space="preserve"> </w:t>
      </w:r>
      <w:r w:rsidR="00122232" w:rsidRPr="00CC562A">
        <w:rPr>
          <w:rFonts w:ascii="Cambria" w:hAnsi="Cambria"/>
          <w:sz w:val="20"/>
          <w:lang w:val="en-US"/>
        </w:rPr>
        <w:t>In addition, the State indicated that the</w:t>
      </w:r>
      <w:r w:rsidR="007677D2" w:rsidRPr="00CC562A">
        <w:rPr>
          <w:rFonts w:ascii="Cambria" w:hAnsi="Cambria"/>
          <w:sz w:val="20"/>
          <w:lang w:val="en-US"/>
        </w:rPr>
        <w:t xml:space="preserve"> </w:t>
      </w:r>
      <w:r w:rsidR="006336FF" w:rsidRPr="00CC562A">
        <w:rPr>
          <w:rFonts w:ascii="Cambria" w:hAnsi="Cambria"/>
          <w:sz w:val="20"/>
          <w:lang w:val="en-US"/>
        </w:rPr>
        <w:t>bases for collaboration in the pursuit of justice of the federative entities and the bases for collaboration for operation of the National Forensic Database; the National Register of Unidentified and Unclaimed Deceased Persons; the National Register of Common Graves and Clandestine Graves; and the National Genetic Database</w:t>
      </w:r>
      <w:r w:rsidR="00122232" w:rsidRPr="00CC562A">
        <w:rPr>
          <w:rFonts w:ascii="Cambria" w:hAnsi="Cambria"/>
          <w:sz w:val="20"/>
          <w:lang w:val="en-US"/>
        </w:rPr>
        <w:t xml:space="preserve"> were approved on December 22, 2022</w:t>
      </w:r>
      <w:r w:rsidR="007677D2" w:rsidRPr="00CC562A">
        <w:rPr>
          <w:rFonts w:ascii="Cambria" w:hAnsi="Cambria"/>
          <w:sz w:val="20"/>
          <w:lang w:val="en-US"/>
        </w:rPr>
        <w:t xml:space="preserve">. </w:t>
      </w:r>
      <w:r w:rsidR="006336FF" w:rsidRPr="00CC562A">
        <w:rPr>
          <w:rFonts w:ascii="Cambria" w:hAnsi="Cambria"/>
          <w:sz w:val="20"/>
          <w:lang w:val="en-US"/>
        </w:rPr>
        <w:t xml:space="preserve">In this regard, it indicated that in December </w:t>
      </w:r>
      <w:r w:rsidR="007677D2" w:rsidRPr="00CC562A">
        <w:rPr>
          <w:rFonts w:ascii="Cambria" w:hAnsi="Cambria"/>
          <w:sz w:val="20"/>
          <w:lang w:val="en-US"/>
        </w:rPr>
        <w:t xml:space="preserve">2022 </w:t>
      </w:r>
      <w:r w:rsidR="006336FF" w:rsidRPr="00CC562A">
        <w:rPr>
          <w:rFonts w:ascii="Cambria" w:hAnsi="Cambria"/>
          <w:sz w:val="20"/>
          <w:lang w:val="en-US"/>
        </w:rPr>
        <w:t xml:space="preserve">and January and </w:t>
      </w:r>
      <w:r w:rsidR="006336FF" w:rsidRPr="00CC562A">
        <w:rPr>
          <w:rFonts w:ascii="Cambria" w:hAnsi="Cambria"/>
          <w:sz w:val="20"/>
          <w:lang w:val="en-US"/>
        </w:rPr>
        <w:lastRenderedPageBreak/>
        <w:t xml:space="preserve">February of </w:t>
      </w:r>
      <w:r w:rsidR="007677D2" w:rsidRPr="00CC562A">
        <w:rPr>
          <w:rFonts w:ascii="Cambria" w:hAnsi="Cambria"/>
          <w:sz w:val="20"/>
          <w:lang w:val="en-US"/>
        </w:rPr>
        <w:t xml:space="preserve">2023, </w:t>
      </w:r>
      <w:r w:rsidR="006336FF" w:rsidRPr="00CC562A">
        <w:rPr>
          <w:rFonts w:ascii="Cambria" w:hAnsi="Cambria"/>
          <w:sz w:val="20"/>
          <w:lang w:val="en-US"/>
        </w:rPr>
        <w:t>the</w:t>
      </w:r>
      <w:r w:rsidR="007677D2" w:rsidRPr="00CC562A">
        <w:rPr>
          <w:rFonts w:ascii="Cambria" w:hAnsi="Cambria"/>
          <w:sz w:val="20"/>
          <w:lang w:val="en-US"/>
        </w:rPr>
        <w:t xml:space="preserve"> FGR </w:t>
      </w:r>
      <w:r w:rsidR="007A11C8" w:rsidRPr="00CC562A">
        <w:rPr>
          <w:rFonts w:ascii="Cambria" w:hAnsi="Cambria"/>
          <w:sz w:val="20"/>
          <w:lang w:val="en-US"/>
        </w:rPr>
        <w:t>held in-person panels with justice procurement institutions of the federative entities for implementation of the National Forensic Database.</w:t>
      </w:r>
      <w:r w:rsidR="007677D2" w:rsidRPr="00CC562A">
        <w:rPr>
          <w:rStyle w:val="FootnoteReference"/>
          <w:rFonts w:ascii="Cambria" w:hAnsi="Cambria"/>
          <w:sz w:val="20"/>
          <w:lang w:val="es-CO"/>
        </w:rPr>
        <w:footnoteReference w:id="134"/>
      </w:r>
    </w:p>
    <w:p w14:paraId="04288911"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19AA699D" w14:textId="2AEBB938" w:rsidR="002476A7" w:rsidRPr="00CC562A" w:rsidRDefault="00102061"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also indicated that on August 6, </w:t>
      </w:r>
      <w:r w:rsidR="3855FC6D" w:rsidRPr="00CC562A">
        <w:rPr>
          <w:rFonts w:ascii="Cambria" w:eastAsia="Cambria" w:hAnsi="Cambria" w:cs="Cambria"/>
          <w:sz w:val="20"/>
          <w:szCs w:val="20"/>
          <w:lang w:val="en-US"/>
        </w:rPr>
        <w:t xml:space="preserve">2020, </w:t>
      </w:r>
      <w:r w:rsidRPr="00CC562A">
        <w:rPr>
          <w:rFonts w:ascii="Cambria" w:eastAsia="Cambria" w:hAnsi="Cambria" w:cs="Cambria"/>
          <w:sz w:val="20"/>
          <w:szCs w:val="20"/>
          <w:lang w:val="en-US"/>
        </w:rPr>
        <w:t xml:space="preserve">the </w:t>
      </w:r>
      <w:r w:rsidR="00BA1261" w:rsidRPr="00CC562A">
        <w:rPr>
          <w:rFonts w:ascii="Cambria" w:eastAsia="Cambria" w:hAnsi="Cambria" w:cs="Cambria"/>
          <w:sz w:val="20"/>
          <w:szCs w:val="20"/>
          <w:lang w:val="en-US"/>
        </w:rPr>
        <w:t>then</w:t>
      </w:r>
      <w:r w:rsidRPr="00CC562A">
        <w:rPr>
          <w:rFonts w:ascii="Cambria" w:eastAsia="Cambria" w:hAnsi="Cambria" w:cs="Cambria"/>
          <w:sz w:val="20"/>
          <w:szCs w:val="20"/>
          <w:lang w:val="en-US"/>
        </w:rPr>
        <w:t xml:space="preserve"> head of the Coordinating Office for Investigative Measures issued the General Guidelines for the Installation and Operation of the National Database of Genetic Information</w:t>
      </w:r>
      <w:r w:rsidR="57CE8457" w:rsidRPr="00CC562A">
        <w:rPr>
          <w:rFonts w:ascii="Cambria" w:eastAsia="Cambria" w:hAnsi="Cambria" w:cs="Cambria"/>
          <w:sz w:val="20"/>
          <w:szCs w:val="20"/>
          <w:lang w:val="en-US"/>
        </w:rPr>
        <w:t xml:space="preserve"> (BNIG)</w:t>
      </w:r>
      <w:r w:rsidR="3855FC6D" w:rsidRPr="00CC562A">
        <w:rPr>
          <w:rFonts w:ascii="Cambria" w:eastAsia="Cambria" w:hAnsi="Cambria" w:cs="Cambria"/>
          <w:sz w:val="20"/>
          <w:szCs w:val="20"/>
          <w:lang w:val="en-US"/>
        </w:rPr>
        <w:t xml:space="preserve"> L/CMI/001/2020.</w:t>
      </w:r>
      <w:r w:rsidR="1C8A8B76" w:rsidRPr="00CC562A">
        <w:rPr>
          <w:rFonts w:ascii="Cambria" w:eastAsia="Cambria" w:hAnsi="Cambria" w:cs="Cambria"/>
          <w:sz w:val="20"/>
          <w:szCs w:val="20"/>
          <w:lang w:val="en-US"/>
        </w:rPr>
        <w:t xml:space="preserve"> </w:t>
      </w:r>
      <w:r w:rsidR="007F768D" w:rsidRPr="00CC562A">
        <w:rPr>
          <w:rFonts w:ascii="Cambria" w:eastAsia="Cambria" w:hAnsi="Cambria" w:cs="Cambria"/>
          <w:sz w:val="20"/>
          <w:szCs w:val="20"/>
          <w:lang w:val="en-US"/>
        </w:rPr>
        <w:t xml:space="preserve">On December 11, </w:t>
      </w:r>
      <w:r w:rsidR="3855FC6D" w:rsidRPr="00CC562A">
        <w:rPr>
          <w:rFonts w:ascii="Cambria" w:eastAsia="Cambria" w:hAnsi="Cambria" w:cs="Cambria"/>
          <w:sz w:val="20"/>
          <w:szCs w:val="20"/>
          <w:lang w:val="en-US"/>
        </w:rPr>
        <w:t xml:space="preserve">2020, </w:t>
      </w:r>
      <w:r w:rsidR="007F768D" w:rsidRPr="00CC562A">
        <w:rPr>
          <w:rFonts w:ascii="Cambria" w:eastAsia="Cambria" w:hAnsi="Cambria" w:cs="Cambria"/>
          <w:sz w:val="20"/>
          <w:szCs w:val="20"/>
          <w:lang w:val="en-US"/>
        </w:rPr>
        <w:t xml:space="preserve">by means of agreement </w:t>
      </w:r>
      <w:r w:rsidR="3855FC6D" w:rsidRPr="00CC562A">
        <w:rPr>
          <w:rFonts w:ascii="Cambria" w:eastAsia="Cambria" w:hAnsi="Cambria" w:cs="Cambria"/>
          <w:sz w:val="20"/>
          <w:szCs w:val="20"/>
          <w:lang w:val="en-US"/>
        </w:rPr>
        <w:t xml:space="preserve">CNPJ/XLIV/07/2020 </w:t>
      </w:r>
      <w:r w:rsidR="007F768D" w:rsidRPr="00CC562A">
        <w:rPr>
          <w:rFonts w:ascii="Cambria" w:eastAsia="Cambria" w:hAnsi="Cambria" w:cs="Cambria"/>
          <w:sz w:val="20"/>
          <w:szCs w:val="20"/>
          <w:lang w:val="en-US"/>
        </w:rPr>
        <w:t xml:space="preserve">of the </w:t>
      </w:r>
      <w:r w:rsidR="3855FC6D" w:rsidRPr="00CC562A">
        <w:rPr>
          <w:rFonts w:ascii="Cambria" w:eastAsia="Cambria" w:hAnsi="Cambria" w:cs="Cambria"/>
          <w:sz w:val="20"/>
          <w:szCs w:val="20"/>
          <w:lang w:val="en-US"/>
        </w:rPr>
        <w:t>XLIV</w:t>
      </w:r>
      <w:r w:rsidR="007F768D" w:rsidRPr="00CC562A">
        <w:rPr>
          <w:rFonts w:ascii="Cambria" w:eastAsia="Cambria" w:hAnsi="Cambria" w:cs="Cambria"/>
          <w:sz w:val="20"/>
          <w:szCs w:val="20"/>
          <w:lang w:val="en-US"/>
        </w:rPr>
        <w:t xml:space="preserve"> Plenary Session of the </w:t>
      </w:r>
      <w:r w:rsidR="3855FC6D" w:rsidRPr="00CC562A">
        <w:rPr>
          <w:rFonts w:ascii="Cambria" w:eastAsia="Cambria" w:hAnsi="Cambria" w:cs="Cambria"/>
          <w:sz w:val="20"/>
          <w:szCs w:val="20"/>
          <w:lang w:val="en-US"/>
        </w:rPr>
        <w:t xml:space="preserve">CNPJ, </w:t>
      </w:r>
      <w:r w:rsidR="007F768D" w:rsidRPr="00CC562A">
        <w:rPr>
          <w:rFonts w:ascii="Cambria" w:eastAsia="Cambria" w:hAnsi="Cambria" w:cs="Cambria"/>
          <w:sz w:val="20"/>
          <w:szCs w:val="20"/>
          <w:lang w:val="en-US"/>
        </w:rPr>
        <w:t>the heads of the attorney generals’ offices and prosecutors’ offices belonging to the Conference acceded to the Guidelines</w:t>
      </w:r>
      <w:r w:rsidR="3855FC6D" w:rsidRPr="00CC562A">
        <w:rPr>
          <w:rFonts w:ascii="Cambria" w:eastAsia="Cambria" w:hAnsi="Cambria" w:cs="Cambria"/>
          <w:sz w:val="20"/>
          <w:szCs w:val="20"/>
          <w:lang w:val="en-US"/>
        </w:rPr>
        <w:t xml:space="preserve"> L/CMI/001/2020, </w:t>
      </w:r>
      <w:r w:rsidR="007F768D" w:rsidRPr="00CC562A">
        <w:rPr>
          <w:rFonts w:ascii="Cambria" w:eastAsia="Cambria" w:hAnsi="Cambria" w:cs="Cambria"/>
          <w:sz w:val="20"/>
          <w:szCs w:val="20"/>
          <w:lang w:val="en-US"/>
        </w:rPr>
        <w:t xml:space="preserve">the Technical Annex, and the technical standards of the </w:t>
      </w:r>
      <w:r w:rsidR="3855FC6D" w:rsidRPr="00CC562A">
        <w:rPr>
          <w:rFonts w:ascii="Cambria" w:eastAsia="Cambria" w:hAnsi="Cambria" w:cs="Cambria"/>
          <w:sz w:val="20"/>
          <w:szCs w:val="20"/>
          <w:lang w:val="en-US"/>
        </w:rPr>
        <w:t>BNIG.</w:t>
      </w:r>
      <w:r w:rsidR="1C8A8B76"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4D87637B" w:rsidRPr="00CC562A">
        <w:rPr>
          <w:rFonts w:ascii="Cambria" w:eastAsia="Cambria" w:hAnsi="Cambria" w:cs="Cambria"/>
          <w:sz w:val="20"/>
          <w:szCs w:val="20"/>
          <w:lang w:val="en-US"/>
        </w:rPr>
        <w:t xml:space="preserve"> </w:t>
      </w:r>
      <w:r w:rsidR="007F768D" w:rsidRPr="00CC562A">
        <w:rPr>
          <w:rFonts w:ascii="Cambria" w:eastAsia="Cambria" w:hAnsi="Cambria" w:cs="Cambria"/>
          <w:sz w:val="20"/>
          <w:szCs w:val="20"/>
          <w:lang w:val="en-US"/>
        </w:rPr>
        <w:t>reiterated the information regarding the implementation of the AM/PM databases already reported herein. In addition, the</w:t>
      </w:r>
      <w:r w:rsidR="3855FC6D" w:rsidRPr="00CC562A">
        <w:rPr>
          <w:rFonts w:ascii="Cambria" w:eastAsia="Cambria" w:hAnsi="Cambria" w:cs="Cambria"/>
          <w:sz w:val="20"/>
          <w:szCs w:val="20"/>
          <w:lang w:val="en-US"/>
        </w:rPr>
        <w:t xml:space="preserve"> CNBP, </w:t>
      </w:r>
      <w:r w:rsidR="007F768D" w:rsidRPr="00CC562A">
        <w:rPr>
          <w:rFonts w:ascii="Cambria" w:eastAsia="Cambria" w:hAnsi="Cambria" w:cs="Cambria"/>
          <w:sz w:val="20"/>
          <w:szCs w:val="20"/>
          <w:lang w:val="en-US"/>
        </w:rPr>
        <w:t xml:space="preserve">in coordination with the </w:t>
      </w:r>
      <w:r w:rsidR="4D87637B" w:rsidRPr="00CC562A">
        <w:rPr>
          <w:rFonts w:ascii="Cambria" w:eastAsia="Cambria" w:hAnsi="Cambria" w:cs="Cambria"/>
          <w:sz w:val="20"/>
          <w:szCs w:val="20"/>
          <w:lang w:val="en-US"/>
        </w:rPr>
        <w:t>CLB</w:t>
      </w:r>
      <w:r w:rsidR="007F768D" w:rsidRPr="00CC562A">
        <w:rPr>
          <w:rFonts w:ascii="Cambria" w:eastAsia="Cambria" w:hAnsi="Cambria" w:cs="Cambria"/>
          <w:sz w:val="20"/>
          <w:szCs w:val="20"/>
          <w:lang w:val="en-US"/>
        </w:rPr>
        <w:t>s</w:t>
      </w:r>
      <w:r w:rsidR="3855FC6D" w:rsidRPr="00CC562A">
        <w:rPr>
          <w:rFonts w:ascii="Cambria" w:eastAsia="Cambria" w:hAnsi="Cambria" w:cs="Cambria"/>
          <w:sz w:val="20"/>
          <w:szCs w:val="20"/>
          <w:lang w:val="en-US"/>
        </w:rPr>
        <w:t xml:space="preserve">, </w:t>
      </w:r>
      <w:r w:rsidR="007F768D" w:rsidRPr="00CC562A">
        <w:rPr>
          <w:rFonts w:ascii="Cambria" w:eastAsia="Cambria" w:hAnsi="Cambria" w:cs="Cambria"/>
          <w:sz w:val="20"/>
          <w:szCs w:val="20"/>
          <w:lang w:val="en-US"/>
        </w:rPr>
        <w:t>has created a pilot for systematizing administrative records on burials in common gra</w:t>
      </w:r>
      <w:r w:rsidR="00BA1261" w:rsidRPr="00CC562A">
        <w:rPr>
          <w:rFonts w:ascii="Cambria" w:eastAsia="Cambria" w:hAnsi="Cambria" w:cs="Cambria"/>
          <w:sz w:val="20"/>
          <w:szCs w:val="20"/>
          <w:lang w:val="en-US"/>
        </w:rPr>
        <w:t>v</w:t>
      </w:r>
      <w:r w:rsidR="007F768D" w:rsidRPr="00CC562A">
        <w:rPr>
          <w:rFonts w:ascii="Cambria" w:eastAsia="Cambria" w:hAnsi="Cambria" w:cs="Cambria"/>
          <w:sz w:val="20"/>
          <w:szCs w:val="20"/>
          <w:lang w:val="en-US"/>
        </w:rPr>
        <w:t>es,</w:t>
      </w:r>
      <w:r w:rsidR="00D82872" w:rsidRPr="00CC562A">
        <w:rPr>
          <w:rFonts w:ascii="Cambria" w:eastAsia="Cambria" w:hAnsi="Cambria" w:cs="Cambria"/>
          <w:sz w:val="20"/>
          <w:szCs w:val="20"/>
          <w:lang w:val="en-US"/>
        </w:rPr>
        <w:t xml:space="preserve"> which designed and integrated the Common Graves Module of the National Registry of Common Graves and Clandestine Graves, which has</w:t>
      </w:r>
      <w:r w:rsidR="3855FC6D" w:rsidRPr="00CC562A">
        <w:rPr>
          <w:rFonts w:ascii="Cambria" w:eastAsia="Cambria" w:hAnsi="Cambria" w:cs="Cambria"/>
          <w:sz w:val="20"/>
          <w:szCs w:val="20"/>
          <w:lang w:val="en-US"/>
        </w:rPr>
        <w:t xml:space="preserve"> 7</w:t>
      </w:r>
      <w:r w:rsidR="00BA1261" w:rsidRPr="00CC562A">
        <w:rPr>
          <w:rFonts w:ascii="Cambria" w:eastAsia="Cambria" w:hAnsi="Cambria" w:cs="Cambria"/>
          <w:sz w:val="20"/>
          <w:szCs w:val="20"/>
          <w:lang w:val="en-US"/>
        </w:rPr>
        <w:t>,</w:t>
      </w:r>
      <w:r w:rsidR="3855FC6D" w:rsidRPr="00CC562A">
        <w:rPr>
          <w:rFonts w:ascii="Cambria" w:eastAsia="Cambria" w:hAnsi="Cambria" w:cs="Cambria"/>
          <w:sz w:val="20"/>
          <w:szCs w:val="20"/>
          <w:lang w:val="en-US"/>
        </w:rPr>
        <w:t>721 entr</w:t>
      </w:r>
      <w:r w:rsidR="00D82872" w:rsidRPr="00CC562A">
        <w:rPr>
          <w:rFonts w:ascii="Cambria" w:eastAsia="Cambria" w:hAnsi="Cambria" w:cs="Cambria"/>
          <w:sz w:val="20"/>
          <w:szCs w:val="20"/>
          <w:lang w:val="en-US"/>
        </w:rPr>
        <w:t>ies to date from cemeteries with common graves in</w:t>
      </w:r>
      <w:r w:rsidR="3855FC6D" w:rsidRPr="00CC562A">
        <w:rPr>
          <w:rFonts w:ascii="Cambria" w:eastAsia="Cambria" w:hAnsi="Cambria" w:cs="Cambria"/>
          <w:sz w:val="20"/>
          <w:szCs w:val="20"/>
          <w:lang w:val="en-US"/>
        </w:rPr>
        <w:t xml:space="preserve"> Puebla, Sonora</w:t>
      </w:r>
      <w:r w:rsidR="00D82872" w:rsidRPr="00CC562A">
        <w:rPr>
          <w:rFonts w:ascii="Cambria" w:eastAsia="Cambria" w:hAnsi="Cambria" w:cs="Cambria"/>
          <w:sz w:val="20"/>
          <w:szCs w:val="20"/>
          <w:lang w:val="en-US"/>
        </w:rPr>
        <w:t>, and Mexico City.</w:t>
      </w:r>
      <w:r w:rsidR="00946551" w:rsidRPr="00CC562A">
        <w:rPr>
          <w:rStyle w:val="FootnoteReference"/>
          <w:rFonts w:ascii="Cambria" w:eastAsia="Cambria" w:hAnsi="Cambria" w:cs="Cambria"/>
          <w:sz w:val="20"/>
          <w:szCs w:val="20"/>
          <w:lang w:val="en-US"/>
        </w:rPr>
        <w:footnoteReference w:id="135"/>
      </w:r>
    </w:p>
    <w:p w14:paraId="459C7F79"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61BFA622" w14:textId="558ADF5A" w:rsidR="003F22A5" w:rsidRPr="00CC562A" w:rsidRDefault="00D82872"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PRODH Center indicated that the CED found a forensic crisis in Mexico, where there are more than </w:t>
      </w:r>
      <w:r w:rsidR="5E992440" w:rsidRPr="00CC562A">
        <w:rPr>
          <w:rFonts w:ascii="Cambria" w:eastAsia="Cambria" w:hAnsi="Cambria" w:cs="Cambria"/>
          <w:sz w:val="20"/>
          <w:szCs w:val="20"/>
          <w:lang w:val="en-US"/>
        </w:rPr>
        <w:t xml:space="preserve">52,000 </w:t>
      </w:r>
      <w:r w:rsidRPr="00CC562A">
        <w:rPr>
          <w:rFonts w:ascii="Cambria" w:eastAsia="Cambria" w:hAnsi="Cambria" w:cs="Cambria"/>
          <w:sz w:val="20"/>
          <w:szCs w:val="20"/>
          <w:lang w:val="en-US"/>
        </w:rPr>
        <w:t xml:space="preserve">unidentified deceased persons and this figure does not include bodies that have not been </w:t>
      </w:r>
      <w:r w:rsidR="00BA1261" w:rsidRPr="00CC562A">
        <w:rPr>
          <w:rFonts w:ascii="Cambria" w:eastAsia="Cambria" w:hAnsi="Cambria" w:cs="Cambria"/>
          <w:sz w:val="20"/>
          <w:szCs w:val="20"/>
          <w:lang w:val="en-US"/>
        </w:rPr>
        <w:t>foun</w:t>
      </w:r>
      <w:r w:rsidRPr="00CC562A">
        <w:rPr>
          <w:rFonts w:ascii="Cambria" w:eastAsia="Cambria" w:hAnsi="Cambria" w:cs="Cambria"/>
          <w:sz w:val="20"/>
          <w:szCs w:val="20"/>
          <w:lang w:val="en-US"/>
        </w:rPr>
        <w:t>d.</w:t>
      </w:r>
      <w:r w:rsidR="00A06F2A" w:rsidRPr="00CC562A">
        <w:rPr>
          <w:rFonts w:ascii="Cambria" w:eastAsia="Cambria" w:hAnsi="Cambria" w:cs="Cambria"/>
          <w:sz w:val="20"/>
          <w:szCs w:val="20"/>
          <w:vertAlign w:val="superscript"/>
          <w:lang w:val="en-US"/>
        </w:rPr>
        <w:footnoteReference w:id="136"/>
      </w:r>
      <w:r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5E99244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it emphasized that the country’s forensic services are in</w:t>
      </w:r>
      <w:r w:rsidR="00BA1261" w:rsidRPr="00CC562A">
        <w:rPr>
          <w:rFonts w:ascii="Cambria" w:eastAsia="Cambria" w:hAnsi="Cambria" w:cs="Cambria"/>
          <w:sz w:val="20"/>
          <w:szCs w:val="20"/>
          <w:lang w:val="en-US"/>
        </w:rPr>
        <w:t>adequate</w:t>
      </w:r>
      <w:r w:rsidRPr="00CC562A">
        <w:rPr>
          <w:rFonts w:ascii="Cambria" w:eastAsia="Cambria" w:hAnsi="Cambria" w:cs="Cambria"/>
          <w:sz w:val="20"/>
          <w:szCs w:val="20"/>
          <w:lang w:val="en-US"/>
        </w:rPr>
        <w:t xml:space="preserve"> and there is no public policy on identif</w:t>
      </w:r>
      <w:r w:rsidR="00BA1261" w:rsidRPr="00CC562A">
        <w:rPr>
          <w:rFonts w:ascii="Cambria" w:eastAsia="Cambria" w:hAnsi="Cambria" w:cs="Cambria"/>
          <w:sz w:val="20"/>
          <w:szCs w:val="20"/>
          <w:lang w:val="en-US"/>
        </w:rPr>
        <w:t>ying</w:t>
      </w:r>
      <w:r w:rsidRPr="00CC562A">
        <w:rPr>
          <w:rFonts w:ascii="Cambria" w:eastAsia="Cambria" w:hAnsi="Cambria" w:cs="Cambria"/>
          <w:sz w:val="20"/>
          <w:szCs w:val="20"/>
          <w:lang w:val="en-US"/>
        </w:rPr>
        <w:t xml:space="preserve"> the disappeared.</w:t>
      </w:r>
      <w:r w:rsidR="00A06F2A" w:rsidRPr="00CC562A">
        <w:rPr>
          <w:rFonts w:ascii="Cambria" w:eastAsia="Cambria" w:hAnsi="Cambria" w:cs="Cambria"/>
          <w:sz w:val="20"/>
          <w:szCs w:val="20"/>
          <w:vertAlign w:val="superscript"/>
          <w:lang w:val="en-US"/>
        </w:rPr>
        <w:footnoteReference w:id="137"/>
      </w:r>
      <w:r w:rsidR="00A93A83" w:rsidRPr="00CC562A">
        <w:rPr>
          <w:rFonts w:ascii="Cambria" w:eastAsia="Cambria" w:hAnsi="Cambria" w:cs="Cambria"/>
          <w:sz w:val="20"/>
          <w:szCs w:val="20"/>
          <w:lang w:val="en-US"/>
        </w:rPr>
        <w:t xml:space="preserve"> According to its investigation, the</w:t>
      </w:r>
      <w:r w:rsidR="5E992440" w:rsidRPr="00CC562A">
        <w:rPr>
          <w:rFonts w:ascii="Cambria" w:eastAsia="Cambria" w:hAnsi="Cambria" w:cs="Cambria"/>
          <w:sz w:val="20"/>
          <w:szCs w:val="20"/>
          <w:lang w:val="en-US"/>
        </w:rPr>
        <w:t xml:space="preserve"> FGR </w:t>
      </w:r>
      <w:r w:rsidR="00A93A83" w:rsidRPr="00CC562A">
        <w:rPr>
          <w:rFonts w:ascii="Cambria" w:eastAsia="Cambria" w:hAnsi="Cambria" w:cs="Cambria"/>
          <w:sz w:val="20"/>
          <w:szCs w:val="20"/>
          <w:lang w:val="en-US"/>
        </w:rPr>
        <w:t>has not complied with its obligation to compile the country’s forensic information</w:t>
      </w:r>
      <w:r w:rsidR="5E992440" w:rsidRPr="00CC562A">
        <w:rPr>
          <w:rFonts w:ascii="Cambria" w:eastAsia="Cambria" w:hAnsi="Cambria" w:cs="Cambria"/>
          <w:sz w:val="20"/>
          <w:szCs w:val="20"/>
          <w:lang w:val="en-US"/>
        </w:rPr>
        <w:t>:</w:t>
      </w:r>
      <w:r w:rsidR="00A93A83" w:rsidRPr="00CC562A">
        <w:rPr>
          <w:rFonts w:ascii="Cambria" w:eastAsia="Cambria" w:hAnsi="Cambria" w:cs="Cambria"/>
          <w:sz w:val="20"/>
          <w:szCs w:val="20"/>
          <w:lang w:val="en-US"/>
        </w:rPr>
        <w:t xml:space="preserve"> it has genetic information on 15,000 unidentified bodies among the more than 52,000 bodies of recognized unidentified deceased persons. This means that information on two out of every three bodies is not found </w:t>
      </w:r>
      <w:r w:rsidR="00B71228" w:rsidRPr="00CC562A">
        <w:rPr>
          <w:rFonts w:ascii="Cambria" w:eastAsia="Cambria" w:hAnsi="Cambria" w:cs="Cambria"/>
          <w:sz w:val="20"/>
          <w:szCs w:val="20"/>
          <w:lang w:val="en-US"/>
        </w:rPr>
        <w:t>i</w:t>
      </w:r>
      <w:r w:rsidR="00A93A83" w:rsidRPr="00CC562A">
        <w:rPr>
          <w:rFonts w:ascii="Cambria" w:eastAsia="Cambria" w:hAnsi="Cambria" w:cs="Cambria"/>
          <w:sz w:val="20"/>
          <w:szCs w:val="20"/>
          <w:lang w:val="en-US"/>
        </w:rPr>
        <w:t xml:space="preserve">n the Prosecutor’s database. In addition, the information is neither updated nor complete, in that the </w:t>
      </w:r>
      <w:r w:rsidR="00365543" w:rsidRPr="00CC562A">
        <w:rPr>
          <w:rFonts w:ascii="Cambria" w:eastAsia="Cambria" w:hAnsi="Cambria" w:cs="Cambria"/>
          <w:sz w:val="20"/>
          <w:szCs w:val="20"/>
          <w:lang w:val="en-US"/>
        </w:rPr>
        <w:t>states</w:t>
      </w:r>
      <w:r w:rsidR="00A93A83" w:rsidRPr="00CC562A">
        <w:rPr>
          <w:rFonts w:ascii="Cambria" w:eastAsia="Cambria" w:hAnsi="Cambria" w:cs="Cambria"/>
          <w:sz w:val="20"/>
          <w:szCs w:val="20"/>
          <w:lang w:val="en-US"/>
        </w:rPr>
        <w:t xml:space="preserve"> do not send seven of every eight genetic profiles to the </w:t>
      </w:r>
      <w:r w:rsidR="5E992440" w:rsidRPr="00CC562A">
        <w:rPr>
          <w:rFonts w:ascii="Cambria" w:eastAsia="Cambria" w:hAnsi="Cambria" w:cs="Cambria"/>
          <w:sz w:val="20"/>
          <w:szCs w:val="20"/>
          <w:lang w:val="en-US"/>
        </w:rPr>
        <w:t xml:space="preserve">FGR. </w:t>
      </w:r>
      <w:r w:rsidR="00A93A83" w:rsidRPr="00CC562A">
        <w:rPr>
          <w:rFonts w:ascii="Cambria" w:eastAsia="Cambria" w:hAnsi="Cambria" w:cs="Cambria"/>
          <w:sz w:val="20"/>
          <w:szCs w:val="20"/>
          <w:lang w:val="en-US"/>
        </w:rPr>
        <w:t>The Office of the Prosecutor also acknowledges having received 35,000 genetic profiles, while the states say they have sent more than 53,000, which means that 18,000 are missing</w:t>
      </w:r>
      <w:r w:rsidR="5E992440" w:rsidRPr="00CC562A">
        <w:rPr>
          <w:rFonts w:ascii="Cambria" w:eastAsia="Cambria" w:hAnsi="Cambria" w:cs="Cambria"/>
          <w:sz w:val="20"/>
          <w:szCs w:val="20"/>
          <w:lang w:val="en-US"/>
        </w:rPr>
        <w:t xml:space="preserve">. </w:t>
      </w:r>
      <w:r w:rsidR="00A93A83" w:rsidRPr="00CC562A">
        <w:rPr>
          <w:rFonts w:ascii="Cambria" w:eastAsia="Cambria" w:hAnsi="Cambria" w:cs="Cambria"/>
          <w:sz w:val="20"/>
          <w:szCs w:val="20"/>
          <w:lang w:val="en-US"/>
        </w:rPr>
        <w:t>S</w:t>
      </w:r>
      <w:r w:rsidR="00B71228" w:rsidRPr="00CC562A">
        <w:rPr>
          <w:rFonts w:ascii="Cambria" w:eastAsia="Cambria" w:hAnsi="Cambria" w:cs="Cambria"/>
          <w:sz w:val="20"/>
          <w:szCs w:val="20"/>
          <w:lang w:val="en-US"/>
        </w:rPr>
        <w:t>i</w:t>
      </w:r>
      <w:r w:rsidR="00A93A83" w:rsidRPr="00CC562A">
        <w:rPr>
          <w:rFonts w:ascii="Cambria" w:eastAsia="Cambria" w:hAnsi="Cambria" w:cs="Cambria"/>
          <w:sz w:val="20"/>
          <w:szCs w:val="20"/>
          <w:lang w:val="en-US"/>
        </w:rPr>
        <w:t>nce</w:t>
      </w:r>
      <w:r w:rsidR="5E992440" w:rsidRPr="00CC562A">
        <w:rPr>
          <w:rFonts w:ascii="Cambria" w:eastAsia="Cambria" w:hAnsi="Cambria" w:cs="Cambria"/>
          <w:sz w:val="20"/>
          <w:szCs w:val="20"/>
          <w:lang w:val="en-US"/>
        </w:rPr>
        <w:t xml:space="preserve"> 2006, </w:t>
      </w:r>
      <w:r w:rsidR="00A93A83" w:rsidRPr="00CC562A">
        <w:rPr>
          <w:rFonts w:ascii="Cambria" w:eastAsia="Cambria" w:hAnsi="Cambria" w:cs="Cambria"/>
          <w:sz w:val="20"/>
          <w:szCs w:val="20"/>
          <w:lang w:val="en-US"/>
        </w:rPr>
        <w:t xml:space="preserve">only one percent of identifications in the entire country were made by the </w:t>
      </w:r>
      <w:r w:rsidR="5E992440" w:rsidRPr="00CC562A">
        <w:rPr>
          <w:rFonts w:ascii="Cambria" w:eastAsia="Cambria" w:hAnsi="Cambria" w:cs="Cambria"/>
          <w:sz w:val="20"/>
          <w:szCs w:val="20"/>
          <w:lang w:val="en-US"/>
        </w:rPr>
        <w:t>FGR</w:t>
      </w:r>
      <w:r w:rsidR="00A93A83"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138"/>
      </w:r>
      <w:r w:rsidR="00A93A83" w:rsidRPr="00CC562A">
        <w:rPr>
          <w:rFonts w:ascii="Cambria" w:eastAsia="Cambria" w:hAnsi="Cambria" w:cs="Cambria"/>
          <w:sz w:val="20"/>
          <w:szCs w:val="20"/>
          <w:lang w:val="en-US"/>
        </w:rPr>
        <w:t xml:space="preserve"> The PRODH Center indicated that, </w:t>
      </w:r>
      <w:proofErr w:type="gramStart"/>
      <w:r w:rsidR="00A93A83" w:rsidRPr="00CC562A">
        <w:rPr>
          <w:rFonts w:ascii="Cambria" w:eastAsia="Cambria" w:hAnsi="Cambria" w:cs="Cambria"/>
          <w:sz w:val="20"/>
          <w:szCs w:val="20"/>
          <w:lang w:val="en-US"/>
        </w:rPr>
        <w:t xml:space="preserve">despite </w:t>
      </w:r>
      <w:r w:rsidR="00845CEE" w:rsidRPr="00CC562A">
        <w:rPr>
          <w:rFonts w:ascii="Cambria" w:eastAsia="Cambria" w:hAnsi="Cambria" w:cs="Cambria"/>
          <w:sz w:val="20"/>
          <w:szCs w:val="20"/>
          <w:lang w:val="en-US"/>
        </w:rPr>
        <w:t>the fact that</w:t>
      </w:r>
      <w:proofErr w:type="gramEnd"/>
      <w:r w:rsidR="00845CEE" w:rsidRPr="00CC562A">
        <w:rPr>
          <w:rFonts w:ascii="Cambria" w:eastAsia="Cambria" w:hAnsi="Cambria" w:cs="Cambria"/>
          <w:sz w:val="20"/>
          <w:szCs w:val="20"/>
          <w:lang w:val="en-US"/>
        </w:rPr>
        <w:t xml:space="preserve"> the budget for the institutions responsible for search and identification of disappeared persons for </w:t>
      </w:r>
      <w:r w:rsidR="00C80FE5" w:rsidRPr="00CC562A">
        <w:rPr>
          <w:rFonts w:ascii="Cambria" w:eastAsia="Cambria" w:hAnsi="Cambria" w:cs="Cambria"/>
          <w:sz w:val="20"/>
          <w:szCs w:val="20"/>
          <w:lang w:val="en-US"/>
        </w:rPr>
        <w:t>the year</w:t>
      </w:r>
      <w:r w:rsidR="5E992440" w:rsidRPr="00CC562A">
        <w:rPr>
          <w:rFonts w:ascii="Cambria" w:eastAsia="Cambria" w:hAnsi="Cambria" w:cs="Cambria"/>
          <w:sz w:val="20"/>
          <w:szCs w:val="20"/>
          <w:lang w:val="en-US"/>
        </w:rPr>
        <w:t xml:space="preserve"> 2023 </w:t>
      </w:r>
      <w:r w:rsidR="00845CEE" w:rsidRPr="00CC562A">
        <w:rPr>
          <w:rFonts w:ascii="Cambria" w:eastAsia="Cambria" w:hAnsi="Cambria" w:cs="Cambria"/>
          <w:sz w:val="20"/>
          <w:szCs w:val="20"/>
          <w:lang w:val="en-US"/>
        </w:rPr>
        <w:t>provides for an increase, resources continue to be insufficient given the magnitude of the situation.</w:t>
      </w:r>
      <w:r w:rsidR="00A06F2A" w:rsidRPr="00CC562A">
        <w:rPr>
          <w:rFonts w:ascii="Cambria" w:eastAsia="Cambria" w:hAnsi="Cambria" w:cs="Cambria"/>
          <w:sz w:val="20"/>
          <w:szCs w:val="20"/>
          <w:vertAlign w:val="superscript"/>
          <w:lang w:val="en-US"/>
        </w:rPr>
        <w:footnoteReference w:id="139"/>
      </w:r>
    </w:p>
    <w:p w14:paraId="1A5A2AC2" w14:textId="3A2085A5" w:rsidR="00DB71FA" w:rsidRPr="00CC562A" w:rsidRDefault="00DB71FA" w:rsidP="00A208A0">
      <w:pPr>
        <w:spacing w:after="0" w:line="240" w:lineRule="auto"/>
        <w:ind w:left="720"/>
        <w:jc w:val="both"/>
        <w:rPr>
          <w:rFonts w:ascii="Cambria" w:eastAsia="Cambria" w:hAnsi="Cambria" w:cs="Cambria"/>
          <w:sz w:val="20"/>
          <w:szCs w:val="20"/>
          <w:lang w:val="en-US"/>
        </w:rPr>
      </w:pPr>
    </w:p>
    <w:p w14:paraId="1CEF2ABE" w14:textId="36CA07AE" w:rsidR="00F7756F" w:rsidRPr="00CC562A" w:rsidRDefault="00845CEE"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Commission acknowledges </w:t>
      </w:r>
      <w:r w:rsidR="00B71228" w:rsidRPr="00CC562A">
        <w:rPr>
          <w:rFonts w:ascii="Cambria" w:hAnsi="Cambria"/>
          <w:sz w:val="20"/>
          <w:szCs w:val="20"/>
          <w:lang w:val="en-US"/>
        </w:rPr>
        <w:t>the</w:t>
      </w:r>
      <w:r w:rsidRPr="00CC562A">
        <w:rPr>
          <w:rFonts w:ascii="Cambria" w:hAnsi="Cambria"/>
          <w:sz w:val="20"/>
          <w:szCs w:val="20"/>
          <w:lang w:val="en-US"/>
        </w:rPr>
        <w:t xml:space="preserve"> material and human efforts undertaken by the </w:t>
      </w:r>
      <w:r w:rsidR="4D87637B" w:rsidRPr="00CC562A">
        <w:rPr>
          <w:rFonts w:ascii="Cambria" w:hAnsi="Cambria"/>
          <w:sz w:val="20"/>
          <w:szCs w:val="20"/>
          <w:lang w:val="en-US"/>
        </w:rPr>
        <w:t>CNB</w:t>
      </w:r>
      <w:r w:rsidR="0914DCEB" w:rsidRPr="00CC562A">
        <w:rPr>
          <w:rFonts w:ascii="Cambria" w:hAnsi="Cambria"/>
          <w:sz w:val="20"/>
          <w:szCs w:val="20"/>
          <w:lang w:val="en-US"/>
        </w:rPr>
        <w:t xml:space="preserve"> </w:t>
      </w:r>
      <w:r w:rsidRPr="00CC562A">
        <w:rPr>
          <w:rFonts w:ascii="Cambria" w:hAnsi="Cambria"/>
          <w:sz w:val="20"/>
          <w:szCs w:val="20"/>
          <w:lang w:val="en-US"/>
        </w:rPr>
        <w:t>to implement the National Registry of Deceased, Unidentified, and Unclaimed Persons in accordance with the General Law on Disappearances.</w:t>
      </w:r>
      <w:r w:rsidR="0914DCEB" w:rsidRPr="00CC562A">
        <w:rPr>
          <w:rFonts w:ascii="Cambria" w:hAnsi="Cambria"/>
          <w:sz w:val="20"/>
          <w:szCs w:val="20"/>
          <w:lang w:val="en-US"/>
        </w:rPr>
        <w:t xml:space="preserve"> </w:t>
      </w:r>
      <w:r w:rsidR="00F108AA" w:rsidRPr="00CC562A">
        <w:rPr>
          <w:rFonts w:ascii="Cambria" w:hAnsi="Cambria"/>
          <w:sz w:val="20"/>
          <w:szCs w:val="20"/>
          <w:lang w:val="en-US"/>
        </w:rPr>
        <w:t>In addition,</w:t>
      </w:r>
      <w:r w:rsidR="0914DCEB" w:rsidRPr="00CC562A">
        <w:rPr>
          <w:rFonts w:ascii="Cambria" w:hAnsi="Cambria"/>
          <w:sz w:val="20"/>
          <w:szCs w:val="20"/>
          <w:lang w:val="en-US"/>
        </w:rPr>
        <w:t xml:space="preserve"> </w:t>
      </w:r>
      <w:r w:rsidR="00276638" w:rsidRPr="00CC562A">
        <w:rPr>
          <w:rFonts w:ascii="Cambria" w:hAnsi="Cambria"/>
          <w:sz w:val="20"/>
          <w:szCs w:val="20"/>
          <w:lang w:val="en-US"/>
        </w:rPr>
        <w:t>the IACHR</w:t>
      </w:r>
      <w:r w:rsidR="0914DCEB" w:rsidRPr="00CC562A">
        <w:rPr>
          <w:rFonts w:ascii="Cambria" w:hAnsi="Cambria"/>
          <w:sz w:val="20"/>
          <w:szCs w:val="20"/>
          <w:lang w:val="en-US"/>
        </w:rPr>
        <w:t xml:space="preserve"> t</w:t>
      </w:r>
      <w:r w:rsidRPr="00CC562A">
        <w:rPr>
          <w:rFonts w:ascii="Cambria" w:hAnsi="Cambria"/>
          <w:sz w:val="20"/>
          <w:szCs w:val="20"/>
          <w:lang w:val="en-US"/>
        </w:rPr>
        <w:t>akes note of the CNB’s proposal to adopt a comprehensive approach to the search for the disappeared through the search for patterns, a broad approach to searches, and cooperation among local and federal authorities. Similarly,</w:t>
      </w:r>
      <w:r w:rsidR="0914DCEB" w:rsidRPr="00CC562A">
        <w:rPr>
          <w:rFonts w:ascii="Cambria" w:hAnsi="Cambria"/>
          <w:sz w:val="20"/>
          <w:szCs w:val="20"/>
          <w:lang w:val="en-US"/>
        </w:rPr>
        <w:t xml:space="preserve"> </w:t>
      </w:r>
      <w:r w:rsidR="00752FED" w:rsidRPr="00CC562A">
        <w:rPr>
          <w:rFonts w:ascii="Cambria" w:hAnsi="Cambria"/>
          <w:sz w:val="20"/>
          <w:szCs w:val="20"/>
          <w:lang w:val="en-US"/>
        </w:rPr>
        <w:t>the State</w:t>
      </w:r>
      <w:r w:rsidR="0914DCEB" w:rsidRPr="00CC562A">
        <w:rPr>
          <w:rFonts w:ascii="Cambria" w:hAnsi="Cambria"/>
          <w:sz w:val="20"/>
          <w:szCs w:val="20"/>
          <w:lang w:val="en-US"/>
        </w:rPr>
        <w:t xml:space="preserve"> </w:t>
      </w:r>
      <w:r w:rsidRPr="00CC562A">
        <w:rPr>
          <w:rFonts w:ascii="Cambria" w:hAnsi="Cambria"/>
          <w:sz w:val="20"/>
          <w:szCs w:val="20"/>
          <w:lang w:val="en-US"/>
        </w:rPr>
        <w:t>shares in the creation of two human identification centers using a mass approach</w:t>
      </w:r>
      <w:r w:rsidR="0914DCEB" w:rsidRPr="00CC562A">
        <w:rPr>
          <w:rFonts w:ascii="Cambria" w:hAnsi="Cambria"/>
          <w:sz w:val="20"/>
          <w:szCs w:val="20"/>
          <w:lang w:val="en-US"/>
        </w:rPr>
        <w:t xml:space="preserve">. </w:t>
      </w:r>
      <w:r w:rsidR="00F108AA" w:rsidRPr="00CC562A">
        <w:rPr>
          <w:rFonts w:ascii="Cambria" w:hAnsi="Cambria"/>
          <w:sz w:val="20"/>
          <w:szCs w:val="20"/>
          <w:lang w:val="en-US"/>
        </w:rPr>
        <w:t>In addition,</w:t>
      </w:r>
      <w:r w:rsidR="0FACDBFA" w:rsidRPr="00CC562A">
        <w:rPr>
          <w:rFonts w:ascii="Cambria" w:hAnsi="Cambria"/>
          <w:sz w:val="20"/>
          <w:szCs w:val="20"/>
          <w:lang w:val="en-US"/>
        </w:rPr>
        <w:t xml:space="preserve"> </w:t>
      </w:r>
      <w:r w:rsidRPr="00CC562A">
        <w:rPr>
          <w:rFonts w:ascii="Cambria" w:hAnsi="Cambria"/>
          <w:sz w:val="20"/>
          <w:szCs w:val="20"/>
          <w:lang w:val="en-US"/>
        </w:rPr>
        <w:t xml:space="preserve">the Commission notes the </w:t>
      </w:r>
      <w:r w:rsidR="00FD68B0" w:rsidRPr="00CC562A">
        <w:rPr>
          <w:rFonts w:ascii="Cambria" w:hAnsi="Cambria"/>
          <w:sz w:val="20"/>
          <w:szCs w:val="20"/>
          <w:lang w:val="en-US"/>
        </w:rPr>
        <w:t xml:space="preserve">observation made by the </w:t>
      </w:r>
      <w:r w:rsidRPr="00CC562A">
        <w:rPr>
          <w:rFonts w:ascii="Cambria" w:hAnsi="Cambria"/>
          <w:sz w:val="20"/>
          <w:szCs w:val="20"/>
          <w:lang w:val="en-US"/>
        </w:rPr>
        <w:t>PRODH Center</w:t>
      </w:r>
      <w:r w:rsidR="00F7756F" w:rsidRPr="00CC562A">
        <w:rPr>
          <w:rStyle w:val="FootnoteReference"/>
          <w:rFonts w:ascii="Cambria" w:hAnsi="Cambria"/>
          <w:sz w:val="20"/>
          <w:szCs w:val="20"/>
          <w:lang w:val="en-US"/>
        </w:rPr>
        <w:footnoteReference w:id="140"/>
      </w:r>
      <w:r w:rsidR="0914DCEB" w:rsidRPr="00CC562A">
        <w:rPr>
          <w:rFonts w:ascii="Cambria" w:hAnsi="Cambria"/>
          <w:sz w:val="20"/>
          <w:szCs w:val="20"/>
          <w:lang w:val="en-US"/>
        </w:rPr>
        <w:t xml:space="preserve"> </w:t>
      </w:r>
      <w:r w:rsidR="00FD68B0" w:rsidRPr="00CC562A">
        <w:rPr>
          <w:rFonts w:ascii="Cambria" w:hAnsi="Cambria"/>
          <w:sz w:val="20"/>
          <w:szCs w:val="20"/>
          <w:lang w:val="en-US"/>
        </w:rPr>
        <w:t xml:space="preserve">that the </w:t>
      </w:r>
      <w:r w:rsidR="5CD5C053" w:rsidRPr="00CC562A">
        <w:rPr>
          <w:rFonts w:ascii="Cambria" w:hAnsi="Cambria"/>
          <w:sz w:val="20"/>
          <w:szCs w:val="20"/>
          <w:lang w:val="en-US"/>
        </w:rPr>
        <w:t>MEIF</w:t>
      </w:r>
      <w:r w:rsidR="4D87637B" w:rsidRPr="00CC562A">
        <w:rPr>
          <w:rFonts w:ascii="Cambria" w:hAnsi="Cambria"/>
          <w:sz w:val="20"/>
          <w:szCs w:val="20"/>
          <w:lang w:val="en-US"/>
        </w:rPr>
        <w:t xml:space="preserve"> </w:t>
      </w:r>
      <w:r w:rsidR="00FD68B0" w:rsidRPr="00CC562A">
        <w:rPr>
          <w:rFonts w:ascii="Cambria" w:hAnsi="Cambria"/>
          <w:sz w:val="20"/>
          <w:szCs w:val="20"/>
          <w:lang w:val="en-US"/>
        </w:rPr>
        <w:t xml:space="preserve">is only present in three of </w:t>
      </w:r>
      <w:r w:rsidR="00B71228" w:rsidRPr="00CC562A">
        <w:rPr>
          <w:rFonts w:ascii="Cambria" w:hAnsi="Cambria"/>
          <w:sz w:val="20"/>
          <w:szCs w:val="20"/>
          <w:lang w:val="en-US"/>
        </w:rPr>
        <w:t>Mexico’s</w:t>
      </w:r>
      <w:r w:rsidR="00FD68B0" w:rsidRPr="00CC562A">
        <w:rPr>
          <w:rFonts w:ascii="Cambria" w:hAnsi="Cambria"/>
          <w:sz w:val="20"/>
          <w:szCs w:val="20"/>
          <w:lang w:val="en-US"/>
        </w:rPr>
        <w:t xml:space="preserve"> </w:t>
      </w:r>
      <w:r w:rsidR="0914DCEB" w:rsidRPr="00CC562A">
        <w:rPr>
          <w:rFonts w:ascii="Cambria" w:hAnsi="Cambria"/>
          <w:sz w:val="20"/>
          <w:szCs w:val="20"/>
          <w:lang w:val="en-US"/>
        </w:rPr>
        <w:t>32</w:t>
      </w:r>
      <w:r w:rsidR="00FD68B0" w:rsidRPr="00CC562A">
        <w:rPr>
          <w:rFonts w:ascii="Cambria" w:hAnsi="Cambria"/>
          <w:sz w:val="20"/>
          <w:szCs w:val="20"/>
          <w:lang w:val="en-US"/>
        </w:rPr>
        <w:t xml:space="preserve"> </w:t>
      </w:r>
      <w:r w:rsidR="00365543" w:rsidRPr="00CC562A">
        <w:rPr>
          <w:rFonts w:ascii="Cambria" w:hAnsi="Cambria"/>
          <w:sz w:val="20"/>
          <w:szCs w:val="20"/>
          <w:lang w:val="en-US"/>
        </w:rPr>
        <w:t>states</w:t>
      </w:r>
      <w:r w:rsidR="00FD68B0" w:rsidRPr="00CC562A">
        <w:rPr>
          <w:rFonts w:ascii="Cambria" w:hAnsi="Cambria"/>
          <w:sz w:val="20"/>
          <w:szCs w:val="20"/>
          <w:lang w:val="en-US"/>
        </w:rPr>
        <w:t xml:space="preserve">. Similarly, civil society reiterates that instruments of this type prove to be ineffective </w:t>
      </w:r>
      <w:r w:rsidR="00B71228" w:rsidRPr="00CC562A">
        <w:rPr>
          <w:rFonts w:ascii="Cambria" w:hAnsi="Cambria"/>
          <w:sz w:val="20"/>
          <w:szCs w:val="20"/>
          <w:lang w:val="en-US"/>
        </w:rPr>
        <w:t>in that</w:t>
      </w:r>
      <w:r w:rsidR="00FD68B0" w:rsidRPr="00CC562A">
        <w:rPr>
          <w:rFonts w:ascii="Cambria" w:hAnsi="Cambria"/>
          <w:sz w:val="20"/>
          <w:szCs w:val="20"/>
          <w:lang w:val="en-US"/>
        </w:rPr>
        <w:t xml:space="preserve"> they were not given the human and material resources needed to </w:t>
      </w:r>
      <w:r w:rsidR="00B71228" w:rsidRPr="00CC562A">
        <w:rPr>
          <w:rFonts w:ascii="Cambria" w:hAnsi="Cambria"/>
          <w:sz w:val="20"/>
          <w:szCs w:val="20"/>
          <w:lang w:val="en-US"/>
        </w:rPr>
        <w:t xml:space="preserve">basically </w:t>
      </w:r>
      <w:r w:rsidR="00FD68B0" w:rsidRPr="00CC562A">
        <w:rPr>
          <w:rFonts w:ascii="Cambria" w:hAnsi="Cambria"/>
          <w:sz w:val="20"/>
          <w:szCs w:val="20"/>
          <w:lang w:val="en-US"/>
        </w:rPr>
        <w:t>address the complex context of forensic identification over the long term.</w:t>
      </w:r>
    </w:p>
    <w:p w14:paraId="72490C8B" w14:textId="0B099C4B" w:rsidR="00413965" w:rsidRPr="00CC562A" w:rsidRDefault="00413965" w:rsidP="00413965">
      <w:pPr>
        <w:spacing w:after="0" w:line="240" w:lineRule="auto"/>
        <w:jc w:val="both"/>
        <w:rPr>
          <w:rFonts w:ascii="Cambria" w:eastAsia="Cambria" w:hAnsi="Cambria" w:cs="Cambria"/>
          <w:sz w:val="20"/>
          <w:szCs w:val="20"/>
          <w:lang w:val="en-US"/>
        </w:rPr>
      </w:pPr>
    </w:p>
    <w:p w14:paraId="2723CC27" w14:textId="725F05D1" w:rsidR="00522749" w:rsidRPr="00CC562A" w:rsidRDefault="00FD68B0"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this context, although the Mexican State has undertaken institutional efforts to address the crisis of disappearances and human identification, the complex scenario requires coordinated activity by </w:t>
      </w:r>
      <w:r w:rsidR="007677D2" w:rsidRPr="00CC562A">
        <w:rPr>
          <w:rFonts w:ascii="Cambria" w:hAnsi="Cambria"/>
          <w:sz w:val="20"/>
          <w:lang w:val="en-US"/>
        </w:rPr>
        <w:t>federal</w:t>
      </w:r>
      <w:r w:rsidR="007A11C8" w:rsidRPr="00CC562A">
        <w:rPr>
          <w:rFonts w:ascii="Cambria" w:hAnsi="Cambria"/>
          <w:sz w:val="20"/>
          <w:lang w:val="en-US"/>
        </w:rPr>
        <w:t xml:space="preserve"> and state authorities,</w:t>
      </w:r>
      <w:r w:rsidRPr="00CC562A">
        <w:rPr>
          <w:rFonts w:ascii="Cambria" w:hAnsi="Cambria"/>
          <w:sz w:val="20"/>
          <w:szCs w:val="20"/>
          <w:lang w:val="en-US"/>
        </w:rPr>
        <w:t xml:space="preserve"> and an institutional effort by the State to counteract the humanitarian crisis in this area. Based on these considerations, </w:t>
      </w:r>
      <w:r w:rsidR="00276638" w:rsidRPr="00CC562A">
        <w:rPr>
          <w:rFonts w:ascii="Cambria" w:hAnsi="Cambria"/>
          <w:sz w:val="20"/>
          <w:szCs w:val="20"/>
          <w:lang w:val="en-US"/>
        </w:rPr>
        <w:t>the IACHR</w:t>
      </w:r>
      <w:r w:rsidR="00156468" w:rsidRPr="00CC562A">
        <w:rPr>
          <w:rFonts w:ascii="Cambria" w:hAnsi="Cambria"/>
          <w:sz w:val="20"/>
          <w:szCs w:val="20"/>
          <w:lang w:val="en-US"/>
        </w:rPr>
        <w:t xml:space="preserve"> knows that these extraordinary measures have a planning phase for consolidating the operation by </w:t>
      </w:r>
      <w:r w:rsidR="0914DCEB" w:rsidRPr="00CC562A">
        <w:rPr>
          <w:rFonts w:ascii="Cambria" w:hAnsi="Cambria"/>
          <w:sz w:val="20"/>
          <w:szCs w:val="20"/>
          <w:lang w:val="en-US"/>
        </w:rPr>
        <w:t>2024</w:t>
      </w:r>
      <w:r w:rsidR="00156468" w:rsidRPr="00CC562A">
        <w:rPr>
          <w:rFonts w:ascii="Cambria" w:hAnsi="Cambria"/>
          <w:sz w:val="20"/>
          <w:szCs w:val="20"/>
          <w:lang w:val="en-US"/>
        </w:rPr>
        <w:t>.</w:t>
      </w:r>
      <w:r w:rsidR="00F7756F" w:rsidRPr="00CC562A">
        <w:rPr>
          <w:rStyle w:val="FootnoteReference"/>
          <w:rFonts w:ascii="Cambria" w:hAnsi="Cambria"/>
          <w:sz w:val="20"/>
          <w:szCs w:val="20"/>
          <w:lang w:val="en-US"/>
        </w:rPr>
        <w:footnoteReference w:id="141"/>
      </w:r>
      <w:r w:rsidR="00156468" w:rsidRPr="00CC562A">
        <w:rPr>
          <w:rFonts w:ascii="Cambria" w:hAnsi="Cambria"/>
          <w:sz w:val="20"/>
          <w:szCs w:val="20"/>
          <w:lang w:val="en-US"/>
        </w:rPr>
        <w:t xml:space="preserve"> However, it is timely to reiterate to the State how important it is that the registry fulfill its purpose in the work of forensic identification and guarantee everyone’s right to be the subject of a search. Based on the foregoing, the Commission considers that there is </w:t>
      </w:r>
      <w:r w:rsidR="00156468" w:rsidRPr="00CC562A">
        <w:rPr>
          <w:rFonts w:ascii="Cambria" w:hAnsi="Cambria"/>
          <w:b/>
          <w:bCs/>
          <w:sz w:val="20"/>
          <w:szCs w:val="20"/>
          <w:lang w:val="en-US"/>
        </w:rPr>
        <w:t xml:space="preserve">partial compliance </w:t>
      </w:r>
      <w:r w:rsidR="00156468" w:rsidRPr="00CC562A">
        <w:rPr>
          <w:rFonts w:ascii="Cambria" w:hAnsi="Cambria"/>
          <w:sz w:val="20"/>
          <w:szCs w:val="20"/>
          <w:lang w:val="en-US"/>
        </w:rPr>
        <w:t>with the recommendation</w:t>
      </w:r>
      <w:r w:rsidR="0914DCEB" w:rsidRPr="00CC562A">
        <w:rPr>
          <w:rFonts w:ascii="Cambria" w:hAnsi="Cambria"/>
          <w:b/>
          <w:bCs/>
          <w:sz w:val="20"/>
          <w:szCs w:val="20"/>
          <w:lang w:val="en-US"/>
        </w:rPr>
        <w:t>.</w:t>
      </w:r>
    </w:p>
    <w:p w14:paraId="766FD25A"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3BF60377" w14:textId="7A516C04" w:rsidR="003F22A5" w:rsidRPr="00CC562A" w:rsidRDefault="00E8033B"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00413965" w:rsidRPr="00CC562A">
        <w:rPr>
          <w:rFonts w:ascii="Cambria" w:eastAsia="Cambria" w:hAnsi="Cambria" w:cs="Cambria"/>
          <w:sz w:val="20"/>
          <w:szCs w:val="20"/>
          <w:lang w:val="en-US"/>
        </w:rPr>
        <w:t xml:space="preserve">, </w:t>
      </w:r>
      <w:r w:rsidR="00156468" w:rsidRPr="00CC562A">
        <w:rPr>
          <w:rFonts w:ascii="Cambria" w:eastAsia="Cambria" w:hAnsi="Cambria" w:cs="Cambria"/>
          <w:sz w:val="20"/>
          <w:szCs w:val="20"/>
          <w:lang w:val="en-US"/>
        </w:rPr>
        <w:t xml:space="preserve">although there are various databases reported by the State </w:t>
      </w:r>
      <w:proofErr w:type="gramStart"/>
      <w:r w:rsidR="00156468" w:rsidRPr="00CC562A">
        <w:rPr>
          <w:rFonts w:ascii="Cambria" w:eastAsia="Cambria" w:hAnsi="Cambria" w:cs="Cambria"/>
          <w:sz w:val="20"/>
          <w:szCs w:val="20"/>
          <w:lang w:val="en-US"/>
        </w:rPr>
        <w:t>with regard to</w:t>
      </w:r>
      <w:proofErr w:type="gramEnd"/>
      <w:r w:rsidR="00156468" w:rsidRPr="00CC562A">
        <w:rPr>
          <w:rFonts w:ascii="Cambria" w:eastAsia="Cambria" w:hAnsi="Cambria" w:cs="Cambria"/>
          <w:sz w:val="20"/>
          <w:szCs w:val="20"/>
          <w:lang w:val="en-US"/>
        </w:rPr>
        <w:t xml:space="preserve"> unidentified remains, the Commission urges the State to establish a uniform registry with concentrated information that is systematized using an objective and transparent methodology that facilitates </w:t>
      </w:r>
      <w:r w:rsidR="00EA6727" w:rsidRPr="00CC562A">
        <w:rPr>
          <w:rFonts w:ascii="Cambria" w:eastAsia="Cambria" w:hAnsi="Cambria" w:cs="Cambria"/>
          <w:sz w:val="20"/>
          <w:szCs w:val="20"/>
          <w:lang w:val="en-US"/>
        </w:rPr>
        <w:t xml:space="preserve">access to the information by people </w:t>
      </w:r>
      <w:r w:rsidR="00B71228" w:rsidRPr="00CC562A">
        <w:rPr>
          <w:rFonts w:ascii="Cambria" w:eastAsia="Cambria" w:hAnsi="Cambria" w:cs="Cambria"/>
          <w:sz w:val="20"/>
          <w:szCs w:val="20"/>
          <w:lang w:val="en-US"/>
        </w:rPr>
        <w:t>searching</w:t>
      </w:r>
      <w:r w:rsidR="00EA6727" w:rsidRPr="00CC562A">
        <w:rPr>
          <w:rFonts w:ascii="Cambria" w:eastAsia="Cambria" w:hAnsi="Cambria" w:cs="Cambria"/>
          <w:sz w:val="20"/>
          <w:szCs w:val="20"/>
          <w:lang w:val="en-US"/>
        </w:rPr>
        <w:t xml:space="preserve"> for their disappeared family members.</w:t>
      </w:r>
      <w:r w:rsidR="1B575601"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1B575601" w:rsidRPr="00CC562A">
        <w:rPr>
          <w:rFonts w:ascii="Cambria" w:eastAsia="Cambria" w:hAnsi="Cambria" w:cs="Cambria"/>
          <w:sz w:val="20"/>
          <w:szCs w:val="20"/>
          <w:lang w:val="en-US"/>
        </w:rPr>
        <w:t xml:space="preserve"> </w:t>
      </w:r>
      <w:r w:rsidR="00EA6727" w:rsidRPr="00CC562A">
        <w:rPr>
          <w:rFonts w:ascii="Cambria" w:eastAsia="Cambria" w:hAnsi="Cambria" w:cs="Cambria"/>
          <w:sz w:val="20"/>
          <w:szCs w:val="20"/>
          <w:lang w:val="en-US"/>
        </w:rPr>
        <w:t xml:space="preserve">the Commission suggests that the </w:t>
      </w:r>
      <w:r w:rsidR="00752FED" w:rsidRPr="00CC562A">
        <w:rPr>
          <w:rFonts w:ascii="Cambria" w:eastAsia="Cambria" w:hAnsi="Cambria" w:cs="Cambria"/>
          <w:sz w:val="20"/>
          <w:szCs w:val="20"/>
          <w:lang w:val="en-US"/>
        </w:rPr>
        <w:t>State</w:t>
      </w:r>
      <w:r w:rsidR="00413965" w:rsidRPr="00CC562A">
        <w:rPr>
          <w:rFonts w:ascii="Cambria" w:eastAsia="Cambria" w:hAnsi="Cambria" w:cs="Cambria"/>
          <w:sz w:val="20"/>
          <w:szCs w:val="20"/>
          <w:lang w:val="en-US"/>
        </w:rPr>
        <w:t xml:space="preserve"> </w:t>
      </w:r>
      <w:r w:rsidR="00EA6727" w:rsidRPr="00CC562A">
        <w:rPr>
          <w:rFonts w:ascii="Cambria" w:eastAsia="Cambria" w:hAnsi="Cambria" w:cs="Cambria"/>
          <w:sz w:val="20"/>
          <w:szCs w:val="20"/>
          <w:lang w:val="en-US"/>
        </w:rPr>
        <w:t>take actions to ensure that databases that have been designed with respect to the location of the remains of persons who suffered violent deaths and clandestine graves begin to operate effectively</w:t>
      </w:r>
      <w:r w:rsidR="1B575601" w:rsidRPr="00CC562A">
        <w:rPr>
          <w:rFonts w:ascii="Cambria" w:eastAsia="Cambria" w:hAnsi="Cambria" w:cs="Cambria"/>
          <w:sz w:val="20"/>
          <w:szCs w:val="20"/>
          <w:lang w:val="en-US"/>
        </w:rPr>
        <w:t>.</w:t>
      </w:r>
    </w:p>
    <w:p w14:paraId="7753800C"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36342459" w14:textId="36CF55E9" w:rsidR="007677D2" w:rsidRPr="00CC562A" w:rsidRDefault="00EA6727" w:rsidP="007677D2">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Regarding the recommendation</w:t>
      </w:r>
      <w:r w:rsidR="009719EC" w:rsidRPr="00CC562A">
        <w:rPr>
          <w:rFonts w:ascii="Cambria" w:eastAsia="Cambria" w:hAnsi="Cambria" w:cs="Cambria"/>
          <w:sz w:val="20"/>
          <w:szCs w:val="20"/>
          <w:lang w:val="en-US"/>
        </w:rPr>
        <w:t xml:space="preserve"> to create an </w:t>
      </w:r>
      <w:r w:rsidR="009719EC" w:rsidRPr="00CC562A">
        <w:rPr>
          <w:rFonts w:ascii="Cambria" w:hAnsi="Cambria"/>
          <w:b/>
          <w:bCs/>
          <w:sz w:val="20"/>
          <w:szCs w:val="20"/>
          <w:lang w:val="en-US"/>
        </w:rPr>
        <w:t>autonomous national institution for forensic services</w:t>
      </w:r>
      <w:r w:rsidR="6C032B4E"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1C8A8B76"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009719EC" w:rsidRPr="00CC562A">
        <w:rPr>
          <w:rFonts w:ascii="Cambria" w:eastAsia="Cambria" w:hAnsi="Cambria" w:cs="Cambria"/>
          <w:sz w:val="20"/>
          <w:szCs w:val="20"/>
          <w:lang w:val="en-US"/>
        </w:rPr>
        <w:t xml:space="preserve"> the Regional Human Identification Center (hereinafter “CRIH”) was created</w:t>
      </w:r>
      <w:r w:rsidR="00B71228" w:rsidRPr="00CC562A">
        <w:rPr>
          <w:rFonts w:ascii="Cambria" w:eastAsia="Cambria" w:hAnsi="Cambria" w:cs="Cambria"/>
          <w:sz w:val="20"/>
          <w:szCs w:val="20"/>
          <w:lang w:val="en-US"/>
        </w:rPr>
        <w:t xml:space="preserve"> in August 2020</w:t>
      </w:r>
      <w:r w:rsidR="009719EC" w:rsidRPr="00CC562A">
        <w:rPr>
          <w:rFonts w:ascii="Cambria" w:eastAsia="Cambria" w:hAnsi="Cambria" w:cs="Cambria"/>
          <w:sz w:val="20"/>
          <w:szCs w:val="20"/>
          <w:lang w:val="en-US"/>
        </w:rPr>
        <w:t xml:space="preserve">; it is an expert center specializing in the search for the disappeared </w:t>
      </w:r>
      <w:r w:rsidR="00A643BA" w:rsidRPr="00CC562A">
        <w:rPr>
          <w:rFonts w:ascii="Cambria" w:eastAsia="Cambria" w:hAnsi="Cambria" w:cs="Cambria"/>
          <w:sz w:val="20"/>
          <w:szCs w:val="20"/>
          <w:lang w:val="en-US"/>
        </w:rPr>
        <w:t xml:space="preserve">in order to identify them and </w:t>
      </w:r>
      <w:r w:rsidR="009719EC" w:rsidRPr="00CC562A">
        <w:rPr>
          <w:rFonts w:ascii="Cambria" w:eastAsia="Cambria" w:hAnsi="Cambria" w:cs="Cambria"/>
          <w:sz w:val="20"/>
          <w:szCs w:val="20"/>
          <w:lang w:val="en-US"/>
        </w:rPr>
        <w:t>is located in</w:t>
      </w:r>
      <w:r w:rsidR="3855FC6D" w:rsidRPr="00CC562A">
        <w:rPr>
          <w:rFonts w:ascii="Cambria" w:eastAsia="Cambria" w:hAnsi="Cambria" w:cs="Cambria"/>
          <w:sz w:val="20"/>
          <w:szCs w:val="20"/>
          <w:lang w:val="en-US"/>
        </w:rPr>
        <w:t xml:space="preserve"> Saltillo, </w:t>
      </w:r>
      <w:r w:rsidR="00C80FE5" w:rsidRPr="00CC562A">
        <w:rPr>
          <w:rFonts w:ascii="Cambria" w:eastAsia="Cambria" w:hAnsi="Cambria" w:cs="Cambria"/>
          <w:sz w:val="20"/>
          <w:szCs w:val="20"/>
          <w:lang w:val="en-US"/>
        </w:rPr>
        <w:t>Coahuila</w:t>
      </w:r>
      <w:r w:rsidR="00A643BA" w:rsidRPr="00CC562A">
        <w:rPr>
          <w:rFonts w:ascii="Cambria" w:eastAsia="Cambria" w:hAnsi="Cambria" w:cs="Cambria"/>
          <w:sz w:val="20"/>
          <w:szCs w:val="20"/>
          <w:lang w:val="en-US"/>
        </w:rPr>
        <w:t xml:space="preserve">. It </w:t>
      </w:r>
      <w:r w:rsidR="009719EC" w:rsidRPr="00CC562A">
        <w:rPr>
          <w:rFonts w:ascii="Cambria" w:eastAsia="Cambria" w:hAnsi="Cambria" w:cs="Cambria"/>
          <w:sz w:val="20"/>
          <w:szCs w:val="20"/>
          <w:lang w:val="en-US"/>
        </w:rPr>
        <w:t xml:space="preserve">is a </w:t>
      </w:r>
      <w:r w:rsidR="00C80FE5" w:rsidRPr="00CC562A">
        <w:rPr>
          <w:rFonts w:ascii="Cambria" w:eastAsia="Cambria" w:hAnsi="Cambria" w:cs="Cambria"/>
          <w:sz w:val="20"/>
          <w:szCs w:val="20"/>
          <w:lang w:val="en-US"/>
        </w:rPr>
        <w:t>state</w:t>
      </w:r>
      <w:r w:rsidR="009719EC" w:rsidRPr="00CC562A">
        <w:rPr>
          <w:rFonts w:ascii="Cambria" w:eastAsia="Cambria" w:hAnsi="Cambria" w:cs="Cambria"/>
          <w:sz w:val="20"/>
          <w:szCs w:val="20"/>
          <w:lang w:val="en-US"/>
        </w:rPr>
        <w:t xml:space="preserve"> project </w:t>
      </w:r>
      <w:r w:rsidR="00A643BA" w:rsidRPr="00CC562A">
        <w:rPr>
          <w:rFonts w:ascii="Cambria" w:eastAsia="Cambria" w:hAnsi="Cambria" w:cs="Cambria"/>
          <w:sz w:val="20"/>
          <w:szCs w:val="20"/>
          <w:lang w:val="en-US"/>
        </w:rPr>
        <w:t>involving the</w:t>
      </w:r>
      <w:r w:rsidR="3855FC6D" w:rsidRPr="00CC562A">
        <w:rPr>
          <w:rFonts w:ascii="Cambria" w:eastAsia="Cambria" w:hAnsi="Cambria" w:cs="Cambria"/>
          <w:sz w:val="20"/>
          <w:szCs w:val="20"/>
          <w:lang w:val="en-US"/>
        </w:rPr>
        <w:t xml:space="preserve"> </w:t>
      </w:r>
      <w:r w:rsidR="64F833C5" w:rsidRPr="00CC562A">
        <w:rPr>
          <w:rFonts w:ascii="Cambria" w:eastAsia="Cambria" w:hAnsi="Cambria" w:cs="Cambria"/>
          <w:sz w:val="20"/>
          <w:szCs w:val="20"/>
          <w:lang w:val="en-US"/>
        </w:rPr>
        <w:t>CNB, CLB</w:t>
      </w:r>
      <w:r w:rsidR="00A643BA" w:rsidRPr="00CC562A">
        <w:rPr>
          <w:rFonts w:ascii="Cambria" w:eastAsia="Cambria" w:hAnsi="Cambria" w:cs="Cambria"/>
          <w:sz w:val="20"/>
          <w:szCs w:val="20"/>
          <w:lang w:val="en-US"/>
        </w:rPr>
        <w:t>s</w:t>
      </w:r>
      <w:r w:rsidR="3855FC6D" w:rsidRPr="00CC562A">
        <w:rPr>
          <w:rFonts w:ascii="Cambria" w:eastAsia="Cambria" w:hAnsi="Cambria" w:cs="Cambria"/>
          <w:sz w:val="20"/>
          <w:szCs w:val="20"/>
          <w:lang w:val="en-US"/>
        </w:rPr>
        <w:t xml:space="preserve">, </w:t>
      </w:r>
      <w:r w:rsidR="439ACC71" w:rsidRPr="00CC562A">
        <w:rPr>
          <w:rFonts w:ascii="Cambria" w:eastAsia="Cambria" w:hAnsi="Cambria" w:cs="Cambria"/>
          <w:sz w:val="20"/>
          <w:szCs w:val="20"/>
          <w:lang w:val="en-US"/>
        </w:rPr>
        <w:t>FGR</w:t>
      </w:r>
      <w:r w:rsidR="1C8A8B76" w:rsidRPr="00CC562A">
        <w:rPr>
          <w:rFonts w:ascii="Cambria" w:eastAsia="Cambria" w:hAnsi="Cambria" w:cs="Cambria"/>
          <w:sz w:val="20"/>
          <w:szCs w:val="20"/>
          <w:lang w:val="en-US"/>
        </w:rPr>
        <w:t xml:space="preserve">, </w:t>
      </w:r>
      <w:r w:rsidR="00A643BA" w:rsidRPr="00CC562A">
        <w:rPr>
          <w:rFonts w:ascii="Cambria" w:eastAsia="Cambria" w:hAnsi="Cambria" w:cs="Cambria"/>
          <w:sz w:val="20"/>
          <w:szCs w:val="20"/>
          <w:lang w:val="en-US"/>
        </w:rPr>
        <w:t>state and federal government, promoted and monitored by the families of the disappeared</w:t>
      </w:r>
      <w:r w:rsidR="3855FC6D" w:rsidRPr="00CC562A">
        <w:rPr>
          <w:rFonts w:ascii="Cambria" w:eastAsia="Cambria" w:hAnsi="Cambria" w:cs="Cambria"/>
          <w:sz w:val="20"/>
          <w:szCs w:val="20"/>
          <w:lang w:val="en-US"/>
        </w:rPr>
        <w:t>. </w:t>
      </w:r>
      <w:r w:rsidR="00752FED" w:rsidRPr="00CC562A">
        <w:rPr>
          <w:rFonts w:ascii="Cambria" w:eastAsia="Cambria" w:hAnsi="Cambria" w:cs="Cambria"/>
          <w:sz w:val="20"/>
          <w:szCs w:val="20"/>
          <w:lang w:val="en-US"/>
        </w:rPr>
        <w:t>The State</w:t>
      </w:r>
      <w:r w:rsidR="1C8A8B76" w:rsidRPr="00CC562A">
        <w:rPr>
          <w:rFonts w:ascii="Cambria" w:eastAsia="Cambria" w:hAnsi="Cambria" w:cs="Cambria"/>
          <w:sz w:val="20"/>
          <w:szCs w:val="20"/>
          <w:lang w:val="en-US"/>
        </w:rPr>
        <w:t xml:space="preserve"> </w:t>
      </w:r>
      <w:r w:rsidR="008251F5" w:rsidRPr="00CC562A">
        <w:rPr>
          <w:rFonts w:ascii="Cambria" w:eastAsia="Cambria" w:hAnsi="Cambria" w:cs="Cambria"/>
          <w:sz w:val="20"/>
          <w:szCs w:val="20"/>
          <w:lang w:val="en-US"/>
        </w:rPr>
        <w:t>emphasized that the</w:t>
      </w:r>
      <w:r w:rsidR="3855FC6D" w:rsidRPr="00CC562A">
        <w:rPr>
          <w:rFonts w:ascii="Cambria" w:eastAsia="Cambria" w:hAnsi="Cambria" w:cs="Cambria"/>
          <w:sz w:val="20"/>
          <w:szCs w:val="20"/>
          <w:lang w:val="en-US"/>
        </w:rPr>
        <w:t xml:space="preserve"> CRIH </w:t>
      </w:r>
      <w:r w:rsidR="008251F5" w:rsidRPr="00CC562A">
        <w:rPr>
          <w:rFonts w:ascii="Cambria" w:eastAsia="Cambria" w:hAnsi="Cambria" w:cs="Cambria"/>
          <w:sz w:val="20"/>
          <w:szCs w:val="20"/>
          <w:lang w:val="en-US"/>
        </w:rPr>
        <w:t>is the only entity of its type in Latin America that is set up for the identification of disappeared persons using a mass approach</w:t>
      </w:r>
      <w:r w:rsidR="00946551" w:rsidRPr="00CC562A">
        <w:rPr>
          <w:rStyle w:val="FootnoteReference"/>
          <w:rFonts w:ascii="Cambria" w:eastAsia="Cambria" w:hAnsi="Cambria" w:cs="Cambria"/>
          <w:sz w:val="20"/>
          <w:szCs w:val="20"/>
          <w:lang w:val="en-US"/>
        </w:rPr>
        <w:footnoteReference w:id="142"/>
      </w:r>
      <w:r w:rsidR="3855FC6D" w:rsidRPr="00CC562A">
        <w:rPr>
          <w:rFonts w:ascii="Cambria" w:eastAsia="Cambria" w:hAnsi="Cambria" w:cs="Cambria"/>
          <w:sz w:val="20"/>
          <w:szCs w:val="20"/>
          <w:lang w:val="en-US"/>
        </w:rPr>
        <w:t>.</w:t>
      </w:r>
    </w:p>
    <w:p w14:paraId="096349F2" w14:textId="77777777" w:rsidR="007677D2" w:rsidRPr="00CC562A" w:rsidRDefault="007677D2" w:rsidP="007677D2">
      <w:pPr>
        <w:spacing w:after="0" w:line="240" w:lineRule="auto"/>
        <w:jc w:val="both"/>
        <w:rPr>
          <w:rFonts w:ascii="Cambria" w:hAnsi="Cambria"/>
          <w:sz w:val="20"/>
          <w:lang w:val="en-US"/>
        </w:rPr>
      </w:pPr>
    </w:p>
    <w:p w14:paraId="16A7960D" w14:textId="295F29FB" w:rsidR="007677D2" w:rsidRPr="00CC562A" w:rsidRDefault="007A11C8" w:rsidP="007677D2">
      <w:pPr>
        <w:numPr>
          <w:ilvl w:val="0"/>
          <w:numId w:val="2"/>
        </w:numPr>
        <w:spacing w:after="0" w:line="240" w:lineRule="auto"/>
        <w:ind w:left="0" w:firstLine="720"/>
        <w:jc w:val="both"/>
        <w:rPr>
          <w:rFonts w:ascii="Cambria" w:hAnsi="Cambria"/>
          <w:color w:val="000000"/>
          <w:sz w:val="20"/>
          <w:lang w:val="en-US"/>
        </w:rPr>
      </w:pPr>
      <w:r w:rsidRPr="00CC562A">
        <w:rPr>
          <w:rFonts w:ascii="Cambria" w:hAnsi="Cambria"/>
          <w:color w:val="000000"/>
          <w:sz w:val="20"/>
          <w:lang w:val="en-US"/>
        </w:rPr>
        <w:t xml:space="preserve">In addition, the State referred to the </w:t>
      </w:r>
      <w:r w:rsidR="007677D2" w:rsidRPr="00CC562A">
        <w:rPr>
          <w:rFonts w:ascii="Cambria" w:hAnsi="Cambria"/>
          <w:color w:val="000000"/>
          <w:sz w:val="20"/>
          <w:lang w:val="en-US"/>
        </w:rPr>
        <w:t>PHI</w:t>
      </w:r>
      <w:r w:rsidR="00804C2C" w:rsidRPr="00CC562A">
        <w:rPr>
          <w:rFonts w:ascii="Cambria" w:hAnsi="Cambria"/>
          <w:color w:val="000000"/>
          <w:sz w:val="20"/>
          <w:lang w:val="en-US"/>
        </w:rPr>
        <w:t>, which</w:t>
      </w:r>
      <w:r w:rsidRPr="00CC562A">
        <w:rPr>
          <w:rFonts w:ascii="Cambria" w:hAnsi="Cambria"/>
          <w:color w:val="000000"/>
          <w:sz w:val="20"/>
          <w:lang w:val="en-US"/>
        </w:rPr>
        <w:t xml:space="preserve"> indicates the procedures carried out by agents of the Attorney General’s Office</w:t>
      </w:r>
      <w:r w:rsidR="007677D2" w:rsidRPr="00CC562A">
        <w:rPr>
          <w:rFonts w:ascii="Cambria" w:hAnsi="Cambria"/>
          <w:color w:val="000000"/>
          <w:sz w:val="20"/>
          <w:lang w:val="en-US"/>
        </w:rPr>
        <w:t xml:space="preserve"> </w:t>
      </w:r>
      <w:r w:rsidR="00AE7C2E" w:rsidRPr="00CC562A">
        <w:rPr>
          <w:rFonts w:ascii="Cambria" w:hAnsi="Cambria"/>
          <w:color w:val="000000"/>
          <w:sz w:val="20"/>
          <w:lang w:val="en-US"/>
        </w:rPr>
        <w:t xml:space="preserve">to request suitable expert evidence </w:t>
      </w:r>
      <w:r w:rsidR="00A2187F" w:rsidRPr="00CC562A">
        <w:rPr>
          <w:rFonts w:ascii="Cambria" w:hAnsi="Cambria"/>
          <w:color w:val="000000"/>
          <w:sz w:val="20"/>
          <w:lang w:val="en-US"/>
        </w:rPr>
        <w:t>when</w:t>
      </w:r>
      <w:r w:rsidR="00AE7C2E" w:rsidRPr="00CC562A">
        <w:rPr>
          <w:rFonts w:ascii="Cambria" w:hAnsi="Cambria"/>
          <w:color w:val="000000"/>
          <w:sz w:val="20"/>
          <w:lang w:val="en-US"/>
        </w:rPr>
        <w:t xml:space="preserve"> locating and identifying a deceased person, as well as the corresponding procedure for notification and delivery of the body.</w:t>
      </w:r>
      <w:r w:rsidR="007677D2" w:rsidRPr="00CC562A">
        <w:rPr>
          <w:rStyle w:val="FootnoteReference"/>
          <w:rFonts w:ascii="Cambria" w:hAnsi="Cambria"/>
          <w:color w:val="000000"/>
          <w:sz w:val="20"/>
          <w:lang w:val="en-US"/>
        </w:rPr>
        <w:footnoteReference w:id="143"/>
      </w:r>
    </w:p>
    <w:p w14:paraId="4E0772AA"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45129ADD" w14:textId="7C167755" w:rsidR="003F22A5" w:rsidRPr="00CC562A" w:rsidRDefault="003B3143"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PROD</w:t>
      </w:r>
      <w:r w:rsidR="00950050" w:rsidRPr="00CC562A">
        <w:rPr>
          <w:rFonts w:ascii="Cambria" w:eastAsia="Cambria" w:hAnsi="Cambria" w:cs="Cambria"/>
          <w:sz w:val="20"/>
          <w:szCs w:val="20"/>
          <w:lang w:val="en-US"/>
        </w:rPr>
        <w:t>H</w:t>
      </w:r>
      <w:r w:rsidRPr="00CC562A">
        <w:rPr>
          <w:rFonts w:ascii="Cambria" w:eastAsia="Cambria" w:hAnsi="Cambria" w:cs="Cambria"/>
          <w:sz w:val="20"/>
          <w:szCs w:val="20"/>
          <w:lang w:val="en-US"/>
        </w:rPr>
        <w:t xml:space="preserve"> Center</w:t>
      </w:r>
      <w:r w:rsidR="1C8A8B76"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after one year</w:t>
      </w:r>
      <w:r w:rsidR="1C8A8B7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w:t>
      </w:r>
      <w:r w:rsidR="1C8A8B76" w:rsidRPr="00CC562A">
        <w:rPr>
          <w:rFonts w:ascii="Cambria" w:eastAsia="Cambria" w:hAnsi="Cambria" w:cs="Cambria"/>
          <w:sz w:val="20"/>
          <w:szCs w:val="20"/>
          <w:lang w:val="en-US"/>
        </w:rPr>
        <w:t xml:space="preserve"> </w:t>
      </w:r>
      <w:r w:rsidR="439ACC71" w:rsidRPr="00CC562A">
        <w:rPr>
          <w:rFonts w:ascii="Cambria" w:eastAsia="Cambria" w:hAnsi="Cambria" w:cs="Cambria"/>
          <w:sz w:val="20"/>
          <w:szCs w:val="20"/>
          <w:lang w:val="en-US"/>
        </w:rPr>
        <w:t>MEIF</w:t>
      </w:r>
      <w:r w:rsidRPr="00CC562A">
        <w:rPr>
          <w:rFonts w:ascii="Cambria" w:eastAsia="Cambria" w:hAnsi="Cambria" w:cs="Cambria"/>
          <w:sz w:val="20"/>
          <w:szCs w:val="20"/>
          <w:lang w:val="en-US"/>
        </w:rPr>
        <w:t xml:space="preserve"> is operating in three of the </w:t>
      </w:r>
      <w:r w:rsidR="5E992440" w:rsidRPr="00CC562A">
        <w:rPr>
          <w:rFonts w:ascii="Cambria" w:eastAsia="Cambria" w:hAnsi="Cambria" w:cs="Cambria"/>
          <w:sz w:val="20"/>
          <w:szCs w:val="20"/>
          <w:lang w:val="en-US"/>
        </w:rPr>
        <w:t xml:space="preserve">32 </w:t>
      </w:r>
      <w:r w:rsidR="00365543"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and does not have a sufficient budget to operate </w:t>
      </w:r>
      <w:r w:rsidR="00B71228" w:rsidRPr="00CC562A">
        <w:rPr>
          <w:rFonts w:ascii="Cambria" w:eastAsia="Cambria" w:hAnsi="Cambria" w:cs="Cambria"/>
          <w:sz w:val="20"/>
          <w:szCs w:val="20"/>
          <w:lang w:val="en-US"/>
        </w:rPr>
        <w:t>properly</w:t>
      </w:r>
      <w:r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144"/>
      </w:r>
      <w:r w:rsidRPr="00CC562A">
        <w:rPr>
          <w:rFonts w:ascii="Cambria" w:eastAsia="Cambria" w:hAnsi="Cambria" w:cs="Cambria"/>
          <w:sz w:val="20"/>
          <w:szCs w:val="20"/>
          <w:lang w:val="en-US"/>
        </w:rPr>
        <w:t xml:space="preserve"> It </w:t>
      </w:r>
      <w:r w:rsidR="00B71228" w:rsidRPr="00CC562A">
        <w:rPr>
          <w:rFonts w:ascii="Cambria" w:eastAsia="Cambria" w:hAnsi="Cambria" w:cs="Cambria"/>
          <w:sz w:val="20"/>
          <w:szCs w:val="20"/>
          <w:lang w:val="en-US"/>
        </w:rPr>
        <w:t xml:space="preserve">also </w:t>
      </w:r>
      <w:r w:rsidRPr="00CC562A">
        <w:rPr>
          <w:rFonts w:ascii="Cambria" w:eastAsia="Cambria" w:hAnsi="Cambria" w:cs="Cambria"/>
          <w:sz w:val="20"/>
          <w:szCs w:val="20"/>
          <w:lang w:val="en-US"/>
        </w:rPr>
        <w:t xml:space="preserve">reported that although the National Human Identification </w:t>
      </w:r>
      <w:r w:rsidR="00770FDC" w:rsidRPr="00CC562A">
        <w:rPr>
          <w:rFonts w:ascii="Cambria" w:eastAsia="Cambria" w:hAnsi="Cambria" w:cs="Cambria"/>
          <w:sz w:val="20"/>
          <w:szCs w:val="20"/>
          <w:lang w:val="en-US"/>
        </w:rPr>
        <w:t xml:space="preserve">Center </w:t>
      </w:r>
      <w:r w:rsidRPr="00CC562A">
        <w:rPr>
          <w:rFonts w:ascii="Cambria" w:eastAsia="Cambria" w:hAnsi="Cambria" w:cs="Cambria"/>
          <w:sz w:val="20"/>
          <w:szCs w:val="20"/>
          <w:lang w:val="en-US"/>
        </w:rPr>
        <w:t>was created</w:t>
      </w:r>
      <w:r w:rsidR="00B71228"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145"/>
      </w:r>
      <w:r w:rsidR="50D3E9B1"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it </w:t>
      </w:r>
      <w:r w:rsidR="00B71228" w:rsidRPr="00CC562A">
        <w:rPr>
          <w:rFonts w:ascii="Cambria" w:eastAsia="Cambria" w:hAnsi="Cambria" w:cs="Cambria"/>
          <w:sz w:val="20"/>
          <w:szCs w:val="20"/>
          <w:lang w:val="en-US"/>
        </w:rPr>
        <w:t>has no</w:t>
      </w:r>
      <w:r w:rsidRPr="00CC562A">
        <w:rPr>
          <w:rFonts w:ascii="Cambria" w:eastAsia="Cambria" w:hAnsi="Cambria" w:cs="Cambria"/>
          <w:sz w:val="20"/>
          <w:szCs w:val="20"/>
          <w:lang w:val="en-US"/>
        </w:rPr>
        <w:t xml:space="preserve"> budget.</w:t>
      </w:r>
      <w:r w:rsidR="00A06F2A" w:rsidRPr="00CC562A">
        <w:rPr>
          <w:rFonts w:ascii="Cambria" w:eastAsia="Cambria" w:hAnsi="Cambria" w:cs="Cambria"/>
          <w:sz w:val="20"/>
          <w:szCs w:val="20"/>
          <w:vertAlign w:val="superscript"/>
          <w:lang w:val="en-US"/>
        </w:rPr>
        <w:footnoteReference w:id="146"/>
      </w:r>
    </w:p>
    <w:p w14:paraId="5521CE15"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76820D2F" w14:textId="59A0C0A5" w:rsidR="00522749" w:rsidRPr="00CC562A" w:rsidRDefault="00770FDC"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color w:val="000000" w:themeColor="text1"/>
          <w:sz w:val="20"/>
          <w:szCs w:val="20"/>
          <w:lang w:val="en-US"/>
        </w:rPr>
        <w:t xml:space="preserve">Although </w:t>
      </w:r>
      <w:r w:rsidR="00276638" w:rsidRPr="00CC562A">
        <w:rPr>
          <w:rFonts w:ascii="Cambria" w:hAnsi="Cambria"/>
          <w:color w:val="000000"/>
          <w:sz w:val="20"/>
          <w:szCs w:val="20"/>
          <w:lang w:val="en-US"/>
        </w:rPr>
        <w:t>the IACHR</w:t>
      </w:r>
      <w:r w:rsidR="0914DCEB" w:rsidRPr="00CC562A">
        <w:rPr>
          <w:rFonts w:ascii="Cambria" w:hAnsi="Cambria"/>
          <w:color w:val="000000"/>
          <w:sz w:val="20"/>
          <w:szCs w:val="20"/>
          <w:lang w:val="en-US"/>
        </w:rPr>
        <w:t xml:space="preserve"> </w:t>
      </w:r>
      <w:r w:rsidRPr="00CC562A">
        <w:rPr>
          <w:rFonts w:ascii="Cambria" w:hAnsi="Cambria"/>
          <w:color w:val="000000"/>
          <w:sz w:val="20"/>
          <w:szCs w:val="20"/>
          <w:lang w:val="en-US"/>
        </w:rPr>
        <w:t>notes positive actions with respect to human identification policies, there are factors that hamper the consolidation of those policies. The regulatory development of instruments to address the crisis of forensics and expertise with the degree of autonomy established in the recommendation is still incipient. In addition, according to the 2021 Annual Report,</w:t>
      </w:r>
      <w:r w:rsidR="00F7756F" w:rsidRPr="00CC562A">
        <w:rPr>
          <w:rStyle w:val="FootnoteReference"/>
          <w:rFonts w:ascii="Cambria" w:hAnsi="Cambria"/>
          <w:color w:val="000000"/>
          <w:sz w:val="20"/>
          <w:szCs w:val="20"/>
          <w:lang w:val="en-US"/>
        </w:rPr>
        <w:footnoteReference w:id="147"/>
      </w:r>
      <w:r w:rsidR="0914DCEB" w:rsidRPr="00CC562A">
        <w:rPr>
          <w:rFonts w:ascii="Cambria" w:hAnsi="Cambria"/>
          <w:color w:val="000000"/>
          <w:sz w:val="20"/>
          <w:szCs w:val="20"/>
          <w:lang w:val="en-US"/>
        </w:rPr>
        <w:t xml:space="preserve"> </w:t>
      </w:r>
      <w:r w:rsidRPr="00CC562A">
        <w:rPr>
          <w:rFonts w:ascii="Cambria" w:hAnsi="Cambria"/>
          <w:color w:val="000000"/>
          <w:sz w:val="20"/>
          <w:szCs w:val="20"/>
          <w:lang w:val="en-US"/>
        </w:rPr>
        <w:t xml:space="preserve">the lack of coordination among authorities </w:t>
      </w:r>
      <w:r w:rsidRPr="00CC562A">
        <w:rPr>
          <w:rFonts w:ascii="Cambria" w:hAnsi="Cambria"/>
          <w:color w:val="000000"/>
          <w:sz w:val="20"/>
          <w:szCs w:val="20"/>
          <w:lang w:val="en-US"/>
        </w:rPr>
        <w:lastRenderedPageBreak/>
        <w:t xml:space="preserve">has been one of the major impediments confronting the disappeared, search groups, and the CLBs. Based on the foregoing, </w:t>
      </w:r>
      <w:r w:rsidR="00276638" w:rsidRPr="00CC562A">
        <w:rPr>
          <w:rFonts w:ascii="Cambria" w:hAnsi="Cambria"/>
          <w:sz w:val="20"/>
          <w:szCs w:val="20"/>
          <w:lang w:val="en-US"/>
        </w:rPr>
        <w:t>the IACHR</w:t>
      </w:r>
      <w:r w:rsidR="0914DCEB" w:rsidRPr="00CC562A">
        <w:rPr>
          <w:rFonts w:ascii="Cambria" w:hAnsi="Cambria"/>
          <w:sz w:val="20"/>
          <w:szCs w:val="20"/>
          <w:lang w:val="en-US"/>
        </w:rPr>
        <w:t xml:space="preserve"> consider</w:t>
      </w:r>
      <w:r w:rsidRPr="00CC562A">
        <w:rPr>
          <w:rFonts w:ascii="Cambria" w:hAnsi="Cambria"/>
          <w:sz w:val="20"/>
          <w:szCs w:val="20"/>
          <w:lang w:val="en-US"/>
        </w:rPr>
        <w:t xml:space="preserve">s that the recommendation is </w:t>
      </w:r>
      <w:r w:rsidRPr="00CC562A">
        <w:rPr>
          <w:rFonts w:ascii="Cambria" w:hAnsi="Cambria"/>
          <w:b/>
          <w:bCs/>
          <w:sz w:val="20"/>
          <w:szCs w:val="20"/>
          <w:lang w:val="en-US"/>
        </w:rPr>
        <w:t>pending compliance</w:t>
      </w:r>
      <w:r w:rsidR="0914DCEB" w:rsidRPr="00CC562A">
        <w:rPr>
          <w:rFonts w:ascii="Cambria" w:hAnsi="Cambria"/>
          <w:b/>
          <w:bCs/>
          <w:sz w:val="20"/>
          <w:szCs w:val="20"/>
          <w:lang w:val="en-US"/>
        </w:rPr>
        <w:t>.</w:t>
      </w:r>
      <w:r w:rsidR="0914DCEB" w:rsidRPr="00CC562A">
        <w:rPr>
          <w:rFonts w:ascii="Cambria" w:hAnsi="Cambria"/>
          <w:sz w:val="20"/>
          <w:szCs w:val="20"/>
          <w:lang w:val="en-US"/>
        </w:rPr>
        <w:t xml:space="preserve"> </w:t>
      </w:r>
    </w:p>
    <w:p w14:paraId="3D108AF0"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188D440B" w14:textId="187703CA" w:rsidR="003F22A5" w:rsidRPr="00CC562A" w:rsidRDefault="00770FDC"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these terms, with a view </w:t>
      </w:r>
      <w:r w:rsidR="00B71228" w:rsidRPr="00CC562A">
        <w:rPr>
          <w:rFonts w:ascii="Cambria" w:hAnsi="Cambria"/>
          <w:sz w:val="20"/>
          <w:szCs w:val="20"/>
          <w:lang w:val="en-US"/>
        </w:rPr>
        <w:t>to</w:t>
      </w:r>
      <w:r w:rsidRPr="00CC562A">
        <w:rPr>
          <w:rFonts w:ascii="Cambria" w:hAnsi="Cambria"/>
          <w:sz w:val="20"/>
          <w:szCs w:val="20"/>
          <w:lang w:val="en-US"/>
        </w:rPr>
        <w:t xml:space="preserve"> guiding the implementation of this recommendation, the Commission urges th</w:t>
      </w:r>
      <w:r w:rsidR="00B71228" w:rsidRPr="00CC562A">
        <w:rPr>
          <w:rFonts w:ascii="Cambria" w:hAnsi="Cambria"/>
          <w:sz w:val="20"/>
          <w:szCs w:val="20"/>
          <w:lang w:val="en-US"/>
        </w:rPr>
        <w:t>e</w:t>
      </w:r>
      <w:r w:rsidRPr="00CC562A">
        <w:rPr>
          <w:rFonts w:ascii="Cambria" w:hAnsi="Cambria"/>
          <w:sz w:val="20"/>
          <w:szCs w:val="20"/>
          <w:lang w:val="en-US"/>
        </w:rPr>
        <w:t xml:space="preserve"> State to create a national forensic services institution independent of the prosecutorial and administrative justice entities and, as appropriate, to create comparable institutions within the states. In this regard, the Commission sees fit to indicate that, although the human identification centers point in this direction, it will be important for the State to report on the level of autonomy enjoyed by these institutions in meeting the standard required by this recommendation</w:t>
      </w:r>
      <w:r w:rsidR="50D3E9B1" w:rsidRPr="00CC562A">
        <w:rPr>
          <w:rFonts w:ascii="Cambria" w:hAnsi="Cambria"/>
          <w:sz w:val="20"/>
          <w:szCs w:val="20"/>
          <w:lang w:val="en-US"/>
        </w:rPr>
        <w:t>.</w:t>
      </w:r>
    </w:p>
    <w:p w14:paraId="683250BD"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701CB54E" w14:textId="74A474BD" w:rsidR="00C75F12" w:rsidRPr="00CC562A" w:rsidRDefault="6C032B4E" w:rsidP="00C75F12">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B501DB" w:rsidRPr="00CC562A">
        <w:rPr>
          <w:rFonts w:ascii="Cambria" w:eastAsia="Cambria" w:hAnsi="Cambria" w:cs="Cambria"/>
          <w:sz w:val="20"/>
          <w:szCs w:val="20"/>
          <w:lang w:val="en-US"/>
        </w:rPr>
        <w:t xml:space="preserve">garding the recommendation to </w:t>
      </w:r>
      <w:r w:rsidR="00B501DB" w:rsidRPr="00CC562A">
        <w:rPr>
          <w:rFonts w:ascii="Cambria" w:hAnsi="Cambria"/>
          <w:b/>
          <w:bCs/>
          <w:sz w:val="20"/>
          <w:szCs w:val="20"/>
          <w:lang w:val="en-US"/>
        </w:rPr>
        <w:t>carry out exhumation and identification of remains with strict adherence to the requirement to ensure dignified treatment of the victims’ relatives</w:t>
      </w:r>
      <w:r w:rsidRPr="00CC562A">
        <w:rPr>
          <w:rFonts w:ascii="Cambria" w:hAnsi="Cambria"/>
          <w:b/>
          <w:bCs/>
          <w:sz w:val="20"/>
          <w:szCs w:val="20"/>
          <w:lang w:val="en-US"/>
        </w:rPr>
        <w:t xml:space="preserve">, </w:t>
      </w:r>
      <w:r w:rsidR="00752FED" w:rsidRPr="00CC562A">
        <w:rPr>
          <w:rFonts w:ascii="Cambria" w:hAnsi="Cambria"/>
          <w:sz w:val="20"/>
          <w:szCs w:val="20"/>
          <w:lang w:val="en-US"/>
        </w:rPr>
        <w:t>the State</w:t>
      </w:r>
      <w:r w:rsidR="005845AC" w:rsidRPr="00CC562A">
        <w:rPr>
          <w:rStyle w:val="FootnoteReference"/>
          <w:rFonts w:ascii="Arial" w:hAnsi="Arial" w:cs="Arial"/>
          <w:color w:val="444444"/>
          <w:sz w:val="18"/>
          <w:szCs w:val="18"/>
          <w:shd w:val="clear" w:color="auto" w:fill="FFFFFF"/>
          <w:lang w:val="en-US"/>
        </w:rPr>
        <w:footnoteReference w:id="148"/>
      </w:r>
      <w:r w:rsidRPr="00CC562A">
        <w:rPr>
          <w:rFonts w:ascii="Cambria" w:hAnsi="Cambria"/>
          <w:sz w:val="20"/>
          <w:szCs w:val="20"/>
          <w:lang w:val="en-US"/>
        </w:rPr>
        <w:t xml:space="preserve"> </w:t>
      </w:r>
      <w:r w:rsidR="00B501DB" w:rsidRPr="00CC562A">
        <w:rPr>
          <w:rFonts w:ascii="Cambria" w:hAnsi="Cambria"/>
          <w:sz w:val="20"/>
          <w:szCs w:val="20"/>
          <w:lang w:val="en-US"/>
        </w:rPr>
        <w:t xml:space="preserve">reported that </w:t>
      </w:r>
      <w:r w:rsidR="005F1BAF" w:rsidRPr="00CC562A">
        <w:rPr>
          <w:rFonts w:ascii="Cambria" w:hAnsi="Cambria"/>
          <w:sz w:val="20"/>
          <w:lang w:val="en-US"/>
        </w:rPr>
        <w:t>according to its operational capacity the</w:t>
      </w:r>
      <w:r w:rsidR="007677D2" w:rsidRPr="00CC562A">
        <w:rPr>
          <w:rFonts w:ascii="Cambria" w:hAnsi="Cambria"/>
          <w:sz w:val="20"/>
          <w:lang w:val="en-US"/>
        </w:rPr>
        <w:t xml:space="preserve"> </w:t>
      </w:r>
      <w:hyperlink r:id="rId12" w:history="1">
        <w:r w:rsidR="007677D2" w:rsidRPr="00CC562A">
          <w:rPr>
            <w:rFonts w:ascii="Cambria" w:eastAsia="Cambria" w:hAnsi="Cambria" w:cs="Cambria"/>
            <w:sz w:val="20"/>
            <w:szCs w:val="20"/>
            <w:lang w:val="en-US"/>
          </w:rPr>
          <w:t>CEAV</w:t>
        </w:r>
      </w:hyperlink>
      <w:r w:rsidR="005F1BAF" w:rsidRPr="00CC562A">
        <w:rPr>
          <w:rFonts w:ascii="Cambria" w:eastAsia="Cambria" w:hAnsi="Cambria" w:cs="Cambria"/>
          <w:sz w:val="20"/>
          <w:szCs w:val="20"/>
          <w:lang w:val="en-US"/>
        </w:rPr>
        <w:t xml:space="preserve"> </w:t>
      </w:r>
      <w:r w:rsidR="0B3944D6" w:rsidRPr="00CC562A">
        <w:rPr>
          <w:rFonts w:ascii="Cambria" w:eastAsia="Cambria" w:hAnsi="Cambria" w:cs="Cambria"/>
          <w:sz w:val="20"/>
          <w:szCs w:val="20"/>
          <w:lang w:val="en-US"/>
        </w:rPr>
        <w:t xml:space="preserve"> ha</w:t>
      </w:r>
      <w:r w:rsidR="00B501DB" w:rsidRPr="00CC562A">
        <w:rPr>
          <w:rFonts w:ascii="Cambria" w:eastAsia="Cambria" w:hAnsi="Cambria" w:cs="Cambria"/>
          <w:sz w:val="20"/>
          <w:szCs w:val="20"/>
          <w:lang w:val="en-US"/>
        </w:rPr>
        <w:t xml:space="preserve">s participated in the delivery of human remains in conjunction with the </w:t>
      </w:r>
      <w:r w:rsidR="50D3E9B1" w:rsidRPr="00CC562A">
        <w:rPr>
          <w:rFonts w:ascii="Cambria" w:eastAsia="Cambria" w:hAnsi="Cambria" w:cs="Cambria"/>
          <w:sz w:val="20"/>
          <w:szCs w:val="20"/>
          <w:lang w:val="en-US"/>
        </w:rPr>
        <w:t>FGR</w:t>
      </w:r>
      <w:r w:rsidR="0B3944D6" w:rsidRPr="00CC562A">
        <w:rPr>
          <w:rFonts w:ascii="Cambria" w:eastAsia="Cambria" w:hAnsi="Cambria" w:cs="Cambria"/>
          <w:sz w:val="20"/>
          <w:szCs w:val="20"/>
          <w:lang w:val="en-US"/>
        </w:rPr>
        <w:t xml:space="preserve">, </w:t>
      </w:r>
      <w:r w:rsidR="00B501DB" w:rsidRPr="00CC562A">
        <w:rPr>
          <w:rFonts w:ascii="Cambria" w:eastAsia="Cambria" w:hAnsi="Cambria" w:cs="Cambria"/>
          <w:sz w:val="20"/>
          <w:szCs w:val="20"/>
          <w:lang w:val="en-US"/>
        </w:rPr>
        <w:t xml:space="preserve">providing </w:t>
      </w:r>
      <w:r w:rsidR="005F1BAF" w:rsidRPr="00CC562A">
        <w:rPr>
          <w:rFonts w:ascii="Cambria" w:hAnsi="Cambria"/>
          <w:sz w:val="20"/>
          <w:lang w:val="en-US"/>
        </w:rPr>
        <w:t>comprehensive care</w:t>
      </w:r>
      <w:r w:rsidR="00B501DB" w:rsidRPr="00CC562A">
        <w:rPr>
          <w:rFonts w:ascii="Cambria" w:eastAsia="Cambria" w:hAnsi="Cambria" w:cs="Cambria"/>
          <w:sz w:val="20"/>
          <w:szCs w:val="20"/>
          <w:lang w:val="en-US"/>
        </w:rPr>
        <w:t xml:space="preserve"> to direct and indirect victims with strict adherence to the provisions of the Constitution, the General Law on Victims, and international treaties.</w:t>
      </w:r>
      <w:r w:rsidR="0B3944D6" w:rsidRPr="00CC562A">
        <w:rPr>
          <w:rFonts w:ascii="Cambria" w:eastAsia="Cambria" w:hAnsi="Cambria" w:cs="Cambria"/>
          <w:sz w:val="20"/>
          <w:szCs w:val="20"/>
          <w:lang w:val="en-US"/>
        </w:rPr>
        <w:t xml:space="preserve"> </w:t>
      </w:r>
      <w:r w:rsidR="005F1BAF" w:rsidRPr="00CC562A">
        <w:rPr>
          <w:rFonts w:ascii="Cambria" w:hAnsi="Cambria"/>
          <w:sz w:val="20"/>
          <w:lang w:val="en-US"/>
        </w:rPr>
        <w:t>Thus, the State reported that from February 8,</w:t>
      </w:r>
      <w:r w:rsidR="00C75F12" w:rsidRPr="00CC562A">
        <w:rPr>
          <w:rFonts w:ascii="Cambria" w:hAnsi="Cambria"/>
          <w:sz w:val="20"/>
          <w:lang w:val="en-US"/>
        </w:rPr>
        <w:t xml:space="preserve"> 2019 </w:t>
      </w:r>
      <w:r w:rsidR="005F1BAF" w:rsidRPr="00CC562A">
        <w:rPr>
          <w:rFonts w:ascii="Cambria" w:hAnsi="Cambria"/>
          <w:sz w:val="20"/>
          <w:lang w:val="en-US"/>
        </w:rPr>
        <w:t>to November 24,</w:t>
      </w:r>
      <w:r w:rsidR="00A2187F" w:rsidRPr="00CC562A">
        <w:rPr>
          <w:rFonts w:ascii="Cambria" w:hAnsi="Cambria"/>
          <w:sz w:val="20"/>
          <w:lang w:val="en-US"/>
        </w:rPr>
        <w:t xml:space="preserve"> 2022</w:t>
      </w:r>
      <w:r w:rsidR="00C75F12" w:rsidRPr="00CC562A">
        <w:rPr>
          <w:rFonts w:ascii="Cambria" w:hAnsi="Cambria"/>
          <w:sz w:val="20"/>
          <w:lang w:val="en-US"/>
        </w:rPr>
        <w:t xml:space="preserve"> </w:t>
      </w:r>
      <w:r w:rsidR="005F1BAF" w:rsidRPr="00CC562A">
        <w:rPr>
          <w:rFonts w:ascii="Cambria" w:hAnsi="Cambria"/>
          <w:sz w:val="20"/>
          <w:lang w:val="en-US"/>
        </w:rPr>
        <w:t>the</w:t>
      </w:r>
      <w:r w:rsidR="00C75F12" w:rsidRPr="00CC562A">
        <w:rPr>
          <w:rFonts w:ascii="Cambria" w:hAnsi="Cambria"/>
          <w:sz w:val="20"/>
          <w:lang w:val="en-US"/>
        </w:rPr>
        <w:t xml:space="preserve"> CNB </w:t>
      </w:r>
      <w:r w:rsidR="005F1BAF" w:rsidRPr="00CC562A">
        <w:rPr>
          <w:rFonts w:ascii="Cambria" w:hAnsi="Cambria"/>
          <w:sz w:val="20"/>
          <w:lang w:val="en-US"/>
        </w:rPr>
        <w:t xml:space="preserve">conducted </w:t>
      </w:r>
      <w:r w:rsidR="00C75F12" w:rsidRPr="00CC562A">
        <w:rPr>
          <w:rFonts w:ascii="Cambria" w:hAnsi="Cambria"/>
          <w:sz w:val="20"/>
          <w:lang w:val="en-US"/>
        </w:rPr>
        <w:t>3,431</w:t>
      </w:r>
      <w:r w:rsidR="005F1BAF" w:rsidRPr="00CC562A">
        <w:rPr>
          <w:rFonts w:ascii="Cambria" w:hAnsi="Cambria"/>
          <w:sz w:val="20"/>
          <w:lang w:val="en-US"/>
        </w:rPr>
        <w:t xml:space="preserve"> field search </w:t>
      </w:r>
      <w:r w:rsidR="00A2187F" w:rsidRPr="00CC562A">
        <w:rPr>
          <w:rFonts w:ascii="Cambria" w:hAnsi="Cambria"/>
          <w:sz w:val="20"/>
          <w:lang w:val="en-US"/>
        </w:rPr>
        <w:t>exercises</w:t>
      </w:r>
      <w:r w:rsidR="005F1BAF" w:rsidRPr="00CC562A">
        <w:rPr>
          <w:rFonts w:ascii="Cambria" w:hAnsi="Cambria"/>
          <w:sz w:val="20"/>
          <w:lang w:val="en-US"/>
        </w:rPr>
        <w:t xml:space="preserve"> in</w:t>
      </w:r>
      <w:r w:rsidR="00C75F12" w:rsidRPr="00CC562A">
        <w:rPr>
          <w:rFonts w:ascii="Cambria" w:hAnsi="Cambria"/>
          <w:sz w:val="20"/>
          <w:lang w:val="en-US"/>
        </w:rPr>
        <w:t xml:space="preserve"> 410 municip</w:t>
      </w:r>
      <w:r w:rsidR="005F1BAF" w:rsidRPr="00CC562A">
        <w:rPr>
          <w:rFonts w:ascii="Cambria" w:hAnsi="Cambria"/>
          <w:sz w:val="20"/>
          <w:lang w:val="en-US"/>
        </w:rPr>
        <w:t xml:space="preserve">alities in </w:t>
      </w:r>
      <w:r w:rsidR="00C75F12" w:rsidRPr="00CC562A">
        <w:rPr>
          <w:rFonts w:ascii="Cambria" w:hAnsi="Cambria"/>
          <w:sz w:val="20"/>
          <w:lang w:val="en-US"/>
        </w:rPr>
        <w:t xml:space="preserve">28 </w:t>
      </w:r>
      <w:r w:rsidR="005F1BAF" w:rsidRPr="00CC562A">
        <w:rPr>
          <w:rFonts w:ascii="Cambria" w:hAnsi="Cambria"/>
          <w:sz w:val="20"/>
          <w:lang w:val="en-US"/>
        </w:rPr>
        <w:t>federative entities.</w:t>
      </w:r>
      <w:r w:rsidR="00C75F12" w:rsidRPr="00CC562A">
        <w:rPr>
          <w:rStyle w:val="FootnoteReference"/>
          <w:rFonts w:ascii="Cambria" w:hAnsi="Cambria"/>
          <w:sz w:val="20"/>
          <w:lang w:val="en-US"/>
        </w:rPr>
        <w:footnoteReference w:id="149"/>
      </w:r>
      <w:r w:rsidR="00C75F12" w:rsidRPr="00CC562A">
        <w:rPr>
          <w:rFonts w:ascii="Cambria" w:hAnsi="Cambria"/>
          <w:sz w:val="20"/>
          <w:lang w:val="en-US"/>
        </w:rPr>
        <w:t xml:space="preserve"> </w:t>
      </w:r>
      <w:r w:rsidR="00752FED" w:rsidRPr="00CC562A">
        <w:rPr>
          <w:rFonts w:ascii="Cambria" w:eastAsia="Cambria" w:hAnsi="Cambria" w:cs="Cambria"/>
          <w:sz w:val="20"/>
          <w:szCs w:val="20"/>
          <w:lang w:val="en-US"/>
        </w:rPr>
        <w:t>The State</w:t>
      </w:r>
      <w:r w:rsidR="60F0A70E" w:rsidRPr="00CC562A">
        <w:rPr>
          <w:rFonts w:ascii="Cambria" w:eastAsia="Cambria" w:hAnsi="Cambria" w:cs="Cambria"/>
          <w:sz w:val="20"/>
          <w:szCs w:val="20"/>
          <w:lang w:val="en-US"/>
        </w:rPr>
        <w:t xml:space="preserve"> </w:t>
      </w:r>
      <w:r w:rsidR="00B501DB" w:rsidRPr="00CC562A">
        <w:rPr>
          <w:rFonts w:ascii="Cambria" w:eastAsia="Cambria" w:hAnsi="Cambria" w:cs="Cambria"/>
          <w:sz w:val="20"/>
          <w:szCs w:val="20"/>
          <w:lang w:val="en-US"/>
        </w:rPr>
        <w:t>emphasized that forensic follow-up is carried out in coordination with search groups</w:t>
      </w:r>
      <w:r w:rsidR="002D553F" w:rsidRPr="00CC562A">
        <w:rPr>
          <w:rFonts w:ascii="Cambria" w:eastAsia="Cambria" w:hAnsi="Cambria" w:cs="Cambria"/>
          <w:sz w:val="20"/>
          <w:szCs w:val="20"/>
          <w:lang w:val="en-US"/>
        </w:rPr>
        <w:t xml:space="preserve"> and</w:t>
      </w:r>
      <w:r w:rsidR="00B501DB" w:rsidRPr="00CC562A">
        <w:rPr>
          <w:rFonts w:ascii="Cambria" w:eastAsia="Cambria" w:hAnsi="Cambria" w:cs="Cambria"/>
          <w:sz w:val="20"/>
          <w:szCs w:val="20"/>
          <w:lang w:val="en-US"/>
        </w:rPr>
        <w:t xml:space="preserve"> staff from the</w:t>
      </w:r>
      <w:r w:rsidR="0B3944D6" w:rsidRPr="00CC562A">
        <w:rPr>
          <w:rFonts w:ascii="Cambria" w:eastAsia="Cambria" w:hAnsi="Cambria" w:cs="Cambria"/>
          <w:sz w:val="20"/>
          <w:szCs w:val="20"/>
          <w:lang w:val="en-US"/>
        </w:rPr>
        <w:t xml:space="preserve"> FGR </w:t>
      </w:r>
      <w:r w:rsidR="00B501DB" w:rsidRPr="00CC562A">
        <w:rPr>
          <w:rFonts w:ascii="Cambria" w:eastAsia="Cambria" w:hAnsi="Cambria" w:cs="Cambria"/>
          <w:sz w:val="20"/>
          <w:szCs w:val="20"/>
          <w:lang w:val="en-US"/>
        </w:rPr>
        <w:t>and</w:t>
      </w:r>
      <w:r w:rsidR="0B3944D6" w:rsidRPr="00CC562A">
        <w:rPr>
          <w:rFonts w:ascii="Cambria" w:eastAsia="Cambria" w:hAnsi="Cambria" w:cs="Cambria"/>
          <w:sz w:val="20"/>
          <w:szCs w:val="20"/>
          <w:lang w:val="en-US"/>
        </w:rPr>
        <w:t xml:space="preserve"> </w:t>
      </w:r>
      <w:r w:rsidR="00C80FE5" w:rsidRPr="00CC562A">
        <w:rPr>
          <w:rFonts w:ascii="Cambria" w:eastAsia="Cambria" w:hAnsi="Cambria" w:cs="Cambria"/>
          <w:sz w:val="20"/>
          <w:szCs w:val="20"/>
          <w:lang w:val="en-US"/>
        </w:rPr>
        <w:t>CNB in</w:t>
      </w:r>
      <w:r w:rsidR="00B501DB" w:rsidRPr="00CC562A">
        <w:rPr>
          <w:rFonts w:ascii="Cambria" w:eastAsia="Cambria" w:hAnsi="Cambria" w:cs="Cambria"/>
          <w:sz w:val="20"/>
          <w:szCs w:val="20"/>
          <w:lang w:val="en-US"/>
        </w:rPr>
        <w:t xml:space="preserve"> order to ensure the protection of fundamental rights, access to the truth, and dignified treatment of the relatives of victims who have disappeared.</w:t>
      </w:r>
    </w:p>
    <w:p w14:paraId="6C36E3EB" w14:textId="77777777" w:rsidR="00A92391" w:rsidRPr="00CC562A" w:rsidRDefault="00A92391" w:rsidP="00A92391">
      <w:pPr>
        <w:spacing w:after="0" w:line="240" w:lineRule="auto"/>
        <w:jc w:val="both"/>
        <w:rPr>
          <w:rFonts w:ascii="Cambria" w:eastAsia="Cambria" w:hAnsi="Cambria" w:cs="Cambria"/>
          <w:sz w:val="20"/>
          <w:szCs w:val="20"/>
          <w:lang w:val="en-US"/>
        </w:rPr>
      </w:pPr>
    </w:p>
    <w:p w14:paraId="01388396" w14:textId="74A9B9F8" w:rsidR="00C75F12" w:rsidRPr="00CC562A" w:rsidRDefault="005F1BAF" w:rsidP="00C75F12">
      <w:pPr>
        <w:numPr>
          <w:ilvl w:val="0"/>
          <w:numId w:val="2"/>
        </w:numPr>
        <w:spacing w:after="0" w:line="240" w:lineRule="auto"/>
        <w:ind w:left="0" w:firstLine="720"/>
        <w:jc w:val="both"/>
        <w:rPr>
          <w:rFonts w:ascii="Cambria" w:hAnsi="Cambria"/>
          <w:sz w:val="20"/>
          <w:lang w:val="en-US"/>
        </w:rPr>
      </w:pPr>
      <w:r w:rsidRPr="00CC562A">
        <w:rPr>
          <w:rFonts w:ascii="Cambria" w:hAnsi="Cambria"/>
          <w:sz w:val="20"/>
          <w:lang w:val="en-US"/>
        </w:rPr>
        <w:t>For its part, the</w:t>
      </w:r>
      <w:r w:rsidR="00C75F12" w:rsidRPr="00CC562A">
        <w:rPr>
          <w:rFonts w:ascii="Cambria" w:hAnsi="Cambria"/>
          <w:sz w:val="20"/>
          <w:lang w:val="en-US"/>
        </w:rPr>
        <w:t xml:space="preserve"> FGR </w:t>
      </w:r>
      <w:r w:rsidRPr="00CC562A">
        <w:rPr>
          <w:rFonts w:ascii="Cambria" w:hAnsi="Cambria"/>
          <w:sz w:val="20"/>
          <w:lang w:val="en-US"/>
        </w:rPr>
        <w:t>reported on the</w:t>
      </w:r>
      <w:r w:rsidR="00804C2C" w:rsidRPr="00CC562A">
        <w:rPr>
          <w:rFonts w:ascii="Cambria" w:hAnsi="Cambria"/>
          <w:sz w:val="20"/>
          <w:lang w:val="en-US"/>
        </w:rPr>
        <w:t xml:space="preserve"> PHI,</w:t>
      </w:r>
      <w:r w:rsidR="009963DE" w:rsidRPr="00CC562A">
        <w:rPr>
          <w:rFonts w:ascii="Cambria" w:hAnsi="Cambria"/>
          <w:sz w:val="20"/>
          <w:lang w:val="en-US"/>
        </w:rPr>
        <w:t xml:space="preserve"> which establishes</w:t>
      </w:r>
      <w:r w:rsidR="00C75F12" w:rsidRPr="00CC562A">
        <w:rPr>
          <w:rFonts w:ascii="Cambria" w:hAnsi="Cambria"/>
          <w:sz w:val="20"/>
          <w:lang w:val="en-US"/>
        </w:rPr>
        <w:t xml:space="preserve"> </w:t>
      </w:r>
      <w:r w:rsidR="009963DE" w:rsidRPr="00CC562A">
        <w:rPr>
          <w:rFonts w:ascii="Cambria" w:eastAsia="Cambria" w:hAnsi="Cambria" w:cs="Cambria"/>
          <w:sz w:val="20"/>
          <w:szCs w:val="20"/>
          <w:lang w:val="en-US"/>
        </w:rPr>
        <w:t xml:space="preserve">the procedure FGR agents follow to report relevant information to victims or persons affected </w:t>
      </w:r>
      <w:proofErr w:type="gramStart"/>
      <w:r w:rsidR="009963DE" w:rsidRPr="00CC562A">
        <w:rPr>
          <w:rFonts w:ascii="Cambria" w:eastAsia="Cambria" w:hAnsi="Cambria" w:cs="Cambria"/>
          <w:sz w:val="20"/>
          <w:szCs w:val="20"/>
          <w:lang w:val="en-US"/>
        </w:rPr>
        <w:t>with regard to</w:t>
      </w:r>
      <w:proofErr w:type="gramEnd"/>
      <w:r w:rsidR="009963DE" w:rsidRPr="00CC562A">
        <w:rPr>
          <w:rFonts w:ascii="Cambria" w:eastAsia="Cambria" w:hAnsi="Cambria" w:cs="Cambria"/>
          <w:sz w:val="20"/>
          <w:szCs w:val="20"/>
          <w:lang w:val="en-US"/>
        </w:rPr>
        <w:t xml:space="preserve"> findings or results of investigations related to the identification of corpses, human remains, or objects belonging to the direct victim and the delivery thereof.</w:t>
      </w:r>
      <w:r w:rsidR="00C75F12" w:rsidRPr="00CC562A">
        <w:rPr>
          <w:rStyle w:val="FootnoteReference"/>
          <w:rFonts w:ascii="Cambria" w:hAnsi="Cambria"/>
          <w:sz w:val="20"/>
          <w:lang w:val="en-US"/>
        </w:rPr>
        <w:footnoteReference w:id="150"/>
      </w:r>
    </w:p>
    <w:p w14:paraId="6B6108CF"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42C92814" w14:textId="5AE251A1" w:rsidR="005845AC" w:rsidRPr="00CC562A" w:rsidRDefault="00B501DB"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Along these lines, it was specified that the Forensic Analysis Unit of the General Directorate of </w:t>
      </w:r>
      <w:r w:rsidR="001143E0" w:rsidRPr="00CC562A">
        <w:rPr>
          <w:rFonts w:ascii="Cambria" w:eastAsia="Cambria" w:hAnsi="Cambria" w:cs="Cambria"/>
          <w:sz w:val="20"/>
          <w:szCs w:val="20"/>
          <w:lang w:val="en-US"/>
        </w:rPr>
        <w:t>Federal Legal Counsel</w:t>
      </w:r>
      <w:r w:rsidR="0B3944D6" w:rsidRPr="00CC562A">
        <w:rPr>
          <w:rFonts w:ascii="Cambria" w:eastAsia="Cambria" w:hAnsi="Cambria" w:cs="Cambria"/>
          <w:sz w:val="20"/>
          <w:szCs w:val="20"/>
          <w:lang w:val="en-US"/>
        </w:rPr>
        <w:t xml:space="preserve"> (DGAJF) particip</w:t>
      </w:r>
      <w:r w:rsidR="00B96D21" w:rsidRPr="00CC562A">
        <w:rPr>
          <w:rFonts w:ascii="Cambria" w:eastAsia="Cambria" w:hAnsi="Cambria" w:cs="Cambria"/>
          <w:sz w:val="20"/>
          <w:szCs w:val="20"/>
          <w:lang w:val="en-US"/>
        </w:rPr>
        <w:t>at</w:t>
      </w:r>
      <w:r w:rsidR="001143E0" w:rsidRPr="00CC562A">
        <w:rPr>
          <w:rFonts w:ascii="Cambria" w:eastAsia="Cambria" w:hAnsi="Cambria" w:cs="Cambria"/>
          <w:sz w:val="20"/>
          <w:szCs w:val="20"/>
          <w:lang w:val="en-US"/>
        </w:rPr>
        <w:t xml:space="preserve">ed in </w:t>
      </w:r>
      <w:r w:rsidR="0B3944D6" w:rsidRPr="00CC562A">
        <w:rPr>
          <w:rFonts w:ascii="Cambria" w:eastAsia="Cambria" w:hAnsi="Cambria" w:cs="Cambria"/>
          <w:sz w:val="20"/>
          <w:szCs w:val="20"/>
          <w:lang w:val="en-US"/>
        </w:rPr>
        <w:t>14 exhuma</w:t>
      </w:r>
      <w:r w:rsidR="001143E0" w:rsidRPr="00CC562A">
        <w:rPr>
          <w:rFonts w:ascii="Cambria" w:eastAsia="Cambria" w:hAnsi="Cambria" w:cs="Cambria"/>
          <w:sz w:val="20"/>
          <w:szCs w:val="20"/>
          <w:lang w:val="en-US"/>
        </w:rPr>
        <w:t xml:space="preserve">tions together with the </w:t>
      </w:r>
      <w:proofErr w:type="gramStart"/>
      <w:r w:rsidR="001143E0" w:rsidRPr="00CC562A">
        <w:rPr>
          <w:rFonts w:ascii="Cambria" w:eastAsia="Cambria" w:hAnsi="Cambria" w:cs="Cambria"/>
          <w:sz w:val="20"/>
          <w:szCs w:val="20"/>
          <w:lang w:val="en-US"/>
        </w:rPr>
        <w:t>aforementioned authorities</w:t>
      </w:r>
      <w:proofErr w:type="gramEnd"/>
      <w:r w:rsidR="001143E0" w:rsidRPr="00CC562A">
        <w:rPr>
          <w:rFonts w:ascii="Cambria" w:eastAsia="Cambria" w:hAnsi="Cambria" w:cs="Cambria"/>
          <w:sz w:val="20"/>
          <w:szCs w:val="20"/>
          <w:lang w:val="en-US"/>
        </w:rPr>
        <w:t>. In addition, it was reported that the</w:t>
      </w:r>
      <w:r w:rsidR="0B3944D6" w:rsidRPr="00CC562A">
        <w:rPr>
          <w:rFonts w:ascii="Cambria" w:eastAsia="Cambria" w:hAnsi="Cambria" w:cs="Cambria"/>
          <w:sz w:val="20"/>
          <w:szCs w:val="20"/>
          <w:lang w:val="en-US"/>
        </w:rPr>
        <w:t xml:space="preserve"> CEAV</w:t>
      </w:r>
      <w:r w:rsidR="001143E0" w:rsidRPr="00CC562A">
        <w:rPr>
          <w:rFonts w:ascii="Cambria" w:eastAsia="Cambria" w:hAnsi="Cambria" w:cs="Cambria"/>
          <w:sz w:val="20"/>
          <w:szCs w:val="20"/>
          <w:lang w:val="en-US"/>
        </w:rPr>
        <w:t xml:space="preserve"> is working on an internal guide on comprehensive victim services, on notification of the delivery of bodies, for the purpose of establishing a comprehensive support </w:t>
      </w:r>
      <w:r w:rsidR="002D553F" w:rsidRPr="00CC562A">
        <w:rPr>
          <w:rFonts w:ascii="Cambria" w:eastAsia="Cambria" w:hAnsi="Cambria" w:cs="Cambria"/>
          <w:sz w:val="20"/>
          <w:szCs w:val="20"/>
          <w:lang w:val="en-US"/>
        </w:rPr>
        <w:t>method</w:t>
      </w:r>
      <w:r w:rsidR="001143E0" w:rsidRPr="00CC562A">
        <w:rPr>
          <w:rFonts w:ascii="Cambria" w:eastAsia="Cambria" w:hAnsi="Cambria" w:cs="Cambria"/>
          <w:sz w:val="20"/>
          <w:szCs w:val="20"/>
          <w:lang w:val="en-US"/>
        </w:rPr>
        <w:t xml:space="preserve"> in the area of legal, psychological and social, emergency</w:t>
      </w:r>
      <w:r w:rsidR="0B3944D6" w:rsidRPr="00CC562A">
        <w:rPr>
          <w:rFonts w:ascii="Cambria" w:eastAsia="Cambria" w:hAnsi="Cambria" w:cs="Cambria"/>
          <w:sz w:val="20"/>
          <w:szCs w:val="20"/>
          <w:lang w:val="en-US"/>
        </w:rPr>
        <w:t xml:space="preserve"> </w:t>
      </w:r>
      <w:r w:rsidR="001143E0" w:rsidRPr="00CC562A">
        <w:rPr>
          <w:rFonts w:ascii="Cambria" w:eastAsia="Cambria" w:hAnsi="Cambria" w:cs="Cambria"/>
          <w:sz w:val="20"/>
          <w:szCs w:val="20"/>
          <w:lang w:val="en-US"/>
        </w:rPr>
        <w:t>assistance and/or emotional</w:t>
      </w:r>
      <w:r w:rsidR="0B3944D6" w:rsidRPr="00CC562A">
        <w:rPr>
          <w:rFonts w:ascii="Cambria" w:eastAsia="Cambria" w:hAnsi="Cambria" w:cs="Cambria"/>
          <w:sz w:val="20"/>
          <w:szCs w:val="20"/>
          <w:lang w:val="en-US"/>
        </w:rPr>
        <w:t xml:space="preserve"> </w:t>
      </w:r>
      <w:r w:rsidR="001143E0" w:rsidRPr="00CC562A">
        <w:rPr>
          <w:rFonts w:ascii="Cambria" w:eastAsia="Cambria" w:hAnsi="Cambria" w:cs="Cambria"/>
          <w:sz w:val="20"/>
          <w:szCs w:val="20"/>
          <w:lang w:val="en-US"/>
        </w:rPr>
        <w:t xml:space="preserve">support before, during, and after the delivery of disappeared victims’ remains to their families, in order to reduce the consequences that victimization has generated in their social and family environment, by recognizing them, their coping skills, and </w:t>
      </w:r>
      <w:r w:rsidR="002D553F" w:rsidRPr="00CC562A">
        <w:rPr>
          <w:rFonts w:ascii="Cambria" w:eastAsia="Cambria" w:hAnsi="Cambria" w:cs="Cambria"/>
          <w:sz w:val="20"/>
          <w:szCs w:val="20"/>
          <w:lang w:val="en-US"/>
        </w:rPr>
        <w:t>provide</w:t>
      </w:r>
      <w:r w:rsidR="001143E0" w:rsidRPr="00CC562A">
        <w:rPr>
          <w:rFonts w:ascii="Cambria" w:eastAsia="Cambria" w:hAnsi="Cambria" w:cs="Cambria"/>
          <w:sz w:val="20"/>
          <w:szCs w:val="20"/>
          <w:lang w:val="en-US"/>
        </w:rPr>
        <w:t xml:space="preserve"> psychological tools to overcome periods of emotional pain and adverse situation</w:t>
      </w:r>
      <w:r w:rsidR="005775B2" w:rsidRPr="00CC562A">
        <w:rPr>
          <w:rFonts w:ascii="Cambria" w:eastAsia="Cambria" w:hAnsi="Cambria" w:cs="Cambria"/>
          <w:sz w:val="20"/>
          <w:szCs w:val="20"/>
          <w:lang w:val="en-US"/>
        </w:rPr>
        <w:t>s and strengthen them in the full exercise of their human rights</w:t>
      </w:r>
      <w:r w:rsidR="0B3944D6" w:rsidRPr="00CC562A">
        <w:rPr>
          <w:rFonts w:ascii="Cambria" w:eastAsia="Cambria" w:hAnsi="Cambria" w:cs="Cambria"/>
          <w:sz w:val="20"/>
          <w:szCs w:val="20"/>
          <w:lang w:val="en-US"/>
        </w:rPr>
        <w:t>.</w:t>
      </w:r>
    </w:p>
    <w:p w14:paraId="68334A1E"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214523EA" w14:textId="618D3F56" w:rsidR="003F22A5" w:rsidRPr="00CC562A" w:rsidRDefault="005775B2"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this regard, it indicated that remains are exhumed and identified in accordance with the law and action protocols and </w:t>
      </w:r>
      <w:r w:rsidR="009963DE" w:rsidRPr="00CC562A">
        <w:rPr>
          <w:rFonts w:ascii="Cambria" w:hAnsi="Cambria"/>
          <w:sz w:val="20"/>
          <w:lang w:val="en-US"/>
        </w:rPr>
        <w:t xml:space="preserve">from the perspective of dignified treatment </w:t>
      </w:r>
      <w:r w:rsidRPr="00CC562A">
        <w:rPr>
          <w:rFonts w:ascii="Cambria" w:eastAsia="Cambria" w:hAnsi="Cambria" w:cs="Cambria"/>
          <w:sz w:val="20"/>
          <w:szCs w:val="20"/>
          <w:lang w:val="en-US"/>
        </w:rPr>
        <w:t>of the victims’ relatives on the part of authorities at all levels of government involved in the process</w:t>
      </w:r>
      <w:r w:rsidR="0B3944D6"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B3944D6" w:rsidRPr="00CC562A">
        <w:rPr>
          <w:rFonts w:ascii="Cambria" w:eastAsia="Cambria" w:hAnsi="Cambria" w:cs="Cambria"/>
          <w:sz w:val="20"/>
          <w:szCs w:val="20"/>
          <w:lang w:val="en-US"/>
        </w:rPr>
        <w:t xml:space="preserve"> </w:t>
      </w:r>
      <w:r w:rsidR="1BAF1A28" w:rsidRPr="00CC562A">
        <w:rPr>
          <w:rFonts w:ascii="Cambria" w:eastAsia="Cambria" w:hAnsi="Cambria" w:cs="Cambria"/>
          <w:sz w:val="20"/>
          <w:szCs w:val="20"/>
          <w:lang w:val="en-US"/>
        </w:rPr>
        <w:t>i</w:t>
      </w:r>
      <w:r w:rsidRPr="00CC562A">
        <w:rPr>
          <w:rFonts w:ascii="Cambria" w:eastAsia="Cambria" w:hAnsi="Cambria" w:cs="Cambria"/>
          <w:sz w:val="20"/>
          <w:szCs w:val="20"/>
          <w:lang w:val="en-US"/>
        </w:rPr>
        <w:t xml:space="preserve">t indicated that </w:t>
      </w:r>
      <w:r w:rsidR="00E811BB" w:rsidRPr="00CC562A">
        <w:rPr>
          <w:rFonts w:ascii="Cambria" w:hAnsi="Cambria"/>
          <w:sz w:val="20"/>
          <w:lang w:val="en-US"/>
        </w:rPr>
        <w:t>the PH establishes the guidelines for psychosocial care</w:t>
      </w:r>
      <w:r w:rsidR="00C75F12" w:rsidRPr="00CC562A">
        <w:rPr>
          <w:rFonts w:ascii="Cambria" w:hAnsi="Cambria"/>
          <w:sz w:val="20"/>
          <w:lang w:val="en-US"/>
        </w:rPr>
        <w:t xml:space="preserve"> </w:t>
      </w:r>
      <w:r w:rsidRPr="00CC562A">
        <w:rPr>
          <w:rFonts w:ascii="Cambria" w:eastAsia="Cambria" w:hAnsi="Cambria" w:cs="Cambria"/>
          <w:sz w:val="20"/>
          <w:szCs w:val="20"/>
          <w:lang w:val="en-US"/>
        </w:rPr>
        <w:t xml:space="preserve">in </w:t>
      </w:r>
      <w:r w:rsidRPr="00CC562A">
        <w:rPr>
          <w:rFonts w:ascii="Cambria" w:eastAsia="Cambria" w:hAnsi="Cambria" w:cs="Cambria"/>
          <w:i/>
          <w:iCs/>
          <w:sz w:val="20"/>
          <w:szCs w:val="20"/>
          <w:lang w:val="en-US"/>
        </w:rPr>
        <w:t>High Emotional Impact Notifications</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based on the identification and delivery of corpses and human remains</w:t>
      </w:r>
      <w:r w:rsidR="0B3944D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procedure the FGR follows to report </w:t>
      </w:r>
      <w:r w:rsidR="008654BB" w:rsidRPr="00CC562A">
        <w:rPr>
          <w:rFonts w:ascii="Cambria" w:eastAsia="Cambria" w:hAnsi="Cambria" w:cs="Cambria"/>
          <w:sz w:val="20"/>
          <w:szCs w:val="20"/>
          <w:lang w:val="en-US"/>
        </w:rPr>
        <w:t xml:space="preserve">relevant information to victims or persons affected </w:t>
      </w:r>
      <w:proofErr w:type="gramStart"/>
      <w:r w:rsidR="008654BB" w:rsidRPr="00CC562A">
        <w:rPr>
          <w:rFonts w:ascii="Cambria" w:eastAsia="Cambria" w:hAnsi="Cambria" w:cs="Cambria"/>
          <w:sz w:val="20"/>
          <w:szCs w:val="20"/>
          <w:lang w:val="en-US"/>
        </w:rPr>
        <w:t>with regard to</w:t>
      </w:r>
      <w:proofErr w:type="gramEnd"/>
      <w:r w:rsidR="008654BB" w:rsidRPr="00CC562A">
        <w:rPr>
          <w:rFonts w:ascii="Cambria" w:eastAsia="Cambria" w:hAnsi="Cambria" w:cs="Cambria"/>
          <w:sz w:val="20"/>
          <w:szCs w:val="20"/>
          <w:lang w:val="en-US"/>
        </w:rPr>
        <w:t xml:space="preserve"> findings or results of investigations related to the identification of corpses, human remains, or objects belonging to the direct victim and the delivery thereof</w:t>
      </w:r>
      <w:r w:rsidR="0B3944D6" w:rsidRPr="00CC562A">
        <w:rPr>
          <w:rFonts w:ascii="Cambria" w:eastAsia="Cambria" w:hAnsi="Cambria" w:cs="Cambria"/>
          <w:sz w:val="20"/>
          <w:szCs w:val="20"/>
          <w:lang w:val="en-US"/>
        </w:rPr>
        <w:t xml:space="preserve">. </w:t>
      </w:r>
      <w:r w:rsidR="00E811BB" w:rsidRPr="00CC562A">
        <w:rPr>
          <w:rFonts w:ascii="Cambria" w:eastAsia="Cambria" w:hAnsi="Cambria" w:cs="Cambria"/>
          <w:sz w:val="20"/>
          <w:szCs w:val="20"/>
          <w:lang w:val="en-US"/>
        </w:rPr>
        <w:t>For its part, the State reported that the</w:t>
      </w:r>
      <w:r w:rsidR="00C75F12" w:rsidRPr="00CC562A">
        <w:rPr>
          <w:rFonts w:ascii="Cambria" w:eastAsia="Cambria" w:hAnsi="Cambria" w:cs="Cambria"/>
          <w:sz w:val="20"/>
          <w:szCs w:val="20"/>
          <w:lang w:val="en-US"/>
        </w:rPr>
        <w:t xml:space="preserve"> CEAV </w:t>
      </w:r>
      <w:r w:rsidR="00E811BB" w:rsidRPr="00CC562A">
        <w:rPr>
          <w:rFonts w:ascii="Cambria" w:eastAsia="Cambria" w:hAnsi="Cambria" w:cs="Cambria"/>
          <w:sz w:val="20"/>
          <w:szCs w:val="20"/>
          <w:lang w:val="en-US"/>
        </w:rPr>
        <w:t xml:space="preserve">is working on an internal guide on comprehensive victim services relating to </w:t>
      </w:r>
      <w:r w:rsidR="00E811BB" w:rsidRPr="00CC562A">
        <w:rPr>
          <w:rFonts w:ascii="Cambria" w:eastAsia="Cambria" w:hAnsi="Cambria" w:cs="Cambria"/>
          <w:sz w:val="20"/>
          <w:szCs w:val="20"/>
          <w:lang w:val="en-US"/>
        </w:rPr>
        <w:lastRenderedPageBreak/>
        <w:t xml:space="preserve">impacts before, during, and after disappeared persons’ remains are delivered </w:t>
      </w:r>
      <w:r w:rsidR="00554ED1" w:rsidRPr="00CC562A">
        <w:rPr>
          <w:rFonts w:ascii="Cambria" w:eastAsia="Cambria" w:hAnsi="Cambria" w:cs="Cambria"/>
          <w:sz w:val="20"/>
          <w:szCs w:val="20"/>
          <w:lang w:val="en-US"/>
        </w:rPr>
        <w:t>to their families to establish a comprehensive support method in the area of legal, medical, psychological, social, and emergency care and to reduce the consequences</w:t>
      </w:r>
      <w:r w:rsidR="00C75F12" w:rsidRPr="00CC562A">
        <w:rPr>
          <w:rFonts w:ascii="Cambria" w:eastAsia="Cambria" w:hAnsi="Cambria" w:cs="Cambria"/>
          <w:sz w:val="20"/>
          <w:szCs w:val="20"/>
          <w:lang w:val="en-US"/>
        </w:rPr>
        <w:t xml:space="preserve"> </w:t>
      </w:r>
      <w:r w:rsidR="00554ED1" w:rsidRPr="00CC562A">
        <w:rPr>
          <w:rFonts w:ascii="Cambria" w:eastAsia="Cambria" w:hAnsi="Cambria" w:cs="Cambria"/>
          <w:sz w:val="20"/>
          <w:szCs w:val="20"/>
          <w:lang w:val="en-US"/>
        </w:rPr>
        <w:t xml:space="preserve">that victimization has </w:t>
      </w:r>
      <w:r w:rsidR="00A2187F" w:rsidRPr="00CC562A">
        <w:rPr>
          <w:rFonts w:ascii="Cambria" w:eastAsia="Cambria" w:hAnsi="Cambria" w:cs="Cambria"/>
          <w:sz w:val="20"/>
          <w:szCs w:val="20"/>
          <w:lang w:val="en-US"/>
        </w:rPr>
        <w:t>produced</w:t>
      </w:r>
      <w:r w:rsidR="00C75F12" w:rsidRPr="00CC562A">
        <w:rPr>
          <w:rFonts w:ascii="Cambria" w:eastAsia="Cambria" w:hAnsi="Cambria" w:cs="Cambria"/>
          <w:sz w:val="20"/>
          <w:szCs w:val="20"/>
          <w:lang w:val="en-US"/>
        </w:rPr>
        <w:t xml:space="preserve"> </w:t>
      </w:r>
      <w:r w:rsidR="00554ED1" w:rsidRPr="00CC562A">
        <w:rPr>
          <w:rFonts w:ascii="Cambria" w:eastAsia="Cambria" w:hAnsi="Cambria" w:cs="Cambria"/>
          <w:sz w:val="20"/>
          <w:szCs w:val="20"/>
          <w:lang w:val="en-US"/>
        </w:rPr>
        <w:t>in their social and family environment.</w:t>
      </w:r>
      <w:r w:rsidR="00C75F12" w:rsidRPr="00CC562A">
        <w:rPr>
          <w:rStyle w:val="FootnoteReference"/>
          <w:rFonts w:ascii="Arial" w:hAnsi="Arial"/>
          <w:color w:val="444444"/>
          <w:sz w:val="18"/>
          <w:shd w:val="clear" w:color="auto" w:fill="FFFFFF"/>
          <w:lang w:val="en-US"/>
        </w:rPr>
        <w:footnoteReference w:id="151"/>
      </w:r>
    </w:p>
    <w:p w14:paraId="3CB1C378"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54FED68C" w14:textId="4A904837" w:rsidR="00522749" w:rsidRPr="00CC562A" w:rsidRDefault="00276638" w:rsidP="00A208A0">
      <w:pPr>
        <w:numPr>
          <w:ilvl w:val="0"/>
          <w:numId w:val="2"/>
        </w:numPr>
        <w:spacing w:after="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w:t>
      </w:r>
      <w:r w:rsidR="008654BB" w:rsidRPr="00CC562A">
        <w:rPr>
          <w:rFonts w:ascii="Cambria" w:eastAsia="Cambria" w:hAnsi="Cambria" w:cs="Cambria"/>
          <w:sz w:val="20"/>
          <w:szCs w:val="20"/>
          <w:lang w:val="en-US"/>
        </w:rPr>
        <w:t>appreciates State efforts to comply with the recommendation and conduct exhumations and identification of remains while respecting the dignified treatment of the victims. In view of this, the Commission is attentive to advances made in the completion and subsequent implementation of the internal guide on comprehensive support for victim</w:t>
      </w:r>
      <w:r w:rsidR="002D553F" w:rsidRPr="00CC562A">
        <w:rPr>
          <w:rFonts w:ascii="Cambria" w:eastAsia="Cambria" w:hAnsi="Cambria" w:cs="Cambria"/>
          <w:sz w:val="20"/>
          <w:szCs w:val="20"/>
          <w:lang w:val="en-US"/>
        </w:rPr>
        <w:t>s when notifying them</w:t>
      </w:r>
      <w:r w:rsidR="008654BB" w:rsidRPr="00CC562A">
        <w:rPr>
          <w:rFonts w:ascii="Cambria" w:eastAsia="Cambria" w:hAnsi="Cambria" w:cs="Cambria"/>
          <w:sz w:val="20"/>
          <w:szCs w:val="20"/>
          <w:lang w:val="en-US"/>
        </w:rPr>
        <w:t xml:space="preserve"> of the delivery of corpses. Based on the foregoing and in anticipation of the information requested, the</w:t>
      </w:r>
      <w:r w:rsidRPr="00CC562A">
        <w:rPr>
          <w:rFonts w:ascii="Cambria" w:eastAsia="Cambria" w:hAnsi="Cambria" w:cs="Cambria"/>
          <w:sz w:val="20"/>
          <w:szCs w:val="20"/>
          <w:lang w:val="en-US"/>
        </w:rPr>
        <w:t xml:space="preserve"> IACHR</w:t>
      </w:r>
      <w:r w:rsidR="7AC77F6F" w:rsidRPr="00CC562A">
        <w:rPr>
          <w:rFonts w:ascii="Cambria" w:eastAsia="Cambria" w:hAnsi="Cambria" w:cs="Cambria"/>
          <w:sz w:val="20"/>
          <w:szCs w:val="20"/>
          <w:lang w:val="en-US"/>
        </w:rPr>
        <w:t xml:space="preserve"> consider</w:t>
      </w:r>
      <w:r w:rsidR="008654BB" w:rsidRPr="00CC562A">
        <w:rPr>
          <w:rFonts w:ascii="Cambria" w:eastAsia="Cambria" w:hAnsi="Cambria" w:cs="Cambria"/>
          <w:sz w:val="20"/>
          <w:szCs w:val="20"/>
          <w:lang w:val="en-US"/>
        </w:rPr>
        <w:t xml:space="preserve">s that the recommendation is </w:t>
      </w:r>
      <w:r w:rsidR="008654BB" w:rsidRPr="00CC562A">
        <w:rPr>
          <w:rFonts w:ascii="Cambria" w:eastAsia="Cambria" w:hAnsi="Cambria" w:cs="Cambria"/>
          <w:b/>
          <w:bCs/>
          <w:sz w:val="20"/>
          <w:szCs w:val="20"/>
          <w:lang w:val="en-US"/>
        </w:rPr>
        <w:t>pending compliance</w:t>
      </w:r>
      <w:r w:rsidR="7AC77F6F" w:rsidRPr="00CC562A">
        <w:rPr>
          <w:rFonts w:ascii="Cambria" w:eastAsia="Cambria" w:hAnsi="Cambria" w:cs="Cambria"/>
          <w:b/>
          <w:bCs/>
          <w:sz w:val="20"/>
          <w:szCs w:val="20"/>
          <w:lang w:val="en-US"/>
        </w:rPr>
        <w:t xml:space="preserve">. </w:t>
      </w:r>
    </w:p>
    <w:p w14:paraId="460BF523" w14:textId="77777777" w:rsidR="00DB71FA" w:rsidRPr="00CC562A" w:rsidRDefault="00DB71FA" w:rsidP="00A208A0">
      <w:pPr>
        <w:spacing w:after="0" w:line="240" w:lineRule="auto"/>
        <w:ind w:left="720"/>
        <w:jc w:val="both"/>
        <w:rPr>
          <w:rFonts w:ascii="Cambria" w:eastAsia="Cambria" w:hAnsi="Cambria" w:cs="Cambria"/>
          <w:b/>
          <w:bCs/>
          <w:sz w:val="20"/>
          <w:szCs w:val="20"/>
          <w:lang w:val="en-US"/>
        </w:rPr>
      </w:pPr>
    </w:p>
    <w:p w14:paraId="2A0EC2E1" w14:textId="1EFFB87C" w:rsidR="003F22A5" w:rsidRPr="00CC562A" w:rsidRDefault="008654BB" w:rsidP="00A208A0">
      <w:pPr>
        <w:numPr>
          <w:ilvl w:val="0"/>
          <w:numId w:val="2"/>
        </w:numPr>
        <w:spacing w:after="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To guide the implementation of this recommendation, the </w:t>
      </w:r>
      <w:r w:rsidR="00276638" w:rsidRPr="00CC562A">
        <w:rPr>
          <w:rFonts w:ascii="Cambria" w:eastAsia="Cambria" w:hAnsi="Cambria" w:cs="Cambria"/>
          <w:sz w:val="20"/>
          <w:szCs w:val="20"/>
          <w:lang w:val="en-US"/>
        </w:rPr>
        <w:t>IACHR</w:t>
      </w:r>
      <w:r w:rsidR="009F72E1"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urges the State to adopt measures to ensure results from the implementation of its protocols </w:t>
      </w:r>
      <w:proofErr w:type="gramStart"/>
      <w:r w:rsidRPr="00CC562A">
        <w:rPr>
          <w:rFonts w:ascii="Cambria" w:eastAsia="Cambria" w:hAnsi="Cambria" w:cs="Cambria"/>
          <w:sz w:val="20"/>
          <w:szCs w:val="20"/>
          <w:lang w:val="en-US"/>
        </w:rPr>
        <w:t>on the subject of the</w:t>
      </w:r>
      <w:proofErr w:type="gramEnd"/>
      <w:r w:rsidRPr="00CC562A">
        <w:rPr>
          <w:rFonts w:ascii="Cambria" w:eastAsia="Cambria" w:hAnsi="Cambria" w:cs="Cambria"/>
          <w:sz w:val="20"/>
          <w:szCs w:val="20"/>
          <w:lang w:val="en-US"/>
        </w:rPr>
        <w:t xml:space="preserve"> dignified return of human remains to families and to report to the Commission on these advances</w:t>
      </w:r>
      <w:r w:rsidR="60F0A70E" w:rsidRPr="00CC562A">
        <w:rPr>
          <w:rFonts w:ascii="Cambria" w:eastAsia="Cambria" w:hAnsi="Cambria" w:cs="Cambria"/>
          <w:sz w:val="20"/>
          <w:szCs w:val="20"/>
          <w:lang w:val="en-US"/>
        </w:rPr>
        <w:t>.</w:t>
      </w:r>
    </w:p>
    <w:p w14:paraId="435023EC" w14:textId="77777777" w:rsidR="00DB71FA" w:rsidRPr="00CC562A" w:rsidRDefault="00DB71FA" w:rsidP="00A208A0">
      <w:pPr>
        <w:spacing w:after="0" w:line="240" w:lineRule="auto"/>
        <w:ind w:left="720"/>
        <w:jc w:val="both"/>
        <w:rPr>
          <w:rFonts w:ascii="Cambria" w:eastAsia="Cambria" w:hAnsi="Cambria" w:cs="Cambria"/>
          <w:b/>
          <w:bCs/>
          <w:sz w:val="20"/>
          <w:szCs w:val="20"/>
          <w:lang w:val="en-US"/>
        </w:rPr>
      </w:pPr>
    </w:p>
    <w:p w14:paraId="6D1A4BF4" w14:textId="19BF51FA" w:rsidR="003F22A5" w:rsidRPr="00CC562A" w:rsidRDefault="008654BB" w:rsidP="00C75F12">
      <w:pPr>
        <w:numPr>
          <w:ilvl w:val="0"/>
          <w:numId w:val="2"/>
        </w:numPr>
        <w:spacing w:after="0" w:line="240" w:lineRule="auto"/>
        <w:ind w:left="0" w:firstLine="720"/>
        <w:jc w:val="both"/>
        <w:rPr>
          <w:rFonts w:ascii="Cambria" w:hAnsi="Cambria"/>
          <w:sz w:val="20"/>
          <w:lang w:val="en-US"/>
        </w:rPr>
      </w:pPr>
      <w:r w:rsidRPr="00CC562A">
        <w:rPr>
          <w:rFonts w:ascii="Cambria" w:eastAsia="Cambria" w:hAnsi="Cambria" w:cs="Cambria"/>
          <w:sz w:val="20"/>
          <w:szCs w:val="20"/>
          <w:lang w:val="en-US"/>
        </w:rPr>
        <w:t xml:space="preserve">Regarding the recommendation on the </w:t>
      </w:r>
      <w:r w:rsidR="2B7B1646" w:rsidRPr="00CC562A">
        <w:rPr>
          <w:rFonts w:ascii="Cambria" w:hAnsi="Cambria"/>
          <w:b/>
          <w:bCs/>
          <w:sz w:val="20"/>
          <w:szCs w:val="20"/>
          <w:lang w:val="en-US"/>
        </w:rPr>
        <w:t>continua</w:t>
      </w:r>
      <w:r w:rsidRPr="00CC562A">
        <w:rPr>
          <w:rFonts w:ascii="Cambria" w:hAnsi="Cambria"/>
          <w:b/>
          <w:bCs/>
          <w:sz w:val="20"/>
          <w:szCs w:val="20"/>
          <w:lang w:val="en-US"/>
        </w:rPr>
        <w:t xml:space="preserve">tion and reinforcement of the work of the Forensic Commission for the Identification of </w:t>
      </w:r>
      <w:r w:rsidR="00B91E51" w:rsidRPr="00CC562A">
        <w:rPr>
          <w:rFonts w:ascii="Cambria" w:hAnsi="Cambria"/>
          <w:b/>
          <w:bCs/>
          <w:sz w:val="20"/>
          <w:szCs w:val="20"/>
          <w:lang w:val="en-US"/>
        </w:rPr>
        <w:t>Remains</w:t>
      </w:r>
      <w:r w:rsidRPr="00CC562A">
        <w:rPr>
          <w:rFonts w:ascii="Cambria" w:hAnsi="Cambria"/>
          <w:b/>
          <w:bCs/>
          <w:sz w:val="20"/>
          <w:szCs w:val="20"/>
          <w:lang w:val="en-US"/>
        </w:rPr>
        <w:t xml:space="preserve"> Found on Migration Routes</w:t>
      </w:r>
      <w:r w:rsidR="2B7B1646" w:rsidRPr="00CC562A">
        <w:rPr>
          <w:rFonts w:ascii="Cambria" w:hAnsi="Cambria"/>
          <w:b/>
          <w:bCs/>
          <w:sz w:val="20"/>
          <w:szCs w:val="20"/>
          <w:lang w:val="en-US"/>
        </w:rPr>
        <w:t xml:space="preserve"> </w:t>
      </w:r>
      <w:r w:rsidRPr="00CC562A">
        <w:rPr>
          <w:rFonts w:ascii="Cambria" w:hAnsi="Cambria"/>
          <w:sz w:val="20"/>
          <w:szCs w:val="20"/>
          <w:lang w:val="en-US"/>
        </w:rPr>
        <w:t>and the</w:t>
      </w:r>
      <w:r w:rsidR="2B7B1646" w:rsidRPr="00CC562A">
        <w:rPr>
          <w:rFonts w:ascii="Cambria" w:hAnsi="Cambria"/>
          <w:sz w:val="20"/>
          <w:szCs w:val="20"/>
          <w:lang w:val="en-US"/>
        </w:rPr>
        <w:t xml:space="preserve"> </w:t>
      </w:r>
      <w:r w:rsidR="2B7B1646" w:rsidRPr="00CC562A">
        <w:rPr>
          <w:rFonts w:ascii="Cambria" w:hAnsi="Cambria"/>
          <w:b/>
          <w:bCs/>
          <w:sz w:val="20"/>
          <w:szCs w:val="20"/>
          <w:lang w:val="en-US"/>
        </w:rPr>
        <w:t>adopt</w:t>
      </w:r>
      <w:r w:rsidRPr="00CC562A">
        <w:rPr>
          <w:rFonts w:ascii="Cambria" w:hAnsi="Cambria"/>
          <w:b/>
          <w:bCs/>
          <w:sz w:val="20"/>
          <w:szCs w:val="20"/>
          <w:lang w:val="en-US"/>
        </w:rPr>
        <w:t xml:space="preserve">ion of measures for the creation of the Transnational Mechanism </w:t>
      </w:r>
      <w:r w:rsidR="00B91E51" w:rsidRPr="00CC562A">
        <w:rPr>
          <w:rFonts w:ascii="Cambria" w:hAnsi="Cambria"/>
          <w:b/>
          <w:bCs/>
          <w:sz w:val="20"/>
          <w:szCs w:val="20"/>
          <w:lang w:val="en-US"/>
        </w:rPr>
        <w:t xml:space="preserve">for Access to Justice for Migrants and </w:t>
      </w:r>
      <w:r w:rsidR="002D553F" w:rsidRPr="00CC562A">
        <w:rPr>
          <w:rFonts w:ascii="Cambria" w:hAnsi="Cambria"/>
          <w:b/>
          <w:bCs/>
          <w:sz w:val="20"/>
          <w:szCs w:val="20"/>
          <w:lang w:val="en-US"/>
        </w:rPr>
        <w:t>T</w:t>
      </w:r>
      <w:r w:rsidR="00B91E51" w:rsidRPr="00CC562A">
        <w:rPr>
          <w:rFonts w:ascii="Cambria" w:hAnsi="Cambria"/>
          <w:b/>
          <w:bCs/>
          <w:sz w:val="20"/>
          <w:szCs w:val="20"/>
          <w:lang w:val="en-US"/>
        </w:rPr>
        <w:t>heir Families</w:t>
      </w:r>
      <w:r w:rsidR="6C032B4E"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07FF63DF" w:rsidRPr="00CC562A">
        <w:rPr>
          <w:rFonts w:ascii="Cambria" w:eastAsia="Cambria" w:hAnsi="Cambria" w:cs="Cambria"/>
          <w:sz w:val="20"/>
          <w:szCs w:val="20"/>
          <w:lang w:val="en-US"/>
        </w:rPr>
        <w:t xml:space="preserve"> </w:t>
      </w:r>
      <w:r w:rsidR="00B91E51" w:rsidRPr="00CC562A">
        <w:rPr>
          <w:rFonts w:ascii="Cambria" w:eastAsia="Cambria" w:hAnsi="Cambria" w:cs="Cambria"/>
          <w:sz w:val="20"/>
          <w:szCs w:val="20"/>
          <w:lang w:val="en-US"/>
        </w:rPr>
        <w:t xml:space="preserve">related that the Guidelines for the External Support </w:t>
      </w:r>
      <w:r w:rsidR="00554ED1" w:rsidRPr="00CC562A">
        <w:rPr>
          <w:rFonts w:ascii="Cambria" w:eastAsia="Cambria" w:hAnsi="Cambria" w:cs="Cambria"/>
          <w:sz w:val="20"/>
          <w:szCs w:val="20"/>
          <w:lang w:val="en-US"/>
        </w:rPr>
        <w:t xml:space="preserve"> </w:t>
      </w:r>
      <w:r w:rsidR="00B91E51" w:rsidRPr="00CC562A">
        <w:rPr>
          <w:rFonts w:ascii="Cambria" w:eastAsia="Cambria" w:hAnsi="Cambria" w:cs="Cambria"/>
          <w:sz w:val="20"/>
          <w:szCs w:val="20"/>
          <w:lang w:val="en-US"/>
        </w:rPr>
        <w:t xml:space="preserve">Mechanism for Search and Investigation (MAEBI) were approved by the </w:t>
      </w:r>
      <w:r w:rsidR="60F0A70E" w:rsidRPr="00CC562A">
        <w:rPr>
          <w:rFonts w:ascii="Cambria" w:eastAsia="Cambria" w:hAnsi="Cambria" w:cs="Cambria"/>
          <w:sz w:val="20"/>
          <w:szCs w:val="20"/>
          <w:lang w:val="en-US"/>
        </w:rPr>
        <w:t xml:space="preserve">SNB </w:t>
      </w:r>
      <w:r w:rsidR="00B91E51" w:rsidRPr="00CC562A">
        <w:rPr>
          <w:rFonts w:ascii="Cambria" w:eastAsia="Cambria" w:hAnsi="Cambria" w:cs="Cambria"/>
          <w:sz w:val="20"/>
          <w:szCs w:val="20"/>
          <w:lang w:val="en-US"/>
        </w:rPr>
        <w:t>i</w:t>
      </w:r>
      <w:r w:rsidR="60F0A70E" w:rsidRPr="00CC562A">
        <w:rPr>
          <w:rFonts w:ascii="Cambria" w:eastAsia="Cambria" w:hAnsi="Cambria" w:cs="Cambria"/>
          <w:sz w:val="20"/>
          <w:szCs w:val="20"/>
          <w:lang w:val="en-US"/>
        </w:rPr>
        <w:t xml:space="preserve">n </w:t>
      </w:r>
      <w:r w:rsidR="3855FC6D" w:rsidRPr="00CC562A">
        <w:rPr>
          <w:rFonts w:ascii="Cambria" w:eastAsia="Cambria" w:hAnsi="Cambria" w:cs="Cambria"/>
          <w:sz w:val="20"/>
          <w:szCs w:val="20"/>
          <w:lang w:val="en-US"/>
        </w:rPr>
        <w:t>2022</w:t>
      </w:r>
      <w:r w:rsidR="60F0A70E" w:rsidRPr="00CC562A">
        <w:rPr>
          <w:rFonts w:ascii="Cambria" w:eastAsia="Cambria" w:hAnsi="Cambria" w:cs="Cambria"/>
          <w:sz w:val="20"/>
          <w:szCs w:val="20"/>
          <w:lang w:val="en-US"/>
        </w:rPr>
        <w:t xml:space="preserve"> </w:t>
      </w:r>
      <w:r w:rsidR="00B91E51" w:rsidRPr="00CC562A">
        <w:rPr>
          <w:rFonts w:ascii="Cambria" w:eastAsia="Cambria" w:hAnsi="Cambria" w:cs="Cambria"/>
          <w:sz w:val="20"/>
          <w:szCs w:val="20"/>
          <w:lang w:val="en-US"/>
        </w:rPr>
        <w:t>in the terms already noted in this report</w:t>
      </w:r>
      <w:r w:rsidR="60F0A70E" w:rsidRPr="00CC562A">
        <w:rPr>
          <w:rFonts w:ascii="Cambria" w:eastAsia="Cambria" w:hAnsi="Cambria" w:cs="Cambria"/>
          <w:sz w:val="20"/>
          <w:szCs w:val="20"/>
          <w:lang w:val="en-US"/>
        </w:rPr>
        <w:t>.</w:t>
      </w:r>
      <w:r w:rsidR="00946551" w:rsidRPr="00CC562A">
        <w:rPr>
          <w:rStyle w:val="FootnoteReference"/>
          <w:rFonts w:ascii="Cambria" w:eastAsia="Cambria" w:hAnsi="Cambria" w:cs="Cambria"/>
          <w:sz w:val="20"/>
          <w:szCs w:val="20"/>
          <w:lang w:val="en-US"/>
        </w:rPr>
        <w:footnoteReference w:id="152"/>
      </w:r>
      <w:r w:rsidR="00C75F12" w:rsidRPr="00CC562A">
        <w:rPr>
          <w:rFonts w:ascii="Cambria" w:eastAsia="Cambria" w:hAnsi="Cambria" w:cs="Cambria"/>
          <w:sz w:val="20"/>
          <w:szCs w:val="20"/>
          <w:lang w:val="en-US"/>
        </w:rPr>
        <w:t xml:space="preserve"> </w:t>
      </w:r>
      <w:r w:rsidR="00554ED1" w:rsidRPr="00CC562A">
        <w:rPr>
          <w:rFonts w:ascii="Cambria" w:hAnsi="Cambria"/>
          <w:sz w:val="20"/>
          <w:lang w:val="en-US"/>
        </w:rPr>
        <w:t>In addition, the State indicated that the Unit for the Investigation of Crimes against Migrants reported that it is continuing to work in coordination with Forensic Commission</w:t>
      </w:r>
      <w:r w:rsidR="008A12A2" w:rsidRPr="00CC562A">
        <w:rPr>
          <w:rFonts w:ascii="Cambria" w:hAnsi="Cambria"/>
          <w:sz w:val="20"/>
          <w:lang w:val="en-US"/>
        </w:rPr>
        <w:t xml:space="preserve"> </w:t>
      </w:r>
      <w:r w:rsidR="005C2908" w:rsidRPr="00CC562A">
        <w:rPr>
          <w:rFonts w:ascii="Cambria" w:hAnsi="Cambria"/>
          <w:sz w:val="20"/>
          <w:lang w:val="en-US"/>
        </w:rPr>
        <w:t xml:space="preserve">experts </w:t>
      </w:r>
      <w:r w:rsidR="008A12A2" w:rsidRPr="00CC562A">
        <w:rPr>
          <w:rFonts w:ascii="Cambria" w:hAnsi="Cambria"/>
          <w:sz w:val="20"/>
          <w:lang w:val="en-US"/>
        </w:rPr>
        <w:t xml:space="preserve">on the identification of human remains. It also reported that the </w:t>
      </w:r>
      <w:r w:rsidR="008A12A2" w:rsidRPr="00CC562A">
        <w:rPr>
          <w:rFonts w:ascii="Cambria" w:eastAsia="Cambria" w:hAnsi="Cambria" w:cs="Cambria"/>
          <w:sz w:val="20"/>
          <w:szCs w:val="20"/>
          <w:lang w:val="en-US"/>
        </w:rPr>
        <w:t>Guidelines for the External Support Mechanism for Search and Investigation</w:t>
      </w:r>
      <w:r w:rsidR="00C75F12" w:rsidRPr="00CC562A">
        <w:rPr>
          <w:rFonts w:ascii="Cambria" w:hAnsi="Cambria"/>
          <w:sz w:val="20"/>
          <w:lang w:val="en-US"/>
        </w:rPr>
        <w:t xml:space="preserve"> </w:t>
      </w:r>
      <w:r w:rsidR="008A12A2" w:rsidRPr="00CC562A">
        <w:rPr>
          <w:rFonts w:ascii="Cambria" w:hAnsi="Cambria"/>
          <w:sz w:val="20"/>
          <w:lang w:val="en-US"/>
        </w:rPr>
        <w:t>were published in the DOF on December 14,</w:t>
      </w:r>
      <w:r w:rsidR="00C75F12" w:rsidRPr="00CC562A">
        <w:rPr>
          <w:rFonts w:ascii="Cambria" w:hAnsi="Cambria"/>
          <w:sz w:val="20"/>
          <w:lang w:val="en-US"/>
        </w:rPr>
        <w:t xml:space="preserve"> 2022</w:t>
      </w:r>
      <w:r w:rsidR="008A12A2" w:rsidRPr="00CC562A">
        <w:rPr>
          <w:rFonts w:ascii="Cambria" w:hAnsi="Cambria"/>
          <w:sz w:val="20"/>
          <w:lang w:val="en-US"/>
        </w:rPr>
        <w:t>.</w:t>
      </w:r>
      <w:r w:rsidR="00C75F12" w:rsidRPr="00CC562A">
        <w:rPr>
          <w:rStyle w:val="FootnoteReference"/>
          <w:rFonts w:ascii="Cambria" w:hAnsi="Cambria"/>
          <w:sz w:val="20"/>
          <w:lang w:val="en-US"/>
        </w:rPr>
        <w:footnoteReference w:id="153"/>
      </w:r>
    </w:p>
    <w:p w14:paraId="75EF8DD4"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52A8C19D" w14:textId="169A3246" w:rsidR="00522749" w:rsidRPr="00CC562A" w:rsidRDefault="00276638"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5381AED2" w:rsidRPr="00CC562A">
        <w:rPr>
          <w:rFonts w:ascii="Cambria" w:eastAsia="Cambria" w:hAnsi="Cambria" w:cs="Cambria"/>
          <w:sz w:val="20"/>
          <w:szCs w:val="20"/>
          <w:lang w:val="en-US"/>
        </w:rPr>
        <w:t xml:space="preserve"> </w:t>
      </w:r>
      <w:r w:rsidR="00CA7980" w:rsidRPr="00CC562A">
        <w:rPr>
          <w:rFonts w:ascii="Cambria" w:eastAsia="Cambria" w:hAnsi="Cambria" w:cs="Cambria"/>
          <w:sz w:val="20"/>
          <w:szCs w:val="20"/>
          <w:lang w:val="en-US"/>
        </w:rPr>
        <w:t xml:space="preserve">commends </w:t>
      </w:r>
      <w:r w:rsidR="00B91E51" w:rsidRPr="00CC562A">
        <w:rPr>
          <w:rFonts w:ascii="Cambria" w:eastAsia="Cambria" w:hAnsi="Cambria" w:cs="Cambria"/>
          <w:sz w:val="20"/>
          <w:szCs w:val="20"/>
          <w:lang w:val="en-US"/>
        </w:rPr>
        <w:t>the approval of the MAEBI Guidelines, which define normative guidelines for inter-institutional coordination and international cooperation in the investigation of crimes committed against migrants, as well as for the transnational search for disappeared migrants and others in the context of human mobility. No</w:t>
      </w:r>
      <w:r w:rsidR="00CA7980" w:rsidRPr="00CC562A">
        <w:rPr>
          <w:rFonts w:ascii="Cambria" w:eastAsia="Cambria" w:hAnsi="Cambria" w:cs="Cambria"/>
          <w:sz w:val="20"/>
          <w:szCs w:val="20"/>
          <w:lang w:val="en-US"/>
        </w:rPr>
        <w:t>netheless</w:t>
      </w:r>
      <w:r w:rsidR="00B91E51" w:rsidRPr="00CC562A">
        <w:rPr>
          <w:rFonts w:ascii="Cambria" w:eastAsia="Cambria" w:hAnsi="Cambria" w:cs="Cambria"/>
          <w:sz w:val="20"/>
          <w:szCs w:val="20"/>
          <w:lang w:val="en-US"/>
        </w:rPr>
        <w:t xml:space="preserve">, given the lack of updated information on the work of the Forensic Commission and the creation of the Special Prosecutor’s Office, the Commission finds that there is </w:t>
      </w:r>
      <w:r w:rsidR="00B91E51" w:rsidRPr="00CC562A">
        <w:rPr>
          <w:rFonts w:ascii="Cambria" w:eastAsia="Cambria" w:hAnsi="Cambria" w:cs="Cambria"/>
          <w:b/>
          <w:bCs/>
          <w:sz w:val="20"/>
          <w:szCs w:val="20"/>
          <w:lang w:val="en-US"/>
        </w:rPr>
        <w:t xml:space="preserve">partial compliance </w:t>
      </w:r>
      <w:r w:rsidR="00B91E51" w:rsidRPr="00CC562A">
        <w:rPr>
          <w:rFonts w:ascii="Cambria" w:eastAsia="Cambria" w:hAnsi="Cambria" w:cs="Cambria"/>
          <w:sz w:val="20"/>
          <w:szCs w:val="20"/>
          <w:lang w:val="en-US"/>
        </w:rPr>
        <w:t>with the recommendation</w:t>
      </w:r>
      <w:r w:rsidR="5381AED2" w:rsidRPr="00CC562A">
        <w:rPr>
          <w:rFonts w:ascii="Cambria" w:eastAsia="Cambria" w:hAnsi="Cambria" w:cs="Cambria"/>
          <w:b/>
          <w:bCs/>
          <w:sz w:val="20"/>
          <w:szCs w:val="20"/>
          <w:lang w:val="en-US"/>
        </w:rPr>
        <w:t>.</w:t>
      </w:r>
    </w:p>
    <w:p w14:paraId="0A07C424"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07210D77" w14:textId="0A26A7BB" w:rsidR="003F22A5" w:rsidRPr="00CC562A" w:rsidRDefault="00E8033B"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00575591"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5B43C6CF" w:rsidRPr="00CC562A">
        <w:rPr>
          <w:rFonts w:ascii="Cambria" w:eastAsia="Cambria" w:hAnsi="Cambria" w:cs="Cambria"/>
          <w:sz w:val="20"/>
          <w:szCs w:val="20"/>
          <w:lang w:val="en-US"/>
        </w:rPr>
        <w:t xml:space="preserve"> </w:t>
      </w:r>
      <w:r w:rsidR="00B91E51" w:rsidRPr="00CC562A">
        <w:rPr>
          <w:rFonts w:ascii="Cambria" w:eastAsia="Cambria" w:hAnsi="Cambria" w:cs="Cambria"/>
          <w:sz w:val="20"/>
          <w:szCs w:val="20"/>
          <w:lang w:val="en-US"/>
        </w:rPr>
        <w:t xml:space="preserve">suggests the adoption of measures to ensure the implementation and effectiveness of the </w:t>
      </w:r>
      <w:r w:rsidR="5381AED2" w:rsidRPr="00CC562A">
        <w:rPr>
          <w:rFonts w:ascii="Cambria" w:eastAsia="Cambria" w:hAnsi="Cambria" w:cs="Cambria"/>
          <w:sz w:val="20"/>
          <w:szCs w:val="20"/>
          <w:lang w:val="en-US"/>
        </w:rPr>
        <w:t>MAEBI, as</w:t>
      </w:r>
      <w:r w:rsidR="00B91E51" w:rsidRPr="00CC562A">
        <w:rPr>
          <w:rFonts w:ascii="Cambria" w:eastAsia="Cambria" w:hAnsi="Cambria" w:cs="Cambria"/>
          <w:sz w:val="20"/>
          <w:szCs w:val="20"/>
          <w:lang w:val="en-US"/>
        </w:rPr>
        <w:t xml:space="preserve"> well as the operational status of the Forensic Commission and the Special Prosecutor’s Office for Crimes of Violence against Migrants, or the entities that institutionally fulfill these functions. In this regard, the Commission sees fit to urge the State to report on these implementation actions.</w:t>
      </w:r>
    </w:p>
    <w:p w14:paraId="3F588B81"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30952147" w14:textId="542C8A2E" w:rsidR="00AD3027" w:rsidRPr="00CC562A" w:rsidRDefault="00A166B3"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Regarding the recommendation to</w:t>
      </w:r>
      <w:r w:rsidR="2B7B1646" w:rsidRPr="00CC562A">
        <w:rPr>
          <w:rFonts w:ascii="Cambria" w:eastAsia="Cambria" w:hAnsi="Cambria" w:cs="Cambria"/>
          <w:sz w:val="20"/>
          <w:szCs w:val="20"/>
          <w:lang w:val="en-US"/>
        </w:rPr>
        <w:t xml:space="preserve"> </w:t>
      </w:r>
      <w:r w:rsidR="2B7B1646" w:rsidRPr="00CC562A">
        <w:rPr>
          <w:rFonts w:ascii="Cambria" w:hAnsi="Cambria"/>
          <w:b/>
          <w:bCs/>
          <w:sz w:val="20"/>
          <w:szCs w:val="20"/>
          <w:lang w:val="en-US"/>
        </w:rPr>
        <w:t>implemen</w:t>
      </w:r>
      <w:r w:rsidRPr="00CC562A">
        <w:rPr>
          <w:rFonts w:ascii="Cambria" w:hAnsi="Cambria"/>
          <w:b/>
          <w:bCs/>
          <w:sz w:val="20"/>
          <w:szCs w:val="20"/>
          <w:lang w:val="en-US"/>
        </w:rPr>
        <w:t>t a national mechanism to facilitate the exchange of forensic information on unidentified remains of migrants and Central Americans who have</w:t>
      </w:r>
      <w:r w:rsidR="2B7B1646" w:rsidRPr="00CC562A">
        <w:rPr>
          <w:rFonts w:ascii="Cambria" w:hAnsi="Cambria"/>
          <w:b/>
          <w:bCs/>
          <w:sz w:val="20"/>
          <w:szCs w:val="20"/>
          <w:lang w:val="en-US"/>
        </w:rPr>
        <w:t xml:space="preserve"> </w:t>
      </w:r>
      <w:r w:rsidRPr="00CC562A">
        <w:rPr>
          <w:rFonts w:ascii="Cambria" w:hAnsi="Cambria"/>
          <w:b/>
          <w:bCs/>
          <w:sz w:val="20"/>
          <w:szCs w:val="20"/>
          <w:lang w:val="en-US"/>
        </w:rPr>
        <w:t xml:space="preserve">disappeared in Mexico with the forensic databases on missing migrants that have been developed in </w:t>
      </w:r>
      <w:r w:rsidRPr="00CC562A">
        <w:rPr>
          <w:rFonts w:ascii="Cambria" w:hAnsi="Cambria"/>
          <w:b/>
          <w:bCs/>
          <w:sz w:val="20"/>
          <w:szCs w:val="20"/>
          <w:lang w:val="en-US"/>
        </w:rPr>
        <w:lastRenderedPageBreak/>
        <w:t>the region</w:t>
      </w:r>
      <w:r w:rsidR="2B7B1646"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07FF63D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pointed out that one of the mechanisms implemented is the</w:t>
      </w:r>
      <w:r w:rsidR="00B96D21" w:rsidRPr="00CC562A">
        <w:rPr>
          <w:rFonts w:ascii="Cambria" w:eastAsia="Cambria" w:hAnsi="Cambria" w:cs="Cambria"/>
          <w:sz w:val="20"/>
          <w:szCs w:val="20"/>
          <w:lang w:val="en-US"/>
        </w:rPr>
        <w:t xml:space="preserve"> National Registry of Disappeared and Missing Persons in operational terms as already explain</w:t>
      </w:r>
      <w:r w:rsidR="00CA7980" w:rsidRPr="00CC562A">
        <w:rPr>
          <w:rFonts w:ascii="Cambria" w:eastAsia="Cambria" w:hAnsi="Cambria" w:cs="Cambria"/>
          <w:sz w:val="20"/>
          <w:szCs w:val="20"/>
          <w:lang w:val="en-US"/>
        </w:rPr>
        <w:t>ed</w:t>
      </w:r>
      <w:r w:rsidR="00B96D21" w:rsidRPr="00CC562A">
        <w:rPr>
          <w:rFonts w:ascii="Cambria" w:eastAsia="Cambria" w:hAnsi="Cambria" w:cs="Cambria"/>
          <w:sz w:val="20"/>
          <w:szCs w:val="20"/>
          <w:lang w:val="en-US"/>
        </w:rPr>
        <w:t xml:space="preserve"> in this report. This registry only includes persons who are still missing as of the cutoff date. The National Roundtable for the Search for Disappeared Migrants</w:t>
      </w:r>
      <w:r w:rsidR="3855FC6D" w:rsidRPr="00CC562A">
        <w:rPr>
          <w:rFonts w:ascii="Cambria" w:eastAsia="Cambria" w:hAnsi="Cambria" w:cs="Cambria"/>
          <w:sz w:val="20"/>
          <w:szCs w:val="20"/>
          <w:lang w:val="en-US"/>
        </w:rPr>
        <w:t xml:space="preserve"> </w:t>
      </w:r>
      <w:r w:rsidR="00B96D21" w:rsidRPr="00CC562A">
        <w:rPr>
          <w:rFonts w:ascii="Cambria" w:eastAsia="Cambria" w:hAnsi="Cambria" w:cs="Cambria"/>
          <w:sz w:val="20"/>
          <w:szCs w:val="20"/>
          <w:lang w:val="en-US"/>
        </w:rPr>
        <w:t xml:space="preserve">was created on May 4, </w:t>
      </w:r>
      <w:r w:rsidR="00C80FE5" w:rsidRPr="00CC562A">
        <w:rPr>
          <w:rFonts w:ascii="Cambria" w:eastAsia="Cambria" w:hAnsi="Cambria" w:cs="Cambria"/>
          <w:sz w:val="20"/>
          <w:szCs w:val="20"/>
          <w:lang w:val="en-US"/>
        </w:rPr>
        <w:t>2022,</w:t>
      </w:r>
      <w:r w:rsidR="00B96D21" w:rsidRPr="00CC562A">
        <w:rPr>
          <w:rFonts w:ascii="Cambria" w:eastAsia="Cambria" w:hAnsi="Cambria" w:cs="Cambria"/>
          <w:sz w:val="20"/>
          <w:szCs w:val="20"/>
          <w:lang w:val="en-US"/>
        </w:rPr>
        <w:t xml:space="preserve"> for the purposes of </w:t>
      </w:r>
      <w:r w:rsidR="00CA7980" w:rsidRPr="00CC562A">
        <w:rPr>
          <w:rFonts w:ascii="Cambria" w:eastAsia="Cambria" w:hAnsi="Cambria" w:cs="Cambria"/>
          <w:sz w:val="20"/>
          <w:szCs w:val="20"/>
          <w:lang w:val="en-US"/>
        </w:rPr>
        <w:t>sharing</w:t>
      </w:r>
      <w:r w:rsidR="00B96D21" w:rsidRPr="00CC562A">
        <w:rPr>
          <w:rFonts w:ascii="Cambria" w:eastAsia="Cambria" w:hAnsi="Cambria" w:cs="Cambria"/>
          <w:sz w:val="20"/>
          <w:szCs w:val="20"/>
          <w:lang w:val="en-US"/>
        </w:rPr>
        <w:t xml:space="preserve"> information among different institutions and promoting the search for missing migrants, particularly when traveling the Central America-Mexico-United State migration corridor</w:t>
      </w:r>
      <w:r w:rsidR="3855FC6D" w:rsidRPr="00CC562A">
        <w:rPr>
          <w:rFonts w:ascii="Cambria" w:eastAsia="Cambria" w:hAnsi="Cambria" w:cs="Cambria"/>
          <w:sz w:val="20"/>
          <w:szCs w:val="20"/>
          <w:lang w:val="en-US"/>
        </w:rPr>
        <w:t>.</w:t>
      </w:r>
      <w:r w:rsidR="07FF63DF"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07FF63DF"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07FF63DF" w:rsidRPr="00CC562A">
        <w:rPr>
          <w:rFonts w:ascii="Cambria" w:eastAsia="Cambria" w:hAnsi="Cambria" w:cs="Cambria"/>
          <w:sz w:val="20"/>
          <w:szCs w:val="20"/>
          <w:lang w:val="en-US"/>
        </w:rPr>
        <w:t xml:space="preserve"> </w:t>
      </w:r>
      <w:r w:rsidR="00ED3799" w:rsidRPr="00CC562A">
        <w:rPr>
          <w:rFonts w:ascii="Cambria" w:eastAsia="Cambria" w:hAnsi="Cambria" w:cs="Cambria"/>
          <w:sz w:val="20"/>
          <w:szCs w:val="20"/>
          <w:lang w:val="en-US"/>
        </w:rPr>
        <w:t xml:space="preserve">the Roundtable for the Search for Disappeared Migrants is a forum for coordination, </w:t>
      </w:r>
      <w:r w:rsidR="00CA7980" w:rsidRPr="00CC562A">
        <w:rPr>
          <w:rFonts w:ascii="Cambria" w:eastAsia="Cambria" w:hAnsi="Cambria" w:cs="Cambria"/>
          <w:sz w:val="20"/>
          <w:szCs w:val="20"/>
          <w:lang w:val="en-US"/>
        </w:rPr>
        <w:t>sharing</w:t>
      </w:r>
      <w:r w:rsidR="00ED3799" w:rsidRPr="00CC562A">
        <w:rPr>
          <w:rFonts w:ascii="Cambria" w:eastAsia="Cambria" w:hAnsi="Cambria" w:cs="Cambria"/>
          <w:sz w:val="20"/>
          <w:szCs w:val="20"/>
          <w:lang w:val="en-US"/>
        </w:rPr>
        <w:t>, and continuous updating of information. Participants include institutions of the Mexican State and other countries, Mexican and international civil organizations, groups of relatives of missing migrants, and social organizations specializing in helping migrants in transit and seeking missing migrants, as well as national and international</w:t>
      </w:r>
      <w:r w:rsidR="3855FC6D" w:rsidRPr="00CC562A">
        <w:rPr>
          <w:rFonts w:ascii="Cambria" w:eastAsia="Cambria" w:hAnsi="Cambria" w:cs="Cambria"/>
          <w:sz w:val="20"/>
          <w:szCs w:val="20"/>
          <w:lang w:val="en-US"/>
        </w:rPr>
        <w:t xml:space="preserve"> </w:t>
      </w:r>
      <w:r w:rsidR="00ED3799" w:rsidRPr="00CC562A">
        <w:rPr>
          <w:rFonts w:ascii="Cambria" w:eastAsia="Cambria" w:hAnsi="Cambria" w:cs="Cambria"/>
          <w:sz w:val="20"/>
          <w:szCs w:val="20"/>
          <w:lang w:val="en-US"/>
        </w:rPr>
        <w:t>consultants and experts.</w:t>
      </w:r>
      <w:r w:rsidR="00946551" w:rsidRPr="00CC562A">
        <w:rPr>
          <w:rStyle w:val="FootnoteReference"/>
          <w:rFonts w:ascii="Cambria" w:eastAsia="Cambria" w:hAnsi="Cambria" w:cs="Cambria"/>
          <w:sz w:val="20"/>
          <w:szCs w:val="20"/>
          <w:lang w:val="en-US"/>
        </w:rPr>
        <w:footnoteReference w:id="154"/>
      </w:r>
    </w:p>
    <w:p w14:paraId="04884739"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0E80E386" w14:textId="3370D5BB" w:rsidR="003F22A5" w:rsidRPr="00CC562A" w:rsidRDefault="00ED3799"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w:t>
      </w:r>
      <w:r w:rsidR="5A53E149" w:rsidRPr="00CC562A">
        <w:rPr>
          <w:rFonts w:ascii="Cambria" w:eastAsia="Cambria" w:hAnsi="Cambria" w:cs="Cambria"/>
          <w:sz w:val="20"/>
          <w:szCs w:val="20"/>
          <w:lang w:val="en-US"/>
        </w:rPr>
        <w:t xml:space="preserve"> CNDH ind</w:t>
      </w:r>
      <w:r w:rsidR="1C50E5EC" w:rsidRPr="00CC562A">
        <w:rPr>
          <w:rFonts w:ascii="Cambria" w:eastAsia="Cambria" w:hAnsi="Cambria" w:cs="Cambria"/>
          <w:sz w:val="20"/>
          <w:szCs w:val="20"/>
          <w:lang w:val="en-US"/>
        </w:rPr>
        <w:t>i</w:t>
      </w:r>
      <w:r w:rsidR="5A53E149" w:rsidRPr="00CC562A">
        <w:rPr>
          <w:rFonts w:ascii="Cambria" w:eastAsia="Cambria" w:hAnsi="Cambria" w:cs="Cambria"/>
          <w:sz w:val="20"/>
          <w:szCs w:val="20"/>
          <w:lang w:val="en-US"/>
        </w:rPr>
        <w:t>c</w:t>
      </w:r>
      <w:r w:rsidRPr="00CC562A">
        <w:rPr>
          <w:rFonts w:ascii="Cambria" w:eastAsia="Cambria" w:hAnsi="Cambria" w:cs="Cambria"/>
          <w:sz w:val="20"/>
          <w:szCs w:val="20"/>
          <w:lang w:val="en-US"/>
        </w:rPr>
        <w:t xml:space="preserve">ated that it worked with the </w:t>
      </w:r>
      <w:proofErr w:type="spellStart"/>
      <w:r w:rsidRPr="00CC562A">
        <w:rPr>
          <w:rFonts w:ascii="Cambria" w:eastAsia="Cambria" w:hAnsi="Cambria" w:cs="Cambria"/>
          <w:sz w:val="20"/>
          <w:szCs w:val="20"/>
          <w:lang w:val="en-US"/>
        </w:rPr>
        <w:t>Ibero</w:t>
      </w:r>
      <w:proofErr w:type="spellEnd"/>
      <w:r w:rsidRPr="00CC562A">
        <w:rPr>
          <w:rFonts w:ascii="Cambria" w:eastAsia="Cambria" w:hAnsi="Cambria" w:cs="Cambria"/>
          <w:sz w:val="20"/>
          <w:szCs w:val="20"/>
          <w:lang w:val="en-US"/>
        </w:rPr>
        <w:t xml:space="preserve">-American Federation of </w:t>
      </w:r>
      <w:r w:rsidR="05CF8749" w:rsidRPr="00CC562A">
        <w:rPr>
          <w:rFonts w:ascii="Cambria" w:eastAsia="Cambria" w:hAnsi="Cambria" w:cs="Cambria"/>
          <w:sz w:val="20"/>
          <w:szCs w:val="20"/>
          <w:lang w:val="en-US"/>
        </w:rPr>
        <w:t>Ombud</w:t>
      </w:r>
      <w:r w:rsidR="004A69F7"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men and the Network of National Institutions for the Promotion and Protection of Human Rights </w:t>
      </w:r>
      <w:r w:rsidR="004A69F7" w:rsidRPr="00CC562A">
        <w:rPr>
          <w:rFonts w:ascii="Cambria" w:eastAsia="Cambria" w:hAnsi="Cambria" w:cs="Cambria"/>
          <w:sz w:val="20"/>
          <w:szCs w:val="20"/>
          <w:lang w:val="en-US"/>
        </w:rPr>
        <w:t xml:space="preserve">of </w:t>
      </w:r>
      <w:r w:rsidR="00C80FE5" w:rsidRPr="00CC562A">
        <w:rPr>
          <w:rFonts w:ascii="Cambria" w:eastAsia="Cambria" w:hAnsi="Cambria" w:cs="Cambria"/>
          <w:sz w:val="20"/>
          <w:szCs w:val="20"/>
          <w:lang w:val="en-US"/>
        </w:rPr>
        <w:t>the Americas</w:t>
      </w:r>
      <w:r w:rsidR="004A69F7" w:rsidRPr="00CC562A">
        <w:rPr>
          <w:rFonts w:ascii="Cambria" w:eastAsia="Cambria" w:hAnsi="Cambria" w:cs="Cambria"/>
          <w:sz w:val="20"/>
          <w:szCs w:val="20"/>
          <w:lang w:val="en-US"/>
        </w:rPr>
        <w:t xml:space="preserve">, the </w:t>
      </w:r>
      <w:r w:rsidR="00CA7980" w:rsidRPr="00CC562A">
        <w:rPr>
          <w:rFonts w:ascii="Cambria" w:eastAsia="Cambria" w:hAnsi="Cambria" w:cs="Cambria"/>
          <w:sz w:val="20"/>
          <w:szCs w:val="20"/>
          <w:lang w:val="en-US"/>
        </w:rPr>
        <w:t>p</w:t>
      </w:r>
      <w:r w:rsidR="004A69F7" w:rsidRPr="00CC562A">
        <w:rPr>
          <w:rFonts w:ascii="Cambria" w:eastAsia="Cambria" w:hAnsi="Cambria" w:cs="Cambria"/>
          <w:sz w:val="20"/>
          <w:szCs w:val="20"/>
          <w:lang w:val="en-US"/>
        </w:rPr>
        <w:t xml:space="preserve">rotocol for preventing and responding to actual and potential violations of </w:t>
      </w:r>
      <w:r w:rsidR="00C80FE5" w:rsidRPr="00CC562A">
        <w:rPr>
          <w:rFonts w:ascii="Cambria" w:eastAsia="Cambria" w:hAnsi="Cambria" w:cs="Cambria"/>
          <w:sz w:val="20"/>
          <w:szCs w:val="20"/>
          <w:lang w:val="en-US"/>
        </w:rPr>
        <w:t>people’s human</w:t>
      </w:r>
      <w:r w:rsidR="004A69F7" w:rsidRPr="00CC562A">
        <w:rPr>
          <w:rFonts w:ascii="Cambria" w:eastAsia="Cambria" w:hAnsi="Cambria" w:cs="Cambria"/>
          <w:sz w:val="20"/>
          <w:szCs w:val="20"/>
          <w:lang w:val="en-US"/>
        </w:rPr>
        <w:t xml:space="preserve"> rights in the context of international human mobility. It also pointed to cooperation and cross-border exchange activities for sharing information with national human rights institutions requesting official information from the Mexican authorities.</w:t>
      </w:r>
      <w:r w:rsidR="00775FE1" w:rsidRPr="00CC562A">
        <w:rPr>
          <w:rStyle w:val="FootnoteReference"/>
          <w:rFonts w:ascii="Cambria" w:eastAsia="Cambria" w:hAnsi="Cambria" w:cs="Cambria"/>
          <w:sz w:val="20"/>
          <w:szCs w:val="20"/>
          <w:lang w:val="en-US"/>
        </w:rPr>
        <w:footnoteReference w:id="155"/>
      </w:r>
    </w:p>
    <w:p w14:paraId="3ED5E59F"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37ADCCC8" w14:textId="3F4628E3" w:rsidR="00522749" w:rsidRPr="00CC562A" w:rsidRDefault="004A69F7"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Commission notes that the State asserts its compliance with the recommendation to the extent that various national registries are being established </w:t>
      </w:r>
      <w:proofErr w:type="gramStart"/>
      <w:r w:rsidRPr="00CC562A">
        <w:rPr>
          <w:rFonts w:ascii="Cambria" w:eastAsia="Cambria" w:hAnsi="Cambria" w:cs="Cambria"/>
          <w:sz w:val="20"/>
          <w:szCs w:val="20"/>
          <w:lang w:val="en-US"/>
        </w:rPr>
        <w:t>on the subjec</w:t>
      </w:r>
      <w:r w:rsidR="0037114F" w:rsidRPr="00CC562A">
        <w:rPr>
          <w:rFonts w:ascii="Cambria" w:eastAsia="Cambria" w:hAnsi="Cambria" w:cs="Cambria"/>
          <w:sz w:val="20"/>
          <w:szCs w:val="20"/>
          <w:lang w:val="en-US"/>
        </w:rPr>
        <w:t>t of the</w:t>
      </w:r>
      <w:proofErr w:type="gramEnd"/>
      <w:r w:rsidR="0037114F" w:rsidRPr="00CC562A">
        <w:rPr>
          <w:rFonts w:ascii="Cambria" w:eastAsia="Cambria" w:hAnsi="Cambria" w:cs="Cambria"/>
          <w:sz w:val="20"/>
          <w:szCs w:val="20"/>
          <w:lang w:val="en-US"/>
        </w:rPr>
        <w:t xml:space="preserve"> disappearance of persons and human identification. However, the Commission notes that civil society organizations have pointed out that the search for persons and forensic identification have been hampered by the lack of coordination by authorities and concealed information.</w:t>
      </w:r>
      <w:r w:rsidR="004B6604" w:rsidRPr="00CC562A">
        <w:rPr>
          <w:rStyle w:val="FootnoteReference"/>
          <w:rFonts w:ascii="Cambria" w:hAnsi="Cambria"/>
          <w:sz w:val="20"/>
          <w:szCs w:val="20"/>
          <w:lang w:val="en-US"/>
        </w:rPr>
        <w:footnoteReference w:id="156"/>
      </w:r>
      <w:r w:rsidR="0037114F" w:rsidRPr="00CC562A">
        <w:rPr>
          <w:rFonts w:ascii="Cambria" w:hAnsi="Cambria"/>
          <w:sz w:val="20"/>
          <w:szCs w:val="20"/>
          <w:lang w:val="en-US"/>
        </w:rPr>
        <w:t xml:space="preserve"> In addition, the State did not provide information on the Roundtable for the Search for Disappeared Migrants. Based on the foregoing, there is </w:t>
      </w:r>
      <w:r w:rsidR="0037114F" w:rsidRPr="00CC562A">
        <w:rPr>
          <w:rFonts w:ascii="Cambria" w:hAnsi="Cambria"/>
          <w:b/>
          <w:bCs/>
          <w:sz w:val="20"/>
          <w:szCs w:val="20"/>
          <w:lang w:val="en-US"/>
        </w:rPr>
        <w:t xml:space="preserve">substantial partial compliance </w:t>
      </w:r>
      <w:r w:rsidR="0037114F" w:rsidRPr="00CC562A">
        <w:rPr>
          <w:rFonts w:ascii="Cambria" w:hAnsi="Cambria"/>
          <w:sz w:val="20"/>
          <w:szCs w:val="20"/>
          <w:lang w:val="en-US"/>
        </w:rPr>
        <w:t>with the recommendation.</w:t>
      </w:r>
      <w:r w:rsidR="0F6947FF" w:rsidRPr="00CC562A">
        <w:rPr>
          <w:rFonts w:ascii="Cambria" w:hAnsi="Cambria"/>
          <w:sz w:val="20"/>
          <w:szCs w:val="20"/>
          <w:lang w:val="en-US"/>
        </w:rPr>
        <w:t xml:space="preserve"> </w:t>
      </w:r>
    </w:p>
    <w:p w14:paraId="303A2659" w14:textId="77777777" w:rsidR="00DB71FA" w:rsidRPr="00CC562A" w:rsidRDefault="00DB71FA" w:rsidP="00A208A0">
      <w:pPr>
        <w:spacing w:after="0" w:line="240" w:lineRule="auto"/>
        <w:ind w:left="720"/>
        <w:jc w:val="both"/>
        <w:rPr>
          <w:rFonts w:ascii="Cambria" w:eastAsia="Cambria" w:hAnsi="Cambria" w:cs="Cambria"/>
          <w:sz w:val="20"/>
          <w:szCs w:val="20"/>
          <w:lang w:val="en-US"/>
        </w:rPr>
      </w:pPr>
    </w:p>
    <w:p w14:paraId="6449D7A3" w14:textId="374ABB9D" w:rsidR="00C2035E" w:rsidRPr="00CC562A" w:rsidRDefault="0037114F" w:rsidP="00A208A0">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559039E8"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559039E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sees fit to urge the State to adopt state measures ensuring the effectiveness of the Roundtable for the Search for Disappeared Migrants or another operational mechanism that provides an accounting of the exchange of information in forensic data banks between Mexico and Central America and reports to the Commission on these advances.</w:t>
      </w:r>
    </w:p>
    <w:p w14:paraId="79D78D66" w14:textId="77777777" w:rsidR="00DB71FA" w:rsidRPr="00CC562A" w:rsidRDefault="00DB71FA" w:rsidP="00A208A0">
      <w:pPr>
        <w:spacing w:after="0" w:line="240" w:lineRule="auto"/>
        <w:jc w:val="both"/>
        <w:rPr>
          <w:rFonts w:ascii="Cambria" w:eastAsia="Cambria" w:hAnsi="Cambria" w:cs="Cambria"/>
          <w:sz w:val="20"/>
          <w:szCs w:val="20"/>
          <w:lang w:val="en-US"/>
        </w:rPr>
      </w:pPr>
    </w:p>
    <w:p w14:paraId="08290488" w14:textId="02D43933" w:rsidR="00AD3027" w:rsidRPr="00CC562A" w:rsidRDefault="008F5CC2" w:rsidP="000654DE">
      <w:pPr>
        <w:pStyle w:val="Heading2"/>
        <w:numPr>
          <w:ilvl w:val="0"/>
          <w:numId w:val="5"/>
        </w:numPr>
        <w:tabs>
          <w:tab w:val="left" w:pos="1530"/>
        </w:tabs>
        <w:spacing w:before="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Acces</w:t>
      </w:r>
      <w:r w:rsidR="00ED377A" w:rsidRPr="00CC562A">
        <w:rPr>
          <w:rFonts w:ascii="Cambria" w:hAnsi="Cambria"/>
          <w:b/>
          <w:bCs/>
          <w:color w:val="000000" w:themeColor="text1"/>
          <w:sz w:val="22"/>
          <w:szCs w:val="22"/>
          <w:lang w:val="en-US"/>
        </w:rPr>
        <w:t>s to justice</w:t>
      </w:r>
    </w:p>
    <w:p w14:paraId="30B4283E" w14:textId="31D61955" w:rsidR="00AD3027" w:rsidRPr="00CC562A" w:rsidRDefault="00ED377A"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eastAsia="Cambria" w:hAnsi="Cambria" w:cs="Cambria"/>
          <w:sz w:val="20"/>
          <w:szCs w:val="20"/>
          <w:lang w:val="en-US"/>
        </w:rPr>
        <w:t xml:space="preserve">Strengthen the country’s prosecutor’s offices in terms of technical training and independence,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guarantee proper investigation</w:t>
      </w:r>
      <w:r w:rsidR="008F5CC2" w:rsidRPr="00CC562A">
        <w:rPr>
          <w:rFonts w:ascii="Cambria" w:eastAsia="Cambria" w:hAnsi="Cambria" w:cs="Cambria"/>
          <w:sz w:val="20"/>
          <w:szCs w:val="20"/>
          <w:lang w:val="en-US"/>
        </w:rPr>
        <w:t>.</w:t>
      </w:r>
    </w:p>
    <w:p w14:paraId="7A5C1D0B" w14:textId="12915264" w:rsidR="00C83114" w:rsidRPr="00CC562A" w:rsidRDefault="00C83114" w:rsidP="00ED377A">
      <w:pPr>
        <w:numPr>
          <w:ilvl w:val="0"/>
          <w:numId w:val="8"/>
        </w:numPr>
        <w:pBdr>
          <w:top w:val="nil"/>
          <w:left w:val="nil"/>
          <w:bottom w:val="nil"/>
          <w:right w:val="nil"/>
          <w:between w:val="nil"/>
        </w:pBdr>
        <w:shd w:val="clear" w:color="auto" w:fill="D9D9D9" w:themeFill="background1" w:themeFillShade="D9"/>
        <w:tabs>
          <w:tab w:val="left" w:pos="1980"/>
        </w:tabs>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Establ</w:t>
      </w:r>
      <w:r w:rsidR="00ED377A" w:rsidRPr="00CC562A">
        <w:rPr>
          <w:rFonts w:ascii="Cambria" w:eastAsia="Cambria" w:hAnsi="Cambria" w:cs="Cambria"/>
          <w:sz w:val="20"/>
          <w:szCs w:val="20"/>
          <w:lang w:val="en-US"/>
        </w:rPr>
        <w:t>ish a coherent plan for cooperation between federal and state law enforcement authorities in the investigation of serious human rights violations, with a comprehensive approach, specific protocols, and the adoption of technical-professional, rather than political, criteria for federal investigations</w:t>
      </w:r>
      <w:r w:rsidRPr="00CC562A">
        <w:rPr>
          <w:rFonts w:ascii="Cambria" w:eastAsia="Cambria" w:hAnsi="Cambria" w:cs="Cambria"/>
          <w:sz w:val="20"/>
          <w:szCs w:val="20"/>
          <w:lang w:val="en-US"/>
        </w:rPr>
        <w:t xml:space="preserve">. </w:t>
      </w:r>
    </w:p>
    <w:p w14:paraId="3AD32AEE" w14:textId="43C89A21" w:rsidR="00C83114" w:rsidRPr="00CC562A" w:rsidRDefault="00C83114"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Adopt</w:t>
      </w:r>
      <w:r w:rsidR="00ED377A" w:rsidRPr="00CC562A">
        <w:rPr>
          <w:rFonts w:ascii="Cambria" w:eastAsia="Cambria" w:hAnsi="Cambria" w:cs="Cambria"/>
          <w:sz w:val="20"/>
          <w:szCs w:val="20"/>
          <w:lang w:val="en-US"/>
        </w:rPr>
        <w:t xml:space="preserve"> specific protection measures for victims, their families, representatives, witnesses, experts, and defenders who participate in the </w:t>
      </w:r>
      <w:r w:rsidR="001E53D9" w:rsidRPr="00CC562A">
        <w:rPr>
          <w:rFonts w:ascii="Cambria" w:eastAsia="Cambria" w:hAnsi="Cambria" w:cs="Cambria"/>
          <w:sz w:val="20"/>
          <w:szCs w:val="20"/>
          <w:lang w:val="en-US"/>
        </w:rPr>
        <w:t>investigation or search for justice when they are at risk. Guarantee access to files to family members and legal representatives. Impose appropriate sanctions in cases of retaliation against any of these persons</w:t>
      </w:r>
      <w:r w:rsidRPr="00CC562A">
        <w:rPr>
          <w:rFonts w:ascii="Cambria" w:eastAsia="Cambria" w:hAnsi="Cambria" w:cs="Cambria"/>
          <w:sz w:val="20"/>
          <w:szCs w:val="20"/>
          <w:lang w:val="en-US"/>
        </w:rPr>
        <w:t xml:space="preserve">. </w:t>
      </w:r>
    </w:p>
    <w:p w14:paraId="5222B0B8" w14:textId="04388BFD" w:rsidR="00C83114" w:rsidRPr="00CC562A" w:rsidRDefault="00C83114"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Adopt</w:t>
      </w:r>
      <w:r w:rsidR="001E53D9" w:rsidRPr="00CC562A">
        <w:rPr>
          <w:rFonts w:ascii="Cambria" w:eastAsia="Cambria" w:hAnsi="Cambria" w:cs="Cambria"/>
          <w:sz w:val="20"/>
          <w:szCs w:val="20"/>
          <w:lang w:val="en-US"/>
        </w:rPr>
        <w:t xml:space="preserve"> specific protection measures for justice operators according to their </w:t>
      </w:r>
      <w:proofErr w:type="gramStart"/>
      <w:r w:rsidR="001E53D9" w:rsidRPr="00CC562A">
        <w:rPr>
          <w:rFonts w:ascii="Cambria" w:eastAsia="Cambria" w:hAnsi="Cambria" w:cs="Cambria"/>
          <w:sz w:val="20"/>
          <w:szCs w:val="20"/>
          <w:lang w:val="en-US"/>
        </w:rPr>
        <w:t>particular needs</w:t>
      </w:r>
      <w:proofErr w:type="gramEnd"/>
      <w:r w:rsidRPr="00CC562A">
        <w:rPr>
          <w:rFonts w:ascii="Cambria" w:eastAsia="Cambria" w:hAnsi="Cambria" w:cs="Cambria"/>
          <w:sz w:val="20"/>
          <w:szCs w:val="20"/>
          <w:lang w:val="en-US"/>
        </w:rPr>
        <w:t xml:space="preserve"> </w:t>
      </w:r>
      <w:r w:rsidR="001E53D9" w:rsidRPr="00CC562A">
        <w:rPr>
          <w:rFonts w:ascii="Cambria" w:eastAsia="Cambria" w:hAnsi="Cambria" w:cs="Cambria"/>
          <w:sz w:val="20"/>
          <w:szCs w:val="20"/>
          <w:lang w:val="en-US"/>
        </w:rPr>
        <w:t>and in consultation with them</w:t>
      </w:r>
      <w:r w:rsidRPr="00CC562A">
        <w:rPr>
          <w:rFonts w:ascii="Cambria" w:eastAsia="Cambria" w:hAnsi="Cambria" w:cs="Cambria"/>
          <w:sz w:val="20"/>
          <w:szCs w:val="20"/>
          <w:lang w:val="en-US"/>
        </w:rPr>
        <w:t xml:space="preserve">. </w:t>
      </w:r>
    </w:p>
    <w:p w14:paraId="17E26EE5" w14:textId="016AA3A0" w:rsidR="00C83114" w:rsidRPr="00CC562A" w:rsidRDefault="001E53D9"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Ensure implementation of the General Victims Law and the ability of the Executive Commission for Attention to Victims to function at the federal and state levels. In consultation with civil society organizations and victims, analyze, concretely address, and eliminate the barriers that limit effective application of the law</w:t>
      </w:r>
      <w:r w:rsidR="00C83114" w:rsidRPr="00CC562A">
        <w:rPr>
          <w:rFonts w:ascii="Cambria" w:eastAsia="Cambria" w:hAnsi="Cambria" w:cs="Cambria"/>
          <w:sz w:val="20"/>
          <w:szCs w:val="20"/>
          <w:lang w:val="en-US"/>
        </w:rPr>
        <w:t xml:space="preserve">. </w:t>
      </w:r>
    </w:p>
    <w:p w14:paraId="64C4F7D1" w14:textId="4057BB3F" w:rsidR="00C83114" w:rsidRPr="00CC562A" w:rsidRDefault="001E53D9"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Assume historical responsibility for accountability for gross human rights violations. Investigate, throw light on, and punish the acts committed during the so-called Dirty War</w:t>
      </w:r>
      <w:r w:rsidR="00C83114" w:rsidRPr="00CC562A">
        <w:rPr>
          <w:rFonts w:ascii="Cambria" w:eastAsia="Cambria" w:hAnsi="Cambria" w:cs="Cambria"/>
          <w:sz w:val="20"/>
          <w:szCs w:val="20"/>
          <w:lang w:val="en-US"/>
        </w:rPr>
        <w:t xml:space="preserve">. </w:t>
      </w:r>
    </w:p>
    <w:p w14:paraId="736408B4" w14:textId="0227692E" w:rsidR="00C83114" w:rsidRPr="00CC562A" w:rsidRDefault="001E53D9"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Strengthen the Mechanism for the Protection of Human Rights Defenders and Journalists, guaranteeing its long-term financial sustainability, providing it with greater administrative autonomy, and encouraging the states to collaborate with it. Meanwhile, the Commission recommends that the Mechanism evaluate and adopt differentiated protection measures </w:t>
      </w:r>
      <w:r w:rsidR="00C80FE5" w:rsidRPr="00CC562A">
        <w:rPr>
          <w:rFonts w:ascii="Cambria" w:eastAsia="Cambria" w:hAnsi="Cambria" w:cs="Cambria"/>
          <w:sz w:val="20"/>
          <w:szCs w:val="20"/>
          <w:lang w:val="en-US"/>
        </w:rPr>
        <w:t>considering</w:t>
      </w:r>
      <w:r w:rsidRPr="00CC562A">
        <w:rPr>
          <w:rFonts w:ascii="Cambria" w:eastAsia="Cambria" w:hAnsi="Cambria" w:cs="Cambria"/>
          <w:sz w:val="20"/>
          <w:szCs w:val="20"/>
          <w:lang w:val="en-US"/>
        </w:rPr>
        <w:t xml:space="preserve"> gender, indigenous leaders, and environmental defenders; measure the effectiveness of the measures implemented; promote institutional coordination and cooperation with the </w:t>
      </w:r>
      <w:r w:rsidR="00C83114" w:rsidRPr="00CC562A">
        <w:rPr>
          <w:rFonts w:ascii="Cambria" w:eastAsia="Cambria" w:hAnsi="Cambria" w:cs="Cambria"/>
          <w:sz w:val="20"/>
          <w:szCs w:val="20"/>
          <w:lang w:val="en-US"/>
        </w:rPr>
        <w:t>PGR</w:t>
      </w:r>
      <w:r w:rsidRPr="00CC562A">
        <w:rPr>
          <w:rFonts w:ascii="Cambria" w:eastAsia="Cambria" w:hAnsi="Cambria" w:cs="Cambria"/>
          <w:sz w:val="20"/>
          <w:szCs w:val="20"/>
          <w:lang w:val="en-US"/>
        </w:rPr>
        <w:t xml:space="preserve">; and increase the transparency of all actions undertaken </w:t>
      </w:r>
      <w:proofErr w:type="gramStart"/>
      <w:r w:rsidR="00817941" w:rsidRPr="00CC562A">
        <w:rPr>
          <w:rFonts w:ascii="Cambria" w:eastAsia="Cambria" w:hAnsi="Cambria" w:cs="Cambria"/>
          <w:sz w:val="20"/>
          <w:szCs w:val="20"/>
          <w:lang w:val="en-US"/>
        </w:rPr>
        <w:t>so as to</w:t>
      </w:r>
      <w:proofErr w:type="gramEnd"/>
      <w:r w:rsidR="00817941" w:rsidRPr="00CC562A">
        <w:rPr>
          <w:rFonts w:ascii="Cambria" w:eastAsia="Cambria" w:hAnsi="Cambria" w:cs="Cambria"/>
          <w:sz w:val="20"/>
          <w:szCs w:val="20"/>
          <w:lang w:val="en-US"/>
        </w:rPr>
        <w:t xml:space="preserve"> increase beneficiaries’ trust in the Mechanism. All that needs to be accompanied by prevention policies and the participation of the target population</w:t>
      </w:r>
      <w:r w:rsidR="00C83114" w:rsidRPr="00CC562A">
        <w:rPr>
          <w:rFonts w:ascii="Cambria" w:eastAsia="Cambria" w:hAnsi="Cambria" w:cs="Cambria"/>
          <w:sz w:val="20"/>
          <w:szCs w:val="20"/>
          <w:lang w:val="en-US"/>
        </w:rPr>
        <w:t xml:space="preserve">. </w:t>
      </w:r>
    </w:p>
    <w:p w14:paraId="5FAEE44A" w14:textId="56BCFF87" w:rsidR="00C83114" w:rsidRPr="00CC562A" w:rsidRDefault="00817941"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Amend the Code of Military Justice to provide that when a member of the armed forces commits acts that could constitute </w:t>
      </w:r>
      <w:r w:rsidR="00F83AF6" w:rsidRPr="00CC562A">
        <w:rPr>
          <w:rFonts w:ascii="Cambria" w:eastAsia="Cambria" w:hAnsi="Cambria" w:cs="Cambria"/>
          <w:sz w:val="20"/>
          <w:szCs w:val="20"/>
          <w:lang w:val="en-US"/>
        </w:rPr>
        <w:t>a</w:t>
      </w:r>
      <w:r w:rsidRPr="00CC562A">
        <w:rPr>
          <w:rFonts w:ascii="Cambria" w:eastAsia="Cambria" w:hAnsi="Cambria" w:cs="Cambria"/>
          <w:sz w:val="20"/>
          <w:szCs w:val="20"/>
          <w:lang w:val="en-US"/>
        </w:rPr>
        <w:t xml:space="preserve"> violation of human rights, such acts shall be tried by civil law courts, regardless of whether the victim is civilian or military</w:t>
      </w:r>
      <w:r w:rsidR="00C83114" w:rsidRPr="00CC562A">
        <w:rPr>
          <w:rFonts w:ascii="Cambria" w:eastAsia="Cambria" w:hAnsi="Cambria" w:cs="Cambria"/>
          <w:sz w:val="20"/>
          <w:szCs w:val="20"/>
          <w:lang w:val="en-US"/>
        </w:rPr>
        <w:t xml:space="preserve">. </w:t>
      </w:r>
    </w:p>
    <w:p w14:paraId="5378D14F" w14:textId="2651CB0A" w:rsidR="00C83114" w:rsidRPr="00CC562A" w:rsidRDefault="00C83114"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Monito</w:t>
      </w:r>
      <w:r w:rsidR="00817941" w:rsidRPr="00CC562A">
        <w:rPr>
          <w:rFonts w:ascii="Cambria" w:eastAsia="Cambria" w:hAnsi="Cambria" w:cs="Cambria"/>
          <w:sz w:val="20"/>
          <w:szCs w:val="20"/>
          <w:lang w:val="en-US"/>
        </w:rPr>
        <w:t>r the entry into force of the new criminal justice system, as well as the effectiveness of training. Include public defenders in training</w:t>
      </w:r>
      <w:r w:rsidRPr="00CC562A">
        <w:rPr>
          <w:rFonts w:ascii="Cambria" w:eastAsia="Cambria" w:hAnsi="Cambria" w:cs="Cambria"/>
          <w:sz w:val="20"/>
          <w:szCs w:val="20"/>
          <w:lang w:val="en-US"/>
        </w:rPr>
        <w:t xml:space="preserve">. </w:t>
      </w:r>
    </w:p>
    <w:p w14:paraId="5D02A927" w14:textId="254EF379" w:rsidR="00C83114" w:rsidRPr="00CC562A" w:rsidRDefault="00C83114" w:rsidP="00001918">
      <w:pPr>
        <w:numPr>
          <w:ilvl w:val="0"/>
          <w:numId w:val="8"/>
        </w:numPr>
        <w:pBdr>
          <w:top w:val="nil"/>
          <w:left w:val="nil"/>
          <w:bottom w:val="nil"/>
          <w:right w:val="nil"/>
          <w:between w:val="nil"/>
        </w:pBdr>
        <w:shd w:val="clear" w:color="auto" w:fill="D9D9D9" w:themeFill="background1" w:themeFillShade="D9"/>
        <w:spacing w:before="240" w:line="240" w:lineRule="auto"/>
        <w:ind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Evalua</w:t>
      </w:r>
      <w:r w:rsidR="00817941" w:rsidRPr="00CC562A">
        <w:rPr>
          <w:rFonts w:ascii="Cambria" w:eastAsia="Cambria" w:hAnsi="Cambria" w:cs="Cambria"/>
          <w:sz w:val="20"/>
          <w:szCs w:val="20"/>
          <w:lang w:val="en-US"/>
        </w:rPr>
        <w:t>te the effective implementation of the new criminal justice system, as well as the areas in which closer monitoring will be required, along with adequate training and necessary resources. Include permanent training for justice operators and public defenders to ensure compliance with the Inter-American Convention on Human Rights</w:t>
      </w:r>
      <w:r w:rsidRPr="00CC562A">
        <w:rPr>
          <w:rFonts w:ascii="Cambria" w:eastAsia="Cambria" w:hAnsi="Cambria" w:cs="Cambria"/>
          <w:sz w:val="20"/>
          <w:szCs w:val="20"/>
          <w:lang w:val="en-US"/>
        </w:rPr>
        <w:t xml:space="preserve">. </w:t>
      </w:r>
    </w:p>
    <w:p w14:paraId="15ADBAF7" w14:textId="14660426" w:rsidR="008F5CC2" w:rsidRPr="00CC562A" w:rsidRDefault="008F5CC2" w:rsidP="004C5B48">
      <w:pPr>
        <w:spacing w:after="0" w:line="240" w:lineRule="auto"/>
        <w:jc w:val="both"/>
        <w:rPr>
          <w:rFonts w:ascii="Cambria" w:eastAsia="Cambria" w:hAnsi="Cambria" w:cs="Cambria"/>
          <w:sz w:val="20"/>
          <w:szCs w:val="20"/>
          <w:lang w:val="en-US"/>
        </w:rPr>
      </w:pPr>
    </w:p>
    <w:p w14:paraId="7A016404" w14:textId="569C0D3C" w:rsidR="008F5CC2" w:rsidRPr="00CC562A" w:rsidRDefault="00817941" w:rsidP="00AB48C0">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respect to the recommendation regarding the </w:t>
      </w:r>
      <w:r w:rsidRPr="00CC562A">
        <w:rPr>
          <w:rFonts w:ascii="Cambria" w:eastAsia="Cambria" w:hAnsi="Cambria" w:cs="Cambria"/>
          <w:b/>
          <w:bCs/>
          <w:sz w:val="20"/>
          <w:szCs w:val="20"/>
          <w:lang w:val="en-US"/>
        </w:rPr>
        <w:t>strengthening of public prosecutor</w:t>
      </w:r>
      <w:r w:rsidR="00F83AF6" w:rsidRPr="00CC562A">
        <w:rPr>
          <w:rFonts w:ascii="Cambria" w:eastAsia="Cambria" w:hAnsi="Cambria" w:cs="Cambria"/>
          <w:b/>
          <w:bCs/>
          <w:sz w:val="20"/>
          <w:szCs w:val="20"/>
          <w:lang w:val="en-US"/>
        </w:rPr>
        <w:t>’</w:t>
      </w:r>
      <w:r w:rsidRPr="00CC562A">
        <w:rPr>
          <w:rFonts w:ascii="Cambria" w:eastAsia="Cambria" w:hAnsi="Cambria" w:cs="Cambria"/>
          <w:b/>
          <w:bCs/>
          <w:sz w:val="20"/>
          <w:szCs w:val="20"/>
          <w:lang w:val="en-US"/>
        </w:rPr>
        <w:t xml:space="preserve">s offices in </w:t>
      </w:r>
      <w:r w:rsidR="00AB48C0" w:rsidRPr="00CC562A">
        <w:rPr>
          <w:rFonts w:ascii="Cambria" w:eastAsia="Cambria" w:hAnsi="Cambria" w:cs="Cambria"/>
          <w:b/>
          <w:bCs/>
          <w:sz w:val="20"/>
          <w:szCs w:val="20"/>
          <w:lang w:val="en-US"/>
        </w:rPr>
        <w:t xml:space="preserve">terms </w:t>
      </w:r>
      <w:r w:rsidRPr="00CC562A">
        <w:rPr>
          <w:rFonts w:ascii="Cambria" w:eastAsia="Cambria" w:hAnsi="Cambria" w:cs="Cambria"/>
          <w:b/>
          <w:bCs/>
          <w:sz w:val="20"/>
          <w:szCs w:val="20"/>
          <w:lang w:val="en-US"/>
        </w:rPr>
        <w:t xml:space="preserve">of technical training and independence </w:t>
      </w:r>
      <w:proofErr w:type="gramStart"/>
      <w:r w:rsidRPr="00CC562A">
        <w:rPr>
          <w:rFonts w:ascii="Cambria" w:eastAsia="Cambria" w:hAnsi="Cambria" w:cs="Cambria"/>
          <w:b/>
          <w:bCs/>
          <w:sz w:val="20"/>
          <w:szCs w:val="20"/>
          <w:lang w:val="en-US"/>
        </w:rPr>
        <w:t>in order to</w:t>
      </w:r>
      <w:proofErr w:type="gramEnd"/>
      <w:r w:rsidRPr="00CC562A">
        <w:rPr>
          <w:rFonts w:ascii="Cambria" w:eastAsia="Cambria" w:hAnsi="Cambria" w:cs="Cambria"/>
          <w:b/>
          <w:bCs/>
          <w:sz w:val="20"/>
          <w:szCs w:val="20"/>
          <w:lang w:val="en-US"/>
        </w:rPr>
        <w:t xml:space="preserve"> guarantee proper investigation</w:t>
      </w:r>
      <w:r w:rsidR="13F5D8B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369EAE5C" w:rsidRPr="00CC562A">
        <w:rPr>
          <w:rFonts w:ascii="Cambria" w:eastAsia="Cambria" w:hAnsi="Cambria" w:cs="Cambria"/>
          <w:sz w:val="20"/>
          <w:szCs w:val="20"/>
          <w:lang w:val="en-US"/>
        </w:rPr>
        <w:t xml:space="preserve"> report</w:t>
      </w:r>
      <w:r w:rsidRPr="00CC562A">
        <w:rPr>
          <w:rFonts w:ascii="Cambria" w:eastAsia="Cambria" w:hAnsi="Cambria" w:cs="Cambria"/>
          <w:sz w:val="20"/>
          <w:szCs w:val="20"/>
          <w:lang w:val="en-US"/>
        </w:rPr>
        <w:t xml:space="preserve">ed a series of instruments approved between </w:t>
      </w:r>
      <w:r w:rsidR="369EAE5C" w:rsidRPr="00CC562A">
        <w:rPr>
          <w:rFonts w:ascii="Cambria" w:eastAsia="Cambria" w:hAnsi="Cambria" w:cs="Cambria"/>
          <w:sz w:val="20"/>
          <w:szCs w:val="20"/>
          <w:lang w:val="en-US"/>
        </w:rPr>
        <w:t xml:space="preserve">2015 </w:t>
      </w:r>
      <w:r w:rsidRPr="00CC562A">
        <w:rPr>
          <w:rFonts w:ascii="Cambria" w:eastAsia="Cambria" w:hAnsi="Cambria" w:cs="Cambria"/>
          <w:sz w:val="20"/>
          <w:szCs w:val="20"/>
          <w:lang w:val="en-US"/>
        </w:rPr>
        <w:t>and</w:t>
      </w:r>
      <w:r w:rsidR="369EAE5C" w:rsidRPr="00CC562A">
        <w:rPr>
          <w:rFonts w:ascii="Cambria" w:eastAsia="Cambria" w:hAnsi="Cambria" w:cs="Cambria"/>
          <w:sz w:val="20"/>
          <w:szCs w:val="20"/>
          <w:lang w:val="en-US"/>
        </w:rPr>
        <w:t xml:space="preserve"> 2018 </w:t>
      </w:r>
      <w:r w:rsidRPr="00CC562A">
        <w:rPr>
          <w:rFonts w:ascii="Cambria" w:eastAsia="Cambria" w:hAnsi="Cambria" w:cs="Cambria"/>
          <w:sz w:val="20"/>
          <w:szCs w:val="20"/>
          <w:lang w:val="en-US"/>
        </w:rPr>
        <w:t xml:space="preserve">for the training of prosecution staff. In addition, the State indicated that, within the offices of the </w:t>
      </w:r>
      <w:r w:rsidR="3855FC6D" w:rsidRPr="00CC562A">
        <w:rPr>
          <w:rFonts w:ascii="Cambria" w:eastAsia="Cambria" w:hAnsi="Cambria" w:cs="Cambria"/>
          <w:sz w:val="20"/>
          <w:szCs w:val="20"/>
          <w:lang w:val="en-US"/>
        </w:rPr>
        <w:t xml:space="preserve">FGR, </w:t>
      </w:r>
      <w:r w:rsidR="00AB48C0" w:rsidRPr="00CC562A">
        <w:rPr>
          <w:rFonts w:ascii="Cambria" w:eastAsia="Cambria" w:hAnsi="Cambria" w:cs="Cambria"/>
          <w:sz w:val="20"/>
          <w:szCs w:val="20"/>
          <w:lang w:val="en-US"/>
        </w:rPr>
        <w:t xml:space="preserve">training courses are constantly conducted </w:t>
      </w:r>
      <w:r w:rsidR="00F83AF6" w:rsidRPr="00CC562A">
        <w:rPr>
          <w:rFonts w:ascii="Cambria" w:eastAsia="Cambria" w:hAnsi="Cambria" w:cs="Cambria"/>
          <w:sz w:val="20"/>
          <w:szCs w:val="20"/>
          <w:lang w:val="en-US"/>
        </w:rPr>
        <w:t>to ensure</w:t>
      </w:r>
      <w:r w:rsidR="3855FC6D" w:rsidRPr="00CC562A">
        <w:rPr>
          <w:rFonts w:ascii="Cambria" w:eastAsia="Cambria" w:hAnsi="Cambria" w:cs="Cambria"/>
          <w:sz w:val="20"/>
          <w:szCs w:val="20"/>
          <w:lang w:val="en-US"/>
        </w:rPr>
        <w:t xml:space="preserve"> </w:t>
      </w:r>
      <w:r w:rsidR="00AB48C0" w:rsidRPr="00CC562A">
        <w:rPr>
          <w:rFonts w:ascii="Cambria" w:eastAsia="Cambria" w:hAnsi="Cambria" w:cs="Cambria"/>
          <w:sz w:val="20"/>
          <w:szCs w:val="20"/>
          <w:lang w:val="en-US"/>
        </w:rPr>
        <w:t>the professionalization of investigat</w:t>
      </w:r>
      <w:r w:rsidR="00F83AF6" w:rsidRPr="00CC562A">
        <w:rPr>
          <w:rFonts w:ascii="Cambria" w:eastAsia="Cambria" w:hAnsi="Cambria" w:cs="Cambria"/>
          <w:sz w:val="20"/>
          <w:szCs w:val="20"/>
          <w:lang w:val="en-US"/>
        </w:rPr>
        <w:t>ors</w:t>
      </w:r>
      <w:r w:rsidR="00AB48C0" w:rsidRPr="00CC562A">
        <w:rPr>
          <w:rFonts w:ascii="Cambria" w:eastAsia="Cambria" w:hAnsi="Cambria" w:cs="Cambria"/>
          <w:sz w:val="20"/>
          <w:szCs w:val="20"/>
          <w:lang w:val="en-US"/>
        </w:rPr>
        <w:t xml:space="preserve"> </w:t>
      </w:r>
      <w:r w:rsidR="00F83AF6" w:rsidRPr="00CC562A">
        <w:rPr>
          <w:rFonts w:ascii="Cambria" w:eastAsia="Cambria" w:hAnsi="Cambria" w:cs="Cambria"/>
          <w:sz w:val="20"/>
          <w:szCs w:val="20"/>
          <w:lang w:val="en-US"/>
        </w:rPr>
        <w:t xml:space="preserve">both </w:t>
      </w:r>
      <w:r w:rsidR="00AB48C0" w:rsidRPr="00CC562A">
        <w:rPr>
          <w:rFonts w:ascii="Cambria" w:eastAsia="Cambria" w:hAnsi="Cambria" w:cs="Cambria"/>
          <w:sz w:val="20"/>
          <w:szCs w:val="20"/>
          <w:lang w:val="en-US"/>
        </w:rPr>
        <w:t>to structure complete and technical investigations and for their professional develop</w:t>
      </w:r>
      <w:r w:rsidR="00F83AF6" w:rsidRPr="00CC562A">
        <w:rPr>
          <w:rFonts w:ascii="Cambria" w:eastAsia="Cambria" w:hAnsi="Cambria" w:cs="Cambria"/>
          <w:sz w:val="20"/>
          <w:szCs w:val="20"/>
          <w:lang w:val="en-US"/>
        </w:rPr>
        <w:t>ment</w:t>
      </w:r>
      <w:r w:rsidR="00AB48C0" w:rsidRPr="00CC562A">
        <w:rPr>
          <w:rFonts w:ascii="Cambria" w:eastAsia="Cambria" w:hAnsi="Cambria" w:cs="Cambria"/>
          <w:sz w:val="20"/>
          <w:szCs w:val="20"/>
          <w:lang w:val="en-US"/>
        </w:rPr>
        <w:t xml:space="preserve"> in the country’s courts. The FRG currently has the “Cycle of Conferences for Strengthening the Substantive Operation,” headed by the General Directorate of Professional Training, so </w:t>
      </w:r>
      <w:r w:rsidR="00C80FE5" w:rsidRPr="00CC562A">
        <w:rPr>
          <w:rFonts w:ascii="Cambria" w:eastAsia="Cambria" w:hAnsi="Cambria" w:cs="Cambria"/>
          <w:sz w:val="20"/>
          <w:szCs w:val="20"/>
          <w:lang w:val="en-US"/>
        </w:rPr>
        <w:t xml:space="preserve">that </w:t>
      </w:r>
      <w:r w:rsidR="00C80FE5" w:rsidRPr="00CC562A">
        <w:rPr>
          <w:rFonts w:ascii="Cambria" w:eastAsia="Cambria" w:hAnsi="Cambria" w:cs="Cambria"/>
          <w:sz w:val="20"/>
          <w:szCs w:val="20"/>
          <w:lang w:val="en-US"/>
        </w:rPr>
        <w:lastRenderedPageBreak/>
        <w:t>staff</w:t>
      </w:r>
      <w:r w:rsidR="00AB48C0" w:rsidRPr="00CC562A">
        <w:rPr>
          <w:rFonts w:ascii="Cambria" w:eastAsia="Cambria" w:hAnsi="Cambria" w:cs="Cambria"/>
          <w:sz w:val="20"/>
          <w:szCs w:val="20"/>
          <w:lang w:val="en-US"/>
        </w:rPr>
        <w:t xml:space="preserve"> training is considered to </w:t>
      </w:r>
      <w:r w:rsidR="009F5CF0" w:rsidRPr="00CC562A">
        <w:rPr>
          <w:rFonts w:ascii="Cambria" w:eastAsia="Cambria" w:hAnsi="Cambria" w:cs="Cambria"/>
          <w:sz w:val="20"/>
          <w:szCs w:val="20"/>
          <w:lang w:val="en-US"/>
        </w:rPr>
        <w:t xml:space="preserve">be </w:t>
      </w:r>
      <w:r w:rsidR="00AB48C0" w:rsidRPr="00CC562A">
        <w:rPr>
          <w:rFonts w:ascii="Cambria" w:eastAsia="Cambria" w:hAnsi="Cambria" w:cs="Cambria"/>
          <w:sz w:val="20"/>
          <w:szCs w:val="20"/>
          <w:lang w:val="en-US"/>
        </w:rPr>
        <w:t>continuous.</w:t>
      </w:r>
      <w:r w:rsidR="00946551" w:rsidRPr="00CC562A">
        <w:rPr>
          <w:rStyle w:val="FootnoteReference"/>
          <w:rFonts w:ascii="Cambria" w:eastAsia="Cambria" w:hAnsi="Cambria" w:cs="Cambria"/>
          <w:sz w:val="20"/>
          <w:szCs w:val="20"/>
          <w:lang w:val="en-US"/>
        </w:rPr>
        <w:footnoteReference w:id="157"/>
      </w:r>
      <w:r w:rsidR="00C75F12" w:rsidRPr="00CC562A">
        <w:rPr>
          <w:rFonts w:ascii="Cambria" w:eastAsia="Cambria" w:hAnsi="Cambria" w:cs="Cambria"/>
          <w:sz w:val="20"/>
          <w:szCs w:val="20"/>
          <w:lang w:val="en-US"/>
        </w:rPr>
        <w:t xml:space="preserve"> </w:t>
      </w:r>
      <w:r w:rsidR="008A12A2" w:rsidRPr="00CC562A">
        <w:rPr>
          <w:rFonts w:ascii="Cambria" w:hAnsi="Cambria"/>
          <w:sz w:val="20"/>
          <w:lang w:val="en-US"/>
        </w:rPr>
        <w:t>For its part, the</w:t>
      </w:r>
      <w:r w:rsidR="00C75F12" w:rsidRPr="00CC562A">
        <w:rPr>
          <w:rFonts w:ascii="Cambria" w:hAnsi="Cambria"/>
          <w:sz w:val="20"/>
          <w:lang w:val="en-US"/>
        </w:rPr>
        <w:t xml:space="preserve"> FGR </w:t>
      </w:r>
      <w:r w:rsidR="008A12A2" w:rsidRPr="00CC562A">
        <w:rPr>
          <w:rFonts w:ascii="Cambria" w:hAnsi="Cambria"/>
          <w:sz w:val="20"/>
          <w:lang w:val="en-US"/>
        </w:rPr>
        <w:t xml:space="preserve">indicated that said prosecutor’s office offers all personnel ongoing cycles of conferences and training courses </w:t>
      </w:r>
      <w:r w:rsidR="00595947" w:rsidRPr="00CC562A">
        <w:rPr>
          <w:rFonts w:ascii="Cambria" w:hAnsi="Cambria"/>
          <w:sz w:val="20"/>
          <w:lang w:val="en-US"/>
        </w:rPr>
        <w:t>on current topics, ensuring in this way that the work of procuring justice is performed in the best way possible so as to obtain favorable results for the institution. In addition, it indicated that the</w:t>
      </w:r>
      <w:r w:rsidR="00C75F12" w:rsidRPr="00CC562A">
        <w:rPr>
          <w:rFonts w:ascii="Cambria" w:hAnsi="Cambria"/>
          <w:color w:val="000000" w:themeColor="text1"/>
          <w:sz w:val="20"/>
          <w:lang w:val="en-US"/>
        </w:rPr>
        <w:t xml:space="preserve"> </w:t>
      </w:r>
      <w:r w:rsidR="00595947" w:rsidRPr="00CC562A">
        <w:rPr>
          <w:rFonts w:ascii="Cambria" w:hAnsi="Cambria"/>
          <w:color w:val="000000" w:themeColor="text1"/>
          <w:sz w:val="20"/>
          <w:lang w:val="en-US"/>
        </w:rPr>
        <w:t xml:space="preserve">Program of Specialization in Forced Disappearance, Disappearance Committed by Private </w:t>
      </w:r>
      <w:proofErr w:type="gramStart"/>
      <w:r w:rsidR="00595947" w:rsidRPr="00CC562A">
        <w:rPr>
          <w:rFonts w:ascii="Cambria" w:hAnsi="Cambria"/>
          <w:color w:val="000000" w:themeColor="text1"/>
          <w:sz w:val="20"/>
          <w:lang w:val="en-US"/>
        </w:rPr>
        <w:t>Parties</w:t>
      </w:r>
      <w:proofErr w:type="gramEnd"/>
      <w:r w:rsidR="00595947" w:rsidRPr="00CC562A">
        <w:rPr>
          <w:rFonts w:ascii="Cambria" w:hAnsi="Cambria"/>
          <w:color w:val="000000" w:themeColor="text1"/>
          <w:sz w:val="20"/>
          <w:lang w:val="en-US"/>
        </w:rPr>
        <w:t xml:space="preserve"> and the National </w:t>
      </w:r>
      <w:r w:rsidR="005C2908" w:rsidRPr="00CC562A">
        <w:rPr>
          <w:rFonts w:ascii="Cambria" w:hAnsi="Cambria"/>
          <w:color w:val="000000" w:themeColor="text1"/>
          <w:sz w:val="20"/>
          <w:lang w:val="en-US"/>
        </w:rPr>
        <w:t>System</w:t>
      </w:r>
      <w:r w:rsidR="00595947" w:rsidRPr="00CC562A">
        <w:rPr>
          <w:rFonts w:ascii="Cambria" w:hAnsi="Cambria"/>
          <w:color w:val="000000" w:themeColor="text1"/>
          <w:sz w:val="20"/>
          <w:lang w:val="en-US"/>
        </w:rPr>
        <w:t xml:space="preserve"> for the Search for Disappeared Persons is being conducted. This program has certified</w:t>
      </w:r>
      <w:r w:rsidR="00C75F12" w:rsidRPr="00CC562A">
        <w:rPr>
          <w:rFonts w:ascii="Cambria" w:eastAsia="Cambria" w:hAnsi="Cambria" w:cs="Cambria"/>
          <w:color w:val="000000" w:themeColor="text1"/>
          <w:sz w:val="20"/>
          <w:szCs w:val="20"/>
          <w:lang w:val="en-US"/>
        </w:rPr>
        <w:t xml:space="preserve"> 166 </w:t>
      </w:r>
      <w:r w:rsidR="00595947" w:rsidRPr="00CC562A">
        <w:rPr>
          <w:rFonts w:ascii="Cambria" w:eastAsia="Cambria" w:hAnsi="Cambria" w:cs="Cambria"/>
          <w:color w:val="000000" w:themeColor="text1"/>
          <w:sz w:val="20"/>
          <w:szCs w:val="20"/>
          <w:lang w:val="en-US"/>
        </w:rPr>
        <w:t>civil servants</w:t>
      </w:r>
      <w:r w:rsidR="00C75F12" w:rsidRPr="00CC562A">
        <w:rPr>
          <w:rFonts w:ascii="Cambria" w:eastAsia="Cambria" w:hAnsi="Cambria" w:cs="Cambria"/>
          <w:color w:val="000000" w:themeColor="text1"/>
          <w:sz w:val="20"/>
          <w:szCs w:val="20"/>
          <w:lang w:val="en-US"/>
        </w:rPr>
        <w:t xml:space="preserve"> (63 </w:t>
      </w:r>
      <w:r w:rsidR="00595947" w:rsidRPr="00CC562A">
        <w:rPr>
          <w:rFonts w:ascii="Cambria" w:eastAsia="Cambria" w:hAnsi="Cambria" w:cs="Cambria"/>
          <w:color w:val="000000" w:themeColor="text1"/>
          <w:sz w:val="20"/>
          <w:szCs w:val="20"/>
          <w:lang w:val="en-US"/>
        </w:rPr>
        <w:t>civil servants during the year</w:t>
      </w:r>
      <w:r w:rsidR="00C75F12" w:rsidRPr="00CC562A">
        <w:rPr>
          <w:rFonts w:ascii="Cambria" w:eastAsia="Cambria" w:hAnsi="Cambria" w:cs="Cambria"/>
          <w:color w:val="000000" w:themeColor="text1"/>
          <w:sz w:val="20"/>
          <w:szCs w:val="20"/>
          <w:lang w:val="en-US"/>
        </w:rPr>
        <w:t xml:space="preserve"> 2018; 34 </w:t>
      </w:r>
      <w:r w:rsidR="00595947" w:rsidRPr="00CC562A">
        <w:rPr>
          <w:rFonts w:ascii="Cambria" w:eastAsia="Cambria" w:hAnsi="Cambria" w:cs="Cambria"/>
          <w:color w:val="000000" w:themeColor="text1"/>
          <w:sz w:val="20"/>
          <w:szCs w:val="20"/>
          <w:lang w:val="en-US"/>
        </w:rPr>
        <w:t xml:space="preserve">civil servants in </w:t>
      </w:r>
      <w:r w:rsidR="00C75F12" w:rsidRPr="00CC562A">
        <w:rPr>
          <w:rFonts w:ascii="Cambria" w:eastAsia="Cambria" w:hAnsi="Cambria" w:cs="Cambria"/>
          <w:color w:val="000000" w:themeColor="text1"/>
          <w:sz w:val="20"/>
          <w:szCs w:val="20"/>
          <w:lang w:val="en-US"/>
        </w:rPr>
        <w:t xml:space="preserve">2019; 23 </w:t>
      </w:r>
      <w:r w:rsidR="00595947" w:rsidRPr="00CC562A">
        <w:rPr>
          <w:rFonts w:ascii="Cambria" w:eastAsia="Cambria" w:hAnsi="Cambria" w:cs="Cambria"/>
          <w:color w:val="000000" w:themeColor="text1"/>
          <w:sz w:val="20"/>
          <w:szCs w:val="20"/>
          <w:lang w:val="en-US"/>
        </w:rPr>
        <w:t>i</w:t>
      </w:r>
      <w:r w:rsidR="00C75F12" w:rsidRPr="00CC562A">
        <w:rPr>
          <w:rFonts w:ascii="Cambria" w:eastAsia="Cambria" w:hAnsi="Cambria" w:cs="Cambria"/>
          <w:color w:val="000000" w:themeColor="text1"/>
          <w:sz w:val="20"/>
          <w:szCs w:val="20"/>
          <w:lang w:val="en-US"/>
        </w:rPr>
        <w:t xml:space="preserve">n 2021, </w:t>
      </w:r>
      <w:r w:rsidR="00595947" w:rsidRPr="00CC562A">
        <w:rPr>
          <w:rFonts w:ascii="Cambria" w:eastAsia="Cambria" w:hAnsi="Cambria" w:cs="Cambria"/>
          <w:color w:val="000000" w:themeColor="text1"/>
          <w:sz w:val="20"/>
          <w:szCs w:val="20"/>
          <w:lang w:val="en-US"/>
        </w:rPr>
        <w:t>and</w:t>
      </w:r>
      <w:r w:rsidR="00C75F12" w:rsidRPr="00CC562A">
        <w:rPr>
          <w:rFonts w:ascii="Cambria" w:eastAsia="Cambria" w:hAnsi="Cambria" w:cs="Cambria"/>
          <w:color w:val="000000" w:themeColor="text1"/>
          <w:sz w:val="20"/>
          <w:szCs w:val="20"/>
          <w:lang w:val="en-US"/>
        </w:rPr>
        <w:t xml:space="preserve"> 46 </w:t>
      </w:r>
      <w:r w:rsidR="00595947" w:rsidRPr="00CC562A">
        <w:rPr>
          <w:rFonts w:ascii="Cambria" w:eastAsia="Cambria" w:hAnsi="Cambria" w:cs="Cambria"/>
          <w:color w:val="000000" w:themeColor="text1"/>
          <w:sz w:val="20"/>
          <w:szCs w:val="20"/>
          <w:lang w:val="en-US"/>
        </w:rPr>
        <w:t>in</w:t>
      </w:r>
      <w:r w:rsidR="00C75F12" w:rsidRPr="00CC562A">
        <w:rPr>
          <w:rFonts w:ascii="Cambria" w:eastAsia="Cambria" w:hAnsi="Cambria" w:cs="Cambria"/>
          <w:color w:val="000000" w:themeColor="text1"/>
          <w:sz w:val="20"/>
          <w:szCs w:val="20"/>
          <w:lang w:val="en-US"/>
        </w:rPr>
        <w:t xml:space="preserve"> 2022) </w:t>
      </w:r>
      <w:r w:rsidR="00595947" w:rsidRPr="00CC562A">
        <w:rPr>
          <w:rFonts w:ascii="Cambria" w:eastAsia="Cambria" w:hAnsi="Cambria" w:cs="Cambria"/>
          <w:color w:val="000000" w:themeColor="text1"/>
          <w:sz w:val="20"/>
          <w:szCs w:val="20"/>
          <w:lang w:val="en-US"/>
        </w:rPr>
        <w:t xml:space="preserve">who completed </w:t>
      </w:r>
      <w:r w:rsidR="00C75F12" w:rsidRPr="00CC562A">
        <w:rPr>
          <w:rFonts w:ascii="Cambria" w:eastAsia="Cambria" w:hAnsi="Cambria" w:cs="Cambria"/>
          <w:color w:val="000000" w:themeColor="text1"/>
          <w:sz w:val="20"/>
          <w:szCs w:val="20"/>
          <w:lang w:val="en-US"/>
        </w:rPr>
        <w:t>150 ho</w:t>
      </w:r>
      <w:r w:rsidR="00595947" w:rsidRPr="00CC562A">
        <w:rPr>
          <w:rFonts w:ascii="Cambria" w:eastAsia="Cambria" w:hAnsi="Cambria" w:cs="Cambria"/>
          <w:color w:val="000000" w:themeColor="text1"/>
          <w:sz w:val="20"/>
          <w:szCs w:val="20"/>
          <w:lang w:val="en-US"/>
        </w:rPr>
        <w:t>urs of theoretical-practical training and obtained their respective certificates and</w:t>
      </w:r>
      <w:r w:rsidR="00B44C7D" w:rsidRPr="00CC562A">
        <w:rPr>
          <w:rFonts w:ascii="Cambria" w:eastAsia="Cambria" w:hAnsi="Cambria" w:cs="Cambria"/>
          <w:color w:val="000000" w:themeColor="text1"/>
          <w:sz w:val="20"/>
          <w:szCs w:val="20"/>
          <w:lang w:val="en-US"/>
        </w:rPr>
        <w:t xml:space="preserve"> accreditation cards, consistent with the Guidelines.</w:t>
      </w:r>
      <w:r w:rsidR="00C75F12" w:rsidRPr="00CC562A">
        <w:rPr>
          <w:rStyle w:val="FootnoteReference"/>
          <w:rFonts w:ascii="Cambria" w:hAnsi="Cambria"/>
          <w:color w:val="000000" w:themeColor="text1"/>
          <w:sz w:val="20"/>
          <w:lang w:val="en-US"/>
        </w:rPr>
        <w:footnoteReference w:id="158"/>
      </w:r>
    </w:p>
    <w:p w14:paraId="63A0A48D" w14:textId="77777777" w:rsidR="00DB71FA" w:rsidRPr="00CC562A" w:rsidRDefault="00DB71FA" w:rsidP="004C5B48">
      <w:pPr>
        <w:pBdr>
          <w:top w:val="nil"/>
          <w:left w:val="nil"/>
          <w:bottom w:val="nil"/>
          <w:right w:val="nil"/>
          <w:between w:val="nil"/>
        </w:pBdr>
        <w:spacing w:after="0" w:line="240" w:lineRule="auto"/>
        <w:ind w:left="720"/>
        <w:jc w:val="both"/>
        <w:rPr>
          <w:rFonts w:ascii="Cambria" w:eastAsia="Cambria" w:hAnsi="Cambria" w:cs="Cambria"/>
          <w:sz w:val="20"/>
          <w:szCs w:val="20"/>
          <w:lang w:val="en-US"/>
        </w:rPr>
      </w:pPr>
    </w:p>
    <w:p w14:paraId="5AF1D469" w14:textId="0F90B400" w:rsidR="00064826" w:rsidRPr="00CC562A" w:rsidRDefault="00AB48C0" w:rsidP="00A11884">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Commission recognizes the State’s actions to establish administrative </w:t>
      </w:r>
      <w:r w:rsidR="00345C7B" w:rsidRPr="00CC562A">
        <w:rPr>
          <w:rFonts w:ascii="Cambria" w:eastAsia="Cambria" w:hAnsi="Cambria" w:cs="Cambria"/>
          <w:sz w:val="20"/>
          <w:szCs w:val="20"/>
          <w:lang w:val="en-US"/>
        </w:rPr>
        <w:t>provisions for the training of civil servants in the context of the pursuit of justice.</w:t>
      </w:r>
      <w:r w:rsidR="369EAE5C" w:rsidRPr="00CC562A">
        <w:rPr>
          <w:rFonts w:ascii="Cambria" w:eastAsia="Cambria" w:hAnsi="Cambria" w:cs="Cambria"/>
          <w:sz w:val="20"/>
          <w:szCs w:val="20"/>
          <w:lang w:val="en-US"/>
        </w:rPr>
        <w:t xml:space="preserve"> </w:t>
      </w:r>
      <w:r w:rsidR="00345C7B" w:rsidRPr="00CC562A">
        <w:rPr>
          <w:rFonts w:ascii="Cambria" w:eastAsia="Cambria" w:hAnsi="Cambria" w:cs="Cambria"/>
          <w:sz w:val="20"/>
          <w:szCs w:val="20"/>
          <w:lang w:val="en-US"/>
        </w:rPr>
        <w:t>Despite</w:t>
      </w:r>
      <w:r w:rsidR="775554B3" w:rsidRPr="00CC562A">
        <w:rPr>
          <w:rFonts w:ascii="Cambria" w:eastAsia="Cambria" w:hAnsi="Cambria" w:cs="Cambria"/>
          <w:sz w:val="20"/>
          <w:szCs w:val="20"/>
          <w:lang w:val="en-US"/>
        </w:rPr>
        <w:t xml:space="preserve"> </w:t>
      </w:r>
      <w:r w:rsidR="00345C7B" w:rsidRPr="00CC562A">
        <w:rPr>
          <w:rFonts w:ascii="Cambria" w:eastAsia="Cambria" w:hAnsi="Cambria" w:cs="Cambria"/>
          <w:sz w:val="20"/>
          <w:szCs w:val="20"/>
          <w:lang w:val="en-US"/>
        </w:rPr>
        <w:t xml:space="preserve">the measures adopted by the </w:t>
      </w:r>
      <w:r w:rsidR="00752FED" w:rsidRPr="00CC562A">
        <w:rPr>
          <w:rFonts w:ascii="Cambria" w:eastAsia="Cambria" w:hAnsi="Cambria" w:cs="Cambria"/>
          <w:sz w:val="20"/>
          <w:szCs w:val="20"/>
          <w:lang w:val="en-US"/>
        </w:rPr>
        <w:t>State</w:t>
      </w:r>
      <w:r w:rsidR="775554B3" w:rsidRPr="00CC562A">
        <w:rPr>
          <w:rFonts w:ascii="Cambria" w:eastAsia="Cambria" w:hAnsi="Cambria" w:cs="Cambria"/>
          <w:sz w:val="20"/>
          <w:szCs w:val="20"/>
          <w:lang w:val="en-US"/>
        </w:rPr>
        <w:t xml:space="preserve">, </w:t>
      </w:r>
      <w:r w:rsidR="00345C7B" w:rsidRPr="00CC562A">
        <w:rPr>
          <w:rFonts w:ascii="Cambria" w:eastAsia="Cambria" w:hAnsi="Cambria" w:cs="Cambria"/>
          <w:sz w:val="20"/>
          <w:szCs w:val="20"/>
          <w:lang w:val="en-US"/>
        </w:rPr>
        <w:t xml:space="preserve">the Commission does not see that the information supplied by the </w:t>
      </w:r>
      <w:r w:rsidR="00752FED" w:rsidRPr="00CC562A">
        <w:rPr>
          <w:rFonts w:ascii="Cambria" w:eastAsia="Cambria" w:hAnsi="Cambria" w:cs="Cambria"/>
          <w:sz w:val="20"/>
          <w:szCs w:val="20"/>
          <w:lang w:val="en-US"/>
        </w:rPr>
        <w:t>State</w:t>
      </w:r>
      <w:r w:rsidR="369EAE5C" w:rsidRPr="00CC562A">
        <w:rPr>
          <w:rFonts w:ascii="Cambria" w:eastAsia="Cambria" w:hAnsi="Cambria" w:cs="Cambria"/>
          <w:sz w:val="20"/>
          <w:szCs w:val="20"/>
          <w:lang w:val="en-US"/>
        </w:rPr>
        <w:t xml:space="preserve"> </w:t>
      </w:r>
      <w:r w:rsidR="00345C7B" w:rsidRPr="00CC562A">
        <w:rPr>
          <w:rFonts w:ascii="Cambria" w:eastAsia="Cambria" w:hAnsi="Cambria" w:cs="Cambria"/>
          <w:sz w:val="20"/>
          <w:szCs w:val="20"/>
          <w:lang w:val="en-US"/>
        </w:rPr>
        <w:t>depicts a comprehensive and sustainable model directed to the independence of prosecutorial staff</w:t>
      </w:r>
      <w:r w:rsidR="369EAE5C" w:rsidRPr="00CC562A">
        <w:rPr>
          <w:rFonts w:ascii="Cambria" w:eastAsia="Cambria" w:hAnsi="Cambria" w:cs="Cambria"/>
          <w:sz w:val="20"/>
          <w:szCs w:val="20"/>
          <w:lang w:val="en-US"/>
        </w:rPr>
        <w:t>.</w:t>
      </w:r>
    </w:p>
    <w:p w14:paraId="5E950223"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6F1AECCF" w14:textId="117A889D" w:rsidR="00522749" w:rsidRPr="00CC562A" w:rsidRDefault="00345C7B"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Similarly, the Commission noes that the</w:t>
      </w:r>
      <w:r w:rsidR="00752FED" w:rsidRPr="00CC562A">
        <w:rPr>
          <w:rFonts w:ascii="Cambria" w:eastAsia="Cambria" w:hAnsi="Cambria" w:cs="Cambria"/>
          <w:sz w:val="20"/>
          <w:szCs w:val="20"/>
          <w:lang w:val="en-US"/>
        </w:rPr>
        <w:t xml:space="preserve"> State</w:t>
      </w:r>
      <w:r w:rsidR="775554B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did not provide detailed information that can be used to measure other perspectives impacting the autonomy of prosecutor’s offices and technical training. Based on these considerations, the Commission believes that </w:t>
      </w:r>
      <w:r w:rsidRPr="00CC562A">
        <w:rPr>
          <w:rFonts w:ascii="Cambria" w:eastAsia="Cambria" w:hAnsi="Cambria" w:cs="Cambria"/>
          <w:b/>
          <w:bCs/>
          <w:sz w:val="20"/>
          <w:szCs w:val="20"/>
          <w:lang w:val="en-US"/>
        </w:rPr>
        <w:t xml:space="preserve">partial compliance </w:t>
      </w:r>
      <w:r w:rsidRPr="00CC562A">
        <w:rPr>
          <w:rFonts w:ascii="Cambria" w:eastAsia="Cambria" w:hAnsi="Cambria" w:cs="Cambria"/>
          <w:sz w:val="20"/>
          <w:szCs w:val="20"/>
          <w:lang w:val="en-US"/>
        </w:rPr>
        <w:t>with the recommendation</w:t>
      </w:r>
      <w:r w:rsidR="775554B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continues.</w:t>
      </w:r>
      <w:r w:rsidR="775554B3" w:rsidRPr="00CC562A">
        <w:rPr>
          <w:rFonts w:ascii="Cambria" w:eastAsia="Cambria" w:hAnsi="Cambria" w:cs="Cambria"/>
          <w:sz w:val="20"/>
          <w:szCs w:val="20"/>
          <w:lang w:val="en-US"/>
        </w:rPr>
        <w:t xml:space="preserve"> </w:t>
      </w:r>
    </w:p>
    <w:p w14:paraId="5D4250A3"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11EF8A36" w14:textId="4D0B4C04" w:rsidR="008F5CC2" w:rsidRPr="00CC562A" w:rsidRDefault="00E8033B"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00013E7A"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0013E7A" w:rsidRPr="00CC562A">
        <w:rPr>
          <w:rFonts w:ascii="Cambria" w:eastAsia="Cambria" w:hAnsi="Cambria" w:cs="Cambria"/>
          <w:sz w:val="20"/>
          <w:szCs w:val="20"/>
          <w:lang w:val="en-US"/>
        </w:rPr>
        <w:t xml:space="preserve"> </w:t>
      </w:r>
      <w:r w:rsidR="00345C7B" w:rsidRPr="00CC562A">
        <w:rPr>
          <w:rFonts w:ascii="Cambria" w:eastAsia="Cambria" w:hAnsi="Cambria" w:cs="Cambria"/>
          <w:sz w:val="20"/>
          <w:szCs w:val="20"/>
          <w:lang w:val="en-US"/>
        </w:rPr>
        <w:t xml:space="preserve">suggests that the State provide information on measures to ensure, in addition to conducting the various types of training, that training </w:t>
      </w:r>
      <w:r w:rsidR="00A11884" w:rsidRPr="00CC562A">
        <w:rPr>
          <w:rFonts w:ascii="Cambria" w:eastAsia="Cambria" w:hAnsi="Cambria" w:cs="Cambria"/>
          <w:sz w:val="20"/>
          <w:szCs w:val="20"/>
          <w:lang w:val="en-US"/>
        </w:rPr>
        <w:t>for</w:t>
      </w:r>
      <w:r w:rsidR="00345C7B" w:rsidRPr="00CC562A">
        <w:rPr>
          <w:rFonts w:ascii="Cambria" w:eastAsia="Cambria" w:hAnsi="Cambria" w:cs="Cambria"/>
          <w:sz w:val="20"/>
          <w:szCs w:val="20"/>
          <w:lang w:val="en-US"/>
        </w:rPr>
        <w:t xml:space="preserve"> prosecutorial staff </w:t>
      </w:r>
      <w:r w:rsidR="00A11884" w:rsidRPr="00CC562A">
        <w:rPr>
          <w:rFonts w:ascii="Cambria" w:eastAsia="Cambria" w:hAnsi="Cambria" w:cs="Cambria"/>
          <w:sz w:val="20"/>
          <w:szCs w:val="20"/>
          <w:lang w:val="en-US"/>
        </w:rPr>
        <w:t>follows a sustainable plan and does not consist of isolated actions</w:t>
      </w:r>
      <w:r w:rsidR="31F9CB1D" w:rsidRPr="00CC562A">
        <w:rPr>
          <w:rFonts w:ascii="Cambria" w:eastAsia="Cambria" w:hAnsi="Cambria" w:cs="Cambria"/>
          <w:sz w:val="20"/>
          <w:szCs w:val="20"/>
          <w:lang w:val="en-US"/>
        </w:rPr>
        <w:t>.</w:t>
      </w:r>
    </w:p>
    <w:p w14:paraId="66F846ED" w14:textId="28B9EC17" w:rsidR="008F5CC2" w:rsidRPr="00CC562A" w:rsidRDefault="008F5CC2" w:rsidP="004C5B48">
      <w:pPr>
        <w:spacing w:after="0" w:line="240" w:lineRule="auto"/>
        <w:jc w:val="both"/>
        <w:rPr>
          <w:rFonts w:ascii="Cambria" w:eastAsia="Cambria" w:hAnsi="Cambria" w:cs="Cambria"/>
          <w:sz w:val="20"/>
          <w:szCs w:val="20"/>
          <w:lang w:val="en-US"/>
        </w:rPr>
      </w:pPr>
    </w:p>
    <w:p w14:paraId="77987046" w14:textId="1522BAA0" w:rsidR="005628F9" w:rsidRPr="00CC562A" w:rsidRDefault="00A11884"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Regarding the recommendation to</w:t>
      </w:r>
      <w:r w:rsidR="6887544F" w:rsidRPr="00CC562A">
        <w:rPr>
          <w:rFonts w:ascii="Cambria" w:eastAsia="Cambria" w:hAnsi="Cambria" w:cs="Cambria"/>
          <w:sz w:val="20"/>
          <w:szCs w:val="20"/>
          <w:lang w:val="en-US"/>
        </w:rPr>
        <w:t xml:space="preserve"> </w:t>
      </w:r>
      <w:r w:rsidR="6887544F" w:rsidRPr="00CC562A">
        <w:rPr>
          <w:rFonts w:ascii="Cambria" w:hAnsi="Cambria"/>
          <w:b/>
          <w:bCs/>
          <w:sz w:val="20"/>
          <w:szCs w:val="20"/>
          <w:lang w:val="en-US"/>
        </w:rPr>
        <w:t>establ</w:t>
      </w:r>
      <w:r w:rsidRPr="00CC562A">
        <w:rPr>
          <w:rFonts w:ascii="Cambria" w:hAnsi="Cambria"/>
          <w:b/>
          <w:bCs/>
          <w:sz w:val="20"/>
          <w:szCs w:val="20"/>
          <w:lang w:val="en-US"/>
        </w:rPr>
        <w:t>ish a plan for cooperation among prosecutorial authorities at the federal and state level</w:t>
      </w:r>
      <w:r w:rsidR="6887544F" w:rsidRPr="00CC562A">
        <w:rPr>
          <w:rFonts w:ascii="Cambria" w:hAnsi="Cambria"/>
          <w:b/>
          <w:bCs/>
          <w:sz w:val="20"/>
          <w:szCs w:val="20"/>
          <w:lang w:val="en-US"/>
        </w:rPr>
        <w:t xml:space="preserve">, </w:t>
      </w:r>
      <w:r w:rsidR="00752FED" w:rsidRPr="00CC562A">
        <w:rPr>
          <w:rFonts w:ascii="Cambria" w:hAnsi="Cambria"/>
          <w:sz w:val="20"/>
          <w:szCs w:val="20"/>
          <w:lang w:val="en-US"/>
        </w:rPr>
        <w:t>the State</w:t>
      </w:r>
      <w:r w:rsidR="07FF63DF"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there is cooperation among authorities at the federal and state level on handling serious human rights violations. Thus, within the National Conference of Judicial Prosecutors various protocols have been approved for the investigation of crimes involving human rights violations. In addition, the State indicated that victims may ask the</w:t>
      </w:r>
      <w:r w:rsidR="31F9CB1D" w:rsidRPr="00CC562A">
        <w:rPr>
          <w:rFonts w:ascii="Cambria" w:eastAsia="Cambria" w:hAnsi="Cambria" w:cs="Cambria"/>
          <w:sz w:val="20"/>
          <w:szCs w:val="20"/>
          <w:lang w:val="en-US"/>
        </w:rPr>
        <w:t xml:space="preserve"> FGR</w:t>
      </w:r>
      <w:r w:rsidR="3855FC6D" w:rsidRPr="00CC562A">
        <w:rPr>
          <w:rFonts w:ascii="Cambria" w:eastAsia="Cambria" w:hAnsi="Cambria" w:cs="Cambria"/>
          <w:sz w:val="20"/>
          <w:szCs w:val="20"/>
          <w:lang w:val="en-US"/>
        </w:rPr>
        <w:t xml:space="preserve"> </w:t>
      </w:r>
      <w:r w:rsidR="005E7831" w:rsidRPr="00CC562A">
        <w:rPr>
          <w:rFonts w:ascii="Cambria" w:eastAsia="Cambria" w:hAnsi="Cambria" w:cs="Cambria"/>
          <w:sz w:val="20"/>
          <w:szCs w:val="20"/>
          <w:lang w:val="en-US"/>
        </w:rPr>
        <w:t>to submit the investigation, to which the Office of the Public Prosecutor shall respond</w:t>
      </w:r>
      <w:r w:rsidR="3855FC6D" w:rsidRPr="00CC562A">
        <w:rPr>
          <w:rFonts w:ascii="Cambria" w:eastAsia="Cambria" w:hAnsi="Cambria" w:cs="Cambria"/>
          <w:sz w:val="20"/>
          <w:szCs w:val="20"/>
          <w:lang w:val="en-US"/>
        </w:rPr>
        <w:t xml:space="preserve"> </w:t>
      </w:r>
      <w:r w:rsidR="005E7831" w:rsidRPr="00CC562A">
        <w:rPr>
          <w:rFonts w:ascii="Cambria" w:eastAsia="Cambria" w:hAnsi="Cambria" w:cs="Cambria"/>
          <w:sz w:val="20"/>
          <w:szCs w:val="20"/>
          <w:lang w:val="en-US"/>
        </w:rPr>
        <w:t xml:space="preserve">on a well-founded basis. In cases not considered, the Specialized Prosecutor’s Offices of the </w:t>
      </w:r>
      <w:r w:rsidR="00365543" w:rsidRPr="00CC562A">
        <w:rPr>
          <w:rFonts w:ascii="Cambria" w:eastAsia="Cambria" w:hAnsi="Cambria" w:cs="Cambria"/>
          <w:sz w:val="20"/>
          <w:szCs w:val="20"/>
          <w:lang w:val="en-US"/>
        </w:rPr>
        <w:t>states</w:t>
      </w:r>
      <w:r w:rsidR="005E7831" w:rsidRPr="00CC562A">
        <w:rPr>
          <w:rFonts w:ascii="Cambria" w:eastAsia="Cambria" w:hAnsi="Cambria" w:cs="Cambria"/>
          <w:sz w:val="20"/>
          <w:szCs w:val="20"/>
          <w:lang w:val="en-US"/>
        </w:rPr>
        <w:t xml:space="preserve"> will have jurisdiction</w:t>
      </w:r>
      <w:r w:rsidR="3855FC6D" w:rsidRPr="00CC562A">
        <w:rPr>
          <w:rFonts w:ascii="Cambria" w:eastAsia="Cambria" w:hAnsi="Cambria" w:cs="Cambria"/>
          <w:sz w:val="20"/>
          <w:szCs w:val="20"/>
          <w:lang w:val="en-US"/>
        </w:rPr>
        <w:t>.</w:t>
      </w:r>
      <w:r w:rsidR="07FF63DF" w:rsidRPr="00CC562A">
        <w:rPr>
          <w:rFonts w:ascii="Cambria" w:eastAsia="Cambria" w:hAnsi="Cambria" w:cs="Cambria"/>
          <w:sz w:val="20"/>
          <w:szCs w:val="20"/>
          <w:lang w:val="en-US"/>
        </w:rPr>
        <w:t xml:space="preserve"> </w:t>
      </w:r>
      <w:r w:rsidR="00B44C7D" w:rsidRPr="00CC562A">
        <w:rPr>
          <w:rFonts w:ascii="Cambria" w:hAnsi="Cambria"/>
          <w:sz w:val="20"/>
          <w:lang w:val="en-US"/>
        </w:rPr>
        <w:t>The</w:t>
      </w:r>
      <w:r w:rsidR="00C75F12" w:rsidRPr="00CC562A">
        <w:rPr>
          <w:rFonts w:ascii="Cambria" w:hAnsi="Cambria"/>
          <w:sz w:val="20"/>
          <w:lang w:val="en-US"/>
        </w:rPr>
        <w:t xml:space="preserve"> FGR </w:t>
      </w:r>
      <w:r w:rsidR="00B44C7D" w:rsidRPr="00CC562A">
        <w:rPr>
          <w:rFonts w:ascii="Cambria" w:hAnsi="Cambria"/>
          <w:sz w:val="20"/>
          <w:lang w:val="en-US"/>
        </w:rPr>
        <w:t xml:space="preserve">reported that it maintains active collaboration with the Attorney General’s Office of the state of </w:t>
      </w:r>
      <w:r w:rsidR="00C75F12" w:rsidRPr="00CC562A">
        <w:rPr>
          <w:rFonts w:ascii="Cambria" w:hAnsi="Cambria"/>
          <w:sz w:val="20"/>
          <w:lang w:val="en-US"/>
        </w:rPr>
        <w:t xml:space="preserve">Baja California, </w:t>
      </w:r>
      <w:r w:rsidR="00B44C7D" w:rsidRPr="00CC562A">
        <w:rPr>
          <w:rFonts w:ascii="Cambria" w:hAnsi="Cambria"/>
          <w:sz w:val="20"/>
          <w:lang w:val="en-US"/>
        </w:rPr>
        <w:t xml:space="preserve">as there is good communication and institutional cooperation facilitating the integration of investigative files. In addition, it noted that Article </w:t>
      </w:r>
      <w:r w:rsidR="00C75F12" w:rsidRPr="00CC562A">
        <w:rPr>
          <w:rFonts w:ascii="Cambria" w:hAnsi="Cambria"/>
          <w:sz w:val="20"/>
          <w:lang w:val="en-US"/>
        </w:rPr>
        <w:t xml:space="preserve">88 </w:t>
      </w:r>
      <w:r w:rsidR="00B44C7D" w:rsidRPr="00CC562A">
        <w:rPr>
          <w:rFonts w:ascii="Cambria" w:hAnsi="Cambria"/>
          <w:sz w:val="20"/>
          <w:lang w:val="en-US"/>
        </w:rPr>
        <w:t xml:space="preserve">of the Law on the Attorney General’s Office provides for the development of the Strategic Plan </w:t>
      </w:r>
      <w:r w:rsidR="007F0135" w:rsidRPr="00CC562A">
        <w:rPr>
          <w:rFonts w:ascii="Cambria" w:hAnsi="Cambria"/>
          <w:sz w:val="20"/>
          <w:lang w:val="en-US"/>
        </w:rPr>
        <w:t>for the Pursuit of Justice, which may establish the guidelines for asserting jurisdiction.</w:t>
      </w:r>
      <w:r w:rsidR="00C75F12" w:rsidRPr="00CC562A">
        <w:rPr>
          <w:rStyle w:val="FootnoteReference"/>
          <w:rFonts w:ascii="Cambria" w:hAnsi="Cambria"/>
          <w:sz w:val="20"/>
          <w:lang w:val="en-US"/>
        </w:rPr>
        <w:footnoteReference w:id="159"/>
      </w:r>
    </w:p>
    <w:p w14:paraId="24317B3C" w14:textId="77777777" w:rsidR="00DB71FA" w:rsidRPr="00CC562A" w:rsidRDefault="00DB71FA" w:rsidP="004C5B48">
      <w:pPr>
        <w:spacing w:after="0" w:line="240" w:lineRule="auto"/>
        <w:jc w:val="both"/>
        <w:rPr>
          <w:rFonts w:ascii="Cambria" w:eastAsia="Cambria" w:hAnsi="Cambria" w:cs="Cambria"/>
          <w:sz w:val="20"/>
          <w:szCs w:val="20"/>
          <w:lang w:val="en-US"/>
        </w:rPr>
      </w:pPr>
    </w:p>
    <w:p w14:paraId="3B879458" w14:textId="6D1B7DD3" w:rsidR="00C50288" w:rsidRPr="00CC562A" w:rsidRDefault="00F108AA"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3906F21C" w:rsidRPr="00CC562A">
        <w:rPr>
          <w:rFonts w:ascii="Cambria" w:eastAsia="Cambria" w:hAnsi="Cambria" w:cs="Cambria"/>
          <w:sz w:val="20"/>
          <w:szCs w:val="20"/>
          <w:lang w:val="en-US"/>
        </w:rPr>
        <w:t xml:space="preserve"> </w:t>
      </w:r>
      <w:r w:rsidR="005E7831" w:rsidRPr="00CC562A">
        <w:rPr>
          <w:rFonts w:ascii="Cambria" w:eastAsia="Cambria" w:hAnsi="Cambria" w:cs="Cambria"/>
          <w:sz w:val="20"/>
          <w:szCs w:val="20"/>
          <w:lang w:val="en-US"/>
        </w:rPr>
        <w:t xml:space="preserve">agents of the Federal Prosecutor’s Office of the Special Prosecutor’s Office for the Investigation of the Crime of Torture are subject in their actions to compliance with legal provisions such as the Constitution, </w:t>
      </w:r>
      <w:r w:rsidR="007F0135" w:rsidRPr="00CC562A">
        <w:rPr>
          <w:rFonts w:ascii="Cambria" w:eastAsia="Cambria" w:hAnsi="Cambria" w:cs="Cambria"/>
          <w:sz w:val="20"/>
          <w:szCs w:val="20"/>
          <w:lang w:val="en-US"/>
        </w:rPr>
        <w:t>international treaties signed by the State</w:t>
      </w:r>
      <w:r w:rsidR="00C75F12" w:rsidRPr="00CC562A">
        <w:rPr>
          <w:rFonts w:ascii="Cambria" w:hAnsi="Cambria"/>
          <w:sz w:val="20"/>
          <w:lang w:val="en-US"/>
        </w:rPr>
        <w:t xml:space="preserve">, </w:t>
      </w:r>
      <w:r w:rsidR="005E7831" w:rsidRPr="00CC562A">
        <w:rPr>
          <w:rFonts w:ascii="Cambria" w:eastAsia="Cambria" w:hAnsi="Cambria" w:cs="Cambria"/>
          <w:sz w:val="20"/>
          <w:szCs w:val="20"/>
          <w:lang w:val="en-US"/>
        </w:rPr>
        <w:t>laws on the subject, and the Standardized Protocol for the Investigation of the Crime of Torture</w:t>
      </w:r>
      <w:r w:rsidR="3906F21C" w:rsidRPr="00CC562A">
        <w:rPr>
          <w:rFonts w:ascii="Cambria" w:eastAsia="Cambria" w:hAnsi="Cambria" w:cs="Cambria"/>
          <w:sz w:val="20"/>
          <w:szCs w:val="20"/>
          <w:lang w:val="en-US"/>
        </w:rPr>
        <w:t xml:space="preserve">, </w:t>
      </w:r>
      <w:r w:rsidR="005E7831" w:rsidRPr="00CC562A">
        <w:rPr>
          <w:rFonts w:ascii="Cambria" w:eastAsia="Cambria" w:hAnsi="Cambria" w:cs="Cambria"/>
          <w:sz w:val="20"/>
          <w:szCs w:val="20"/>
          <w:lang w:val="en-US"/>
        </w:rPr>
        <w:t xml:space="preserve">carrying out the provisions established therein, </w:t>
      </w:r>
      <w:r w:rsidR="00D80036" w:rsidRPr="00CC562A">
        <w:rPr>
          <w:rFonts w:ascii="Cambria" w:eastAsia="Cambria" w:hAnsi="Cambria" w:cs="Cambria"/>
          <w:sz w:val="20"/>
          <w:szCs w:val="20"/>
          <w:lang w:val="en-US"/>
        </w:rPr>
        <w:t xml:space="preserve">to the effect that investigations must be conducted immediately, efficiently, exhaustively, professionally and impartially, free of stereotypes and discrimination, and directed to exploring all possible lines of investigation for compiling data </w:t>
      </w:r>
      <w:r w:rsidR="00D80036" w:rsidRPr="00CC562A">
        <w:rPr>
          <w:rFonts w:ascii="Cambria" w:eastAsia="Cambria" w:hAnsi="Cambria" w:cs="Cambria"/>
          <w:sz w:val="20"/>
          <w:szCs w:val="20"/>
          <w:lang w:val="en-US"/>
        </w:rPr>
        <w:lastRenderedPageBreak/>
        <w:t>and clarifying the facts of what the law classifies as a crime, as well as identifying who committed the crimes and who participated in committing the crime.</w:t>
      </w:r>
      <w:r w:rsidR="00946551" w:rsidRPr="00CC562A">
        <w:rPr>
          <w:rStyle w:val="FootnoteReference"/>
          <w:rFonts w:ascii="Cambria" w:eastAsia="Cambria" w:hAnsi="Cambria" w:cs="Cambria"/>
          <w:sz w:val="20"/>
          <w:szCs w:val="20"/>
          <w:lang w:val="en-US"/>
        </w:rPr>
        <w:footnoteReference w:id="160"/>
      </w:r>
    </w:p>
    <w:p w14:paraId="2A3B02CD" w14:textId="77777777" w:rsidR="00DB71FA" w:rsidRPr="00CC562A" w:rsidRDefault="00DB71FA" w:rsidP="00D80036">
      <w:pPr>
        <w:spacing w:after="0" w:line="240" w:lineRule="auto"/>
        <w:jc w:val="both"/>
        <w:rPr>
          <w:rFonts w:ascii="Cambria" w:eastAsia="Cambria" w:hAnsi="Cambria" w:cs="Cambria"/>
          <w:sz w:val="20"/>
          <w:szCs w:val="20"/>
          <w:lang w:val="en-US"/>
        </w:rPr>
      </w:pPr>
    </w:p>
    <w:p w14:paraId="74E89B58" w14:textId="390E7F1B" w:rsidR="008F5CC2" w:rsidRPr="00CC562A" w:rsidRDefault="00F108AA"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36D2D53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36D2D53B"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36D2D53B" w:rsidRPr="00CC562A">
        <w:rPr>
          <w:rFonts w:ascii="Cambria" w:eastAsia="Cambria" w:hAnsi="Cambria" w:cs="Cambria"/>
          <w:sz w:val="20"/>
          <w:szCs w:val="20"/>
          <w:lang w:val="en-US"/>
        </w:rPr>
        <w:t xml:space="preserve"> </w:t>
      </w:r>
      <w:r w:rsidR="00D80036" w:rsidRPr="00CC562A">
        <w:rPr>
          <w:rFonts w:ascii="Cambria" w:eastAsia="Cambria" w:hAnsi="Cambria" w:cs="Cambria"/>
          <w:sz w:val="20"/>
          <w:szCs w:val="20"/>
          <w:lang w:val="en-US"/>
        </w:rPr>
        <w:t>the</w:t>
      </w:r>
      <w:r w:rsidR="36D2D53B" w:rsidRPr="00CC562A">
        <w:rPr>
          <w:rFonts w:ascii="Cambria" w:eastAsia="Cambria" w:hAnsi="Cambria" w:cs="Cambria"/>
          <w:sz w:val="20"/>
          <w:szCs w:val="20"/>
          <w:lang w:val="en-US"/>
        </w:rPr>
        <w:t xml:space="preserve"> C</w:t>
      </w:r>
      <w:r w:rsidR="2298D794" w:rsidRPr="00CC562A">
        <w:rPr>
          <w:rFonts w:ascii="Cambria" w:eastAsia="Cambria" w:hAnsi="Cambria" w:cs="Cambria"/>
          <w:sz w:val="20"/>
          <w:szCs w:val="20"/>
          <w:lang w:val="en-US"/>
        </w:rPr>
        <w:t xml:space="preserve">JF </w:t>
      </w:r>
      <w:r w:rsidR="00D80036" w:rsidRPr="00CC562A">
        <w:rPr>
          <w:rFonts w:ascii="Cambria" w:eastAsia="Cambria" w:hAnsi="Cambria" w:cs="Cambria"/>
          <w:sz w:val="20"/>
          <w:szCs w:val="20"/>
          <w:lang w:val="en-US"/>
        </w:rPr>
        <w:t xml:space="preserve">approved the General Agreement that governs processing for the joinder of matters in the courts responsible for the </w:t>
      </w:r>
      <w:r w:rsidR="009F5CF0" w:rsidRPr="00CC562A">
        <w:rPr>
          <w:rFonts w:ascii="Cambria" w:eastAsia="Cambria" w:hAnsi="Cambria" w:cs="Cambria"/>
          <w:sz w:val="20"/>
          <w:szCs w:val="20"/>
          <w:lang w:val="en-US"/>
        </w:rPr>
        <w:t>Council</w:t>
      </w:r>
      <w:r w:rsidR="00D80036" w:rsidRPr="00CC562A">
        <w:rPr>
          <w:rFonts w:ascii="Cambria" w:eastAsia="Cambria" w:hAnsi="Cambria" w:cs="Cambria"/>
          <w:sz w:val="20"/>
          <w:szCs w:val="20"/>
          <w:lang w:val="en-US"/>
        </w:rPr>
        <w:t>, including serious human rights violations, so that the courts provide a unified and consistent response in a large number of cases linked to serious human rights violations.</w:t>
      </w:r>
      <w:r w:rsidR="00854DD5" w:rsidRPr="00CC562A">
        <w:rPr>
          <w:rFonts w:ascii="Cambria" w:eastAsia="Cambria" w:hAnsi="Cambria" w:cs="Cambria"/>
          <w:sz w:val="20"/>
          <w:szCs w:val="20"/>
          <w:vertAlign w:val="superscript"/>
          <w:lang w:val="en-US"/>
        </w:rPr>
        <w:footnoteReference w:id="161"/>
      </w:r>
      <w:r w:rsidR="00C75F12" w:rsidRPr="00CC562A">
        <w:rPr>
          <w:rFonts w:ascii="Cambria" w:hAnsi="Cambria"/>
          <w:sz w:val="20"/>
          <w:lang w:val="en-US"/>
        </w:rPr>
        <w:t xml:space="preserve"> </w:t>
      </w:r>
      <w:r w:rsidR="007F0135" w:rsidRPr="00CC562A">
        <w:rPr>
          <w:rFonts w:ascii="Cambria" w:hAnsi="Cambria"/>
          <w:sz w:val="20"/>
          <w:lang w:val="en-US"/>
        </w:rPr>
        <w:t>In addition, the State reported through the SCJN on the publication of the Protocols for action by those who deliver justice</w:t>
      </w:r>
      <w:r w:rsidR="00C75F12" w:rsidRPr="00CC562A">
        <w:rPr>
          <w:rFonts w:ascii="Cambria" w:eastAsia="Cambria" w:hAnsi="Cambria" w:cs="Cambria"/>
          <w:sz w:val="20"/>
          <w:szCs w:val="20"/>
          <w:lang w:val="en-US"/>
        </w:rPr>
        <w:t>: (</w:t>
      </w:r>
      <w:proofErr w:type="spellStart"/>
      <w:r w:rsidR="00C75F12" w:rsidRPr="00CC562A">
        <w:rPr>
          <w:rFonts w:ascii="Cambria" w:eastAsia="Cambria" w:hAnsi="Cambria" w:cs="Cambria"/>
          <w:sz w:val="20"/>
          <w:szCs w:val="20"/>
          <w:lang w:val="en-US"/>
        </w:rPr>
        <w:t>i</w:t>
      </w:r>
      <w:proofErr w:type="spellEnd"/>
      <w:r w:rsidR="00C75F12" w:rsidRPr="00CC562A">
        <w:rPr>
          <w:rFonts w:ascii="Cambria" w:eastAsia="Cambria" w:hAnsi="Cambria" w:cs="Cambria"/>
          <w:sz w:val="20"/>
          <w:szCs w:val="20"/>
          <w:lang w:val="en-US"/>
        </w:rPr>
        <w:t>) Protocol</w:t>
      </w:r>
      <w:r w:rsidR="007F0135" w:rsidRPr="00CC562A">
        <w:rPr>
          <w:rFonts w:ascii="Cambria" w:eastAsia="Cambria" w:hAnsi="Cambria" w:cs="Cambria"/>
          <w:sz w:val="20"/>
          <w:szCs w:val="20"/>
          <w:lang w:val="en-US"/>
        </w:rPr>
        <w:t xml:space="preserve"> for judging cases involving the rights of the disabled</w:t>
      </w:r>
      <w:r w:rsidR="00C75F12" w:rsidRPr="00CC562A">
        <w:rPr>
          <w:rFonts w:ascii="Cambria" w:eastAsia="Cambria" w:hAnsi="Cambria" w:cs="Cambria"/>
          <w:sz w:val="20"/>
          <w:szCs w:val="20"/>
          <w:lang w:val="en-US"/>
        </w:rPr>
        <w:t>; (ii) Protocol</w:t>
      </w:r>
      <w:r w:rsidR="007F0135" w:rsidRPr="00CC562A">
        <w:rPr>
          <w:rFonts w:ascii="Cambria" w:eastAsia="Cambria" w:hAnsi="Cambria" w:cs="Cambria"/>
          <w:sz w:val="20"/>
          <w:szCs w:val="20"/>
          <w:lang w:val="en-US"/>
        </w:rPr>
        <w:t xml:space="preserve"> for judging </w:t>
      </w:r>
      <w:r w:rsidR="00C75F12" w:rsidRPr="00CC562A">
        <w:rPr>
          <w:rFonts w:ascii="Cambria" w:eastAsia="Cambria" w:hAnsi="Cambria" w:cs="Cambria"/>
          <w:sz w:val="20"/>
          <w:szCs w:val="20"/>
          <w:lang w:val="en-US"/>
        </w:rPr>
        <w:t xml:space="preserve"> </w:t>
      </w:r>
      <w:r w:rsidR="007F0135" w:rsidRPr="00CC562A">
        <w:rPr>
          <w:rFonts w:ascii="Cambria" w:eastAsia="Cambria" w:hAnsi="Cambria" w:cs="Cambria"/>
          <w:sz w:val="20"/>
          <w:szCs w:val="20"/>
          <w:lang w:val="en-US"/>
        </w:rPr>
        <w:t xml:space="preserve">from an </w:t>
      </w:r>
      <w:r w:rsidR="00C75F12" w:rsidRPr="00CC562A">
        <w:rPr>
          <w:rFonts w:ascii="Cambria" w:eastAsia="Cambria" w:hAnsi="Cambria" w:cs="Cambria"/>
          <w:sz w:val="20"/>
          <w:szCs w:val="20"/>
          <w:lang w:val="en-US"/>
        </w:rPr>
        <w:t>intercultural</w:t>
      </w:r>
      <w:r w:rsidR="007F0135" w:rsidRPr="00CC562A">
        <w:rPr>
          <w:rFonts w:ascii="Cambria" w:eastAsia="Cambria" w:hAnsi="Cambria" w:cs="Cambria"/>
          <w:sz w:val="20"/>
          <w:szCs w:val="20"/>
          <w:lang w:val="en-US"/>
        </w:rPr>
        <w:t xml:space="preserve"> perspective</w:t>
      </w:r>
      <w:r w:rsidR="00C75F12" w:rsidRPr="00CC562A">
        <w:rPr>
          <w:rFonts w:ascii="Cambria" w:eastAsia="Cambria" w:hAnsi="Cambria" w:cs="Cambria"/>
          <w:sz w:val="20"/>
          <w:szCs w:val="20"/>
          <w:lang w:val="en-US"/>
        </w:rPr>
        <w:t xml:space="preserve">: </w:t>
      </w:r>
      <w:r w:rsidR="007F0135" w:rsidRPr="00CC562A">
        <w:rPr>
          <w:rFonts w:ascii="Cambria" w:eastAsia="Cambria" w:hAnsi="Cambria" w:cs="Cambria"/>
          <w:sz w:val="20"/>
          <w:szCs w:val="20"/>
          <w:lang w:val="en-US"/>
        </w:rPr>
        <w:t>indigenous persons, peoples, and communities</w:t>
      </w:r>
      <w:r w:rsidR="00C75F12" w:rsidRPr="00CC562A">
        <w:rPr>
          <w:rFonts w:ascii="Cambria" w:eastAsia="Cambria" w:hAnsi="Cambria" w:cs="Cambria"/>
          <w:sz w:val="20"/>
          <w:szCs w:val="20"/>
          <w:lang w:val="en-US"/>
        </w:rPr>
        <w:t>; (iii) Protocol</w:t>
      </w:r>
      <w:r w:rsidR="007F0135" w:rsidRPr="00CC562A">
        <w:rPr>
          <w:rFonts w:ascii="Cambria" w:eastAsia="Cambria" w:hAnsi="Cambria" w:cs="Cambria"/>
          <w:sz w:val="20"/>
          <w:szCs w:val="20"/>
          <w:lang w:val="en-US"/>
        </w:rPr>
        <w:t xml:space="preserve"> for judging with a perspective of sexual orientation, identity, and gender expression and sexual characteristics; and</w:t>
      </w:r>
      <w:r w:rsidR="00C75F12" w:rsidRPr="00CC562A">
        <w:rPr>
          <w:rFonts w:ascii="Cambria" w:eastAsia="Cambria" w:hAnsi="Cambria" w:cs="Cambria"/>
          <w:sz w:val="20"/>
          <w:szCs w:val="20"/>
          <w:lang w:val="en-US"/>
        </w:rPr>
        <w:t xml:space="preserve"> (iv) Protocol</w:t>
      </w:r>
      <w:r w:rsidR="007F0135" w:rsidRPr="00CC562A">
        <w:rPr>
          <w:rFonts w:ascii="Cambria" w:eastAsia="Cambria" w:hAnsi="Cambria" w:cs="Cambria"/>
          <w:sz w:val="20"/>
          <w:szCs w:val="20"/>
          <w:lang w:val="en-US"/>
        </w:rPr>
        <w:t xml:space="preserve"> for judging from an intercultural perspective</w:t>
      </w:r>
      <w:r w:rsidR="00C75F12" w:rsidRPr="00CC562A">
        <w:rPr>
          <w:rFonts w:ascii="Cambria" w:eastAsia="Cambria" w:hAnsi="Cambria" w:cs="Cambria"/>
          <w:sz w:val="20"/>
          <w:szCs w:val="20"/>
          <w:lang w:val="en-US"/>
        </w:rPr>
        <w:t xml:space="preserve">: </w:t>
      </w:r>
      <w:r w:rsidR="007F0135" w:rsidRPr="00CC562A">
        <w:rPr>
          <w:rFonts w:ascii="Cambria" w:eastAsia="Cambria" w:hAnsi="Cambria" w:cs="Cambria"/>
          <w:sz w:val="20"/>
          <w:szCs w:val="20"/>
          <w:lang w:val="en-US"/>
        </w:rPr>
        <w:t>Afro-descendant and Afro-Mexican persons, peoples, and communities. In addition, the State indic</w:t>
      </w:r>
      <w:r w:rsidR="00FD6769" w:rsidRPr="00CC562A">
        <w:rPr>
          <w:rFonts w:ascii="Cambria" w:eastAsia="Cambria" w:hAnsi="Cambria" w:cs="Cambria"/>
          <w:sz w:val="20"/>
          <w:szCs w:val="20"/>
          <w:lang w:val="en-US"/>
        </w:rPr>
        <w:t>a</w:t>
      </w:r>
      <w:r w:rsidR="007F0135" w:rsidRPr="00CC562A">
        <w:rPr>
          <w:rFonts w:ascii="Cambria" w:eastAsia="Cambria" w:hAnsi="Cambria" w:cs="Cambria"/>
          <w:sz w:val="20"/>
          <w:szCs w:val="20"/>
          <w:lang w:val="en-US"/>
        </w:rPr>
        <w:t>ted that the CJ</w:t>
      </w:r>
      <w:r w:rsidR="004449B6" w:rsidRPr="00CC562A">
        <w:rPr>
          <w:rFonts w:ascii="Cambria" w:eastAsia="Cambria" w:hAnsi="Cambria" w:cs="Cambria"/>
          <w:sz w:val="20"/>
          <w:szCs w:val="20"/>
          <w:lang w:val="en-US"/>
        </w:rPr>
        <w:t>F</w:t>
      </w:r>
      <w:r w:rsidR="007F0135" w:rsidRPr="00CC562A">
        <w:rPr>
          <w:rFonts w:ascii="Cambria" w:eastAsia="Cambria" w:hAnsi="Cambria" w:cs="Cambria"/>
          <w:sz w:val="20"/>
          <w:szCs w:val="20"/>
          <w:lang w:val="en-US"/>
        </w:rPr>
        <w:t xml:space="preserve">’s </w:t>
      </w:r>
      <w:r w:rsidR="00FD6769" w:rsidRPr="00CC562A">
        <w:rPr>
          <w:rFonts w:ascii="Cambria" w:eastAsia="Cambria" w:hAnsi="Cambria" w:cs="Cambria"/>
          <w:sz w:val="20"/>
          <w:szCs w:val="20"/>
          <w:lang w:val="en-US"/>
        </w:rPr>
        <w:t>Federal Judicial Training School, in conjunction</w:t>
      </w:r>
      <w:r w:rsidR="004449B6" w:rsidRPr="00CC562A">
        <w:rPr>
          <w:rFonts w:ascii="Cambria" w:eastAsia="Cambria" w:hAnsi="Cambria" w:cs="Cambria"/>
          <w:sz w:val="20"/>
          <w:szCs w:val="20"/>
          <w:lang w:val="en-US"/>
        </w:rPr>
        <w:t xml:space="preserve"> </w:t>
      </w:r>
      <w:r w:rsidR="00FD6769" w:rsidRPr="00CC562A">
        <w:rPr>
          <w:rFonts w:ascii="Cambria" w:eastAsia="Cambria" w:hAnsi="Cambria" w:cs="Cambria"/>
          <w:sz w:val="20"/>
          <w:szCs w:val="20"/>
          <w:lang w:val="en-US"/>
        </w:rPr>
        <w:t>with the</w:t>
      </w:r>
      <w:r w:rsidR="00C75F12" w:rsidRPr="00CC562A">
        <w:rPr>
          <w:rFonts w:ascii="Cambria" w:eastAsia="Cambria" w:hAnsi="Cambria" w:cs="Cambria"/>
          <w:sz w:val="20"/>
          <w:szCs w:val="20"/>
          <w:lang w:val="en-US"/>
        </w:rPr>
        <w:t xml:space="preserve"> SCJN, h</w:t>
      </w:r>
      <w:r w:rsidR="00FD6769" w:rsidRPr="00CC562A">
        <w:rPr>
          <w:rFonts w:ascii="Cambria" w:eastAsia="Cambria" w:hAnsi="Cambria" w:cs="Cambria"/>
          <w:sz w:val="20"/>
          <w:szCs w:val="20"/>
          <w:lang w:val="en-US"/>
        </w:rPr>
        <w:t>as developed action manuals and provided training sessions for the Judicial Branch of the Federation on human rights.</w:t>
      </w:r>
      <w:r w:rsidR="00C75F12" w:rsidRPr="00CC562A">
        <w:rPr>
          <w:rStyle w:val="FootnoteReference"/>
          <w:rFonts w:ascii="Cambria" w:eastAsia="Cambria" w:hAnsi="Cambria" w:cs="Cambria"/>
          <w:sz w:val="20"/>
          <w:szCs w:val="20"/>
          <w:lang w:val="en-US"/>
        </w:rPr>
        <w:footnoteReference w:id="162"/>
      </w:r>
    </w:p>
    <w:p w14:paraId="40E438FC" w14:textId="77777777" w:rsidR="006D5F68" w:rsidRPr="00CC562A" w:rsidRDefault="006D5F68" w:rsidP="006D5F68">
      <w:pPr>
        <w:spacing w:after="0" w:line="240" w:lineRule="auto"/>
        <w:jc w:val="both"/>
        <w:rPr>
          <w:rFonts w:ascii="Cambria" w:eastAsia="Cambria" w:hAnsi="Cambria" w:cs="Cambria"/>
          <w:sz w:val="20"/>
          <w:szCs w:val="20"/>
          <w:lang w:val="en-US"/>
        </w:rPr>
      </w:pPr>
    </w:p>
    <w:p w14:paraId="55B13EA6" w14:textId="470BFF3F" w:rsidR="00522749" w:rsidRPr="00CC562A" w:rsidRDefault="009051BD"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Commission notes that the </w:t>
      </w:r>
      <w:r w:rsidR="00752FED" w:rsidRPr="00CC562A">
        <w:rPr>
          <w:rFonts w:ascii="Cambria" w:eastAsia="Cambria" w:hAnsi="Cambria" w:cs="Cambria"/>
          <w:sz w:val="20"/>
          <w:szCs w:val="20"/>
          <w:lang w:val="en-US"/>
        </w:rPr>
        <w:t>State</w:t>
      </w:r>
      <w:r w:rsidR="36D2D53B" w:rsidRPr="00CC562A">
        <w:rPr>
          <w:rFonts w:ascii="Cambria" w:eastAsia="Cambria" w:hAnsi="Cambria" w:cs="Cambria"/>
          <w:sz w:val="20"/>
          <w:szCs w:val="20"/>
          <w:lang w:val="en-US"/>
        </w:rPr>
        <w:t xml:space="preserve"> h</w:t>
      </w:r>
      <w:r w:rsidRPr="00CC562A">
        <w:rPr>
          <w:rFonts w:ascii="Cambria" w:eastAsia="Cambria" w:hAnsi="Cambria" w:cs="Cambria"/>
          <w:sz w:val="20"/>
          <w:szCs w:val="20"/>
          <w:lang w:val="en-US"/>
        </w:rPr>
        <w:t xml:space="preserve">as adopted a series of protocols to standardize the prosecution of human rights violations or criteria for the joinder of cases at the federal level to foster uniform prosecution of comparable cases. However, </w:t>
      </w:r>
      <w:r w:rsidR="00752FED" w:rsidRPr="00CC562A">
        <w:rPr>
          <w:rFonts w:ascii="Cambria" w:eastAsia="Cambria" w:hAnsi="Cambria" w:cs="Cambria"/>
          <w:sz w:val="20"/>
          <w:szCs w:val="20"/>
          <w:lang w:val="en-US"/>
        </w:rPr>
        <w:t>the State</w:t>
      </w:r>
      <w:r w:rsidR="36D2D53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has not reported information on inter-institutional cooperation procedures for advancing investigations and prosecutions. In contrast, </w:t>
      </w:r>
      <w:r w:rsidR="00276638" w:rsidRPr="00CC562A">
        <w:rPr>
          <w:rFonts w:ascii="Cambria" w:eastAsia="Cambria" w:hAnsi="Cambria" w:cs="Cambria"/>
          <w:sz w:val="20"/>
          <w:szCs w:val="20"/>
          <w:lang w:val="en-US"/>
        </w:rPr>
        <w:t>the IACHR</w:t>
      </w:r>
      <w:r w:rsidR="36D2D53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has identified some discrepancies among prosecutorial bodies and executive branch entities such as the </w:t>
      </w:r>
      <w:r w:rsidR="36D2D53B" w:rsidRPr="00CC562A">
        <w:rPr>
          <w:rFonts w:ascii="Cambria" w:eastAsia="Cambria" w:hAnsi="Cambria" w:cs="Cambria"/>
          <w:sz w:val="20"/>
          <w:szCs w:val="20"/>
          <w:lang w:val="en-US"/>
        </w:rPr>
        <w:t>CNB o</w:t>
      </w:r>
      <w:r w:rsidRPr="00CC562A">
        <w:rPr>
          <w:rFonts w:ascii="Cambria" w:eastAsia="Cambria" w:hAnsi="Cambria" w:cs="Cambria"/>
          <w:sz w:val="20"/>
          <w:szCs w:val="20"/>
          <w:lang w:val="en-US"/>
        </w:rPr>
        <w:t>r the</w:t>
      </w:r>
      <w:r w:rsidR="36D2D53B" w:rsidRPr="00CC562A">
        <w:rPr>
          <w:rFonts w:ascii="Cambria" w:eastAsia="Cambria" w:hAnsi="Cambria" w:cs="Cambria"/>
          <w:sz w:val="20"/>
          <w:szCs w:val="20"/>
          <w:lang w:val="en-US"/>
        </w:rPr>
        <w:t xml:space="preserve"> MEIF </w:t>
      </w:r>
      <w:r w:rsidRPr="00CC562A">
        <w:rPr>
          <w:rFonts w:ascii="Cambria" w:eastAsia="Cambria" w:hAnsi="Cambria" w:cs="Cambria"/>
          <w:sz w:val="20"/>
          <w:szCs w:val="20"/>
          <w:lang w:val="en-US"/>
        </w:rPr>
        <w:t xml:space="preserve">with respect to the context in which their areas of jurisdiction will assist in achieving justice in cases involving the disappearance of persons. Based on the foregoing, there is </w:t>
      </w:r>
      <w:r w:rsidRPr="00CC562A">
        <w:rPr>
          <w:rFonts w:ascii="Cambria" w:eastAsia="Cambria" w:hAnsi="Cambria" w:cs="Cambria"/>
          <w:b/>
          <w:bCs/>
          <w:sz w:val="20"/>
          <w:szCs w:val="20"/>
          <w:lang w:val="en-US"/>
        </w:rPr>
        <w:t xml:space="preserve">partial compliance </w:t>
      </w:r>
      <w:r w:rsidRPr="00CC562A">
        <w:rPr>
          <w:rFonts w:ascii="Cambria" w:eastAsia="Cambria" w:hAnsi="Cambria" w:cs="Cambria"/>
          <w:sz w:val="20"/>
          <w:szCs w:val="20"/>
          <w:lang w:val="en-US"/>
        </w:rPr>
        <w:t>with the recommendation</w:t>
      </w:r>
      <w:r w:rsidR="775554B3" w:rsidRPr="00CC562A">
        <w:rPr>
          <w:rFonts w:ascii="Cambria" w:eastAsia="Cambria" w:hAnsi="Cambria" w:cs="Cambria"/>
          <w:sz w:val="20"/>
          <w:szCs w:val="20"/>
          <w:lang w:val="en-US"/>
        </w:rPr>
        <w:t xml:space="preserve">.  </w:t>
      </w:r>
    </w:p>
    <w:p w14:paraId="18A8A769"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5B6282F6" w14:textId="44DC2E5A" w:rsidR="008F5CC2" w:rsidRPr="00CC562A" w:rsidRDefault="009051BD"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the implementation and follow-up of compliance with this recommendation, </w:t>
      </w:r>
      <w:r w:rsidR="00276638" w:rsidRPr="00CC562A">
        <w:rPr>
          <w:rFonts w:ascii="Cambria" w:eastAsia="Cambria" w:hAnsi="Cambria" w:cs="Cambria"/>
          <w:sz w:val="20"/>
          <w:szCs w:val="20"/>
          <w:lang w:val="en-US"/>
        </w:rPr>
        <w:t>the IACHR</w:t>
      </w:r>
      <w:r w:rsidR="36D2D53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urges the State to adopt measures to standardize the investigation and prosecution of serious human rights violations and to report on advances in this respect</w:t>
      </w:r>
      <w:r w:rsidR="00C95C02" w:rsidRPr="00CC562A">
        <w:rPr>
          <w:rFonts w:ascii="Cambria" w:eastAsia="Cambria" w:hAnsi="Cambria" w:cs="Cambria"/>
          <w:sz w:val="20"/>
          <w:szCs w:val="20"/>
          <w:lang w:val="en-US"/>
        </w:rPr>
        <w:t>.</w:t>
      </w:r>
    </w:p>
    <w:p w14:paraId="6FE886E9"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680E41A5" w14:textId="3A54883C" w:rsidR="00526248" w:rsidRPr="00CC562A" w:rsidRDefault="009051BD"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Regarding the recommendation to </w:t>
      </w:r>
      <w:r w:rsidR="6887544F" w:rsidRPr="00CC562A">
        <w:rPr>
          <w:rFonts w:ascii="Cambria" w:hAnsi="Cambria"/>
          <w:b/>
          <w:bCs/>
          <w:sz w:val="20"/>
          <w:szCs w:val="20"/>
          <w:lang w:val="en-US"/>
        </w:rPr>
        <w:t>adopt</w:t>
      </w:r>
      <w:r w:rsidRPr="00CC562A">
        <w:rPr>
          <w:rFonts w:ascii="Cambria" w:hAnsi="Cambria"/>
          <w:b/>
          <w:bCs/>
          <w:sz w:val="20"/>
          <w:szCs w:val="20"/>
          <w:lang w:val="en-US"/>
        </w:rPr>
        <w:t xml:space="preserve"> </w:t>
      </w:r>
      <w:r w:rsidR="008047A4" w:rsidRPr="00CC562A">
        <w:rPr>
          <w:rFonts w:ascii="Cambria" w:hAnsi="Cambria"/>
          <w:b/>
          <w:bCs/>
          <w:sz w:val="20"/>
          <w:szCs w:val="20"/>
          <w:lang w:val="en-US"/>
        </w:rPr>
        <w:t>protection measures for those who participate in the search for justice when they are at risk, to guarantee access to files, and impose sanctions in cases of retaliation</w:t>
      </w:r>
      <w:r w:rsidR="6887544F" w:rsidRPr="00CC562A">
        <w:rPr>
          <w:rFonts w:ascii="Cambria" w:hAnsi="Cambria"/>
          <w:sz w:val="20"/>
          <w:szCs w:val="20"/>
          <w:lang w:val="en-US"/>
        </w:rPr>
        <w:t xml:space="preserve">, </w:t>
      </w:r>
      <w:r w:rsidR="00752FED" w:rsidRPr="00CC562A">
        <w:rPr>
          <w:rFonts w:ascii="Cambria" w:hAnsi="Cambria"/>
          <w:sz w:val="20"/>
          <w:szCs w:val="20"/>
          <w:lang w:val="en-US"/>
        </w:rPr>
        <w:t>the State</w:t>
      </w:r>
      <w:r w:rsidR="009F5CF0" w:rsidRPr="00CC562A">
        <w:rPr>
          <w:rFonts w:ascii="Cambria" w:eastAsia="Cambria" w:hAnsi="Cambria" w:cs="Cambria"/>
          <w:sz w:val="20"/>
          <w:szCs w:val="20"/>
          <w:lang w:val="en-US"/>
        </w:rPr>
        <w:t xml:space="preserve"> </w:t>
      </w:r>
      <w:r w:rsidR="008047A4" w:rsidRPr="00CC562A">
        <w:rPr>
          <w:rFonts w:ascii="Cambria" w:eastAsia="Cambria" w:hAnsi="Cambria" w:cs="Cambria"/>
          <w:sz w:val="20"/>
          <w:szCs w:val="20"/>
          <w:lang w:val="en-US"/>
        </w:rPr>
        <w:t>noted that the Mechanism for the Protection of Human Rights Defenders and Journalists provides protective measures for those who are at risk due to defense work and for exercising freedom of expression. The measures are adopted according to the results of a risk assessment. Added to this, the Constitution, the National Code of Criminal Procedures, and the Federal Penal Code establish protection measures and appropriate sanctions in the event of reprisals for victims, their families, their representatives, witnesses, experts, and defenders who participate in the investigation or search for justice when they are at risk</w:t>
      </w:r>
      <w:r w:rsidR="3855FC6D" w:rsidRPr="00CC562A">
        <w:rPr>
          <w:rFonts w:ascii="Cambria" w:eastAsia="Cambria" w:hAnsi="Cambria" w:cs="Cambria"/>
          <w:sz w:val="20"/>
          <w:szCs w:val="20"/>
          <w:lang w:val="en-US"/>
        </w:rPr>
        <w:t>.</w:t>
      </w:r>
    </w:p>
    <w:p w14:paraId="6292F4A3"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443EAFFC" w14:textId="54D9351C" w:rsidR="00526248" w:rsidRPr="00CC562A" w:rsidRDefault="00752FED"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7A4B5A2F" w:rsidRPr="00CC562A">
        <w:rPr>
          <w:rFonts w:ascii="Cambria" w:eastAsia="Cambria" w:hAnsi="Cambria" w:cs="Cambria"/>
          <w:sz w:val="20"/>
          <w:szCs w:val="20"/>
          <w:lang w:val="en-US"/>
        </w:rPr>
        <w:t xml:space="preserve"> indic</w:t>
      </w:r>
      <w:r w:rsidR="008047A4" w:rsidRPr="00CC562A">
        <w:rPr>
          <w:rFonts w:ascii="Cambria" w:eastAsia="Cambria" w:hAnsi="Cambria" w:cs="Cambria"/>
          <w:sz w:val="20"/>
          <w:szCs w:val="20"/>
          <w:lang w:val="en-US"/>
        </w:rPr>
        <w:t>ate</w:t>
      </w:r>
      <w:r w:rsidR="009F5CF0" w:rsidRPr="00CC562A">
        <w:rPr>
          <w:rFonts w:ascii="Cambria" w:eastAsia="Cambria" w:hAnsi="Cambria" w:cs="Cambria"/>
          <w:sz w:val="20"/>
          <w:szCs w:val="20"/>
          <w:lang w:val="en-US"/>
        </w:rPr>
        <w:t>d</w:t>
      </w:r>
      <w:r w:rsidR="008047A4" w:rsidRPr="00CC562A">
        <w:rPr>
          <w:rFonts w:ascii="Cambria" w:eastAsia="Cambria" w:hAnsi="Cambria" w:cs="Cambria"/>
          <w:sz w:val="20"/>
          <w:szCs w:val="20"/>
          <w:lang w:val="en-US"/>
        </w:rPr>
        <w:t xml:space="preserve"> that in </w:t>
      </w:r>
      <w:r w:rsidR="009F5CF0" w:rsidRPr="00CC562A">
        <w:rPr>
          <w:rFonts w:ascii="Cambria" w:eastAsia="Cambria" w:hAnsi="Cambria" w:cs="Cambria"/>
          <w:sz w:val="20"/>
          <w:szCs w:val="20"/>
          <w:lang w:val="en-US"/>
        </w:rPr>
        <w:t xml:space="preserve">cases of investigations where </w:t>
      </w:r>
      <w:r w:rsidR="008047A4" w:rsidRPr="00CC562A">
        <w:rPr>
          <w:rFonts w:ascii="Cambria" w:eastAsia="Cambria" w:hAnsi="Cambria" w:cs="Cambria"/>
          <w:sz w:val="20"/>
          <w:szCs w:val="20"/>
          <w:lang w:val="en-US"/>
        </w:rPr>
        <w:t xml:space="preserve">the accused is deemed to represent an imminent risk to the safety of the victim or the </w:t>
      </w:r>
      <w:r w:rsidR="00163589" w:rsidRPr="00CC562A">
        <w:rPr>
          <w:rFonts w:ascii="Cambria" w:eastAsia="Cambria" w:hAnsi="Cambria" w:cs="Cambria"/>
          <w:sz w:val="20"/>
          <w:szCs w:val="20"/>
          <w:lang w:val="en-US"/>
        </w:rPr>
        <w:t xml:space="preserve">complainant, Protective Measures are ordered as established in Article </w:t>
      </w:r>
      <w:r w:rsidR="3855FC6D" w:rsidRPr="00CC562A">
        <w:rPr>
          <w:rFonts w:ascii="Cambria" w:eastAsia="Cambria" w:hAnsi="Cambria" w:cs="Cambria"/>
          <w:sz w:val="20"/>
          <w:szCs w:val="20"/>
          <w:lang w:val="en-US"/>
        </w:rPr>
        <w:t xml:space="preserve">137 </w:t>
      </w:r>
      <w:r w:rsidR="00163589" w:rsidRPr="00CC562A">
        <w:rPr>
          <w:rFonts w:ascii="Cambria" w:eastAsia="Cambria" w:hAnsi="Cambria" w:cs="Cambria"/>
          <w:sz w:val="20"/>
          <w:szCs w:val="20"/>
          <w:lang w:val="en-US"/>
        </w:rPr>
        <w:t xml:space="preserve">of the National Code of Criminal Procedures. Similarly, it is ensured that all investigations strictly comply with the human rights recognized in the Convention and treaties, </w:t>
      </w:r>
      <w:proofErr w:type="gramStart"/>
      <w:r w:rsidR="00163589" w:rsidRPr="00CC562A">
        <w:rPr>
          <w:rFonts w:ascii="Cambria" w:eastAsia="Cambria" w:hAnsi="Cambria" w:cs="Cambria"/>
          <w:sz w:val="20"/>
          <w:szCs w:val="20"/>
          <w:lang w:val="en-US"/>
        </w:rPr>
        <w:t>respecting at all times</w:t>
      </w:r>
      <w:proofErr w:type="gramEnd"/>
      <w:r w:rsidR="00163589" w:rsidRPr="00CC562A">
        <w:rPr>
          <w:rFonts w:ascii="Cambria" w:eastAsia="Cambria" w:hAnsi="Cambria" w:cs="Cambria"/>
          <w:sz w:val="20"/>
          <w:szCs w:val="20"/>
          <w:lang w:val="en-US"/>
        </w:rPr>
        <w:t xml:space="preserve"> the rights of the parties involved. In each case, such measures are issued specifically and consistent with the law, as well as according to the remedies</w:t>
      </w:r>
      <w:r w:rsidR="0059476A" w:rsidRPr="00CC562A">
        <w:rPr>
          <w:rFonts w:ascii="Cambria" w:eastAsia="Cambria" w:hAnsi="Cambria" w:cs="Cambria"/>
          <w:sz w:val="20"/>
          <w:szCs w:val="20"/>
          <w:lang w:val="en-US"/>
        </w:rPr>
        <w:t xml:space="preserve"> </w:t>
      </w:r>
      <w:r w:rsidR="004D30FD" w:rsidRPr="00CC562A">
        <w:rPr>
          <w:rFonts w:ascii="Cambria" w:hAnsi="Cambria"/>
          <w:sz w:val="20"/>
          <w:lang w:val="en-US"/>
        </w:rPr>
        <w:t>available</w:t>
      </w:r>
      <w:r w:rsidR="00C75F12" w:rsidRPr="00CC562A">
        <w:rPr>
          <w:rFonts w:ascii="Cambria" w:hAnsi="Cambria"/>
          <w:sz w:val="20"/>
          <w:lang w:val="en-US"/>
        </w:rPr>
        <w:t xml:space="preserve">. </w:t>
      </w:r>
      <w:r w:rsidR="004D30FD" w:rsidRPr="00CC562A">
        <w:rPr>
          <w:rFonts w:ascii="Cambria" w:hAnsi="Cambria"/>
          <w:sz w:val="20"/>
          <w:lang w:val="en-US"/>
        </w:rPr>
        <w:t>Whenever the intent is to protect the victims of a crime, the institution informs the</w:t>
      </w:r>
      <w:r w:rsidR="00C75F12" w:rsidRPr="00CC562A">
        <w:rPr>
          <w:rFonts w:ascii="Cambria" w:hAnsi="Cambria"/>
          <w:sz w:val="20"/>
          <w:lang w:val="en-US"/>
        </w:rPr>
        <w:t xml:space="preserve"> CEAV o</w:t>
      </w:r>
      <w:r w:rsidR="004D30FD" w:rsidRPr="00CC562A">
        <w:rPr>
          <w:rFonts w:ascii="Cambria" w:hAnsi="Cambria"/>
          <w:sz w:val="20"/>
          <w:lang w:val="en-US"/>
        </w:rPr>
        <w:t xml:space="preserve">r state victims commissions responsible for ensuring that the competent entities provide </w:t>
      </w:r>
      <w:r w:rsidR="004D30FD" w:rsidRPr="00CC562A">
        <w:rPr>
          <w:rFonts w:ascii="Cambria" w:hAnsi="Cambria"/>
          <w:sz w:val="20"/>
          <w:lang w:val="en-US"/>
        </w:rPr>
        <w:lastRenderedPageBreak/>
        <w:t>the protection necessary to safeguard the life and integrity of the victims, for as long as the proceeding lasts.</w:t>
      </w:r>
      <w:r w:rsidR="00C75F12" w:rsidRPr="00CC562A">
        <w:rPr>
          <w:rStyle w:val="FootnoteReference"/>
          <w:rFonts w:ascii="Cambria" w:hAnsi="Cambria"/>
          <w:sz w:val="20"/>
          <w:lang w:val="en-US"/>
        </w:rPr>
        <w:footnoteReference w:id="163"/>
      </w:r>
      <w:r w:rsidR="00C75F12" w:rsidRPr="00CC562A">
        <w:rPr>
          <w:rFonts w:ascii="Cambria" w:hAnsi="Cambria"/>
          <w:sz w:val="20"/>
          <w:lang w:val="en-US"/>
        </w:rPr>
        <w:t xml:space="preserve"> </w:t>
      </w:r>
      <w:r w:rsidR="00163589" w:rsidRPr="00CC562A">
        <w:rPr>
          <w:rFonts w:ascii="Cambria" w:eastAsia="Cambria" w:hAnsi="Cambria" w:cs="Cambria"/>
          <w:sz w:val="20"/>
          <w:szCs w:val="20"/>
          <w:lang w:val="en-US"/>
        </w:rPr>
        <w:t xml:space="preserve">The intent </w:t>
      </w:r>
      <w:proofErr w:type="gramStart"/>
      <w:r w:rsidR="00163589" w:rsidRPr="00CC562A">
        <w:rPr>
          <w:rFonts w:ascii="Cambria" w:eastAsia="Cambria" w:hAnsi="Cambria" w:cs="Cambria"/>
          <w:sz w:val="20"/>
          <w:szCs w:val="20"/>
          <w:lang w:val="en-US"/>
        </w:rPr>
        <w:t>is at all times</w:t>
      </w:r>
      <w:proofErr w:type="gramEnd"/>
      <w:r w:rsidR="00163589" w:rsidRPr="00CC562A">
        <w:rPr>
          <w:rFonts w:ascii="Cambria" w:eastAsia="Cambria" w:hAnsi="Cambria" w:cs="Cambria"/>
          <w:sz w:val="20"/>
          <w:szCs w:val="20"/>
          <w:lang w:val="en-US"/>
        </w:rPr>
        <w:t xml:space="preserve"> to protect the victims of the crime</w:t>
      </w:r>
      <w:r w:rsidR="00FF45E5" w:rsidRPr="00CC562A">
        <w:rPr>
          <w:rFonts w:ascii="Cambria" w:eastAsia="Cambria" w:hAnsi="Cambria" w:cs="Cambria"/>
          <w:sz w:val="20"/>
          <w:szCs w:val="20"/>
          <w:lang w:val="en-US"/>
        </w:rPr>
        <w:t>. T</w:t>
      </w:r>
      <w:r w:rsidR="00163589" w:rsidRPr="00CC562A">
        <w:rPr>
          <w:rFonts w:ascii="Cambria" w:eastAsia="Cambria" w:hAnsi="Cambria" w:cs="Cambria"/>
          <w:sz w:val="20"/>
          <w:szCs w:val="20"/>
          <w:lang w:val="en-US"/>
        </w:rPr>
        <w:t>he institution notifies the</w:t>
      </w:r>
      <w:r w:rsidR="3855FC6D" w:rsidRPr="00CC562A">
        <w:rPr>
          <w:rFonts w:ascii="Cambria" w:eastAsia="Cambria" w:hAnsi="Cambria" w:cs="Cambria"/>
          <w:sz w:val="20"/>
          <w:szCs w:val="20"/>
          <w:lang w:val="en-US"/>
        </w:rPr>
        <w:t xml:space="preserve"> CEAV, </w:t>
      </w:r>
      <w:r w:rsidR="00163589" w:rsidRPr="00CC562A">
        <w:rPr>
          <w:rFonts w:ascii="Cambria" w:eastAsia="Cambria" w:hAnsi="Cambria" w:cs="Cambria"/>
          <w:sz w:val="20"/>
          <w:szCs w:val="20"/>
          <w:lang w:val="en-US"/>
        </w:rPr>
        <w:t>who are responsible for providing the necessary protection in all settings, for as long as the proceeding continues. As a party in an investigative file, the victims and their legal counsel have access to the file, as established by law</w:t>
      </w:r>
      <w:r w:rsidR="3855FC6D" w:rsidRPr="00CC562A">
        <w:rPr>
          <w:rFonts w:ascii="Cambria" w:eastAsia="Cambria" w:hAnsi="Cambria" w:cs="Cambria"/>
          <w:sz w:val="20"/>
          <w:szCs w:val="20"/>
          <w:lang w:val="en-US"/>
        </w:rPr>
        <w:t>.</w:t>
      </w:r>
    </w:p>
    <w:p w14:paraId="09499DEC"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30ABDE64" w14:textId="78C6AC57" w:rsidR="00A06F2A" w:rsidRPr="00CC562A" w:rsidRDefault="00163589"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their part, civil society organizations emphasize that</w:t>
      </w:r>
      <w:r w:rsidR="00FF45E5"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on the matter of access to information</w:t>
      </w:r>
      <w:r w:rsidR="00FF45E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 April</w:t>
      </w:r>
      <w:r w:rsidR="3A66AEF2" w:rsidRPr="00CC562A">
        <w:rPr>
          <w:rFonts w:ascii="Cambria" w:eastAsia="Cambria" w:hAnsi="Cambria" w:cs="Cambria"/>
          <w:sz w:val="20"/>
          <w:szCs w:val="20"/>
          <w:lang w:val="en-US"/>
        </w:rPr>
        <w:t xml:space="preserve"> 2019 </w:t>
      </w:r>
      <w:r w:rsidRPr="00CC562A">
        <w:rPr>
          <w:rFonts w:ascii="Cambria" w:eastAsia="Cambria" w:hAnsi="Cambria" w:cs="Cambria"/>
          <w:sz w:val="20"/>
          <w:szCs w:val="20"/>
          <w:lang w:val="en-US"/>
        </w:rPr>
        <w:t>the</w:t>
      </w:r>
      <w:r w:rsidR="3A66AEF2" w:rsidRPr="00CC562A">
        <w:rPr>
          <w:rFonts w:ascii="Cambria" w:eastAsia="Cambria" w:hAnsi="Cambria" w:cs="Cambria"/>
          <w:sz w:val="20"/>
          <w:szCs w:val="20"/>
          <w:lang w:val="en-US"/>
        </w:rPr>
        <w:t xml:space="preserve"> SCJN </w:t>
      </w:r>
      <w:r w:rsidRPr="00CC562A">
        <w:rPr>
          <w:rFonts w:ascii="Cambria" w:eastAsia="Cambria" w:hAnsi="Cambria" w:cs="Cambria"/>
          <w:sz w:val="20"/>
          <w:szCs w:val="20"/>
          <w:lang w:val="en-US"/>
        </w:rPr>
        <w:t xml:space="preserve">decided </w:t>
      </w:r>
      <w:r w:rsidRPr="00CC562A">
        <w:rPr>
          <w:rFonts w:ascii="Cambria" w:eastAsia="Cambria" w:hAnsi="Cambria" w:cs="Cambria"/>
          <w:i/>
          <w:iCs/>
          <w:sz w:val="20"/>
          <w:szCs w:val="20"/>
          <w:lang w:val="en-US"/>
        </w:rPr>
        <w:t>amparo</w:t>
      </w:r>
      <w:r w:rsidRPr="00CC562A">
        <w:rPr>
          <w:rFonts w:ascii="Cambria" w:eastAsia="Cambria" w:hAnsi="Cambria" w:cs="Cambria"/>
          <w:sz w:val="20"/>
          <w:szCs w:val="20"/>
          <w:lang w:val="en-US"/>
        </w:rPr>
        <w:t xml:space="preserve"> on review </w:t>
      </w:r>
      <w:r w:rsidR="3A66AEF2" w:rsidRPr="00CC562A">
        <w:rPr>
          <w:rFonts w:ascii="Cambria" w:eastAsia="Cambria" w:hAnsi="Cambria" w:cs="Cambria"/>
          <w:sz w:val="20"/>
          <w:szCs w:val="20"/>
          <w:lang w:val="en-US"/>
        </w:rPr>
        <w:t>453/2015</w:t>
      </w:r>
      <w:r w:rsidR="00CE50C6" w:rsidRPr="00CC562A">
        <w:rPr>
          <w:rFonts w:ascii="Cambria" w:hAnsi="Cambria"/>
          <w:sz w:val="20"/>
          <w:szCs w:val="20"/>
          <w:vertAlign w:val="superscript"/>
          <w:lang w:val="en-US"/>
        </w:rPr>
        <w:footnoteReference w:id="164"/>
      </w:r>
      <w:r w:rsidR="005C0026" w:rsidRPr="00CC562A">
        <w:rPr>
          <w:rFonts w:ascii="Cambria" w:eastAsia="Cambria" w:hAnsi="Cambria" w:cs="Cambria"/>
          <w:sz w:val="20"/>
          <w:szCs w:val="20"/>
          <w:lang w:val="en-US"/>
        </w:rPr>
        <w:t xml:space="preserve"> recognizing the publication of information in matters involving serious human rights violations.</w:t>
      </w:r>
      <w:r w:rsidR="3A66AEF2" w:rsidRPr="00CC562A">
        <w:rPr>
          <w:rFonts w:ascii="Cambria" w:eastAsia="Cambria" w:hAnsi="Cambria" w:cs="Cambria"/>
          <w:sz w:val="20"/>
          <w:szCs w:val="20"/>
          <w:lang w:val="en-US"/>
        </w:rPr>
        <w:t xml:space="preserve"> </w:t>
      </w:r>
      <w:r w:rsidR="005C0026" w:rsidRPr="00CC562A">
        <w:rPr>
          <w:rFonts w:ascii="Cambria" w:eastAsia="Cambria" w:hAnsi="Cambria" w:cs="Cambria"/>
          <w:sz w:val="20"/>
          <w:szCs w:val="20"/>
          <w:lang w:val="en-US"/>
        </w:rPr>
        <w:t xml:space="preserve">During eight years of litigation, the facts in the cases of massacres of migrants in </w:t>
      </w:r>
      <w:r w:rsidR="3A66AEF2" w:rsidRPr="00CC562A">
        <w:rPr>
          <w:rFonts w:ascii="Cambria" w:eastAsia="Cambria" w:hAnsi="Cambria" w:cs="Cambria"/>
          <w:sz w:val="20"/>
          <w:szCs w:val="20"/>
          <w:lang w:val="en-US"/>
        </w:rPr>
        <w:t>San Fernando, Tamaulipas</w:t>
      </w:r>
      <w:r w:rsidR="005C0026" w:rsidRPr="00CC562A">
        <w:rPr>
          <w:rFonts w:ascii="Cambria" w:eastAsia="Cambria" w:hAnsi="Cambria" w:cs="Cambria"/>
          <w:sz w:val="20"/>
          <w:szCs w:val="20"/>
          <w:lang w:val="en-US"/>
        </w:rPr>
        <w:t xml:space="preserve"> remained opaque. The organizations point out that they still do not have access to the information deemed public by the guarantor entity, the National Institute of Transparency, Access to Information, and Protection of Personal Data (</w:t>
      </w:r>
      <w:r w:rsidR="3A66AEF2" w:rsidRPr="00CC562A">
        <w:rPr>
          <w:rFonts w:ascii="Cambria" w:eastAsia="Cambria" w:hAnsi="Cambria" w:cs="Cambria"/>
          <w:sz w:val="20"/>
          <w:szCs w:val="20"/>
          <w:lang w:val="en-US"/>
        </w:rPr>
        <w:t>INAI</w:t>
      </w:r>
      <w:r w:rsidR="005C0026" w:rsidRPr="00CC562A">
        <w:rPr>
          <w:rFonts w:ascii="Cambria" w:eastAsia="Cambria" w:hAnsi="Cambria" w:cs="Cambria"/>
          <w:sz w:val="20"/>
          <w:szCs w:val="20"/>
          <w:lang w:val="en-US"/>
        </w:rPr>
        <w:t xml:space="preserve">) and by the </w:t>
      </w:r>
      <w:r w:rsidR="3A66AEF2" w:rsidRPr="00CC562A">
        <w:rPr>
          <w:rFonts w:ascii="Cambria" w:eastAsia="Cambria" w:hAnsi="Cambria" w:cs="Cambria"/>
          <w:sz w:val="20"/>
          <w:szCs w:val="20"/>
          <w:lang w:val="en-US"/>
        </w:rPr>
        <w:t xml:space="preserve">SCJN, </w:t>
      </w:r>
      <w:r w:rsidR="005C0026" w:rsidRPr="00CC562A">
        <w:rPr>
          <w:rFonts w:ascii="Cambria" w:eastAsia="Cambria" w:hAnsi="Cambria" w:cs="Cambria"/>
          <w:sz w:val="20"/>
          <w:szCs w:val="20"/>
          <w:lang w:val="en-US"/>
        </w:rPr>
        <w:t xml:space="preserve">as the </w:t>
      </w:r>
      <w:r w:rsidR="3A66AEF2" w:rsidRPr="00CC562A">
        <w:rPr>
          <w:rFonts w:ascii="Cambria" w:eastAsia="Cambria" w:hAnsi="Cambria" w:cs="Cambria"/>
          <w:sz w:val="20"/>
          <w:szCs w:val="20"/>
          <w:lang w:val="en-US"/>
        </w:rPr>
        <w:t xml:space="preserve">FGR </w:t>
      </w:r>
      <w:r w:rsidR="005C0026" w:rsidRPr="00CC562A">
        <w:rPr>
          <w:rFonts w:ascii="Cambria" w:eastAsia="Cambria" w:hAnsi="Cambria" w:cs="Cambria"/>
          <w:sz w:val="20"/>
          <w:szCs w:val="20"/>
          <w:lang w:val="en-US"/>
        </w:rPr>
        <w:t>demand</w:t>
      </w:r>
      <w:r w:rsidR="00FF45E5" w:rsidRPr="00CC562A">
        <w:rPr>
          <w:rFonts w:ascii="Cambria" w:eastAsia="Cambria" w:hAnsi="Cambria" w:cs="Cambria"/>
          <w:sz w:val="20"/>
          <w:szCs w:val="20"/>
          <w:lang w:val="en-US"/>
        </w:rPr>
        <w:t>s</w:t>
      </w:r>
      <w:r w:rsidR="005C0026" w:rsidRPr="00CC562A">
        <w:rPr>
          <w:rFonts w:ascii="Cambria" w:eastAsia="Cambria" w:hAnsi="Cambria" w:cs="Cambria"/>
          <w:sz w:val="20"/>
          <w:szCs w:val="20"/>
          <w:lang w:val="en-US"/>
        </w:rPr>
        <w:t xml:space="preserve"> an exorbitant price for copies of the files, </w:t>
      </w:r>
      <w:r w:rsidR="00E662AC" w:rsidRPr="00CC562A">
        <w:rPr>
          <w:rFonts w:ascii="Cambria" w:eastAsia="Cambria" w:hAnsi="Cambria" w:cs="Cambria"/>
          <w:sz w:val="20"/>
          <w:szCs w:val="20"/>
          <w:lang w:val="en-US"/>
        </w:rPr>
        <w:t xml:space="preserve">which they consider </w:t>
      </w:r>
      <w:r w:rsidR="00C80FE5" w:rsidRPr="00CC562A">
        <w:rPr>
          <w:rFonts w:ascii="Cambria" w:eastAsia="Cambria" w:hAnsi="Cambria" w:cs="Cambria"/>
          <w:sz w:val="20"/>
          <w:szCs w:val="20"/>
          <w:lang w:val="en-US"/>
        </w:rPr>
        <w:t>representing</w:t>
      </w:r>
      <w:r w:rsidR="00E662AC" w:rsidRPr="00CC562A">
        <w:rPr>
          <w:rFonts w:ascii="Cambria" w:eastAsia="Cambria" w:hAnsi="Cambria" w:cs="Cambria"/>
          <w:sz w:val="20"/>
          <w:szCs w:val="20"/>
          <w:lang w:val="en-US"/>
        </w:rPr>
        <w:t xml:space="preserve"> an affront to access to information.</w:t>
      </w:r>
      <w:r w:rsidR="7A4B5A2F"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3A66AEF2" w:rsidRPr="00CC562A">
        <w:rPr>
          <w:rFonts w:ascii="Cambria" w:eastAsia="Cambria" w:hAnsi="Cambria" w:cs="Cambria"/>
          <w:sz w:val="20"/>
          <w:szCs w:val="20"/>
          <w:lang w:val="en-US"/>
        </w:rPr>
        <w:t xml:space="preserve"> </w:t>
      </w:r>
      <w:r w:rsidR="00E662AC" w:rsidRPr="00CC562A">
        <w:rPr>
          <w:rFonts w:ascii="Cambria" w:eastAsia="Cambria" w:hAnsi="Cambria" w:cs="Cambria"/>
          <w:sz w:val="20"/>
          <w:szCs w:val="20"/>
          <w:lang w:val="en-US"/>
        </w:rPr>
        <w:t>the organizations emphasized that entities</w:t>
      </w:r>
      <w:r w:rsidR="00FF45E5" w:rsidRPr="00CC562A">
        <w:rPr>
          <w:rFonts w:ascii="Cambria" w:eastAsia="Cambria" w:hAnsi="Cambria" w:cs="Cambria"/>
          <w:sz w:val="20"/>
          <w:szCs w:val="20"/>
          <w:lang w:val="en-US"/>
        </w:rPr>
        <w:t xml:space="preserve"> answerable to</w:t>
      </w:r>
      <w:r w:rsidR="00E662AC" w:rsidRPr="00CC562A">
        <w:rPr>
          <w:rFonts w:ascii="Cambria" w:eastAsia="Cambria" w:hAnsi="Cambria" w:cs="Cambria"/>
          <w:sz w:val="20"/>
          <w:szCs w:val="20"/>
          <w:lang w:val="en-US"/>
        </w:rPr>
        <w:t xml:space="preserve"> the armed forces and security forces, such as</w:t>
      </w:r>
      <w:r w:rsidR="3A66AEF2" w:rsidRPr="00CC562A">
        <w:rPr>
          <w:rFonts w:ascii="Cambria" w:eastAsia="Cambria" w:hAnsi="Cambria" w:cs="Cambria"/>
          <w:sz w:val="20"/>
          <w:szCs w:val="20"/>
          <w:lang w:val="en-US"/>
        </w:rPr>
        <w:t xml:space="preserve"> SEDENA, </w:t>
      </w:r>
      <w:r w:rsidR="00E662AC" w:rsidRPr="00CC562A">
        <w:rPr>
          <w:rFonts w:ascii="Cambria" w:eastAsia="Cambria" w:hAnsi="Cambria" w:cs="Cambria"/>
          <w:sz w:val="20"/>
          <w:szCs w:val="20"/>
          <w:lang w:val="en-US"/>
        </w:rPr>
        <w:t>continue not to provide information relating to the use of force, the detention of presumed criminals, and confrontations.</w:t>
      </w:r>
      <w:r w:rsidR="004B6604" w:rsidRPr="00CC562A">
        <w:rPr>
          <w:rStyle w:val="FootnoteReference"/>
          <w:rFonts w:ascii="Cambria" w:eastAsia="Cambria" w:hAnsi="Cambria" w:cs="Cambria"/>
          <w:sz w:val="20"/>
          <w:szCs w:val="20"/>
          <w:lang w:val="en-US"/>
        </w:rPr>
        <w:footnoteReference w:id="165"/>
      </w:r>
    </w:p>
    <w:p w14:paraId="1E378A44"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56716B34" w14:textId="485B9F3E" w:rsidR="00291670" w:rsidRPr="00CC562A" w:rsidRDefault="0099111D"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PRODH Center</w:t>
      </w:r>
      <w:r w:rsidR="7A4B5A2F"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7A4B5A2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so far in </w:t>
      </w:r>
      <w:r w:rsidR="5E992440" w:rsidRPr="00CC562A">
        <w:rPr>
          <w:rFonts w:ascii="Cambria" w:eastAsia="Cambria" w:hAnsi="Cambria" w:cs="Cambria"/>
          <w:sz w:val="20"/>
          <w:szCs w:val="20"/>
          <w:lang w:val="en-US"/>
        </w:rPr>
        <w:t xml:space="preserve">2022 </w:t>
      </w:r>
      <w:r w:rsidR="00700DE8" w:rsidRPr="00CC562A">
        <w:rPr>
          <w:rFonts w:ascii="Cambria" w:eastAsia="Cambria" w:hAnsi="Cambria" w:cs="Cambria"/>
          <w:sz w:val="20"/>
          <w:szCs w:val="20"/>
          <w:lang w:val="en-US"/>
        </w:rPr>
        <w:t>various incidents against families searching for disappeared persons have been recorded. On July 17,</w:t>
      </w:r>
      <w:r w:rsidR="5E992440" w:rsidRPr="00CC562A">
        <w:rPr>
          <w:rFonts w:ascii="Cambria" w:eastAsia="Cambria" w:hAnsi="Cambria" w:cs="Cambria"/>
          <w:sz w:val="20"/>
          <w:szCs w:val="20"/>
          <w:lang w:val="en-US"/>
        </w:rPr>
        <w:t xml:space="preserve"> 2022, </w:t>
      </w:r>
      <w:r w:rsidR="00700DE8" w:rsidRPr="00CC562A">
        <w:rPr>
          <w:rFonts w:ascii="Cambria" w:eastAsia="Cambria" w:hAnsi="Cambria" w:cs="Cambria"/>
          <w:sz w:val="20"/>
          <w:szCs w:val="20"/>
          <w:lang w:val="en-US"/>
        </w:rPr>
        <w:t>i</w:t>
      </w:r>
      <w:r w:rsidR="5E992440" w:rsidRPr="00CC562A">
        <w:rPr>
          <w:rFonts w:ascii="Cambria" w:eastAsia="Cambria" w:hAnsi="Cambria" w:cs="Cambria"/>
          <w:sz w:val="20"/>
          <w:szCs w:val="20"/>
          <w:lang w:val="en-US"/>
        </w:rPr>
        <w:t xml:space="preserve">n Sonora, </w:t>
      </w:r>
      <w:r w:rsidR="1B575601" w:rsidRPr="00CC562A">
        <w:rPr>
          <w:rFonts w:ascii="Cambria" w:eastAsia="Cambria" w:hAnsi="Cambria" w:cs="Cambria"/>
          <w:sz w:val="20"/>
          <w:szCs w:val="20"/>
          <w:lang w:val="en-US"/>
        </w:rPr>
        <w:t xml:space="preserve">Brenda </w:t>
      </w:r>
      <w:proofErr w:type="spellStart"/>
      <w:r w:rsidR="1B575601" w:rsidRPr="00CC562A">
        <w:rPr>
          <w:rFonts w:ascii="Cambria" w:eastAsia="Cambria" w:hAnsi="Cambria" w:cs="Cambria"/>
          <w:sz w:val="20"/>
          <w:szCs w:val="20"/>
          <w:lang w:val="en-US"/>
        </w:rPr>
        <w:t>Jazmín</w:t>
      </w:r>
      <w:proofErr w:type="spellEnd"/>
      <w:r w:rsidR="1B575601" w:rsidRPr="00CC562A">
        <w:rPr>
          <w:rFonts w:ascii="Cambria" w:eastAsia="Cambria" w:hAnsi="Cambria" w:cs="Cambria"/>
          <w:sz w:val="20"/>
          <w:szCs w:val="20"/>
          <w:lang w:val="en-US"/>
        </w:rPr>
        <w:t xml:space="preserve"> </w:t>
      </w:r>
      <w:proofErr w:type="spellStart"/>
      <w:r w:rsidR="1B575601" w:rsidRPr="00CC562A">
        <w:rPr>
          <w:rFonts w:ascii="Cambria" w:eastAsia="Cambria" w:hAnsi="Cambria" w:cs="Cambria"/>
          <w:sz w:val="20"/>
          <w:szCs w:val="20"/>
          <w:lang w:val="en-US"/>
        </w:rPr>
        <w:t>Beltrán</w:t>
      </w:r>
      <w:proofErr w:type="spellEnd"/>
      <w:r w:rsidR="1B575601" w:rsidRPr="00CC562A">
        <w:rPr>
          <w:rFonts w:ascii="Cambria" w:eastAsia="Cambria" w:hAnsi="Cambria" w:cs="Cambria"/>
          <w:sz w:val="20"/>
          <w:szCs w:val="20"/>
          <w:lang w:val="en-US"/>
        </w:rPr>
        <w:t xml:space="preserve"> Jaime</w:t>
      </w:r>
      <w:r w:rsidR="00700DE8" w:rsidRPr="00CC562A">
        <w:rPr>
          <w:rFonts w:ascii="Cambria" w:eastAsia="Cambria" w:hAnsi="Cambria" w:cs="Cambria"/>
          <w:sz w:val="20"/>
          <w:szCs w:val="20"/>
          <w:lang w:val="en-US"/>
        </w:rPr>
        <w:t>, a member of a group of relatives of disappeared persons, who was looking for her brother who had disappeared in 2018, was found dead.</w:t>
      </w:r>
      <w:r w:rsidR="00A06F2A" w:rsidRPr="00CC562A">
        <w:rPr>
          <w:rFonts w:ascii="Cambria" w:eastAsia="Cambria" w:hAnsi="Cambria" w:cs="Cambria"/>
          <w:sz w:val="20"/>
          <w:szCs w:val="20"/>
          <w:vertAlign w:val="superscript"/>
          <w:lang w:val="en-US"/>
        </w:rPr>
        <w:footnoteReference w:id="166"/>
      </w:r>
      <w:r w:rsidR="00700DE8" w:rsidRPr="00CC562A">
        <w:rPr>
          <w:rFonts w:ascii="Cambria" w:eastAsia="Cambria" w:hAnsi="Cambria" w:cs="Cambria"/>
          <w:sz w:val="20"/>
          <w:szCs w:val="20"/>
          <w:lang w:val="en-US"/>
        </w:rPr>
        <w:t xml:space="preserve"> On August 30, </w:t>
      </w:r>
      <w:r w:rsidR="5E992440" w:rsidRPr="00CC562A">
        <w:rPr>
          <w:rFonts w:ascii="Cambria" w:eastAsia="Cambria" w:hAnsi="Cambria" w:cs="Cambria"/>
          <w:sz w:val="20"/>
          <w:szCs w:val="20"/>
          <w:lang w:val="en-US"/>
        </w:rPr>
        <w:t xml:space="preserve">2022, </w:t>
      </w:r>
      <w:r w:rsidR="00700DE8" w:rsidRPr="00CC562A">
        <w:rPr>
          <w:rFonts w:ascii="Cambria" w:eastAsia="Cambria" w:hAnsi="Cambria" w:cs="Cambria"/>
          <w:sz w:val="20"/>
          <w:szCs w:val="20"/>
          <w:lang w:val="en-US"/>
        </w:rPr>
        <w:t xml:space="preserve">in the </w:t>
      </w:r>
      <w:r w:rsidR="00CF7759" w:rsidRPr="00CC562A">
        <w:rPr>
          <w:rFonts w:ascii="Cambria" w:eastAsia="Cambria" w:hAnsi="Cambria" w:cs="Cambria"/>
          <w:sz w:val="20"/>
          <w:szCs w:val="20"/>
          <w:lang w:val="en-US"/>
        </w:rPr>
        <w:t>s</w:t>
      </w:r>
      <w:r w:rsidR="00700DE8" w:rsidRPr="00CC562A">
        <w:rPr>
          <w:rFonts w:ascii="Cambria" w:eastAsia="Cambria" w:hAnsi="Cambria" w:cs="Cambria"/>
          <w:sz w:val="20"/>
          <w:szCs w:val="20"/>
          <w:lang w:val="en-US"/>
        </w:rPr>
        <w:t xml:space="preserve">tate of </w:t>
      </w:r>
      <w:r w:rsidR="5E992440" w:rsidRPr="00CC562A">
        <w:rPr>
          <w:rFonts w:ascii="Cambria" w:eastAsia="Cambria" w:hAnsi="Cambria" w:cs="Cambria"/>
          <w:sz w:val="20"/>
          <w:szCs w:val="20"/>
          <w:lang w:val="en-US"/>
        </w:rPr>
        <w:t xml:space="preserve">Sinaloa, </w:t>
      </w:r>
      <w:r w:rsidR="1B575601" w:rsidRPr="00CC562A">
        <w:rPr>
          <w:rFonts w:ascii="Cambria" w:eastAsia="Cambria" w:hAnsi="Cambria" w:cs="Cambria"/>
          <w:sz w:val="20"/>
          <w:szCs w:val="20"/>
          <w:lang w:val="en-US"/>
        </w:rPr>
        <w:t>Rosario Rodríguez Barraza</w:t>
      </w:r>
      <w:r w:rsidR="5E992440" w:rsidRPr="00CC562A">
        <w:rPr>
          <w:rFonts w:ascii="Cambria" w:eastAsia="Cambria" w:hAnsi="Cambria" w:cs="Cambria"/>
          <w:sz w:val="20"/>
          <w:szCs w:val="20"/>
          <w:lang w:val="en-US"/>
        </w:rPr>
        <w:t xml:space="preserve">, </w:t>
      </w:r>
      <w:r w:rsidR="00700DE8" w:rsidRPr="00CC562A">
        <w:rPr>
          <w:rFonts w:ascii="Cambria" w:eastAsia="Cambria" w:hAnsi="Cambria" w:cs="Cambria"/>
          <w:sz w:val="20"/>
          <w:szCs w:val="20"/>
          <w:lang w:val="en-US"/>
        </w:rPr>
        <w:t xml:space="preserve">a member of a group of relatives of disappeared persons, was kidnapped and murdered at the end of a religious ceremony held in the memory of her son who had disappeared in </w:t>
      </w:r>
      <w:r w:rsidR="5E992440" w:rsidRPr="00CC562A">
        <w:rPr>
          <w:rFonts w:ascii="Cambria" w:eastAsia="Cambria" w:hAnsi="Cambria" w:cs="Cambria"/>
          <w:sz w:val="20"/>
          <w:szCs w:val="20"/>
          <w:lang w:val="en-US"/>
        </w:rPr>
        <w:t>2019</w:t>
      </w:r>
      <w:r w:rsidR="00700DE8"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167"/>
      </w:r>
      <w:r w:rsidR="00700DE8" w:rsidRPr="00CC562A">
        <w:rPr>
          <w:rFonts w:ascii="Cambria" w:eastAsia="Cambria" w:hAnsi="Cambria" w:cs="Cambria"/>
          <w:sz w:val="20"/>
          <w:szCs w:val="20"/>
          <w:lang w:val="en-US"/>
        </w:rPr>
        <w:t xml:space="preserve"> On October 14, </w:t>
      </w:r>
      <w:r w:rsidR="5E992440" w:rsidRPr="00CC562A">
        <w:rPr>
          <w:rFonts w:ascii="Cambria" w:eastAsia="Cambria" w:hAnsi="Cambria" w:cs="Cambria"/>
          <w:sz w:val="20"/>
          <w:szCs w:val="20"/>
          <w:lang w:val="en-US"/>
        </w:rPr>
        <w:t xml:space="preserve">2022, </w:t>
      </w:r>
      <w:r w:rsidR="00700DE8" w:rsidRPr="00CC562A">
        <w:rPr>
          <w:rFonts w:ascii="Cambria" w:eastAsia="Cambria" w:hAnsi="Cambria" w:cs="Cambria"/>
          <w:sz w:val="20"/>
          <w:szCs w:val="20"/>
          <w:lang w:val="en-US"/>
        </w:rPr>
        <w:t>i</w:t>
      </w:r>
      <w:r w:rsidR="5E992440" w:rsidRPr="00CC562A">
        <w:rPr>
          <w:rFonts w:ascii="Cambria" w:eastAsia="Cambria" w:hAnsi="Cambria" w:cs="Cambria"/>
          <w:sz w:val="20"/>
          <w:szCs w:val="20"/>
          <w:lang w:val="en-US"/>
        </w:rPr>
        <w:t xml:space="preserve">n Puebla, </w:t>
      </w:r>
      <w:r w:rsidR="1B575601" w:rsidRPr="00CC562A">
        <w:rPr>
          <w:rFonts w:ascii="Cambria" w:eastAsia="Cambria" w:hAnsi="Cambria" w:cs="Cambria"/>
          <w:sz w:val="20"/>
          <w:szCs w:val="20"/>
          <w:lang w:val="en-US"/>
        </w:rPr>
        <w:t>Esmeralda Gallardo</w:t>
      </w:r>
      <w:r w:rsidR="5E992440" w:rsidRPr="00CC562A">
        <w:rPr>
          <w:rFonts w:ascii="Cambria" w:eastAsia="Cambria" w:hAnsi="Cambria" w:cs="Cambria"/>
          <w:sz w:val="20"/>
          <w:szCs w:val="20"/>
          <w:lang w:val="en-US"/>
        </w:rPr>
        <w:t xml:space="preserve">, </w:t>
      </w:r>
      <w:r w:rsidR="00700DE8" w:rsidRPr="00CC562A">
        <w:rPr>
          <w:rFonts w:ascii="Cambria" w:eastAsia="Cambria" w:hAnsi="Cambria" w:cs="Cambria"/>
          <w:sz w:val="20"/>
          <w:szCs w:val="20"/>
          <w:lang w:val="en-US"/>
        </w:rPr>
        <w:t>a mother who had been looking for her disappeared son since 2021, was shot to death.</w:t>
      </w:r>
      <w:r w:rsidR="00A06F2A" w:rsidRPr="00CC562A">
        <w:rPr>
          <w:rFonts w:ascii="Cambria" w:eastAsia="Cambria" w:hAnsi="Cambria" w:cs="Cambria"/>
          <w:sz w:val="20"/>
          <w:szCs w:val="20"/>
          <w:vertAlign w:val="superscript"/>
          <w:lang w:val="en-US"/>
        </w:rPr>
        <w:footnoteReference w:id="168"/>
      </w:r>
      <w:r w:rsidR="00700DE8" w:rsidRPr="00CC562A">
        <w:rPr>
          <w:rFonts w:ascii="Cambria" w:eastAsia="Cambria" w:hAnsi="Cambria" w:cs="Cambria"/>
          <w:sz w:val="20"/>
          <w:szCs w:val="20"/>
          <w:lang w:val="en-US"/>
        </w:rPr>
        <w:t xml:space="preserve"> In addition, on July 29, </w:t>
      </w:r>
      <w:r w:rsidR="5E992440" w:rsidRPr="00CC562A">
        <w:rPr>
          <w:rFonts w:ascii="Cambria" w:eastAsia="Cambria" w:hAnsi="Cambria" w:cs="Cambria"/>
          <w:sz w:val="20"/>
          <w:szCs w:val="20"/>
          <w:lang w:val="en-US"/>
        </w:rPr>
        <w:t xml:space="preserve">2022, </w:t>
      </w:r>
      <w:r w:rsidR="00FF45E5" w:rsidRPr="00CC562A">
        <w:rPr>
          <w:rFonts w:ascii="Cambria" w:eastAsia="Cambria" w:hAnsi="Cambria" w:cs="Cambria"/>
          <w:sz w:val="20"/>
          <w:szCs w:val="20"/>
          <w:lang w:val="en-US"/>
        </w:rPr>
        <w:t>i</w:t>
      </w:r>
      <w:r w:rsidR="5E992440" w:rsidRPr="00CC562A">
        <w:rPr>
          <w:rFonts w:ascii="Cambria" w:eastAsia="Cambria" w:hAnsi="Cambria" w:cs="Cambria"/>
          <w:sz w:val="20"/>
          <w:szCs w:val="20"/>
          <w:lang w:val="en-US"/>
        </w:rPr>
        <w:t>n San Luis Potosí,</w:t>
      </w:r>
      <w:r w:rsidR="00700DE8" w:rsidRPr="00CC562A">
        <w:rPr>
          <w:rFonts w:ascii="Cambria" w:eastAsia="Cambria" w:hAnsi="Cambria" w:cs="Cambria"/>
          <w:sz w:val="20"/>
          <w:szCs w:val="20"/>
          <w:lang w:val="en-US"/>
        </w:rPr>
        <w:t xml:space="preserve"> a group of people who included members of a group of families and members of the State Commission on the Search Persons, and the local polic</w:t>
      </w:r>
      <w:r w:rsidR="00FF45E5" w:rsidRPr="00CC562A">
        <w:rPr>
          <w:rFonts w:ascii="Cambria" w:eastAsia="Cambria" w:hAnsi="Cambria" w:cs="Cambria"/>
          <w:sz w:val="20"/>
          <w:szCs w:val="20"/>
          <w:lang w:val="en-US"/>
        </w:rPr>
        <w:t>e</w:t>
      </w:r>
      <w:r w:rsidR="00700DE8" w:rsidRPr="00CC562A">
        <w:rPr>
          <w:rFonts w:ascii="Cambria" w:eastAsia="Cambria" w:hAnsi="Cambria" w:cs="Cambria"/>
          <w:sz w:val="20"/>
          <w:szCs w:val="20"/>
          <w:lang w:val="en-US"/>
        </w:rPr>
        <w:t xml:space="preserve"> was attacked with firearms</w:t>
      </w:r>
      <w:r w:rsidR="00AD1864" w:rsidRPr="00CC562A">
        <w:rPr>
          <w:rFonts w:ascii="Cambria" w:eastAsia="Cambria" w:hAnsi="Cambria" w:cs="Cambria"/>
          <w:sz w:val="20"/>
          <w:szCs w:val="20"/>
          <w:lang w:val="en-US"/>
        </w:rPr>
        <w:t xml:space="preserve"> while they were carrying out search activities in the municipality of</w:t>
      </w:r>
      <w:r w:rsidR="5E992440" w:rsidRPr="00CC562A">
        <w:rPr>
          <w:rFonts w:ascii="Cambria" w:eastAsia="Cambria" w:hAnsi="Cambria" w:cs="Cambria"/>
          <w:sz w:val="20"/>
          <w:szCs w:val="20"/>
          <w:lang w:val="en-US"/>
        </w:rPr>
        <w:t xml:space="preserve"> </w:t>
      </w:r>
      <w:proofErr w:type="spellStart"/>
      <w:r w:rsidR="5E992440" w:rsidRPr="00CC562A">
        <w:rPr>
          <w:rFonts w:ascii="Cambria" w:eastAsia="Cambria" w:hAnsi="Cambria" w:cs="Cambria"/>
          <w:sz w:val="20"/>
          <w:szCs w:val="20"/>
          <w:lang w:val="en-US"/>
        </w:rPr>
        <w:t>Rioverde</w:t>
      </w:r>
      <w:proofErr w:type="spellEnd"/>
      <w:r w:rsidR="00AD1864"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169"/>
      </w:r>
      <w:r w:rsidR="00AD1864" w:rsidRPr="00CC562A">
        <w:rPr>
          <w:rFonts w:ascii="Cambria" w:eastAsia="Cambria" w:hAnsi="Cambria" w:cs="Cambria"/>
          <w:sz w:val="20"/>
          <w:szCs w:val="20"/>
          <w:lang w:val="en-US"/>
        </w:rPr>
        <w:t xml:space="preserve"> In the </w:t>
      </w:r>
      <w:r w:rsidR="00FF45E5" w:rsidRPr="00CC562A">
        <w:rPr>
          <w:rFonts w:ascii="Cambria" w:eastAsia="Cambria" w:hAnsi="Cambria" w:cs="Cambria"/>
          <w:sz w:val="20"/>
          <w:szCs w:val="20"/>
          <w:lang w:val="en-US"/>
        </w:rPr>
        <w:t>p</w:t>
      </w:r>
      <w:r w:rsidR="00AD1864" w:rsidRPr="00CC562A">
        <w:rPr>
          <w:rFonts w:ascii="Cambria" w:eastAsia="Cambria" w:hAnsi="Cambria" w:cs="Cambria"/>
          <w:sz w:val="20"/>
          <w:szCs w:val="20"/>
          <w:lang w:val="en-US"/>
        </w:rPr>
        <w:t>ast 13 years, there are records of at least 16 murders of family members engaged in search tasks.</w:t>
      </w:r>
      <w:r w:rsidR="00A06F2A" w:rsidRPr="00CC562A">
        <w:rPr>
          <w:rFonts w:ascii="Cambria" w:eastAsia="Cambria" w:hAnsi="Cambria" w:cs="Cambria"/>
          <w:sz w:val="20"/>
          <w:szCs w:val="20"/>
          <w:vertAlign w:val="superscript"/>
          <w:lang w:val="en-US"/>
        </w:rPr>
        <w:footnoteReference w:id="170"/>
      </w:r>
      <w:sdt>
        <w:sdtPr>
          <w:rPr>
            <w:rFonts w:ascii="Cambria" w:eastAsia="Cambria" w:hAnsi="Cambria" w:cs="Cambria"/>
            <w:color w:val="2B579A"/>
            <w:sz w:val="20"/>
            <w:szCs w:val="20"/>
            <w:shd w:val="clear" w:color="auto" w:fill="E6E6E6"/>
            <w:lang w:val="en-US"/>
          </w:rPr>
          <w:tag w:val="goog_rdk_83"/>
          <w:id w:val="-1050916678"/>
          <w:placeholder>
            <w:docPart w:val="DefaultPlaceholder_1081868574"/>
          </w:placeholder>
          <w:showingPlcHdr/>
        </w:sdtPr>
        <w:sdtContent/>
      </w:sdt>
    </w:p>
    <w:p w14:paraId="31274F7A" w14:textId="66920C2B" w:rsidR="00DB71FA" w:rsidRPr="00CC562A" w:rsidRDefault="00DB71FA" w:rsidP="004C5B48">
      <w:pPr>
        <w:spacing w:after="0" w:line="240" w:lineRule="auto"/>
        <w:ind w:left="720"/>
        <w:jc w:val="both"/>
        <w:rPr>
          <w:rFonts w:ascii="Cambria" w:eastAsia="Cambria" w:hAnsi="Cambria" w:cs="Cambria"/>
          <w:sz w:val="20"/>
          <w:szCs w:val="20"/>
          <w:lang w:val="en-US"/>
        </w:rPr>
      </w:pPr>
    </w:p>
    <w:p w14:paraId="5548B46C" w14:textId="39789A75" w:rsidR="008F5CC2" w:rsidRPr="00CC562A" w:rsidRDefault="00AD1864"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The</w:t>
      </w:r>
      <w:r w:rsidR="1EB29F69" w:rsidRPr="00CC562A">
        <w:rPr>
          <w:rFonts w:ascii="Cambria" w:eastAsia="Cambria" w:hAnsi="Cambria"/>
          <w:sz w:val="20"/>
          <w:szCs w:val="20"/>
          <w:lang w:val="en-US"/>
        </w:rPr>
        <w:t xml:space="preserve"> CMDPDH</w:t>
      </w:r>
      <w:r w:rsidR="006364A9" w:rsidRPr="00CC562A">
        <w:rPr>
          <w:rStyle w:val="FootnoteReference"/>
          <w:rFonts w:ascii="Cambria" w:eastAsia="Cambria" w:hAnsi="Cambria"/>
          <w:sz w:val="20"/>
          <w:szCs w:val="20"/>
          <w:lang w:val="en-US"/>
        </w:rPr>
        <w:footnoteReference w:id="171"/>
      </w:r>
      <w:r w:rsidR="1EB29F69" w:rsidRPr="00CC562A">
        <w:rPr>
          <w:rFonts w:ascii="Cambria" w:eastAsia="Cambria" w:hAnsi="Cambria"/>
          <w:sz w:val="20"/>
          <w:szCs w:val="20"/>
          <w:lang w:val="en-US"/>
        </w:rPr>
        <w:t xml:space="preserve"> </w:t>
      </w:r>
      <w:r w:rsidR="00900ED4" w:rsidRPr="00CC562A">
        <w:rPr>
          <w:rFonts w:ascii="Cambria" w:eastAsia="Cambria" w:hAnsi="Cambria"/>
          <w:sz w:val="20"/>
          <w:szCs w:val="20"/>
          <w:lang w:val="en-US"/>
        </w:rPr>
        <w:t>reported that</w:t>
      </w:r>
      <w:r w:rsidRPr="00CC562A">
        <w:rPr>
          <w:rFonts w:ascii="Cambria" w:eastAsia="Cambria" w:hAnsi="Cambria"/>
          <w:sz w:val="20"/>
          <w:szCs w:val="20"/>
          <w:lang w:val="en-US"/>
        </w:rPr>
        <w:t xml:space="preserve"> </w:t>
      </w:r>
      <w:r w:rsidR="00FF45E5" w:rsidRPr="00CC562A">
        <w:rPr>
          <w:rFonts w:ascii="Cambria" w:eastAsia="Cambria" w:hAnsi="Cambria"/>
          <w:sz w:val="20"/>
          <w:szCs w:val="20"/>
          <w:lang w:val="en-US"/>
        </w:rPr>
        <w:t xml:space="preserve">its monitoring of cases involving </w:t>
      </w:r>
      <w:r w:rsidRPr="00CC562A">
        <w:rPr>
          <w:rFonts w:ascii="Cambria" w:eastAsia="Cambria" w:hAnsi="Cambria"/>
          <w:sz w:val="20"/>
          <w:szCs w:val="20"/>
          <w:lang w:val="en-US"/>
        </w:rPr>
        <w:t xml:space="preserve">human rights defenders </w:t>
      </w:r>
      <w:r w:rsidR="00FF45E5" w:rsidRPr="00CC562A">
        <w:rPr>
          <w:rFonts w:ascii="Cambria" w:eastAsia="Cambria" w:hAnsi="Cambria"/>
          <w:sz w:val="20"/>
          <w:szCs w:val="20"/>
          <w:lang w:val="en-US"/>
        </w:rPr>
        <w:t>has allowed it to see</w:t>
      </w:r>
      <w:r w:rsidRPr="00CC562A">
        <w:rPr>
          <w:rFonts w:ascii="Cambria" w:eastAsia="Cambria" w:hAnsi="Cambria"/>
          <w:sz w:val="20"/>
          <w:szCs w:val="20"/>
          <w:lang w:val="en-US"/>
        </w:rPr>
        <w:t xml:space="preserve"> how the Protection Mechanism is far from carrying out the function for which it was created and, on the contrary, has made a series of regressive decisions regarding what its work should be.</w:t>
      </w:r>
      <w:r w:rsidR="1EB29F69" w:rsidRPr="00CC562A">
        <w:rPr>
          <w:rFonts w:ascii="Cambria" w:eastAsia="Cambria" w:hAnsi="Cambria"/>
          <w:sz w:val="20"/>
          <w:szCs w:val="20"/>
          <w:lang w:val="en-US"/>
        </w:rPr>
        <w:t xml:space="preserve"> </w:t>
      </w:r>
    </w:p>
    <w:p w14:paraId="5AFDFC53"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0019844B" w14:textId="52596727" w:rsidR="00522749" w:rsidRPr="00CC562A" w:rsidRDefault="00AD1864"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Based on the information provided, the Commission notes that throughout the year</w:t>
      </w:r>
      <w:r w:rsidR="775554B3"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various people in groups in vulnerable situations (journalists, human rights defenders, adolescent women, boys, and girls) were the victims of reprisals or attacks due to the work they were doing or their distinct condition. In</w:t>
      </w:r>
      <w:r w:rsidR="775554B3" w:rsidRPr="00CC562A">
        <w:rPr>
          <w:rFonts w:ascii="Cambria" w:eastAsia="Cambria" w:hAnsi="Cambria" w:cs="Cambria"/>
          <w:sz w:val="20"/>
          <w:szCs w:val="20"/>
          <w:lang w:val="en-US"/>
        </w:rPr>
        <w:t xml:space="preserve"> particular, </w:t>
      </w:r>
      <w:r w:rsidRPr="00CC562A">
        <w:rPr>
          <w:rFonts w:ascii="Cambria" w:eastAsia="Cambria" w:hAnsi="Cambria" w:cs="Cambria"/>
          <w:sz w:val="20"/>
          <w:szCs w:val="20"/>
          <w:lang w:val="en-US"/>
        </w:rPr>
        <w:t xml:space="preserve">the Commission recognizes that the </w:t>
      </w:r>
      <w:r w:rsidR="00752FED" w:rsidRPr="00CC562A">
        <w:rPr>
          <w:rFonts w:ascii="Cambria" w:eastAsia="Cambria" w:hAnsi="Cambria" w:cs="Cambria"/>
          <w:sz w:val="20"/>
          <w:szCs w:val="20"/>
          <w:lang w:val="en-US"/>
        </w:rPr>
        <w:t>State</w:t>
      </w:r>
      <w:r w:rsidR="775554B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has a normative framework for the </w:t>
      </w:r>
      <w:r w:rsidRPr="00CC562A">
        <w:rPr>
          <w:rFonts w:ascii="Cambria" w:eastAsia="Cambria" w:hAnsi="Cambria" w:cs="Cambria"/>
          <w:sz w:val="20"/>
          <w:szCs w:val="20"/>
          <w:lang w:val="en-US"/>
        </w:rPr>
        <w:lastRenderedPageBreak/>
        <w:t xml:space="preserve">implementation of protective measures for persons who are the victims of </w:t>
      </w:r>
      <w:r w:rsidR="00F61B23" w:rsidRPr="00CC562A">
        <w:rPr>
          <w:rFonts w:ascii="Cambria" w:eastAsia="Cambria" w:hAnsi="Cambria" w:cs="Cambria"/>
          <w:sz w:val="20"/>
          <w:szCs w:val="20"/>
          <w:lang w:val="en-US"/>
        </w:rPr>
        <w:t>assaults</w:t>
      </w:r>
      <w:r w:rsidRPr="00CC562A">
        <w:rPr>
          <w:rFonts w:ascii="Cambria" w:eastAsia="Cambria" w:hAnsi="Cambria" w:cs="Cambria"/>
          <w:sz w:val="20"/>
          <w:szCs w:val="20"/>
          <w:lang w:val="en-US"/>
        </w:rPr>
        <w:t>. However,</w:t>
      </w:r>
      <w:r w:rsidR="00F61B23" w:rsidRPr="00CC562A">
        <w:rPr>
          <w:rFonts w:ascii="Cambria" w:eastAsia="Cambria" w:hAnsi="Cambria" w:cs="Cambria"/>
          <w:sz w:val="20"/>
          <w:szCs w:val="20"/>
          <w:lang w:val="en-US"/>
        </w:rPr>
        <w:t xml:space="preserve"> there are questions regarding the</w:t>
      </w:r>
      <w:r w:rsidR="00FF45E5" w:rsidRPr="00CC562A">
        <w:rPr>
          <w:rFonts w:ascii="Cambria" w:eastAsia="Cambria" w:hAnsi="Cambria" w:cs="Cambria"/>
          <w:sz w:val="20"/>
          <w:szCs w:val="20"/>
          <w:lang w:val="en-US"/>
        </w:rPr>
        <w:t>ir</w:t>
      </w:r>
      <w:r w:rsidR="00F61B23" w:rsidRPr="00CC562A">
        <w:rPr>
          <w:rFonts w:ascii="Cambria" w:eastAsia="Cambria" w:hAnsi="Cambria" w:cs="Cambria"/>
          <w:sz w:val="20"/>
          <w:szCs w:val="20"/>
          <w:lang w:val="en-US"/>
        </w:rPr>
        <w:t xml:space="preserve"> effectiveness for preventing or neutralizing assaults or reprisals. The Commission notes with concern that people continue to be the victims of executions, even when they have protective measures under the Protection Mechanism, as in the case of</w:t>
      </w:r>
      <w:r w:rsidR="775554B3" w:rsidRPr="00CC562A">
        <w:rPr>
          <w:rFonts w:ascii="Cambria" w:eastAsia="Cambria" w:hAnsi="Cambria" w:cs="Cambria"/>
          <w:sz w:val="20"/>
          <w:szCs w:val="20"/>
          <w:lang w:val="en-US"/>
        </w:rPr>
        <w:t xml:space="preserve"> Cecilia </w:t>
      </w:r>
      <w:proofErr w:type="spellStart"/>
      <w:r w:rsidR="775554B3" w:rsidRPr="00CC562A">
        <w:rPr>
          <w:rFonts w:ascii="Cambria" w:eastAsia="Cambria" w:hAnsi="Cambria" w:cs="Cambria"/>
          <w:sz w:val="20"/>
          <w:szCs w:val="20"/>
          <w:lang w:val="en-US"/>
        </w:rPr>
        <w:t>Monzón</w:t>
      </w:r>
      <w:proofErr w:type="spellEnd"/>
      <w:r w:rsidR="00FF45E5" w:rsidRPr="00CC562A">
        <w:rPr>
          <w:rFonts w:ascii="Cambria" w:eastAsia="Cambria" w:hAnsi="Cambria" w:cs="Cambria"/>
          <w:sz w:val="20"/>
          <w:szCs w:val="20"/>
          <w:lang w:val="en-US"/>
        </w:rPr>
        <w:t>,</w:t>
      </w:r>
      <w:r w:rsidR="148B2797" w:rsidRPr="00CC562A">
        <w:rPr>
          <w:rFonts w:ascii="Cambria" w:eastAsia="Cambria" w:hAnsi="Cambria" w:cs="Cambria"/>
          <w:sz w:val="20"/>
          <w:szCs w:val="20"/>
          <w:lang w:val="en-US"/>
        </w:rPr>
        <w:t xml:space="preserve"> </w:t>
      </w:r>
      <w:r w:rsidR="00F61B23" w:rsidRPr="00CC562A">
        <w:rPr>
          <w:rFonts w:ascii="Cambria" w:eastAsia="Cambria" w:hAnsi="Cambria" w:cs="Cambria"/>
          <w:sz w:val="20"/>
          <w:szCs w:val="20"/>
          <w:lang w:val="en-US"/>
        </w:rPr>
        <w:t xml:space="preserve">who was </w:t>
      </w:r>
      <w:r w:rsidR="00FF45E5" w:rsidRPr="00CC562A">
        <w:rPr>
          <w:rFonts w:ascii="Cambria" w:eastAsia="Cambria" w:hAnsi="Cambria" w:cs="Cambria"/>
          <w:sz w:val="20"/>
          <w:szCs w:val="20"/>
          <w:lang w:val="en-US"/>
        </w:rPr>
        <w:t>included i</w:t>
      </w:r>
      <w:r w:rsidR="00F61B23" w:rsidRPr="00CC562A">
        <w:rPr>
          <w:rFonts w:ascii="Cambria" w:eastAsia="Cambria" w:hAnsi="Cambria" w:cs="Cambria"/>
          <w:sz w:val="20"/>
          <w:szCs w:val="20"/>
          <w:lang w:val="en-US"/>
        </w:rPr>
        <w:t>n the Protection Mechanism a</w:t>
      </w:r>
      <w:r w:rsidR="00BC4187" w:rsidRPr="00CC562A">
        <w:rPr>
          <w:rFonts w:ascii="Cambria" w:eastAsia="Cambria" w:hAnsi="Cambria" w:cs="Cambria"/>
          <w:sz w:val="20"/>
          <w:szCs w:val="20"/>
          <w:lang w:val="en-US"/>
        </w:rPr>
        <w:t xml:space="preserve">nd was </w:t>
      </w:r>
      <w:r w:rsidR="00F61B23" w:rsidRPr="00CC562A">
        <w:rPr>
          <w:rFonts w:ascii="Cambria" w:eastAsia="Cambria" w:hAnsi="Cambria" w:cs="Cambria"/>
          <w:sz w:val="20"/>
          <w:szCs w:val="20"/>
          <w:lang w:val="en-US"/>
        </w:rPr>
        <w:t xml:space="preserve">the victim of extrajudicial execution, a case that </w:t>
      </w:r>
      <w:r w:rsidR="00BC4187" w:rsidRPr="00CC562A">
        <w:rPr>
          <w:rFonts w:ascii="Cambria" w:eastAsia="Cambria" w:hAnsi="Cambria" w:cs="Cambria"/>
          <w:sz w:val="20"/>
          <w:szCs w:val="20"/>
          <w:lang w:val="en-US"/>
        </w:rPr>
        <w:t xml:space="preserve">has been impossible </w:t>
      </w:r>
      <w:r w:rsidR="00F61B23" w:rsidRPr="00CC562A">
        <w:rPr>
          <w:rFonts w:ascii="Cambria" w:eastAsia="Cambria" w:hAnsi="Cambria" w:cs="Cambria"/>
          <w:sz w:val="20"/>
          <w:szCs w:val="20"/>
          <w:lang w:val="en-US"/>
        </w:rPr>
        <w:t>to resolve to date.</w:t>
      </w:r>
      <w:r w:rsidR="004D271F" w:rsidRPr="00CC562A">
        <w:rPr>
          <w:rStyle w:val="FootnoteReference"/>
          <w:rFonts w:ascii="Cambria" w:eastAsia="Cambria" w:hAnsi="Cambria" w:cs="Cambria"/>
          <w:sz w:val="20"/>
          <w:szCs w:val="20"/>
          <w:lang w:val="en-US"/>
        </w:rPr>
        <w:footnoteReference w:id="172"/>
      </w:r>
      <w:r w:rsidR="00F61B23" w:rsidRPr="00CC562A">
        <w:rPr>
          <w:rFonts w:ascii="Cambria" w:eastAsia="Cambria" w:hAnsi="Cambria" w:cs="Cambria"/>
          <w:sz w:val="20"/>
          <w:szCs w:val="20"/>
          <w:lang w:val="en-US"/>
        </w:rPr>
        <w:t xml:space="preserve"> The foregoing shows </w:t>
      </w:r>
      <w:r w:rsidR="00F61B23" w:rsidRPr="00CC562A">
        <w:rPr>
          <w:rFonts w:ascii="Cambria" w:eastAsia="Cambria" w:hAnsi="Cambria" w:cs="Cambria"/>
          <w:b/>
          <w:bCs/>
          <w:sz w:val="20"/>
          <w:szCs w:val="20"/>
          <w:lang w:val="en-US"/>
        </w:rPr>
        <w:t xml:space="preserve">partial compliance </w:t>
      </w:r>
      <w:r w:rsidR="00F61B23" w:rsidRPr="00CC562A">
        <w:rPr>
          <w:rFonts w:ascii="Cambria" w:eastAsia="Cambria" w:hAnsi="Cambria" w:cs="Cambria"/>
          <w:sz w:val="20"/>
          <w:szCs w:val="20"/>
          <w:lang w:val="en-US"/>
        </w:rPr>
        <w:t>with the recommendation</w:t>
      </w:r>
      <w:r w:rsidR="148B2797" w:rsidRPr="00CC562A">
        <w:rPr>
          <w:rFonts w:ascii="Cambria" w:eastAsia="Cambria" w:hAnsi="Cambria" w:cs="Cambria"/>
          <w:sz w:val="20"/>
          <w:szCs w:val="20"/>
          <w:lang w:val="en-US"/>
        </w:rPr>
        <w:t xml:space="preserve">. </w:t>
      </w:r>
    </w:p>
    <w:p w14:paraId="090E45C4"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36FD28BB" w14:textId="7C1B80DA" w:rsidR="002F2FC6" w:rsidRPr="00CC562A" w:rsidRDefault="00F61B23"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the implementation of this recommendation, the Commission urges the State to provide indicators allowing </w:t>
      </w:r>
      <w:r w:rsidR="00BC4187" w:rsidRPr="00CC562A">
        <w:rPr>
          <w:rFonts w:ascii="Cambria" w:eastAsia="Cambria" w:hAnsi="Cambria" w:cs="Cambria"/>
          <w:sz w:val="20"/>
          <w:szCs w:val="20"/>
          <w:lang w:val="en-US"/>
        </w:rPr>
        <w:t>the Commission to</w:t>
      </w:r>
      <w:r w:rsidRPr="00CC562A">
        <w:rPr>
          <w:rFonts w:ascii="Cambria" w:eastAsia="Cambria" w:hAnsi="Cambria" w:cs="Cambria"/>
          <w:sz w:val="20"/>
          <w:szCs w:val="20"/>
          <w:lang w:val="en-US"/>
        </w:rPr>
        <w:t xml:space="preserve"> note effective improvement in the protection of victims, human rights defenders, or persons in vulnerable situations</w:t>
      </w:r>
      <w:r w:rsidR="148B2797" w:rsidRPr="00CC562A">
        <w:rPr>
          <w:rFonts w:ascii="Cambria" w:eastAsia="Cambria" w:hAnsi="Cambria" w:cs="Cambria"/>
          <w:sz w:val="20"/>
          <w:szCs w:val="20"/>
          <w:lang w:val="en-US"/>
        </w:rPr>
        <w:t>.</w:t>
      </w:r>
    </w:p>
    <w:p w14:paraId="2BF12293"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05EAC68D" w14:textId="39D3CA29" w:rsidR="008F5CC2" w:rsidRPr="00CC562A" w:rsidRDefault="00F108AA"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00A43BFE" w:rsidRPr="00CC562A">
        <w:rPr>
          <w:rFonts w:ascii="Cambria" w:eastAsia="Cambria" w:hAnsi="Cambria" w:cs="Cambria"/>
          <w:sz w:val="20"/>
          <w:szCs w:val="20"/>
          <w:lang w:val="en-US"/>
        </w:rPr>
        <w:t xml:space="preserve"> </w:t>
      </w:r>
      <w:r w:rsidR="00F61B23" w:rsidRPr="00CC562A">
        <w:rPr>
          <w:rFonts w:ascii="Cambria" w:eastAsia="Cambria" w:hAnsi="Cambria" w:cs="Cambria"/>
          <w:sz w:val="20"/>
          <w:szCs w:val="20"/>
          <w:lang w:val="en-US"/>
        </w:rPr>
        <w:t>the Commission recognizes dialogue processes implemented</w:t>
      </w:r>
      <w:r w:rsidR="00BC4187" w:rsidRPr="00CC562A">
        <w:rPr>
          <w:rFonts w:ascii="Cambria" w:eastAsia="Cambria" w:hAnsi="Cambria" w:cs="Cambria"/>
          <w:sz w:val="20"/>
          <w:szCs w:val="20"/>
          <w:lang w:val="en-US"/>
        </w:rPr>
        <w:t xml:space="preserve"> </w:t>
      </w:r>
      <w:r w:rsidR="00F61B23" w:rsidRPr="00CC562A">
        <w:rPr>
          <w:rFonts w:ascii="Cambria" w:eastAsia="Cambria" w:hAnsi="Cambria" w:cs="Cambria"/>
          <w:sz w:val="20"/>
          <w:szCs w:val="20"/>
          <w:lang w:val="en-US"/>
        </w:rPr>
        <w:t xml:space="preserve">by the Protection Mechanism to evaluate and redesign its operation in response to increased attacks </w:t>
      </w:r>
      <w:r w:rsidR="00BC4187" w:rsidRPr="00CC562A">
        <w:rPr>
          <w:rFonts w:ascii="Cambria" w:eastAsia="Cambria" w:hAnsi="Cambria" w:cs="Cambria"/>
          <w:sz w:val="20"/>
          <w:szCs w:val="20"/>
          <w:lang w:val="en-US"/>
        </w:rPr>
        <w:t xml:space="preserve">on </w:t>
      </w:r>
      <w:r w:rsidR="00F61B23" w:rsidRPr="00CC562A">
        <w:rPr>
          <w:rFonts w:ascii="Cambria" w:eastAsia="Cambria" w:hAnsi="Cambria" w:cs="Cambria"/>
          <w:sz w:val="20"/>
          <w:szCs w:val="20"/>
          <w:lang w:val="en-US"/>
        </w:rPr>
        <w:t>persons subject to protection</w:t>
      </w:r>
      <w:r w:rsidR="775554B3" w:rsidRPr="00CC562A">
        <w:rPr>
          <w:rFonts w:ascii="Cambria" w:eastAsia="Cambria" w:hAnsi="Cambria" w:cs="Cambria"/>
          <w:sz w:val="20"/>
          <w:szCs w:val="20"/>
          <w:lang w:val="en-US"/>
        </w:rPr>
        <w:t xml:space="preserve">. </w:t>
      </w:r>
      <w:r w:rsidR="00F61B23" w:rsidRPr="00CC562A">
        <w:rPr>
          <w:rFonts w:ascii="Cambria" w:eastAsia="Cambria" w:hAnsi="Cambria" w:cs="Cambria"/>
          <w:sz w:val="20"/>
          <w:szCs w:val="20"/>
          <w:lang w:val="en-US"/>
        </w:rPr>
        <w:t xml:space="preserve">However, to move ahead in complying with this recommendation, the Commission asks the State to adopt actions so as not to withdraw but, on the contrary, to strengthen protection mechanisms for persons who are at risk or in vulnerable situations who have been </w:t>
      </w:r>
      <w:r w:rsidR="00BB2148" w:rsidRPr="00CC562A">
        <w:rPr>
          <w:rFonts w:ascii="Cambria" w:eastAsia="Cambria" w:hAnsi="Cambria" w:cs="Cambria"/>
          <w:sz w:val="20"/>
          <w:szCs w:val="20"/>
          <w:lang w:val="en-US"/>
        </w:rPr>
        <w:t xml:space="preserve">materially </w:t>
      </w:r>
      <w:r w:rsidR="00BC4187" w:rsidRPr="00CC562A">
        <w:rPr>
          <w:rFonts w:ascii="Cambria" w:eastAsia="Cambria" w:hAnsi="Cambria" w:cs="Cambria"/>
          <w:sz w:val="20"/>
          <w:szCs w:val="20"/>
          <w:lang w:val="en-US"/>
        </w:rPr>
        <w:t>tried</w:t>
      </w:r>
      <w:r w:rsidR="00BB2148" w:rsidRPr="00CC562A">
        <w:rPr>
          <w:rFonts w:ascii="Cambria" w:eastAsia="Cambria" w:hAnsi="Cambria" w:cs="Cambria"/>
          <w:sz w:val="20"/>
          <w:szCs w:val="20"/>
          <w:lang w:val="en-US"/>
        </w:rPr>
        <w:t xml:space="preserve"> for the lack of resources and in general to adopt institutional strengthening mechanisms, public policies, legislation or regulations or any other type of instrument </w:t>
      </w:r>
      <w:r w:rsidR="00BC4187" w:rsidRPr="00CC562A">
        <w:rPr>
          <w:rFonts w:ascii="Cambria" w:eastAsia="Cambria" w:hAnsi="Cambria" w:cs="Cambria"/>
          <w:sz w:val="20"/>
          <w:szCs w:val="20"/>
          <w:lang w:val="en-US"/>
        </w:rPr>
        <w:t>to</w:t>
      </w:r>
      <w:r w:rsidR="00BB2148" w:rsidRPr="00CC562A">
        <w:rPr>
          <w:rFonts w:ascii="Cambria" w:eastAsia="Cambria" w:hAnsi="Cambria" w:cs="Cambria"/>
          <w:sz w:val="20"/>
          <w:szCs w:val="20"/>
          <w:lang w:val="en-US"/>
        </w:rPr>
        <w:t xml:space="preserve"> ensure the protection of persons in at-risk situations</w:t>
      </w:r>
      <w:r w:rsidR="775554B3" w:rsidRPr="00CC562A">
        <w:rPr>
          <w:rFonts w:ascii="Cambria" w:eastAsia="Cambria" w:hAnsi="Cambria" w:cs="Cambria"/>
          <w:sz w:val="20"/>
          <w:szCs w:val="20"/>
          <w:lang w:val="en-US"/>
        </w:rPr>
        <w:t>.</w:t>
      </w:r>
    </w:p>
    <w:p w14:paraId="2B4DA198"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1EC080CB" w14:textId="5A19AB36" w:rsidR="00C75F12" w:rsidRPr="00CC562A" w:rsidRDefault="00BB2148"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On the </w:t>
      </w:r>
      <w:r w:rsidRPr="00CC562A">
        <w:rPr>
          <w:rFonts w:ascii="Cambria" w:hAnsi="Cambria"/>
          <w:b/>
          <w:bCs/>
          <w:sz w:val="20"/>
          <w:szCs w:val="20"/>
          <w:lang w:val="en-US"/>
        </w:rPr>
        <w:t>recommendation to adopt specific protection measures for justice operators  in accordance with their particular needs and in consultation with them</w:t>
      </w:r>
      <w:r w:rsidR="6887544F"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7DF8A966"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there is a General Agreement that governs the assignment, use, and withdrawal of security measures for civil servants in the federal judiciary </w:t>
      </w:r>
      <w:r w:rsidR="7459D2B8"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with the exception of the </w:t>
      </w:r>
      <w:r w:rsidR="7459D2B8" w:rsidRPr="00CC562A">
        <w:rPr>
          <w:rFonts w:ascii="Cambria" w:eastAsia="Cambria" w:hAnsi="Cambria" w:cs="Cambria"/>
          <w:sz w:val="20"/>
          <w:szCs w:val="20"/>
          <w:lang w:val="en-US"/>
        </w:rPr>
        <w:t>SCJN</w:t>
      </w:r>
      <w:r w:rsidR="3855FC6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and the </w:t>
      </w:r>
      <w:r w:rsidR="3855FC6D" w:rsidRPr="00CC562A">
        <w:rPr>
          <w:rFonts w:ascii="Cambria" w:eastAsia="Cambria" w:hAnsi="Cambria" w:cs="Cambria"/>
          <w:sz w:val="20"/>
          <w:szCs w:val="20"/>
          <w:lang w:val="en-US"/>
        </w:rPr>
        <w:t>Electoral</w:t>
      </w:r>
      <w:r w:rsidRPr="00CC562A">
        <w:rPr>
          <w:rFonts w:ascii="Cambria" w:eastAsia="Cambria" w:hAnsi="Cambria" w:cs="Cambria"/>
          <w:sz w:val="20"/>
          <w:szCs w:val="20"/>
          <w:lang w:val="en-US"/>
        </w:rPr>
        <w:t xml:space="preserve"> Court </w:t>
      </w:r>
      <w:r w:rsidR="7459D2B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purpose of which is </w:t>
      </w:r>
      <w:r w:rsidR="009567CE" w:rsidRPr="00CC562A">
        <w:rPr>
          <w:rFonts w:ascii="Cambria" w:eastAsia="Cambria" w:hAnsi="Cambria" w:cs="Cambria"/>
          <w:sz w:val="20"/>
          <w:szCs w:val="20"/>
          <w:lang w:val="en-US"/>
        </w:rPr>
        <w:t>to establish the conditions and terms for the assignment, use, and withdrawal of security measures for civil servants who, in the performance of their duties or based on those duties, find themselves in an at-risk situation that threatens their life, physical safety, or psychological safety. In compliance with the referenced agreement, in</w:t>
      </w:r>
      <w:r w:rsidR="3855FC6D" w:rsidRPr="00CC562A">
        <w:rPr>
          <w:rFonts w:ascii="Cambria" w:eastAsia="Cambria" w:hAnsi="Cambria" w:cs="Cambria"/>
          <w:sz w:val="20"/>
          <w:szCs w:val="20"/>
          <w:lang w:val="en-US"/>
        </w:rPr>
        <w:t xml:space="preserve"> 2021, </w:t>
      </w:r>
      <w:r w:rsidR="009567CE" w:rsidRPr="00CC562A">
        <w:rPr>
          <w:rFonts w:ascii="Cambria" w:eastAsia="Cambria" w:hAnsi="Cambria" w:cs="Cambria"/>
          <w:sz w:val="20"/>
          <w:szCs w:val="20"/>
          <w:lang w:val="en-US"/>
        </w:rPr>
        <w:t>237 matters relating to these measures were submitted for consideration by the Surveillance Commission</w:t>
      </w:r>
      <w:r w:rsidR="3855FC6D" w:rsidRPr="00CC562A">
        <w:rPr>
          <w:rFonts w:ascii="Cambria" w:eastAsia="Cambria" w:hAnsi="Cambria" w:cs="Cambria"/>
          <w:sz w:val="20"/>
          <w:szCs w:val="20"/>
          <w:lang w:val="en-US"/>
        </w:rPr>
        <w:t xml:space="preserve"> </w:t>
      </w:r>
      <w:r w:rsidR="009567CE" w:rsidRPr="00CC562A">
        <w:rPr>
          <w:rFonts w:ascii="Cambria" w:eastAsia="Cambria" w:hAnsi="Cambria" w:cs="Cambria"/>
          <w:sz w:val="20"/>
          <w:szCs w:val="20"/>
          <w:lang w:val="en-US"/>
        </w:rPr>
        <w:t>of the Federal Judiciary Council</w:t>
      </w:r>
      <w:r w:rsidR="3855FC6D" w:rsidRPr="00CC562A">
        <w:rPr>
          <w:rFonts w:ascii="Cambria" w:eastAsia="Cambria" w:hAnsi="Cambria" w:cs="Cambria"/>
          <w:sz w:val="20"/>
          <w:szCs w:val="20"/>
          <w:lang w:val="en-US"/>
        </w:rPr>
        <w:t xml:space="preserve">, </w:t>
      </w:r>
      <w:r w:rsidR="009567CE" w:rsidRPr="00CC562A">
        <w:rPr>
          <w:rFonts w:ascii="Cambria" w:eastAsia="Cambria" w:hAnsi="Cambria" w:cs="Cambria"/>
          <w:sz w:val="20"/>
          <w:szCs w:val="20"/>
          <w:lang w:val="en-US"/>
        </w:rPr>
        <w:t>which is the competent area within the Council for hearing security measures</w:t>
      </w:r>
      <w:r w:rsidR="3855FC6D" w:rsidRPr="00CC562A">
        <w:rPr>
          <w:rFonts w:ascii="Cambria" w:eastAsia="Cambria" w:hAnsi="Cambria" w:cs="Cambria"/>
          <w:sz w:val="20"/>
          <w:szCs w:val="20"/>
          <w:lang w:val="en-US"/>
        </w:rPr>
        <w:t xml:space="preserve">, </w:t>
      </w:r>
      <w:r w:rsidR="009567CE" w:rsidRPr="00CC562A">
        <w:rPr>
          <w:rFonts w:ascii="Cambria" w:eastAsia="Cambria" w:hAnsi="Cambria" w:cs="Cambria"/>
          <w:sz w:val="20"/>
          <w:szCs w:val="20"/>
          <w:lang w:val="en-US"/>
        </w:rPr>
        <w:t>due to at-risk situations arising from the exercise of judicial functions</w:t>
      </w:r>
      <w:r w:rsidR="00BC4187" w:rsidRPr="00CC562A">
        <w:rPr>
          <w:rFonts w:ascii="Cambria" w:eastAsia="Cambria" w:hAnsi="Cambria" w:cs="Cambria"/>
          <w:sz w:val="20"/>
          <w:szCs w:val="20"/>
          <w:lang w:val="en-US"/>
        </w:rPr>
        <w:t>. A</w:t>
      </w:r>
      <w:r w:rsidR="009567CE" w:rsidRPr="00CC562A">
        <w:rPr>
          <w:rFonts w:ascii="Cambria" w:eastAsia="Cambria" w:hAnsi="Cambria" w:cs="Cambria"/>
          <w:sz w:val="20"/>
          <w:szCs w:val="20"/>
          <w:lang w:val="en-US"/>
        </w:rPr>
        <w:t>lso addressed were 60 electronic requests for security measures in Federal Criminal Justice Centers.</w:t>
      </w:r>
      <w:r w:rsidR="7DF8A966" w:rsidRPr="00CC562A">
        <w:rPr>
          <w:rFonts w:ascii="Cambria" w:eastAsia="Cambria" w:hAnsi="Cambria" w:cs="Cambria"/>
          <w:sz w:val="20"/>
          <w:szCs w:val="20"/>
          <w:lang w:val="en-US"/>
        </w:rPr>
        <w:t xml:space="preserve"> </w:t>
      </w:r>
    </w:p>
    <w:p w14:paraId="25CA0AB0" w14:textId="77777777" w:rsidR="00C75F12" w:rsidRPr="00CC562A" w:rsidRDefault="00C75F12" w:rsidP="00C75F12">
      <w:pPr>
        <w:spacing w:after="0" w:line="240" w:lineRule="auto"/>
        <w:ind w:left="720"/>
        <w:jc w:val="both"/>
        <w:rPr>
          <w:rFonts w:ascii="Cambria" w:eastAsia="Cambria" w:hAnsi="Cambria" w:cs="Cambria"/>
          <w:sz w:val="20"/>
          <w:szCs w:val="20"/>
          <w:lang w:val="en-US"/>
        </w:rPr>
      </w:pPr>
    </w:p>
    <w:p w14:paraId="0B82587F" w14:textId="1B2096EB" w:rsidR="008F5CC2" w:rsidRPr="00CC562A" w:rsidRDefault="00752FED"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7DF8A966" w:rsidRPr="00CC562A">
        <w:rPr>
          <w:rFonts w:ascii="Cambria" w:eastAsia="Cambria" w:hAnsi="Cambria" w:cs="Cambria"/>
          <w:sz w:val="20"/>
          <w:szCs w:val="20"/>
          <w:lang w:val="en-US"/>
        </w:rPr>
        <w:t xml:space="preserve"> indic</w:t>
      </w:r>
      <w:r w:rsidR="009567CE" w:rsidRPr="00CC562A">
        <w:rPr>
          <w:rFonts w:ascii="Cambria" w:eastAsia="Cambria" w:hAnsi="Cambria" w:cs="Cambria"/>
          <w:sz w:val="20"/>
          <w:szCs w:val="20"/>
          <w:lang w:val="en-US"/>
        </w:rPr>
        <w:t xml:space="preserve">ated that, </w:t>
      </w:r>
      <w:proofErr w:type="gramStart"/>
      <w:r w:rsidR="009567CE" w:rsidRPr="00CC562A">
        <w:rPr>
          <w:rFonts w:ascii="Cambria" w:eastAsia="Cambria" w:hAnsi="Cambria" w:cs="Cambria"/>
          <w:sz w:val="20"/>
          <w:szCs w:val="20"/>
          <w:lang w:val="en-US"/>
        </w:rPr>
        <w:t>with regard to</w:t>
      </w:r>
      <w:proofErr w:type="gramEnd"/>
      <w:r w:rsidR="009567CE" w:rsidRPr="00CC562A">
        <w:rPr>
          <w:rFonts w:ascii="Cambria" w:eastAsia="Cambria" w:hAnsi="Cambria" w:cs="Cambria"/>
          <w:sz w:val="20"/>
          <w:szCs w:val="20"/>
          <w:lang w:val="en-US"/>
        </w:rPr>
        <w:t xml:space="preserve"> the case of Judge</w:t>
      </w:r>
      <w:r w:rsidR="3855FC6D" w:rsidRPr="00CC562A">
        <w:rPr>
          <w:rFonts w:ascii="Cambria" w:eastAsia="Cambria" w:hAnsi="Cambria" w:cs="Cambria"/>
          <w:sz w:val="20"/>
          <w:szCs w:val="20"/>
          <w:lang w:val="en-US"/>
        </w:rPr>
        <w:t xml:space="preserve"> Uriel Villegas Ortiz</w:t>
      </w:r>
      <w:r w:rsidR="00CB207F" w:rsidRPr="00CC562A">
        <w:rPr>
          <w:rFonts w:ascii="Cambria" w:eastAsia="Cambria" w:hAnsi="Cambria" w:cs="Cambria"/>
          <w:sz w:val="20"/>
          <w:szCs w:val="20"/>
          <w:lang w:val="en-US"/>
        </w:rPr>
        <w:t xml:space="preserve">, it was reported that due to the lack of evidence that could be used to identify risks, the CJF Surveillance Commission deemed it advisable to withdraw the security measures for the family of the judge murdered in </w:t>
      </w:r>
      <w:r w:rsidR="7459D2B8" w:rsidRPr="00CC562A">
        <w:rPr>
          <w:rFonts w:ascii="Cambria" w:eastAsia="Cambria" w:hAnsi="Cambria" w:cs="Cambria"/>
          <w:sz w:val="20"/>
          <w:szCs w:val="20"/>
          <w:lang w:val="en-US"/>
        </w:rPr>
        <w:t>2020</w:t>
      </w:r>
      <w:r w:rsidR="00AE2F1D" w:rsidRPr="00CC562A">
        <w:rPr>
          <w:rFonts w:ascii="Cambria" w:eastAsia="Cambria" w:hAnsi="Cambria" w:cs="Cambria"/>
          <w:sz w:val="20"/>
          <w:szCs w:val="20"/>
          <w:lang w:val="en-US"/>
        </w:rPr>
        <w:t>.</w:t>
      </w:r>
      <w:r w:rsidR="3855FC6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Nonetheless,</w:t>
      </w:r>
      <w:r w:rsidR="3855FC6D" w:rsidRPr="00CC562A">
        <w:rPr>
          <w:rFonts w:ascii="Cambria" w:eastAsia="Cambria" w:hAnsi="Cambria" w:cs="Cambria"/>
          <w:sz w:val="20"/>
          <w:szCs w:val="20"/>
          <w:lang w:val="en-US"/>
        </w:rPr>
        <w:t xml:space="preserve"> </w:t>
      </w:r>
      <w:r w:rsidR="00CB207F" w:rsidRPr="00CC562A">
        <w:rPr>
          <w:rFonts w:ascii="Cambria" w:eastAsia="Cambria" w:hAnsi="Cambria" w:cs="Cambria"/>
          <w:sz w:val="20"/>
          <w:szCs w:val="20"/>
          <w:lang w:val="en-US"/>
        </w:rPr>
        <w:t>contact is maintained with the family, which was advised of the CJF order, to address any contingency that might arise</w:t>
      </w:r>
      <w:r w:rsidR="00386730" w:rsidRPr="00CC562A">
        <w:rPr>
          <w:rFonts w:ascii="Cambria" w:eastAsia="Cambria" w:hAnsi="Cambria" w:cs="Cambria"/>
          <w:sz w:val="20"/>
          <w:szCs w:val="20"/>
          <w:lang w:val="en-US"/>
        </w:rPr>
        <w:t>.</w:t>
      </w:r>
      <w:r w:rsidR="00C75F12" w:rsidRPr="00CC562A">
        <w:rPr>
          <w:rStyle w:val="FootnoteReference"/>
          <w:rFonts w:ascii="Cambria" w:hAnsi="Cambria"/>
          <w:sz w:val="20"/>
          <w:lang w:val="es-CO"/>
        </w:rPr>
        <w:footnoteReference w:id="173"/>
      </w:r>
    </w:p>
    <w:p w14:paraId="58DB2182"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6BC613BE" w14:textId="298E2132" w:rsidR="00522749" w:rsidRPr="00CC562A" w:rsidRDefault="00C60B67" w:rsidP="00C75F12">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Commission notes the provisions reported by the State, although it did not provide local information. In addition, the</w:t>
      </w:r>
      <w:r w:rsidR="00276638" w:rsidRPr="00CC562A">
        <w:rPr>
          <w:rFonts w:ascii="Cambria" w:eastAsia="Cambria" w:hAnsi="Cambria" w:cs="Cambria"/>
          <w:sz w:val="20"/>
          <w:szCs w:val="20"/>
          <w:lang w:val="en-US"/>
        </w:rPr>
        <w:t xml:space="preserve"> IACHR</w:t>
      </w:r>
      <w:r w:rsidRPr="00CC562A">
        <w:rPr>
          <w:rFonts w:ascii="Cambria" w:eastAsia="Cambria" w:hAnsi="Cambria" w:cs="Cambria"/>
          <w:sz w:val="20"/>
          <w:szCs w:val="20"/>
          <w:lang w:val="en-US"/>
        </w:rPr>
        <w:t xml:space="preserve"> acknowledge</w:t>
      </w:r>
      <w:r w:rsidR="00AE2F1D"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the lamentable murder of Judge</w:t>
      </w:r>
      <w:r w:rsidR="7459D2B8" w:rsidRPr="00CC562A">
        <w:rPr>
          <w:rFonts w:ascii="Cambria" w:eastAsia="Cambria" w:hAnsi="Cambria" w:cs="Cambria"/>
          <w:sz w:val="20"/>
          <w:szCs w:val="20"/>
          <w:lang w:val="en-US"/>
        </w:rPr>
        <w:t xml:space="preserve"> </w:t>
      </w:r>
      <w:r w:rsidR="148B2797" w:rsidRPr="00CC562A">
        <w:rPr>
          <w:rFonts w:ascii="Cambria" w:eastAsia="Cambria" w:hAnsi="Cambria" w:cs="Cambria"/>
          <w:sz w:val="20"/>
          <w:szCs w:val="20"/>
          <w:lang w:val="en-US"/>
        </w:rPr>
        <w:t xml:space="preserve">Roberto Elías Martínez, </w:t>
      </w:r>
      <w:r w:rsidRPr="00CC562A">
        <w:rPr>
          <w:rFonts w:ascii="Cambria" w:eastAsia="Cambria" w:hAnsi="Cambria" w:cs="Cambria"/>
          <w:sz w:val="20"/>
          <w:szCs w:val="20"/>
          <w:lang w:val="en-US"/>
        </w:rPr>
        <w:t xml:space="preserve">Supervisory Judge of the </w:t>
      </w:r>
      <w:r w:rsidR="00752FED" w:rsidRPr="00CC562A">
        <w:rPr>
          <w:rFonts w:ascii="Cambria" w:eastAsia="Cambria" w:hAnsi="Cambria" w:cs="Cambria"/>
          <w:sz w:val="20"/>
          <w:szCs w:val="20"/>
          <w:lang w:val="en-US"/>
        </w:rPr>
        <w:t>State</w:t>
      </w:r>
      <w:r w:rsidR="148B279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of </w:t>
      </w:r>
      <w:r w:rsidR="148B2797" w:rsidRPr="00CC562A">
        <w:rPr>
          <w:rFonts w:ascii="Cambria" w:eastAsia="Cambria" w:hAnsi="Cambria" w:cs="Cambria"/>
          <w:sz w:val="20"/>
          <w:szCs w:val="20"/>
          <w:lang w:val="en-US"/>
        </w:rPr>
        <w:t>Zacatecas</w:t>
      </w:r>
      <w:r w:rsidRPr="00CC562A">
        <w:rPr>
          <w:rFonts w:ascii="Cambria" w:eastAsia="Cambria" w:hAnsi="Cambria" w:cs="Cambria"/>
          <w:sz w:val="20"/>
          <w:szCs w:val="20"/>
          <w:lang w:val="en-US"/>
        </w:rPr>
        <w:t>.</w:t>
      </w:r>
      <w:r w:rsidR="002E34AC" w:rsidRPr="00CC562A">
        <w:rPr>
          <w:rStyle w:val="FootnoteReference"/>
          <w:rFonts w:ascii="Cambria" w:eastAsia="Cambria" w:hAnsi="Cambria" w:cs="Cambria"/>
          <w:sz w:val="20"/>
          <w:szCs w:val="20"/>
          <w:lang w:val="en-US"/>
        </w:rPr>
        <w:footnoteReference w:id="174"/>
      </w:r>
      <w:r w:rsidR="3DEE3530" w:rsidRPr="00CC562A">
        <w:rPr>
          <w:lang w:val="en-US"/>
        </w:rPr>
        <w:t>￼</w:t>
      </w:r>
      <w:r w:rsidR="148B279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 Consistent with the foregoing, there is </w:t>
      </w:r>
      <w:r w:rsidRPr="00CC562A">
        <w:rPr>
          <w:rFonts w:ascii="Cambria" w:eastAsia="Cambria" w:hAnsi="Cambria" w:cs="Cambria"/>
          <w:b/>
          <w:bCs/>
          <w:sz w:val="20"/>
          <w:szCs w:val="20"/>
          <w:lang w:val="en-US"/>
        </w:rPr>
        <w:t xml:space="preserve">partial compliance </w:t>
      </w:r>
      <w:r w:rsidRPr="00CC562A">
        <w:rPr>
          <w:rFonts w:ascii="Cambria" w:eastAsia="Cambria" w:hAnsi="Cambria" w:cs="Cambria"/>
          <w:sz w:val="20"/>
          <w:szCs w:val="20"/>
          <w:lang w:val="en-US"/>
        </w:rPr>
        <w:t>with the recommendation</w:t>
      </w:r>
      <w:r w:rsidR="00C75F12" w:rsidRPr="00CC562A">
        <w:rPr>
          <w:rFonts w:ascii="Cambria" w:hAnsi="Cambria"/>
          <w:sz w:val="20"/>
          <w:lang w:val="en-US"/>
        </w:rPr>
        <w:t>.</w:t>
      </w:r>
    </w:p>
    <w:p w14:paraId="1B3EFF53"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3A6A0653" w14:textId="4A8CF892" w:rsidR="008F5CC2" w:rsidRPr="00CC562A" w:rsidRDefault="00C60B67"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compliance with this recommendation, the Commission asks the State to implement measures to strengthen the guidelines for anticipating and identifying the specifics and needs of justice operators. Similarly, the Commission considers essential to compliance with this recommendation the implementation of policies </w:t>
      </w:r>
      <w:proofErr w:type="gramStart"/>
      <w:r w:rsidRPr="00CC562A">
        <w:rPr>
          <w:rFonts w:ascii="Cambria" w:eastAsia="Cambria" w:hAnsi="Cambria" w:cs="Cambria"/>
          <w:sz w:val="20"/>
          <w:szCs w:val="20"/>
          <w:lang w:val="en-US"/>
        </w:rPr>
        <w:t xml:space="preserve">on </w:t>
      </w:r>
      <w:r w:rsidR="00C80FE5" w:rsidRPr="00CC562A">
        <w:rPr>
          <w:rFonts w:ascii="Cambria" w:eastAsia="Cambria" w:hAnsi="Cambria" w:cs="Cambria"/>
          <w:sz w:val="20"/>
          <w:szCs w:val="20"/>
          <w:lang w:val="en-US"/>
        </w:rPr>
        <w:t>the subject</w:t>
      </w:r>
      <w:r w:rsidRPr="00CC562A">
        <w:rPr>
          <w:rFonts w:ascii="Cambria" w:eastAsia="Cambria" w:hAnsi="Cambria" w:cs="Cambria"/>
          <w:sz w:val="20"/>
          <w:szCs w:val="20"/>
          <w:lang w:val="en-US"/>
        </w:rPr>
        <w:t xml:space="preserve"> of prevent</w:t>
      </w:r>
      <w:r w:rsidR="00AE2F1D" w:rsidRPr="00CC562A">
        <w:rPr>
          <w:rFonts w:ascii="Cambria" w:eastAsia="Cambria" w:hAnsi="Cambria" w:cs="Cambria"/>
          <w:sz w:val="20"/>
          <w:szCs w:val="20"/>
          <w:lang w:val="en-US"/>
        </w:rPr>
        <w:t>ion</w:t>
      </w:r>
      <w:proofErr w:type="gramEnd"/>
      <w:r w:rsidRPr="00CC562A">
        <w:rPr>
          <w:rFonts w:ascii="Cambria" w:eastAsia="Cambria" w:hAnsi="Cambria" w:cs="Cambria"/>
          <w:sz w:val="20"/>
          <w:szCs w:val="20"/>
          <w:lang w:val="en-US"/>
        </w:rPr>
        <w:t xml:space="preserve"> to avoid situation</w:t>
      </w:r>
      <w:r w:rsidR="0037788D"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of risk to justice operators.</w:t>
      </w:r>
    </w:p>
    <w:p w14:paraId="06D5CCEF"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006260B9" w14:textId="7E08C602" w:rsidR="00C75F12" w:rsidRPr="00CC562A" w:rsidRDefault="00445F3D" w:rsidP="00C75F12">
      <w:pPr>
        <w:numPr>
          <w:ilvl w:val="0"/>
          <w:numId w:val="2"/>
        </w:numPr>
        <w:pBdr>
          <w:top w:val="nil"/>
          <w:left w:val="nil"/>
          <w:bottom w:val="nil"/>
          <w:right w:val="nil"/>
          <w:between w:val="nil"/>
        </w:pBdr>
        <w:spacing w:after="0" w:line="240" w:lineRule="auto"/>
        <w:ind w:left="0" w:firstLine="720"/>
        <w:jc w:val="both"/>
        <w:rPr>
          <w:rFonts w:ascii="Cambria" w:hAnsi="Cambria"/>
          <w:sz w:val="20"/>
          <w:lang w:val="en-US"/>
        </w:rPr>
      </w:pPr>
      <w:r w:rsidRPr="00CC562A">
        <w:rPr>
          <w:rFonts w:ascii="Cambria" w:eastAsia="Cambria" w:hAnsi="Cambria" w:cs="Cambria"/>
          <w:sz w:val="20"/>
          <w:szCs w:val="20"/>
          <w:lang w:val="en-US"/>
        </w:rPr>
        <w:t xml:space="preserve">With regard to the recommendation concerning </w:t>
      </w:r>
      <w:r w:rsidR="74BFED0E" w:rsidRPr="00CC562A">
        <w:rPr>
          <w:rFonts w:ascii="Cambria" w:eastAsia="Cambria" w:hAnsi="Cambria" w:cs="Cambria"/>
          <w:b/>
          <w:bCs/>
          <w:sz w:val="20"/>
          <w:szCs w:val="20"/>
          <w:lang w:val="en-US"/>
        </w:rPr>
        <w:t>implementa</w:t>
      </w:r>
      <w:r w:rsidRPr="00CC562A">
        <w:rPr>
          <w:rFonts w:ascii="Cambria" w:eastAsia="Cambria" w:hAnsi="Cambria" w:cs="Cambria"/>
          <w:b/>
          <w:bCs/>
          <w:sz w:val="20"/>
          <w:szCs w:val="20"/>
          <w:lang w:val="en-US"/>
        </w:rPr>
        <w:t>tion of the General Law on Victims and the functioning of the Executive Committee for Attention to Victims at the federal and state level and concretely analyzing,  addressing and eliminating the barriers that limit effective application of the law</w:t>
      </w:r>
      <w:r w:rsidRPr="00CC562A">
        <w:rPr>
          <w:rFonts w:ascii="Cambria" w:eastAsia="Cambria" w:hAnsi="Cambria" w:cs="Cambria"/>
          <w:sz w:val="20"/>
          <w:szCs w:val="20"/>
          <w:lang w:val="en-US"/>
        </w:rPr>
        <w:t>, the State indicated that, in accordance with the General Law on Victims, one of the purposes of the Executive Commission i</w:t>
      </w:r>
      <w:r w:rsidR="00AE2F1D"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w:t>
      </w:r>
      <w:r w:rsidR="004D30FD" w:rsidRPr="00CC562A">
        <w:rPr>
          <w:rFonts w:ascii="Cambria" w:eastAsia="Cambria" w:hAnsi="Cambria" w:cs="Cambria"/>
          <w:sz w:val="20"/>
          <w:szCs w:val="20"/>
          <w:lang w:val="en-US"/>
        </w:rPr>
        <w:t>the execution and implementation of national policy to assist and support victims at the national level</w:t>
      </w:r>
      <w:r w:rsidR="004449B6" w:rsidRPr="00CC562A">
        <w:rPr>
          <w:rFonts w:ascii="Cambria" w:eastAsia="Cambria" w:hAnsi="Cambria" w:cs="Cambria"/>
          <w:sz w:val="20"/>
          <w:szCs w:val="20"/>
          <w:lang w:val="en-US"/>
        </w:rPr>
        <w:t>. O</w:t>
      </w:r>
      <w:r w:rsidR="00561964" w:rsidRPr="00CC562A">
        <w:rPr>
          <w:rFonts w:ascii="Cambria" w:eastAsia="Cambria" w:hAnsi="Cambria" w:cs="Cambria"/>
          <w:sz w:val="20"/>
          <w:szCs w:val="20"/>
          <w:lang w:val="en-US"/>
        </w:rPr>
        <w:t xml:space="preserve">ne of the agencies used to implement such actions is the National System for Attention to Victims </w:t>
      </w:r>
      <w:r w:rsidR="00C75F12" w:rsidRPr="00CC562A">
        <w:rPr>
          <w:rFonts w:ascii="Cambria" w:hAnsi="Cambria"/>
          <w:sz w:val="20"/>
          <w:lang w:val="en-US"/>
        </w:rPr>
        <w:t xml:space="preserve">(SNAV), </w:t>
      </w:r>
      <w:r w:rsidR="00561964" w:rsidRPr="00CC562A">
        <w:rPr>
          <w:rFonts w:ascii="Cambria" w:hAnsi="Cambria"/>
          <w:sz w:val="20"/>
          <w:lang w:val="en-US"/>
        </w:rPr>
        <w:t>a coordination and public policies agency</w:t>
      </w:r>
      <w:r w:rsidR="3855FC6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which should be the senior public policy coordinati</w:t>
      </w:r>
      <w:r w:rsidR="00AE2F1D" w:rsidRPr="00CC562A">
        <w:rPr>
          <w:rFonts w:ascii="Cambria" w:eastAsia="Cambria" w:hAnsi="Cambria" w:cs="Cambria"/>
          <w:sz w:val="20"/>
          <w:szCs w:val="20"/>
          <w:lang w:val="en-US"/>
        </w:rPr>
        <w:t>ng</w:t>
      </w:r>
      <w:r w:rsidRPr="00CC562A">
        <w:rPr>
          <w:rFonts w:ascii="Cambria" w:eastAsia="Cambria" w:hAnsi="Cambria" w:cs="Cambria"/>
          <w:sz w:val="20"/>
          <w:szCs w:val="20"/>
          <w:lang w:val="en-US"/>
        </w:rPr>
        <w:t xml:space="preserve"> and formulati</w:t>
      </w:r>
      <w:r w:rsidR="00AE2F1D" w:rsidRPr="00CC562A">
        <w:rPr>
          <w:rFonts w:ascii="Cambria" w:eastAsia="Cambria" w:hAnsi="Cambria" w:cs="Cambria"/>
          <w:sz w:val="20"/>
          <w:szCs w:val="20"/>
          <w:lang w:val="en-US"/>
        </w:rPr>
        <w:t>ng</w:t>
      </w:r>
      <w:r w:rsidRPr="00CC562A">
        <w:rPr>
          <w:rFonts w:ascii="Cambria" w:eastAsia="Cambria" w:hAnsi="Cambria" w:cs="Cambria"/>
          <w:sz w:val="20"/>
          <w:szCs w:val="20"/>
          <w:lang w:val="en-US"/>
        </w:rPr>
        <w:t xml:space="preserve"> agency</w:t>
      </w:r>
      <w:r w:rsidR="00AE2F1D"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w:t>
      </w:r>
      <w:r w:rsidR="00717803" w:rsidRPr="00CC562A">
        <w:rPr>
          <w:rFonts w:ascii="Cambria" w:eastAsia="Cambria" w:hAnsi="Cambria" w:cs="Cambria"/>
          <w:sz w:val="20"/>
          <w:szCs w:val="20"/>
          <w:lang w:val="en-US"/>
        </w:rPr>
        <w:t>the purpose of which is to propose, establish, and supervise guidelines, services, plans, programs, projects, institutional and inter-institutional actions, and other public policies implemented for the protection, help, assistance, access to just</w:t>
      </w:r>
      <w:r w:rsidR="00AE2F1D" w:rsidRPr="00CC562A">
        <w:rPr>
          <w:rFonts w:ascii="Cambria" w:eastAsia="Cambria" w:hAnsi="Cambria" w:cs="Cambria"/>
          <w:sz w:val="20"/>
          <w:szCs w:val="20"/>
          <w:lang w:val="en-US"/>
        </w:rPr>
        <w:t>ice</w:t>
      </w:r>
      <w:r w:rsidR="00717803" w:rsidRPr="00CC562A">
        <w:rPr>
          <w:rFonts w:ascii="Cambria" w:eastAsia="Cambria" w:hAnsi="Cambria" w:cs="Cambria"/>
          <w:sz w:val="20"/>
          <w:szCs w:val="20"/>
          <w:lang w:val="en-US"/>
        </w:rPr>
        <w:t>, to truth and comprehensive reparation of the victims at the various levels of government. That National System</w:t>
      </w:r>
      <w:r w:rsidR="00C75F12" w:rsidRPr="00CC562A">
        <w:rPr>
          <w:rFonts w:ascii="Cambria" w:eastAsia="Cambria" w:hAnsi="Cambria" w:cs="Cambria"/>
          <w:sz w:val="20"/>
          <w:szCs w:val="20"/>
          <w:lang w:val="en-US"/>
        </w:rPr>
        <w:t xml:space="preserve"> </w:t>
      </w:r>
      <w:r w:rsidR="00561964" w:rsidRPr="00CC562A">
        <w:rPr>
          <w:rFonts w:ascii="Cambria" w:eastAsia="Cambria" w:hAnsi="Cambria" w:cs="Cambria"/>
          <w:sz w:val="20"/>
          <w:szCs w:val="20"/>
          <w:lang w:val="en-US"/>
        </w:rPr>
        <w:t xml:space="preserve">seeks to be an operational entity based on working groups in which all members participate for the purpose of seeking operational actions that make it </w:t>
      </w:r>
      <w:r w:rsidR="001219F6" w:rsidRPr="00CC562A">
        <w:rPr>
          <w:rFonts w:ascii="Cambria" w:eastAsia="Cambria" w:hAnsi="Cambria" w:cs="Cambria"/>
          <w:sz w:val="20"/>
          <w:szCs w:val="20"/>
          <w:lang w:val="en-US"/>
        </w:rPr>
        <w:t>possible</w:t>
      </w:r>
      <w:r w:rsidR="00561964" w:rsidRPr="00CC562A">
        <w:rPr>
          <w:rFonts w:ascii="Cambria" w:eastAsia="Cambria" w:hAnsi="Cambria" w:cs="Cambria"/>
          <w:sz w:val="20"/>
          <w:szCs w:val="20"/>
          <w:lang w:val="en-US"/>
        </w:rPr>
        <w:t xml:space="preserve"> to provide immediat</w:t>
      </w:r>
      <w:r w:rsidR="001219F6" w:rsidRPr="00CC562A">
        <w:rPr>
          <w:rFonts w:ascii="Cambria" w:eastAsia="Cambria" w:hAnsi="Cambria" w:cs="Cambria"/>
          <w:sz w:val="20"/>
          <w:szCs w:val="20"/>
          <w:lang w:val="en-US"/>
        </w:rPr>
        <w:t>e</w:t>
      </w:r>
      <w:r w:rsidR="00561964" w:rsidRPr="00CC562A">
        <w:rPr>
          <w:rFonts w:ascii="Cambria" w:eastAsia="Cambria" w:hAnsi="Cambria" w:cs="Cambria"/>
          <w:sz w:val="20"/>
          <w:szCs w:val="20"/>
          <w:lang w:val="en-US"/>
        </w:rPr>
        <w:t xml:space="preserve"> actions to meet the needs of the victims, primarily so that the institutions are identified as support networks for the victims </w:t>
      </w:r>
      <w:r w:rsidR="004449B6" w:rsidRPr="00CC562A">
        <w:rPr>
          <w:rFonts w:ascii="Cambria" w:eastAsia="Cambria" w:hAnsi="Cambria" w:cs="Cambria"/>
          <w:sz w:val="20"/>
          <w:szCs w:val="20"/>
          <w:lang w:val="en-US"/>
        </w:rPr>
        <w:t>and</w:t>
      </w:r>
      <w:r w:rsidR="00561964" w:rsidRPr="00CC562A">
        <w:rPr>
          <w:rFonts w:ascii="Cambria" w:eastAsia="Cambria" w:hAnsi="Cambria" w:cs="Cambria"/>
          <w:sz w:val="20"/>
          <w:szCs w:val="20"/>
          <w:lang w:val="en-US"/>
        </w:rPr>
        <w:t xml:space="preserve"> allow them to make the transition from victimization to restitution, </w:t>
      </w:r>
      <w:r w:rsidR="004449B6" w:rsidRPr="00CC562A">
        <w:rPr>
          <w:rFonts w:ascii="Cambria" w:eastAsia="Cambria" w:hAnsi="Cambria" w:cs="Cambria"/>
          <w:sz w:val="20"/>
          <w:szCs w:val="20"/>
          <w:lang w:val="en-US"/>
        </w:rPr>
        <w:t xml:space="preserve">and </w:t>
      </w:r>
      <w:r w:rsidR="00561964" w:rsidRPr="00CC562A">
        <w:rPr>
          <w:rFonts w:ascii="Cambria" w:eastAsia="Cambria" w:hAnsi="Cambria" w:cs="Cambria"/>
          <w:sz w:val="20"/>
          <w:szCs w:val="20"/>
          <w:lang w:val="en-US"/>
        </w:rPr>
        <w:t>reconstruction, or construction of a life plan</w:t>
      </w:r>
      <w:r w:rsidR="00C75F12" w:rsidRPr="00CC562A">
        <w:rPr>
          <w:rFonts w:ascii="Cambria" w:eastAsia="Cambria" w:hAnsi="Cambria" w:cs="Cambria"/>
          <w:sz w:val="20"/>
          <w:szCs w:val="20"/>
          <w:lang w:val="en-US"/>
        </w:rPr>
        <w:t xml:space="preserve">.  </w:t>
      </w:r>
      <w:r w:rsidR="00561964" w:rsidRPr="00CC562A">
        <w:rPr>
          <w:rFonts w:ascii="Cambria" w:eastAsia="Cambria" w:hAnsi="Cambria" w:cs="Cambria"/>
          <w:sz w:val="20"/>
          <w:szCs w:val="20"/>
          <w:lang w:val="en-US"/>
        </w:rPr>
        <w:t>It also pointed out that the Comprehensive Assistance Centers</w:t>
      </w:r>
      <w:r w:rsidR="00C75F12" w:rsidRPr="00CC562A">
        <w:rPr>
          <w:rFonts w:ascii="Cambria" w:eastAsia="Cambria" w:hAnsi="Cambria" w:cs="Cambria"/>
          <w:sz w:val="20"/>
          <w:szCs w:val="20"/>
          <w:lang w:val="en-US"/>
        </w:rPr>
        <w:t xml:space="preserve"> (CAI</w:t>
      </w:r>
      <w:r w:rsidR="0099127F" w:rsidRPr="00CC562A">
        <w:rPr>
          <w:rFonts w:ascii="Cambria" w:eastAsia="Cambria" w:hAnsi="Cambria" w:cs="Cambria"/>
          <w:sz w:val="20"/>
          <w:szCs w:val="20"/>
          <w:lang w:val="en-US"/>
        </w:rPr>
        <w:t>s)</w:t>
      </w:r>
      <w:r w:rsidR="00C75F12" w:rsidRPr="00CC562A">
        <w:rPr>
          <w:rFonts w:ascii="Cambria" w:eastAsia="Cambria" w:hAnsi="Cambria" w:cs="Cambria"/>
          <w:sz w:val="20"/>
          <w:szCs w:val="20"/>
          <w:lang w:val="en-US"/>
        </w:rPr>
        <w:t xml:space="preserve"> </w:t>
      </w:r>
      <w:r w:rsidR="00561964" w:rsidRPr="00CC562A">
        <w:rPr>
          <w:rFonts w:ascii="Cambria" w:eastAsia="Cambria" w:hAnsi="Cambria" w:cs="Cambria"/>
          <w:sz w:val="20"/>
          <w:szCs w:val="20"/>
          <w:lang w:val="en-US"/>
        </w:rPr>
        <w:t>offices of the</w:t>
      </w:r>
      <w:r w:rsidR="00C75F12" w:rsidRPr="00CC562A">
        <w:rPr>
          <w:rFonts w:ascii="Cambria" w:eastAsia="Cambria" w:hAnsi="Cambria" w:cs="Cambria"/>
          <w:sz w:val="20"/>
          <w:szCs w:val="20"/>
          <w:lang w:val="en-US"/>
        </w:rPr>
        <w:t xml:space="preserve"> CEAV, </w:t>
      </w:r>
      <w:r w:rsidR="00561964" w:rsidRPr="00CC562A">
        <w:rPr>
          <w:rFonts w:ascii="Cambria" w:eastAsia="Cambria" w:hAnsi="Cambria" w:cs="Cambria"/>
          <w:sz w:val="20"/>
          <w:szCs w:val="20"/>
          <w:lang w:val="en-US"/>
        </w:rPr>
        <w:t xml:space="preserve">in each of the country’s entities </w:t>
      </w:r>
      <w:r w:rsidR="001219F6" w:rsidRPr="00CC562A">
        <w:rPr>
          <w:rFonts w:ascii="Cambria" w:eastAsia="Cambria" w:hAnsi="Cambria" w:cs="Cambria"/>
          <w:sz w:val="20"/>
          <w:szCs w:val="20"/>
          <w:lang w:val="en-US"/>
        </w:rPr>
        <w:t>serve as direct communication links to connect the victims with the services they require due to their being victimized.</w:t>
      </w:r>
      <w:r w:rsidR="00C75F12" w:rsidRPr="00CC562A">
        <w:rPr>
          <w:rStyle w:val="FootnoteReference"/>
          <w:rFonts w:ascii="Cambria" w:hAnsi="Cambria"/>
          <w:sz w:val="20"/>
          <w:lang w:val="en-US"/>
        </w:rPr>
        <w:footnoteReference w:id="175"/>
      </w:r>
    </w:p>
    <w:p w14:paraId="5580D95A" w14:textId="59254736" w:rsidR="00DB71FA" w:rsidRPr="00CC562A" w:rsidRDefault="00DB71FA" w:rsidP="00C75F12">
      <w:pPr>
        <w:pBdr>
          <w:top w:val="nil"/>
          <w:left w:val="nil"/>
          <w:bottom w:val="nil"/>
          <w:right w:val="nil"/>
          <w:between w:val="nil"/>
        </w:pBdr>
        <w:spacing w:after="0" w:line="240" w:lineRule="auto"/>
        <w:ind w:left="1440"/>
        <w:jc w:val="both"/>
        <w:rPr>
          <w:rFonts w:ascii="Cambria" w:eastAsia="Cambria" w:hAnsi="Cambria" w:cs="Cambria"/>
          <w:sz w:val="20"/>
          <w:szCs w:val="20"/>
          <w:lang w:val="en-US"/>
        </w:rPr>
      </w:pPr>
    </w:p>
    <w:p w14:paraId="447B4968" w14:textId="6172215E" w:rsidR="00DA4A6D" w:rsidRPr="00CC562A" w:rsidRDefault="001219F6" w:rsidP="004C5B48">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hAnsi="Cambria"/>
          <w:sz w:val="20"/>
          <w:lang w:val="en-US"/>
        </w:rPr>
        <w:t>Along these lines, the State indicated that the establishment of the</w:t>
      </w:r>
      <w:r w:rsidR="00C75F12" w:rsidRPr="00CC562A">
        <w:rPr>
          <w:rFonts w:ascii="Cambria" w:hAnsi="Cambria"/>
          <w:sz w:val="20"/>
          <w:lang w:val="en-US"/>
        </w:rPr>
        <w:t xml:space="preserve"> SNAV</w:t>
      </w:r>
      <w:r w:rsidR="00C75F1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involves coordination work with the authorities at all levels</w:t>
      </w:r>
      <w:r w:rsidR="00C75F12" w:rsidRPr="00CC562A">
        <w:rPr>
          <w:rFonts w:ascii="Cambria" w:eastAsia="Cambria" w:hAnsi="Cambria" w:cs="Cambria"/>
          <w:sz w:val="20"/>
          <w:szCs w:val="20"/>
          <w:lang w:val="en-US"/>
        </w:rPr>
        <w:t xml:space="preserve">, </w:t>
      </w:r>
      <w:r w:rsidRPr="00CC562A">
        <w:rPr>
          <w:rFonts w:ascii="Cambria" w:hAnsi="Cambria"/>
          <w:sz w:val="20"/>
          <w:lang w:val="en-US"/>
        </w:rPr>
        <w:t xml:space="preserve">so that the </w:t>
      </w:r>
      <w:r w:rsidR="00C75F12" w:rsidRPr="00CC562A">
        <w:rPr>
          <w:rFonts w:ascii="Cambria" w:hAnsi="Cambria"/>
          <w:sz w:val="20"/>
          <w:lang w:val="en-US"/>
        </w:rPr>
        <w:t>CEAV –</w:t>
      </w:r>
      <w:r w:rsidRPr="00CC562A">
        <w:rPr>
          <w:rFonts w:ascii="Cambria" w:hAnsi="Cambria"/>
          <w:sz w:val="20"/>
          <w:lang w:val="en-US"/>
        </w:rPr>
        <w:t xml:space="preserve"> as the operational body of the</w:t>
      </w:r>
      <w:r w:rsidR="00C75F12" w:rsidRPr="00CC562A">
        <w:rPr>
          <w:rFonts w:ascii="Cambria" w:hAnsi="Cambria"/>
          <w:sz w:val="20"/>
          <w:lang w:val="en-US"/>
        </w:rPr>
        <w:t xml:space="preserve"> SNAV</w:t>
      </w:r>
      <w:r w:rsidR="4C01B59D" w:rsidRPr="00CC562A">
        <w:rPr>
          <w:rFonts w:ascii="Cambria" w:eastAsia="Cambria" w:hAnsi="Cambria" w:cs="Cambria"/>
          <w:sz w:val="20"/>
          <w:szCs w:val="20"/>
          <w:lang w:val="en-US"/>
        </w:rPr>
        <w:t>–</w:t>
      </w:r>
      <w:r w:rsidR="00717803" w:rsidRPr="00CC562A">
        <w:rPr>
          <w:rFonts w:ascii="Cambria" w:eastAsia="Cambria" w:hAnsi="Cambria" w:cs="Cambria"/>
          <w:sz w:val="20"/>
          <w:szCs w:val="20"/>
          <w:lang w:val="en-US"/>
        </w:rPr>
        <w:t xml:space="preserve"> held virtual meeting</w:t>
      </w:r>
      <w:r w:rsidR="00AE2F1D" w:rsidRPr="00CC562A">
        <w:rPr>
          <w:rFonts w:ascii="Cambria" w:eastAsia="Cambria" w:hAnsi="Cambria" w:cs="Cambria"/>
          <w:sz w:val="20"/>
          <w:szCs w:val="20"/>
          <w:lang w:val="en-US"/>
        </w:rPr>
        <w:t>s</w:t>
      </w:r>
      <w:r w:rsidR="00717803" w:rsidRPr="00CC562A">
        <w:rPr>
          <w:rFonts w:ascii="Cambria" w:eastAsia="Cambria" w:hAnsi="Cambria" w:cs="Cambria"/>
          <w:sz w:val="20"/>
          <w:szCs w:val="20"/>
          <w:lang w:val="en-US"/>
        </w:rPr>
        <w:t xml:space="preserve"> with the agencies that </w:t>
      </w:r>
      <w:r w:rsidR="00CA3647" w:rsidRPr="00CC562A">
        <w:rPr>
          <w:rFonts w:ascii="Cambria" w:eastAsia="Cambria" w:hAnsi="Cambria" w:cs="Cambria"/>
          <w:sz w:val="20"/>
          <w:szCs w:val="20"/>
          <w:lang w:val="en-US"/>
        </w:rPr>
        <w:t>constitute the plenary of that system to submit proposals on amending the Rules of Operation and functions thereof, as well as the 2022 Working Agenda, so that they will in due time be approved by the SNAV plenary. In</w:t>
      </w:r>
      <w:r w:rsidR="00F108AA" w:rsidRPr="00CC562A">
        <w:rPr>
          <w:rFonts w:ascii="Cambria" w:eastAsia="Cambria" w:hAnsi="Cambria" w:cs="Cambria"/>
          <w:sz w:val="20"/>
          <w:szCs w:val="20"/>
          <w:lang w:val="en-US"/>
        </w:rPr>
        <w:t xml:space="preserve"> addition,</w:t>
      </w:r>
      <w:r w:rsidR="3855FC6D" w:rsidRPr="00CC562A">
        <w:rPr>
          <w:rFonts w:ascii="Cambria" w:eastAsia="Cambria" w:hAnsi="Cambria" w:cs="Cambria"/>
          <w:sz w:val="20"/>
          <w:szCs w:val="20"/>
          <w:lang w:val="en-US"/>
        </w:rPr>
        <w:t xml:space="preserve"> </w:t>
      </w:r>
      <w:r w:rsidR="00CA3647" w:rsidRPr="00CC562A">
        <w:rPr>
          <w:rFonts w:ascii="Cambria" w:eastAsia="Cambria" w:hAnsi="Cambria" w:cs="Cambria"/>
          <w:sz w:val="20"/>
          <w:szCs w:val="20"/>
          <w:lang w:val="en-US"/>
        </w:rPr>
        <w:t>regarding the functions and operation of the State Victim Assistance Commission</w:t>
      </w:r>
      <w:r w:rsidR="00AE2F1D" w:rsidRPr="00CC562A">
        <w:rPr>
          <w:rFonts w:ascii="Cambria" w:eastAsia="Cambria" w:hAnsi="Cambria" w:cs="Cambria"/>
          <w:sz w:val="20"/>
          <w:szCs w:val="20"/>
          <w:lang w:val="en-US"/>
        </w:rPr>
        <w:t>s</w:t>
      </w:r>
      <w:r w:rsidR="00CA3647" w:rsidRPr="00CC562A">
        <w:rPr>
          <w:rFonts w:ascii="Cambria" w:eastAsia="Cambria" w:hAnsi="Cambria" w:cs="Cambria"/>
          <w:sz w:val="20"/>
          <w:szCs w:val="20"/>
          <w:lang w:val="en-US"/>
        </w:rPr>
        <w:t xml:space="preserve">, which are the agencies responsible for assisting the victims of ordinary crimes and human rights violations committed by state authorities, it is reported that of the 32 </w:t>
      </w:r>
      <w:r w:rsidR="00365543" w:rsidRPr="00CC562A">
        <w:rPr>
          <w:rFonts w:ascii="Cambria" w:eastAsia="Cambria" w:hAnsi="Cambria" w:cs="Cambria"/>
          <w:sz w:val="20"/>
          <w:szCs w:val="20"/>
          <w:lang w:val="en-US"/>
        </w:rPr>
        <w:t>states</w:t>
      </w:r>
      <w:r w:rsidR="00CA3647" w:rsidRPr="00CC562A">
        <w:rPr>
          <w:rFonts w:ascii="Cambria" w:eastAsia="Cambria" w:hAnsi="Cambria" w:cs="Cambria"/>
          <w:sz w:val="20"/>
          <w:szCs w:val="20"/>
          <w:lang w:val="en-US"/>
        </w:rPr>
        <w:t>, a total of 31 have harmonized their laws with the General Law on Victims.</w:t>
      </w:r>
      <w:r w:rsidR="3855FC6D"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3855FC6D" w:rsidRPr="00CC562A">
        <w:rPr>
          <w:rFonts w:ascii="Cambria" w:eastAsia="Cambria" w:hAnsi="Cambria" w:cs="Cambria"/>
          <w:sz w:val="20"/>
          <w:szCs w:val="20"/>
          <w:lang w:val="en-US"/>
        </w:rPr>
        <w:t xml:space="preserve"> </w:t>
      </w:r>
      <w:r w:rsidR="00CA3647" w:rsidRPr="00CC562A">
        <w:rPr>
          <w:rFonts w:ascii="Cambria" w:eastAsia="Cambria" w:hAnsi="Cambria" w:cs="Cambria"/>
          <w:sz w:val="20"/>
          <w:szCs w:val="20"/>
          <w:lang w:val="en-US"/>
        </w:rPr>
        <w:t>only</w:t>
      </w:r>
      <w:r w:rsidR="3855FC6D" w:rsidRPr="00CC562A">
        <w:rPr>
          <w:rFonts w:ascii="Cambria" w:eastAsia="Cambria" w:hAnsi="Cambria" w:cs="Cambria"/>
          <w:sz w:val="20"/>
          <w:szCs w:val="20"/>
          <w:lang w:val="en-US"/>
        </w:rPr>
        <w:t xml:space="preserve"> 29 </w:t>
      </w:r>
      <w:r w:rsidR="00CA3647" w:rsidRPr="00CC562A">
        <w:rPr>
          <w:rFonts w:ascii="Cambria" w:eastAsia="Cambria" w:hAnsi="Cambria" w:cs="Cambria"/>
          <w:sz w:val="20"/>
          <w:szCs w:val="20"/>
          <w:lang w:val="en-US"/>
        </w:rPr>
        <w:t>have operational State Victim Assistance Commissions</w:t>
      </w:r>
      <w:r w:rsidR="3855FC6D" w:rsidRPr="00CC562A">
        <w:rPr>
          <w:rFonts w:ascii="Cambria" w:eastAsia="Cambria" w:hAnsi="Cambria" w:cs="Cambria"/>
          <w:sz w:val="20"/>
          <w:szCs w:val="20"/>
          <w:lang w:val="en-US"/>
        </w:rPr>
        <w:t xml:space="preserve">. </w:t>
      </w:r>
      <w:r w:rsidR="00CA3647" w:rsidRPr="00CC562A">
        <w:rPr>
          <w:rFonts w:ascii="Cambria" w:eastAsia="Cambria" w:hAnsi="Cambria" w:cs="Cambria"/>
          <w:sz w:val="20"/>
          <w:szCs w:val="20"/>
          <w:lang w:val="en-US"/>
        </w:rPr>
        <w:t xml:space="preserve">In the specific cases of the states of </w:t>
      </w:r>
      <w:r w:rsidR="3855FC6D" w:rsidRPr="00CC562A">
        <w:rPr>
          <w:rFonts w:ascii="Cambria" w:eastAsia="Cambria" w:hAnsi="Cambria" w:cs="Cambria"/>
          <w:sz w:val="20"/>
          <w:szCs w:val="20"/>
          <w:lang w:val="en-US"/>
        </w:rPr>
        <w:t xml:space="preserve">Oaxaca </w:t>
      </w:r>
      <w:r w:rsidR="00CA3647" w:rsidRPr="00CC562A">
        <w:rPr>
          <w:rFonts w:ascii="Cambria" w:eastAsia="Cambria" w:hAnsi="Cambria" w:cs="Cambria"/>
          <w:sz w:val="20"/>
          <w:szCs w:val="20"/>
          <w:lang w:val="en-US"/>
        </w:rPr>
        <w:t>and</w:t>
      </w:r>
      <w:r w:rsidR="3855FC6D" w:rsidRPr="00CC562A">
        <w:rPr>
          <w:rFonts w:ascii="Cambria" w:eastAsia="Cambria" w:hAnsi="Cambria" w:cs="Cambria"/>
          <w:sz w:val="20"/>
          <w:szCs w:val="20"/>
          <w:lang w:val="en-US"/>
        </w:rPr>
        <w:t xml:space="preserve"> Campeche, </w:t>
      </w:r>
      <w:r w:rsidR="00CA3647" w:rsidRPr="00CC562A">
        <w:rPr>
          <w:rFonts w:ascii="Cambria" w:eastAsia="Cambria" w:hAnsi="Cambria" w:cs="Cambria"/>
          <w:sz w:val="20"/>
          <w:szCs w:val="20"/>
          <w:lang w:val="en-US"/>
        </w:rPr>
        <w:t>although they do not have a State Commission, they do have a law. Only the State of</w:t>
      </w:r>
      <w:r w:rsidR="3855FC6D" w:rsidRPr="00CC562A">
        <w:rPr>
          <w:rFonts w:ascii="Cambria" w:eastAsia="Cambria" w:hAnsi="Cambria" w:cs="Cambria"/>
          <w:sz w:val="20"/>
          <w:szCs w:val="20"/>
          <w:lang w:val="en-US"/>
        </w:rPr>
        <w:t xml:space="preserve"> Hidalgo</w:t>
      </w:r>
      <w:r w:rsidR="00CA3647" w:rsidRPr="00CC562A">
        <w:rPr>
          <w:rFonts w:ascii="Cambria" w:eastAsia="Cambria" w:hAnsi="Cambria" w:cs="Cambria"/>
          <w:sz w:val="20"/>
          <w:szCs w:val="20"/>
          <w:lang w:val="en-US"/>
        </w:rPr>
        <w:t xml:space="preserve"> has neither a law nor a state commission</w:t>
      </w:r>
      <w:r w:rsidR="3855FC6D" w:rsidRPr="00CC562A">
        <w:rPr>
          <w:rFonts w:ascii="Cambria" w:eastAsia="Cambria" w:hAnsi="Cambria" w:cs="Cambria"/>
          <w:sz w:val="20"/>
          <w:szCs w:val="20"/>
          <w:lang w:val="en-US"/>
        </w:rPr>
        <w:t>.</w:t>
      </w:r>
      <w:r w:rsidR="00C75F12" w:rsidRPr="00CC562A">
        <w:rPr>
          <w:rFonts w:ascii="Cambria" w:hAnsi="Cambria"/>
          <w:sz w:val="20"/>
          <w:lang w:val="en-US"/>
        </w:rPr>
        <w:t xml:space="preserve"> </w:t>
      </w:r>
      <w:r w:rsidR="009C2617" w:rsidRPr="00CC562A">
        <w:rPr>
          <w:rFonts w:ascii="Cambria" w:hAnsi="Cambria"/>
          <w:sz w:val="20"/>
          <w:lang w:val="en-US"/>
        </w:rPr>
        <w:t xml:space="preserve">In the specific cases of the states of </w:t>
      </w:r>
      <w:r w:rsidR="00C75F12" w:rsidRPr="00CC562A">
        <w:rPr>
          <w:rFonts w:ascii="Cambria" w:hAnsi="Cambria"/>
          <w:sz w:val="20"/>
          <w:lang w:val="en-US"/>
        </w:rPr>
        <w:t xml:space="preserve">Oaxaca </w:t>
      </w:r>
      <w:r w:rsidR="009C2617" w:rsidRPr="00CC562A">
        <w:rPr>
          <w:rFonts w:ascii="Cambria" w:hAnsi="Cambria"/>
          <w:sz w:val="20"/>
          <w:lang w:val="en-US"/>
        </w:rPr>
        <w:t>and</w:t>
      </w:r>
      <w:r w:rsidR="00C75F12" w:rsidRPr="00CC562A">
        <w:rPr>
          <w:rFonts w:ascii="Cambria" w:hAnsi="Cambria"/>
          <w:sz w:val="20"/>
          <w:lang w:val="en-US"/>
        </w:rPr>
        <w:t xml:space="preserve"> Campeche, </w:t>
      </w:r>
      <w:r w:rsidR="009C2617" w:rsidRPr="00CC562A">
        <w:rPr>
          <w:rFonts w:ascii="Cambria" w:hAnsi="Cambria"/>
          <w:sz w:val="20"/>
          <w:lang w:val="en-US"/>
        </w:rPr>
        <w:t>although they do not have a State Commission, they do have a law.</w:t>
      </w:r>
    </w:p>
    <w:p w14:paraId="248CAD20" w14:textId="77777777" w:rsidR="00DB71FA" w:rsidRPr="00CC562A" w:rsidRDefault="00DB71FA" w:rsidP="004C5B48">
      <w:pPr>
        <w:spacing w:after="0" w:line="240" w:lineRule="auto"/>
        <w:ind w:left="720"/>
        <w:jc w:val="both"/>
        <w:rPr>
          <w:rFonts w:ascii="Cambria" w:eastAsia="Cambria" w:hAnsi="Cambria" w:cs="Cambria"/>
          <w:sz w:val="20"/>
          <w:szCs w:val="20"/>
          <w:lang w:val="en-US"/>
        </w:rPr>
      </w:pPr>
    </w:p>
    <w:p w14:paraId="36D96FD5" w14:textId="3660E3F8" w:rsidR="00977EDC" w:rsidRPr="00CC562A" w:rsidRDefault="00752FED" w:rsidP="00977EDC">
      <w:pPr>
        <w:numPr>
          <w:ilvl w:val="0"/>
          <w:numId w:val="2"/>
        </w:numPr>
        <w:spacing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7DF8A966"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00CA3647" w:rsidRPr="00CC562A">
        <w:rPr>
          <w:rFonts w:ascii="Cambria" w:eastAsia="Cambria" w:hAnsi="Cambria" w:cs="Cambria"/>
          <w:sz w:val="20"/>
          <w:szCs w:val="20"/>
          <w:lang w:val="en-US"/>
        </w:rPr>
        <w:t xml:space="preserve"> the functions and powers of the </w:t>
      </w:r>
      <w:r w:rsidR="00C75F12" w:rsidRPr="00CC562A">
        <w:rPr>
          <w:rFonts w:ascii="Cambria" w:hAnsi="Cambria"/>
          <w:sz w:val="20"/>
          <w:lang w:val="en-US"/>
        </w:rPr>
        <w:t>CA</w:t>
      </w:r>
      <w:r w:rsidR="0099127F" w:rsidRPr="00CC562A">
        <w:rPr>
          <w:rFonts w:ascii="Cambria" w:hAnsi="Cambria"/>
          <w:sz w:val="20"/>
          <w:lang w:val="en-US"/>
        </w:rPr>
        <w:t>I</w:t>
      </w:r>
      <w:r w:rsidR="00C75F12" w:rsidRPr="00CC562A">
        <w:rPr>
          <w:rFonts w:ascii="Cambria" w:hAnsi="Cambria"/>
          <w:sz w:val="20"/>
          <w:lang w:val="en-US"/>
        </w:rPr>
        <w:t xml:space="preserve">s </w:t>
      </w:r>
      <w:r w:rsidR="00CA3647" w:rsidRPr="00CC562A">
        <w:rPr>
          <w:rFonts w:ascii="Cambria" w:eastAsia="Cambria" w:hAnsi="Cambria" w:cs="Cambria"/>
          <w:sz w:val="20"/>
          <w:szCs w:val="20"/>
          <w:lang w:val="en-US"/>
        </w:rPr>
        <w:t>ensure the implementation of the General Law on Victims and the functions of the</w:t>
      </w:r>
      <w:r w:rsidR="3855FC6D" w:rsidRPr="00CC562A">
        <w:rPr>
          <w:rFonts w:ascii="Cambria" w:eastAsia="Cambria" w:hAnsi="Cambria" w:cs="Cambria"/>
          <w:sz w:val="20"/>
          <w:szCs w:val="20"/>
          <w:lang w:val="en-US"/>
        </w:rPr>
        <w:t xml:space="preserve"> CEAV a</w:t>
      </w:r>
      <w:r w:rsidR="00CA3647" w:rsidRPr="00CC562A">
        <w:rPr>
          <w:rFonts w:ascii="Cambria" w:eastAsia="Cambria" w:hAnsi="Cambria" w:cs="Cambria"/>
          <w:sz w:val="20"/>
          <w:szCs w:val="20"/>
          <w:lang w:val="en-US"/>
        </w:rPr>
        <w:t xml:space="preserve">t the federal and state level by providing multidisciplinary assistance services to the victims to address legal, medical, psychological, and social work </w:t>
      </w:r>
      <w:r w:rsidR="00ED2900" w:rsidRPr="00CC562A">
        <w:rPr>
          <w:rFonts w:ascii="Cambria" w:eastAsia="Cambria" w:hAnsi="Cambria" w:cs="Cambria"/>
          <w:sz w:val="20"/>
          <w:szCs w:val="20"/>
          <w:lang w:val="en-US"/>
        </w:rPr>
        <w:t>needs. In addition</w:t>
      </w:r>
      <w:r w:rsidR="3855FC6D" w:rsidRPr="00CC562A">
        <w:rPr>
          <w:rFonts w:ascii="Cambria" w:eastAsia="Cambria" w:hAnsi="Cambria" w:cs="Cambria"/>
          <w:sz w:val="20"/>
          <w:szCs w:val="20"/>
          <w:lang w:val="en-US"/>
        </w:rPr>
        <w:t xml:space="preserve">, </w:t>
      </w:r>
      <w:r w:rsidR="00ED2900" w:rsidRPr="00CC562A">
        <w:rPr>
          <w:rFonts w:ascii="Cambria" w:eastAsia="Cambria" w:hAnsi="Cambria" w:cs="Cambria"/>
          <w:sz w:val="20"/>
          <w:szCs w:val="20"/>
          <w:lang w:val="en-US"/>
        </w:rPr>
        <w:t>procedures and link</w:t>
      </w:r>
      <w:r w:rsidR="00AE2F1D" w:rsidRPr="00CC562A">
        <w:rPr>
          <w:rFonts w:ascii="Cambria" w:eastAsia="Cambria" w:hAnsi="Cambria" w:cs="Cambria"/>
          <w:sz w:val="20"/>
          <w:szCs w:val="20"/>
          <w:lang w:val="en-US"/>
        </w:rPr>
        <w:t>s</w:t>
      </w:r>
      <w:r w:rsidR="00ED2900" w:rsidRPr="00CC562A">
        <w:rPr>
          <w:rFonts w:ascii="Cambria" w:eastAsia="Cambria" w:hAnsi="Cambria" w:cs="Cambria"/>
          <w:sz w:val="20"/>
          <w:szCs w:val="20"/>
          <w:lang w:val="en-US"/>
        </w:rPr>
        <w:t xml:space="preserve"> are developed officially and according to the </w:t>
      </w:r>
      <w:proofErr w:type="gramStart"/>
      <w:r w:rsidR="00ED2900" w:rsidRPr="00CC562A">
        <w:rPr>
          <w:rFonts w:ascii="Cambria" w:eastAsia="Cambria" w:hAnsi="Cambria" w:cs="Cambria"/>
          <w:sz w:val="20"/>
          <w:szCs w:val="20"/>
          <w:lang w:val="en-US"/>
        </w:rPr>
        <w:t>particular needs</w:t>
      </w:r>
      <w:proofErr w:type="gramEnd"/>
      <w:r w:rsidR="00ED2900" w:rsidRPr="00CC562A">
        <w:rPr>
          <w:rFonts w:ascii="Cambria" w:eastAsia="Cambria" w:hAnsi="Cambria" w:cs="Cambria"/>
          <w:sz w:val="20"/>
          <w:szCs w:val="20"/>
          <w:lang w:val="en-US"/>
        </w:rPr>
        <w:t xml:space="preserve"> of the </w:t>
      </w:r>
      <w:r w:rsidR="00ED2900" w:rsidRPr="00CC562A">
        <w:rPr>
          <w:rFonts w:ascii="Cambria" w:eastAsia="Cambria" w:hAnsi="Cambria" w:cs="Cambria"/>
          <w:sz w:val="20"/>
          <w:szCs w:val="20"/>
          <w:lang w:val="en-US"/>
        </w:rPr>
        <w:lastRenderedPageBreak/>
        <w:t>direct and indirect victims with federal, state, and local institutions and/or civil associations that provide services, to help provide comprehensive care and allow them to resume their life plan</w:t>
      </w:r>
      <w:r w:rsidR="00C75F12" w:rsidRPr="00CC562A">
        <w:rPr>
          <w:rFonts w:ascii="Cambria" w:eastAsia="Cambria" w:hAnsi="Cambria" w:cs="Cambria"/>
          <w:sz w:val="20"/>
          <w:szCs w:val="20"/>
          <w:lang w:val="en-US"/>
        </w:rPr>
        <w:t xml:space="preserve">. </w:t>
      </w:r>
      <w:r w:rsidR="0099127F" w:rsidRPr="00CC562A">
        <w:rPr>
          <w:rFonts w:ascii="Cambria" w:hAnsi="Cambria"/>
          <w:sz w:val="20"/>
          <w:lang w:val="en-US"/>
        </w:rPr>
        <w:t>In this regard, the State also indicated that one of the great challenges facing the</w:t>
      </w:r>
      <w:r w:rsidR="00C75F12" w:rsidRPr="00CC562A">
        <w:rPr>
          <w:rFonts w:ascii="Cambria" w:eastAsia="Cambria" w:hAnsi="Cambria" w:cs="Cambria"/>
          <w:sz w:val="20"/>
          <w:szCs w:val="20"/>
          <w:lang w:val="en-US"/>
        </w:rPr>
        <w:t xml:space="preserve"> CEAV </w:t>
      </w:r>
      <w:r w:rsidR="0099127F" w:rsidRPr="00CC562A">
        <w:rPr>
          <w:rFonts w:ascii="Cambria" w:eastAsia="Cambria" w:hAnsi="Cambria" w:cs="Cambria"/>
          <w:sz w:val="20"/>
          <w:szCs w:val="20"/>
          <w:lang w:val="en-US"/>
        </w:rPr>
        <w:t>and the</w:t>
      </w:r>
      <w:r w:rsidR="00C75F12" w:rsidRPr="00CC562A">
        <w:rPr>
          <w:rFonts w:ascii="Cambria" w:eastAsia="Cambria" w:hAnsi="Cambria" w:cs="Cambria"/>
          <w:sz w:val="20"/>
          <w:szCs w:val="20"/>
          <w:lang w:val="en-US"/>
        </w:rPr>
        <w:t xml:space="preserve"> CAIs </w:t>
      </w:r>
      <w:r w:rsidR="0099127F" w:rsidRPr="00CC562A">
        <w:rPr>
          <w:rFonts w:ascii="Cambria" w:eastAsia="Cambria" w:hAnsi="Cambria" w:cs="Cambria"/>
          <w:sz w:val="20"/>
          <w:szCs w:val="20"/>
          <w:lang w:val="en-US"/>
        </w:rPr>
        <w:t xml:space="preserve">is </w:t>
      </w:r>
      <w:r w:rsidR="0065266A" w:rsidRPr="00CC562A">
        <w:rPr>
          <w:rFonts w:ascii="Cambria" w:eastAsia="Cambria" w:hAnsi="Cambria" w:cs="Cambria"/>
          <w:sz w:val="20"/>
          <w:szCs w:val="20"/>
          <w:lang w:val="en-US"/>
        </w:rPr>
        <w:t>a</w:t>
      </w:r>
      <w:r w:rsidR="0099127F" w:rsidRPr="00CC562A">
        <w:rPr>
          <w:rFonts w:ascii="Cambria" w:eastAsia="Cambria" w:hAnsi="Cambria" w:cs="Cambria"/>
          <w:sz w:val="20"/>
          <w:szCs w:val="20"/>
          <w:lang w:val="en-US"/>
        </w:rPr>
        <w:t xml:space="preserve"> lack of knowledge </w:t>
      </w:r>
      <w:r w:rsidR="0065266A" w:rsidRPr="00CC562A">
        <w:rPr>
          <w:rFonts w:ascii="Cambria" w:eastAsia="Cambria" w:hAnsi="Cambria" w:cs="Cambria"/>
          <w:sz w:val="20"/>
          <w:szCs w:val="20"/>
          <w:lang w:val="en-US"/>
        </w:rPr>
        <w:t>in</w:t>
      </w:r>
      <w:r w:rsidR="0099127F" w:rsidRPr="00CC562A">
        <w:rPr>
          <w:rFonts w:ascii="Cambria" w:eastAsia="Cambria" w:hAnsi="Cambria" w:cs="Cambria"/>
          <w:sz w:val="20"/>
          <w:szCs w:val="20"/>
          <w:lang w:val="en-US"/>
        </w:rPr>
        <w:t xml:space="preserve"> some local and federal government institutions </w:t>
      </w:r>
      <w:r w:rsidR="0065266A" w:rsidRPr="00CC562A">
        <w:rPr>
          <w:rFonts w:ascii="Cambria" w:eastAsia="Cambria" w:hAnsi="Cambria" w:cs="Cambria"/>
          <w:sz w:val="20"/>
          <w:szCs w:val="20"/>
          <w:lang w:val="en-US"/>
        </w:rPr>
        <w:t>at</w:t>
      </w:r>
      <w:r w:rsidR="00FC19AC" w:rsidRPr="00CC562A">
        <w:rPr>
          <w:rFonts w:ascii="Cambria" w:eastAsia="Cambria" w:hAnsi="Cambria" w:cs="Cambria"/>
          <w:sz w:val="20"/>
          <w:szCs w:val="20"/>
          <w:lang w:val="en-US"/>
        </w:rPr>
        <w:t xml:space="preserve"> the three levels of government regarding their obligations within the framework of the General Law on Victims and the powers of the </w:t>
      </w:r>
      <w:r w:rsidR="00C75F12" w:rsidRPr="00CC562A">
        <w:rPr>
          <w:rFonts w:ascii="Cambria" w:eastAsia="Cambria" w:hAnsi="Cambria" w:cs="Cambria"/>
          <w:sz w:val="20"/>
          <w:szCs w:val="20"/>
          <w:lang w:val="en-US"/>
        </w:rPr>
        <w:t>CEAV</w:t>
      </w:r>
      <w:r w:rsidR="00FC19AC" w:rsidRPr="00CC562A">
        <w:rPr>
          <w:rFonts w:ascii="Cambria" w:eastAsia="Cambria" w:hAnsi="Cambria" w:cs="Cambria"/>
          <w:sz w:val="20"/>
          <w:szCs w:val="20"/>
          <w:lang w:val="en-US"/>
        </w:rPr>
        <w:t xml:space="preserve"> itself. For this reason, through its state offices, the CEAV maintains ongoing</w:t>
      </w:r>
      <w:r w:rsidR="00C75F12" w:rsidRPr="00CC562A">
        <w:rPr>
          <w:rFonts w:ascii="Cambria" w:eastAsia="Cambria" w:hAnsi="Cambria" w:cs="Cambria"/>
          <w:sz w:val="20"/>
          <w:szCs w:val="20"/>
          <w:lang w:val="en-US"/>
        </w:rPr>
        <w:t xml:space="preserve"> </w:t>
      </w:r>
      <w:r w:rsidR="00ED2900" w:rsidRPr="00CC562A">
        <w:rPr>
          <w:rFonts w:ascii="Cambria" w:eastAsia="Cambria" w:hAnsi="Cambria" w:cs="Cambria"/>
          <w:sz w:val="20"/>
          <w:szCs w:val="20"/>
          <w:lang w:val="en-US"/>
        </w:rPr>
        <w:t xml:space="preserve">contact and follow-up with civil society organizations, victims’ groups, and </w:t>
      </w:r>
      <w:r w:rsidR="00AE2F1D" w:rsidRPr="00CC562A">
        <w:rPr>
          <w:rFonts w:ascii="Cambria" w:eastAsia="Cambria" w:hAnsi="Cambria" w:cs="Cambria"/>
          <w:sz w:val="20"/>
          <w:szCs w:val="20"/>
          <w:lang w:val="en-US"/>
        </w:rPr>
        <w:t>individual</w:t>
      </w:r>
      <w:r w:rsidR="00ED2900" w:rsidRPr="00CC562A">
        <w:rPr>
          <w:rFonts w:ascii="Cambria" w:eastAsia="Cambria" w:hAnsi="Cambria" w:cs="Cambria"/>
          <w:sz w:val="20"/>
          <w:szCs w:val="20"/>
          <w:lang w:val="en-US"/>
        </w:rPr>
        <w:t xml:space="preserve"> victims </w:t>
      </w:r>
      <w:proofErr w:type="gramStart"/>
      <w:r w:rsidR="00ED2900" w:rsidRPr="00CC562A">
        <w:rPr>
          <w:rFonts w:ascii="Cambria" w:eastAsia="Cambria" w:hAnsi="Cambria" w:cs="Cambria"/>
          <w:sz w:val="20"/>
          <w:szCs w:val="20"/>
          <w:lang w:val="en-US"/>
        </w:rPr>
        <w:t>in order to</w:t>
      </w:r>
      <w:proofErr w:type="gramEnd"/>
      <w:r w:rsidR="00ED2900" w:rsidRPr="00CC562A">
        <w:rPr>
          <w:rFonts w:ascii="Cambria" w:eastAsia="Cambria" w:hAnsi="Cambria" w:cs="Cambria"/>
          <w:sz w:val="20"/>
          <w:szCs w:val="20"/>
          <w:lang w:val="en-US"/>
        </w:rPr>
        <w:t xml:space="preserve"> concretely analyze</w:t>
      </w:r>
      <w:r w:rsidR="00AB684B" w:rsidRPr="00CC562A">
        <w:rPr>
          <w:rFonts w:ascii="Cambria" w:eastAsia="Cambria" w:hAnsi="Cambria" w:cs="Cambria"/>
          <w:sz w:val="20"/>
          <w:szCs w:val="20"/>
          <w:lang w:val="en-US"/>
        </w:rPr>
        <w:t>,</w:t>
      </w:r>
      <w:r w:rsidR="00ED2900" w:rsidRPr="00CC562A">
        <w:rPr>
          <w:rFonts w:ascii="Cambria" w:eastAsia="Cambria" w:hAnsi="Cambria" w:cs="Cambria"/>
          <w:sz w:val="20"/>
          <w:szCs w:val="20"/>
          <w:lang w:val="en-US"/>
        </w:rPr>
        <w:t xml:space="preserve"> </w:t>
      </w:r>
      <w:r w:rsidR="00FC19AC" w:rsidRPr="00CC562A">
        <w:rPr>
          <w:rFonts w:ascii="Cambria" w:hAnsi="Cambria"/>
          <w:sz w:val="20"/>
          <w:lang w:val="en-US"/>
        </w:rPr>
        <w:t>reduce</w:t>
      </w:r>
      <w:r w:rsidR="00C75F12" w:rsidRPr="00CC562A">
        <w:rPr>
          <w:rFonts w:ascii="Cambria" w:hAnsi="Cambria"/>
          <w:sz w:val="20"/>
          <w:lang w:val="en-US"/>
        </w:rPr>
        <w:t xml:space="preserve">, </w:t>
      </w:r>
      <w:r w:rsidR="00ED2900" w:rsidRPr="00CC562A">
        <w:rPr>
          <w:rFonts w:ascii="Cambria" w:eastAsia="Cambria" w:hAnsi="Cambria" w:cs="Cambria"/>
          <w:sz w:val="20"/>
          <w:szCs w:val="20"/>
          <w:lang w:val="en-US"/>
        </w:rPr>
        <w:t>address</w:t>
      </w:r>
      <w:r w:rsidR="00AB684B" w:rsidRPr="00CC562A">
        <w:rPr>
          <w:rFonts w:ascii="Cambria" w:eastAsia="Cambria" w:hAnsi="Cambria" w:cs="Cambria"/>
          <w:sz w:val="20"/>
          <w:szCs w:val="20"/>
          <w:lang w:val="en-US"/>
        </w:rPr>
        <w:t>, and eliminate</w:t>
      </w:r>
      <w:r w:rsidR="00ED2900" w:rsidRPr="00CC562A">
        <w:rPr>
          <w:rFonts w:ascii="Cambria" w:eastAsia="Cambria" w:hAnsi="Cambria" w:cs="Cambria"/>
          <w:sz w:val="20"/>
          <w:szCs w:val="20"/>
          <w:lang w:val="en-US"/>
        </w:rPr>
        <w:t xml:space="preserve"> the barriers limiting </w:t>
      </w:r>
      <w:r w:rsidR="00AB684B" w:rsidRPr="00CC562A">
        <w:rPr>
          <w:rFonts w:ascii="Cambria" w:eastAsia="Cambria" w:hAnsi="Cambria" w:cs="Cambria"/>
          <w:sz w:val="20"/>
          <w:szCs w:val="20"/>
          <w:lang w:val="en-US"/>
        </w:rPr>
        <w:t>effective implementation.</w:t>
      </w:r>
      <w:r w:rsidR="00946551" w:rsidRPr="00CC562A">
        <w:rPr>
          <w:rStyle w:val="FootnoteReference"/>
          <w:rFonts w:ascii="Cambria" w:eastAsia="Cambria" w:hAnsi="Cambria" w:cs="Cambria"/>
          <w:sz w:val="20"/>
          <w:szCs w:val="20"/>
          <w:lang w:val="en-US"/>
        </w:rPr>
        <w:footnoteReference w:id="176"/>
      </w:r>
    </w:p>
    <w:p w14:paraId="370B2CEC" w14:textId="77C3CB64" w:rsidR="00DB71FA" w:rsidRPr="00CC562A" w:rsidRDefault="00AB684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IDHEAS indicated that, as stipulated in the</w:t>
      </w:r>
      <w:r w:rsidR="2DED9AFD" w:rsidRPr="00CC562A">
        <w:rPr>
          <w:rFonts w:ascii="Cambria" w:eastAsia="Cambria" w:hAnsi="Cambria" w:cs="Cambria"/>
          <w:sz w:val="20"/>
          <w:szCs w:val="20"/>
          <w:lang w:val="en-US"/>
        </w:rPr>
        <w:t xml:space="preserve"> LGV, </w:t>
      </w:r>
      <w:r w:rsidRPr="00CC562A">
        <w:rPr>
          <w:rFonts w:ascii="Cambria" w:eastAsia="Cambria" w:hAnsi="Cambria" w:cs="Cambria"/>
          <w:sz w:val="20"/>
          <w:szCs w:val="20"/>
          <w:lang w:val="en-US"/>
        </w:rPr>
        <w:t xml:space="preserve">both the Executive Commission and the State Victim Assistance Commissions act as institutions responsible for guaranteeing, promoting, and protecting the rights of the victims of crime and human rights violations. That law establishes that the victims have the right to receive immediate help, aid, assistance, care, </w:t>
      </w:r>
      <w:r w:rsidR="00C80FE5" w:rsidRPr="00CC562A">
        <w:rPr>
          <w:rFonts w:ascii="Cambria" w:eastAsia="Cambria" w:hAnsi="Cambria" w:cs="Cambria"/>
          <w:sz w:val="20"/>
          <w:szCs w:val="20"/>
          <w:lang w:val="en-US"/>
        </w:rPr>
        <w:t>rehabilitation,</w:t>
      </w:r>
      <w:r w:rsidRPr="00CC562A">
        <w:rPr>
          <w:rFonts w:ascii="Cambria" w:eastAsia="Cambria" w:hAnsi="Cambria" w:cs="Cambria"/>
          <w:sz w:val="20"/>
          <w:szCs w:val="20"/>
          <w:lang w:val="en-US"/>
        </w:rPr>
        <w:t xml:space="preserve"> and other related measures. These measure</w:t>
      </w:r>
      <w:r w:rsidR="00AE2F1D"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will be provided by public institutions at the three levels of government within their spheres of competence through the programs, mechanisms, and services they have, to ensure that they overcome the need</w:t>
      </w:r>
      <w:r w:rsidR="00D0562A" w:rsidRPr="00CC562A">
        <w:rPr>
          <w:rFonts w:ascii="Cambria" w:eastAsia="Cambria" w:hAnsi="Cambria" w:cs="Cambria"/>
          <w:sz w:val="20"/>
          <w:szCs w:val="20"/>
          <w:lang w:val="en-US"/>
        </w:rPr>
        <w:t>ful</w:t>
      </w:r>
      <w:r w:rsidRPr="00CC562A">
        <w:rPr>
          <w:rFonts w:ascii="Cambria" w:eastAsia="Cambria" w:hAnsi="Cambria" w:cs="Cambria"/>
          <w:sz w:val="20"/>
          <w:szCs w:val="20"/>
          <w:lang w:val="en-US"/>
        </w:rPr>
        <w:t xml:space="preserve"> conditions </w:t>
      </w:r>
      <w:r w:rsidR="00D0562A" w:rsidRPr="00CC562A">
        <w:rPr>
          <w:rFonts w:ascii="Cambria" w:eastAsia="Cambria" w:hAnsi="Cambria" w:cs="Cambria"/>
          <w:sz w:val="20"/>
          <w:szCs w:val="20"/>
          <w:lang w:val="en-US"/>
        </w:rPr>
        <w:t>that arise</w:t>
      </w:r>
      <w:r w:rsidRPr="00CC562A">
        <w:rPr>
          <w:rFonts w:ascii="Cambria" w:eastAsia="Cambria" w:hAnsi="Cambria" w:cs="Cambria"/>
          <w:sz w:val="20"/>
          <w:szCs w:val="20"/>
          <w:lang w:val="en-US"/>
        </w:rPr>
        <w:t xml:space="preserve"> from having been victimized. For this reason, the </w:t>
      </w:r>
      <w:r w:rsidR="2DED9AFD" w:rsidRPr="00CC562A">
        <w:rPr>
          <w:rFonts w:ascii="Cambria" w:eastAsia="Cambria" w:hAnsi="Cambria" w:cs="Cambria"/>
          <w:sz w:val="20"/>
          <w:szCs w:val="20"/>
          <w:lang w:val="en-US"/>
        </w:rPr>
        <w:t xml:space="preserve">CEAV </w:t>
      </w:r>
      <w:r w:rsidRPr="00CC562A">
        <w:rPr>
          <w:rFonts w:ascii="Cambria" w:eastAsia="Cambria" w:hAnsi="Cambria" w:cs="Cambria"/>
          <w:sz w:val="20"/>
          <w:szCs w:val="20"/>
          <w:lang w:val="en-US"/>
        </w:rPr>
        <w:t xml:space="preserve">is the entity responsible for receiving the request, </w:t>
      </w:r>
      <w:r w:rsidR="00C80FE5" w:rsidRPr="00CC562A">
        <w:rPr>
          <w:rFonts w:ascii="Cambria" w:eastAsia="Cambria" w:hAnsi="Cambria" w:cs="Cambria"/>
          <w:sz w:val="20"/>
          <w:szCs w:val="20"/>
          <w:lang w:val="en-US"/>
        </w:rPr>
        <w:t>granting,</w:t>
      </w:r>
      <w:r w:rsidRPr="00CC562A">
        <w:rPr>
          <w:rFonts w:ascii="Cambria" w:eastAsia="Cambria" w:hAnsi="Cambria" w:cs="Cambria"/>
          <w:sz w:val="20"/>
          <w:szCs w:val="20"/>
          <w:lang w:val="en-US"/>
        </w:rPr>
        <w:t xml:space="preserve"> or denying the petition and, as applicable, providing and/or arranging what is necessary with the competent authority so that the victim r</w:t>
      </w:r>
      <w:r w:rsidR="0007641E" w:rsidRPr="00CC562A">
        <w:rPr>
          <w:rFonts w:ascii="Cambria" w:eastAsia="Cambria" w:hAnsi="Cambria" w:cs="Cambria"/>
          <w:sz w:val="20"/>
          <w:szCs w:val="20"/>
          <w:lang w:val="en-US"/>
        </w:rPr>
        <w:t xml:space="preserve">eceives the aid, assistance, care, and/or reparation </w:t>
      </w:r>
      <w:r w:rsidR="00D0562A" w:rsidRPr="00CC562A">
        <w:rPr>
          <w:rFonts w:ascii="Cambria" w:eastAsia="Cambria" w:hAnsi="Cambria" w:cs="Cambria"/>
          <w:sz w:val="20"/>
          <w:szCs w:val="20"/>
          <w:lang w:val="en-US"/>
        </w:rPr>
        <w:t xml:space="preserve">measure </w:t>
      </w:r>
      <w:r w:rsidR="0007641E" w:rsidRPr="00CC562A">
        <w:rPr>
          <w:rFonts w:ascii="Cambria" w:eastAsia="Cambria" w:hAnsi="Cambria" w:cs="Cambria"/>
          <w:sz w:val="20"/>
          <w:szCs w:val="20"/>
          <w:lang w:val="en-US"/>
        </w:rPr>
        <w:t>sought on a timely basis.</w:t>
      </w:r>
      <w:r w:rsidR="00580797" w:rsidRPr="00CC562A">
        <w:rPr>
          <w:rFonts w:ascii="Cambria" w:eastAsia="Cambria" w:hAnsi="Cambria" w:cs="Cambria"/>
          <w:sz w:val="20"/>
          <w:szCs w:val="20"/>
          <w:vertAlign w:val="superscript"/>
          <w:lang w:val="en-US"/>
        </w:rPr>
        <w:footnoteReference w:id="177"/>
      </w:r>
    </w:p>
    <w:p w14:paraId="2E3ECE5A" w14:textId="513AC5BB" w:rsidR="00DB71FA" w:rsidRPr="00CC562A" w:rsidRDefault="00752FED"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Nonetheless,</w:t>
      </w:r>
      <w:r w:rsidR="7DF8A966" w:rsidRPr="00CC562A">
        <w:rPr>
          <w:rFonts w:ascii="Cambria" w:eastAsia="Cambria" w:hAnsi="Cambria" w:cs="Cambria"/>
          <w:sz w:val="20"/>
          <w:szCs w:val="20"/>
          <w:lang w:val="en-US"/>
        </w:rPr>
        <w:t xml:space="preserve"> </w:t>
      </w:r>
      <w:r w:rsidR="00DD7717" w:rsidRPr="00CC562A">
        <w:rPr>
          <w:rFonts w:ascii="Cambria" w:eastAsia="Cambria" w:hAnsi="Cambria" w:cs="Cambria"/>
          <w:sz w:val="20"/>
          <w:szCs w:val="20"/>
          <w:lang w:val="en-US"/>
        </w:rPr>
        <w:t>the results of a survey taken by the organization indicate that, of the persons interviewed</w:t>
      </w:r>
      <w:r w:rsidR="2DED9AFD" w:rsidRPr="00CC562A">
        <w:rPr>
          <w:rFonts w:ascii="Cambria" w:eastAsia="Cambria" w:hAnsi="Cambria" w:cs="Cambria"/>
          <w:sz w:val="20"/>
          <w:szCs w:val="20"/>
          <w:lang w:val="en-US"/>
        </w:rPr>
        <w:t xml:space="preserve"> 46.8% (72 </w:t>
      </w:r>
      <w:r w:rsidR="00DD7717" w:rsidRPr="00CC562A">
        <w:rPr>
          <w:rFonts w:ascii="Cambria" w:eastAsia="Cambria" w:hAnsi="Cambria" w:cs="Cambria"/>
          <w:sz w:val="20"/>
          <w:szCs w:val="20"/>
          <w:lang w:val="en-US"/>
        </w:rPr>
        <w:t xml:space="preserve">people) said they had </w:t>
      </w:r>
      <w:r w:rsidR="00D0562A" w:rsidRPr="00CC562A">
        <w:rPr>
          <w:rFonts w:ascii="Cambria" w:eastAsia="Cambria" w:hAnsi="Cambria" w:cs="Cambria"/>
          <w:sz w:val="20"/>
          <w:szCs w:val="20"/>
          <w:lang w:val="en-US"/>
        </w:rPr>
        <w:t>sought out</w:t>
      </w:r>
      <w:r w:rsidR="00DD7717" w:rsidRPr="00CC562A">
        <w:rPr>
          <w:rFonts w:ascii="Cambria" w:eastAsia="Cambria" w:hAnsi="Cambria" w:cs="Cambria"/>
          <w:sz w:val="20"/>
          <w:szCs w:val="20"/>
          <w:lang w:val="en-US"/>
        </w:rPr>
        <w:t xml:space="preserve"> the victims’ commissions for support </w:t>
      </w:r>
      <w:proofErr w:type="gramStart"/>
      <w:r w:rsidR="00DD7717" w:rsidRPr="00CC562A">
        <w:rPr>
          <w:rFonts w:ascii="Cambria" w:eastAsia="Cambria" w:hAnsi="Cambria" w:cs="Cambria"/>
          <w:sz w:val="20"/>
          <w:szCs w:val="20"/>
          <w:lang w:val="en-US"/>
        </w:rPr>
        <w:t>in the area of</w:t>
      </w:r>
      <w:proofErr w:type="gramEnd"/>
      <w:r w:rsidR="00DD7717" w:rsidRPr="00CC562A">
        <w:rPr>
          <w:rFonts w:ascii="Cambria" w:eastAsia="Cambria" w:hAnsi="Cambria" w:cs="Cambria"/>
          <w:sz w:val="20"/>
          <w:szCs w:val="20"/>
          <w:lang w:val="en-US"/>
        </w:rPr>
        <w:t xml:space="preserve"> health due to physical ailments. Of these </w:t>
      </w:r>
      <w:r w:rsidR="2DED9AFD" w:rsidRPr="00CC562A">
        <w:rPr>
          <w:rFonts w:ascii="Cambria" w:eastAsia="Cambria" w:hAnsi="Cambria" w:cs="Cambria"/>
          <w:sz w:val="20"/>
          <w:szCs w:val="20"/>
          <w:lang w:val="en-US"/>
        </w:rPr>
        <w:t>72 person</w:t>
      </w:r>
      <w:r w:rsidR="00DD7717" w:rsidRPr="00CC562A">
        <w:rPr>
          <w:rFonts w:ascii="Cambria" w:eastAsia="Cambria" w:hAnsi="Cambria" w:cs="Cambria"/>
          <w:sz w:val="20"/>
          <w:szCs w:val="20"/>
          <w:lang w:val="en-US"/>
        </w:rPr>
        <w:t>s</w:t>
      </w:r>
      <w:r w:rsidR="2DED9AFD" w:rsidRPr="00CC562A">
        <w:rPr>
          <w:rFonts w:ascii="Cambria" w:eastAsia="Cambria" w:hAnsi="Cambria" w:cs="Cambria"/>
          <w:sz w:val="20"/>
          <w:szCs w:val="20"/>
          <w:lang w:val="en-US"/>
        </w:rPr>
        <w:t xml:space="preserve">, </w:t>
      </w:r>
      <w:r w:rsidR="00DD7717" w:rsidRPr="00CC562A">
        <w:rPr>
          <w:rFonts w:ascii="Cambria" w:eastAsia="Cambria" w:hAnsi="Cambria" w:cs="Cambria"/>
          <w:sz w:val="20"/>
          <w:szCs w:val="20"/>
          <w:lang w:val="en-US"/>
        </w:rPr>
        <w:t>only</w:t>
      </w:r>
      <w:r w:rsidR="2DED9AFD" w:rsidRPr="00CC562A">
        <w:rPr>
          <w:rFonts w:ascii="Cambria" w:eastAsia="Cambria" w:hAnsi="Cambria" w:cs="Cambria"/>
          <w:sz w:val="20"/>
          <w:szCs w:val="20"/>
          <w:lang w:val="en-US"/>
        </w:rPr>
        <w:t xml:space="preserve"> 24 obt</w:t>
      </w:r>
      <w:r w:rsidR="00DD7717" w:rsidRPr="00CC562A">
        <w:rPr>
          <w:rFonts w:ascii="Cambria" w:eastAsia="Cambria" w:hAnsi="Cambria" w:cs="Cambria"/>
          <w:sz w:val="20"/>
          <w:szCs w:val="20"/>
          <w:lang w:val="en-US"/>
        </w:rPr>
        <w:t>ained a favorable result</w:t>
      </w:r>
      <w:r w:rsidR="00D0562A" w:rsidRPr="00CC562A">
        <w:rPr>
          <w:rFonts w:ascii="Cambria" w:eastAsia="Cambria" w:hAnsi="Cambria" w:cs="Cambria"/>
          <w:sz w:val="20"/>
          <w:szCs w:val="20"/>
          <w:lang w:val="en-US"/>
        </w:rPr>
        <w:t>.</w:t>
      </w:r>
      <w:r w:rsidR="00DD7717" w:rsidRPr="00CC562A">
        <w:rPr>
          <w:rFonts w:ascii="Cambria" w:eastAsia="Cambria" w:hAnsi="Cambria" w:cs="Cambria"/>
          <w:sz w:val="20"/>
          <w:szCs w:val="20"/>
          <w:lang w:val="en-US"/>
        </w:rPr>
        <w:t xml:space="preserve"> IDHEAS reported that for the rest the CEAV has been </w:t>
      </w:r>
      <w:r w:rsidR="00D0562A" w:rsidRPr="00CC562A">
        <w:rPr>
          <w:rFonts w:ascii="Cambria" w:eastAsia="Cambria" w:hAnsi="Cambria" w:cs="Cambria"/>
          <w:sz w:val="20"/>
          <w:szCs w:val="20"/>
          <w:lang w:val="en-US"/>
        </w:rPr>
        <w:t>neglectful</w:t>
      </w:r>
      <w:r w:rsidR="00DD7717" w:rsidRPr="00CC562A">
        <w:rPr>
          <w:rFonts w:ascii="Cambria" w:eastAsia="Cambria" w:hAnsi="Cambria" w:cs="Cambria"/>
          <w:sz w:val="20"/>
          <w:szCs w:val="20"/>
          <w:lang w:val="en-US"/>
        </w:rPr>
        <w:t xml:space="preserve"> in providing support, </w:t>
      </w:r>
      <w:r w:rsidR="00D0562A" w:rsidRPr="00CC562A">
        <w:rPr>
          <w:rFonts w:ascii="Cambria" w:eastAsia="Cambria" w:hAnsi="Cambria" w:cs="Cambria"/>
          <w:sz w:val="20"/>
          <w:szCs w:val="20"/>
          <w:lang w:val="en-US"/>
        </w:rPr>
        <w:t>has provided</w:t>
      </w:r>
      <w:r w:rsidR="00DD7717" w:rsidRPr="00CC562A">
        <w:rPr>
          <w:rFonts w:ascii="Cambria" w:eastAsia="Cambria" w:hAnsi="Cambria" w:cs="Cambria"/>
          <w:sz w:val="20"/>
          <w:szCs w:val="20"/>
          <w:lang w:val="en-US"/>
        </w:rPr>
        <w:t xml:space="preserve"> late responses to requests, </w:t>
      </w:r>
      <w:r w:rsidR="00D0562A" w:rsidRPr="00CC562A">
        <w:rPr>
          <w:rFonts w:ascii="Cambria" w:eastAsia="Cambria" w:hAnsi="Cambria" w:cs="Cambria"/>
          <w:sz w:val="20"/>
          <w:szCs w:val="20"/>
          <w:lang w:val="en-US"/>
        </w:rPr>
        <w:t xml:space="preserve">has denied </w:t>
      </w:r>
      <w:r w:rsidR="00DD7717" w:rsidRPr="00CC562A">
        <w:rPr>
          <w:rFonts w:ascii="Cambria" w:eastAsia="Cambria" w:hAnsi="Cambria" w:cs="Cambria"/>
          <w:sz w:val="20"/>
          <w:szCs w:val="20"/>
          <w:lang w:val="en-US"/>
        </w:rPr>
        <w:t xml:space="preserve">support due to an alleged lack of resources and, above all, </w:t>
      </w:r>
      <w:r w:rsidR="00D0562A" w:rsidRPr="00CC562A">
        <w:rPr>
          <w:rFonts w:ascii="Cambria" w:eastAsia="Cambria" w:hAnsi="Cambria" w:cs="Cambria"/>
          <w:sz w:val="20"/>
          <w:szCs w:val="20"/>
          <w:lang w:val="en-US"/>
        </w:rPr>
        <w:t xml:space="preserve">has justified its actions by claiming that the reported </w:t>
      </w:r>
      <w:r w:rsidR="00DD7717" w:rsidRPr="00CC562A">
        <w:rPr>
          <w:rFonts w:ascii="Cambria" w:eastAsia="Cambria" w:hAnsi="Cambria" w:cs="Cambria"/>
          <w:sz w:val="20"/>
          <w:szCs w:val="20"/>
          <w:lang w:val="en-US"/>
        </w:rPr>
        <w:t xml:space="preserve">health </w:t>
      </w:r>
      <w:r w:rsidR="005B7566" w:rsidRPr="00CC562A">
        <w:rPr>
          <w:rFonts w:ascii="Cambria" w:eastAsia="Cambria" w:hAnsi="Cambria" w:cs="Cambria"/>
          <w:sz w:val="20"/>
          <w:szCs w:val="20"/>
          <w:lang w:val="en-US"/>
        </w:rPr>
        <w:t xml:space="preserve">conditions have no direct relationship to </w:t>
      </w:r>
      <w:r w:rsidR="00D0562A" w:rsidRPr="00CC562A">
        <w:rPr>
          <w:rFonts w:ascii="Cambria" w:eastAsia="Cambria" w:hAnsi="Cambria" w:cs="Cambria"/>
          <w:sz w:val="20"/>
          <w:szCs w:val="20"/>
          <w:lang w:val="en-US"/>
        </w:rPr>
        <w:t>having been victimized</w:t>
      </w:r>
      <w:r w:rsidR="005B7566" w:rsidRPr="00CC562A">
        <w:rPr>
          <w:rFonts w:ascii="Cambria" w:eastAsia="Cambria" w:hAnsi="Cambria" w:cs="Cambria"/>
          <w:sz w:val="20"/>
          <w:szCs w:val="20"/>
          <w:lang w:val="en-US"/>
        </w:rPr>
        <w:t>, i.e.,</w:t>
      </w:r>
      <w:r w:rsidR="00D0562A" w:rsidRPr="00CC562A">
        <w:rPr>
          <w:rFonts w:ascii="Cambria" w:eastAsia="Cambria" w:hAnsi="Cambria" w:cs="Cambria"/>
          <w:sz w:val="20"/>
          <w:szCs w:val="20"/>
          <w:lang w:val="en-US"/>
        </w:rPr>
        <w:t xml:space="preserve"> to</w:t>
      </w:r>
      <w:r w:rsidR="005B7566" w:rsidRPr="00CC562A">
        <w:rPr>
          <w:rFonts w:ascii="Cambria" w:eastAsia="Cambria" w:hAnsi="Cambria" w:cs="Cambria"/>
          <w:sz w:val="20"/>
          <w:szCs w:val="20"/>
          <w:lang w:val="en-US"/>
        </w:rPr>
        <w:t xml:space="preserve"> the disappearance of </w:t>
      </w:r>
      <w:r w:rsidR="00D0562A" w:rsidRPr="00CC562A">
        <w:rPr>
          <w:rFonts w:ascii="Cambria" w:eastAsia="Cambria" w:hAnsi="Cambria" w:cs="Cambria"/>
          <w:sz w:val="20"/>
          <w:szCs w:val="20"/>
          <w:lang w:val="en-US"/>
        </w:rPr>
        <w:t>a</w:t>
      </w:r>
      <w:r w:rsidR="005B7566" w:rsidRPr="00CC562A">
        <w:rPr>
          <w:rFonts w:ascii="Cambria" w:eastAsia="Cambria" w:hAnsi="Cambria" w:cs="Cambria"/>
          <w:sz w:val="20"/>
          <w:szCs w:val="20"/>
          <w:lang w:val="en-US"/>
        </w:rPr>
        <w:t xml:space="preserve"> family member</w:t>
      </w:r>
      <w:r w:rsidR="2DED9AFD" w:rsidRPr="00CC562A">
        <w:rPr>
          <w:rFonts w:ascii="Cambria" w:eastAsia="Cambria" w:hAnsi="Cambria" w:cs="Cambria"/>
          <w:sz w:val="20"/>
          <w:szCs w:val="20"/>
          <w:lang w:val="en-US"/>
        </w:rPr>
        <w:t xml:space="preserve">. </w:t>
      </w:r>
    </w:p>
    <w:p w14:paraId="56C0750B" w14:textId="23691505" w:rsidR="00C75F12" w:rsidRPr="00CC562A" w:rsidRDefault="00FC19AC" w:rsidP="00C75F12">
      <w:pPr>
        <w:numPr>
          <w:ilvl w:val="0"/>
          <w:numId w:val="2"/>
        </w:numPr>
        <w:spacing w:before="240" w:line="240" w:lineRule="auto"/>
        <w:ind w:left="0" w:firstLine="720"/>
        <w:jc w:val="both"/>
        <w:rPr>
          <w:rFonts w:ascii="Cambria" w:hAnsi="Cambria"/>
          <w:sz w:val="20"/>
          <w:lang w:val="en-US"/>
        </w:rPr>
      </w:pPr>
      <w:proofErr w:type="gramStart"/>
      <w:r w:rsidRPr="00CC562A">
        <w:rPr>
          <w:rFonts w:ascii="Cambria" w:hAnsi="Cambria"/>
          <w:sz w:val="20"/>
          <w:lang w:val="en-US"/>
        </w:rPr>
        <w:t>With regard to</w:t>
      </w:r>
      <w:proofErr w:type="gramEnd"/>
      <w:r w:rsidRPr="00CC562A">
        <w:rPr>
          <w:rFonts w:ascii="Cambria" w:hAnsi="Cambria"/>
          <w:sz w:val="20"/>
          <w:lang w:val="en-US"/>
        </w:rPr>
        <w:t xml:space="preserve"> the above assertions, the</w:t>
      </w:r>
      <w:r w:rsidR="00C75F12" w:rsidRPr="00CC562A">
        <w:rPr>
          <w:rFonts w:ascii="Cambria" w:hAnsi="Cambria"/>
          <w:sz w:val="20"/>
          <w:lang w:val="en-US"/>
        </w:rPr>
        <w:t xml:space="preserve"> CEAV </w:t>
      </w:r>
      <w:r w:rsidRPr="00CC562A">
        <w:rPr>
          <w:rFonts w:ascii="Cambria" w:hAnsi="Cambria"/>
          <w:sz w:val="20"/>
          <w:lang w:val="en-US"/>
        </w:rPr>
        <w:t>considered it important to mention that it does not deny services and that it establishes medical links, and where they are refused or non-existent</w:t>
      </w:r>
      <w:r w:rsidR="00C75F12" w:rsidRPr="00CC562A">
        <w:rPr>
          <w:rFonts w:ascii="Cambria" w:hAnsi="Cambria"/>
          <w:sz w:val="20"/>
          <w:lang w:val="en-US"/>
        </w:rPr>
        <w:t xml:space="preserve">, </w:t>
      </w:r>
      <w:r w:rsidRPr="00CC562A">
        <w:rPr>
          <w:rFonts w:ascii="Cambria" w:hAnsi="Cambria"/>
          <w:sz w:val="20"/>
          <w:lang w:val="en-US"/>
        </w:rPr>
        <w:t xml:space="preserve">it pays for them, whenever they derive from having been victimized. It states that this does not overlook the fact that, even when the conditions of the victims or their relatives do not derive from having been victimized, </w:t>
      </w:r>
      <w:r w:rsidR="00043EFA" w:rsidRPr="00CC562A">
        <w:rPr>
          <w:rFonts w:ascii="Cambria" w:hAnsi="Cambria"/>
          <w:sz w:val="20"/>
          <w:lang w:val="en-US"/>
        </w:rPr>
        <w:t xml:space="preserve">the necessary arrangements are made to </w:t>
      </w:r>
      <w:r w:rsidR="0065266A" w:rsidRPr="00CC562A">
        <w:rPr>
          <w:rFonts w:ascii="Cambria" w:hAnsi="Cambria"/>
          <w:sz w:val="20"/>
          <w:lang w:val="en-US"/>
        </w:rPr>
        <w:t>refer</w:t>
      </w:r>
      <w:r w:rsidR="00043EFA" w:rsidRPr="00CC562A">
        <w:rPr>
          <w:rFonts w:ascii="Cambria" w:hAnsi="Cambria"/>
          <w:sz w:val="20"/>
          <w:lang w:val="en-US"/>
        </w:rPr>
        <w:t xml:space="preserve"> them to the appropriate agencies.</w:t>
      </w:r>
      <w:r w:rsidR="00C75F12" w:rsidRPr="00CC562A">
        <w:rPr>
          <w:rStyle w:val="FootnoteReference"/>
          <w:rFonts w:ascii="Cambria" w:hAnsi="Cambria"/>
          <w:sz w:val="20"/>
          <w:lang w:val="en-US"/>
        </w:rPr>
        <w:footnoteReference w:id="178"/>
      </w:r>
    </w:p>
    <w:p w14:paraId="7D42112D" w14:textId="1A46FBE8" w:rsidR="00DB71FA" w:rsidRPr="00CC562A" w:rsidRDefault="005B756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results of the survey conducted by IDHEAS indicated that </w:t>
      </w:r>
      <w:r w:rsidR="2DED9AFD" w:rsidRPr="00CC562A">
        <w:rPr>
          <w:rFonts w:ascii="Cambria" w:eastAsia="Cambria" w:hAnsi="Cambria" w:cs="Cambria"/>
          <w:sz w:val="20"/>
          <w:szCs w:val="20"/>
          <w:lang w:val="en-US"/>
        </w:rPr>
        <w:t>18 pe</w:t>
      </w:r>
      <w:r w:rsidRPr="00CC562A">
        <w:rPr>
          <w:rFonts w:ascii="Cambria" w:eastAsia="Cambria" w:hAnsi="Cambria" w:cs="Cambria"/>
          <w:sz w:val="20"/>
          <w:szCs w:val="20"/>
          <w:lang w:val="en-US"/>
        </w:rPr>
        <w:t xml:space="preserve">ople were referred by the </w:t>
      </w:r>
      <w:r w:rsidR="2DED9AFD" w:rsidRPr="00CC562A">
        <w:rPr>
          <w:rFonts w:ascii="Cambria" w:eastAsia="Cambria" w:hAnsi="Cambria" w:cs="Cambria"/>
          <w:sz w:val="20"/>
          <w:szCs w:val="20"/>
          <w:lang w:val="en-US"/>
        </w:rPr>
        <w:t xml:space="preserve">CEAV </w:t>
      </w:r>
      <w:r w:rsidRPr="00CC562A">
        <w:rPr>
          <w:rFonts w:ascii="Cambria" w:eastAsia="Cambria" w:hAnsi="Cambria" w:cs="Cambria"/>
          <w:sz w:val="20"/>
          <w:szCs w:val="20"/>
          <w:lang w:val="en-US"/>
        </w:rPr>
        <w:t>to some other medical institution to address their health. These include the Red Cross, the National Psychiatric Institute, the National Institute of Rehabilitation, the National Institute of Cancerology</w:t>
      </w:r>
      <w:r w:rsidR="2DED9AF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Health Centers, state health secretariats</w:t>
      </w:r>
      <w:r w:rsidR="2DED9AFD" w:rsidRPr="00CC562A">
        <w:rPr>
          <w:rFonts w:ascii="Cambria" w:eastAsia="Cambria" w:hAnsi="Cambria" w:cs="Cambria"/>
          <w:sz w:val="20"/>
          <w:szCs w:val="20"/>
          <w:lang w:val="en-US"/>
        </w:rPr>
        <w:t>, ISSSTE</w:t>
      </w:r>
      <w:r w:rsidRPr="00CC562A">
        <w:rPr>
          <w:rFonts w:ascii="Cambria" w:eastAsia="Cambria" w:hAnsi="Cambria" w:cs="Cambria"/>
          <w:sz w:val="20"/>
          <w:szCs w:val="20"/>
          <w:lang w:val="en-US"/>
        </w:rPr>
        <w:t>, and Social Security. Only</w:t>
      </w:r>
      <w:r w:rsidR="2DED9AFD" w:rsidRPr="00CC562A">
        <w:rPr>
          <w:rFonts w:ascii="Cambria" w:eastAsia="Cambria" w:hAnsi="Cambria" w:cs="Cambria"/>
          <w:sz w:val="20"/>
          <w:szCs w:val="20"/>
          <w:lang w:val="en-US"/>
        </w:rPr>
        <w:t xml:space="preserve"> 10% </w:t>
      </w:r>
      <w:r w:rsidRPr="00CC562A">
        <w:rPr>
          <w:rFonts w:ascii="Cambria" w:eastAsia="Cambria" w:hAnsi="Cambria" w:cs="Cambria"/>
          <w:sz w:val="20"/>
          <w:szCs w:val="20"/>
          <w:lang w:val="en-US"/>
        </w:rPr>
        <w:t xml:space="preserve">of those who were referred to these institutions received information from the </w:t>
      </w:r>
      <w:r w:rsidR="2DED9AFD" w:rsidRPr="00CC562A">
        <w:rPr>
          <w:rFonts w:ascii="Cambria" w:eastAsia="Cambria" w:hAnsi="Cambria" w:cs="Cambria"/>
          <w:sz w:val="20"/>
          <w:szCs w:val="20"/>
          <w:lang w:val="en-US"/>
        </w:rPr>
        <w:t xml:space="preserve">CEAV </w:t>
      </w:r>
      <w:r w:rsidRPr="00CC562A">
        <w:rPr>
          <w:rFonts w:ascii="Cambria" w:eastAsia="Cambria" w:hAnsi="Cambria" w:cs="Cambria"/>
          <w:sz w:val="20"/>
          <w:szCs w:val="20"/>
          <w:lang w:val="en-US"/>
        </w:rPr>
        <w:t>on the reasons why they were being referred to another institution. In addition, only</w:t>
      </w:r>
      <w:r w:rsidR="2DED9AFD" w:rsidRPr="00CC562A">
        <w:rPr>
          <w:rFonts w:ascii="Cambria" w:eastAsia="Cambria" w:hAnsi="Cambria" w:cs="Cambria"/>
          <w:sz w:val="20"/>
          <w:szCs w:val="20"/>
          <w:lang w:val="en-US"/>
        </w:rPr>
        <w:t xml:space="preserve"> 14.7% </w:t>
      </w:r>
      <w:r w:rsidRPr="00CC562A">
        <w:rPr>
          <w:rFonts w:ascii="Cambria" w:eastAsia="Cambria" w:hAnsi="Cambria" w:cs="Cambria"/>
          <w:sz w:val="20"/>
          <w:szCs w:val="20"/>
          <w:lang w:val="en-US"/>
        </w:rPr>
        <w:t>of the</w:t>
      </w:r>
      <w:r w:rsidR="00D0562A" w:rsidRPr="00CC562A">
        <w:rPr>
          <w:rFonts w:ascii="Cambria" w:eastAsia="Cambria" w:hAnsi="Cambria" w:cs="Cambria"/>
          <w:sz w:val="20"/>
          <w:szCs w:val="20"/>
          <w:lang w:val="en-US"/>
        </w:rPr>
        <w:t>m</w:t>
      </w:r>
      <w:r w:rsidRPr="00CC562A">
        <w:rPr>
          <w:rFonts w:ascii="Cambria" w:eastAsia="Cambria" w:hAnsi="Cambria" w:cs="Cambria"/>
          <w:sz w:val="20"/>
          <w:szCs w:val="20"/>
          <w:lang w:val="en-US"/>
        </w:rPr>
        <w:t xml:space="preserve"> indicated that the care they received in this institution was free and only </w:t>
      </w:r>
      <w:r w:rsidR="2DED9AFD" w:rsidRPr="00CC562A">
        <w:rPr>
          <w:rFonts w:ascii="Cambria" w:eastAsia="Cambria" w:hAnsi="Cambria" w:cs="Cambria"/>
          <w:sz w:val="20"/>
          <w:szCs w:val="20"/>
          <w:lang w:val="en-US"/>
        </w:rPr>
        <w:t>7.1% indic</w:t>
      </w:r>
      <w:r w:rsidRPr="00CC562A">
        <w:rPr>
          <w:rFonts w:ascii="Cambria" w:eastAsia="Cambria" w:hAnsi="Cambria" w:cs="Cambria"/>
          <w:sz w:val="20"/>
          <w:szCs w:val="20"/>
          <w:lang w:val="en-US"/>
        </w:rPr>
        <w:t xml:space="preserve">ated that their needs were </w:t>
      </w:r>
      <w:r w:rsidR="00D0562A" w:rsidRPr="00CC562A">
        <w:rPr>
          <w:rFonts w:ascii="Cambria" w:eastAsia="Cambria" w:hAnsi="Cambria" w:cs="Cambria"/>
          <w:sz w:val="20"/>
          <w:szCs w:val="20"/>
          <w:lang w:val="en-US"/>
        </w:rPr>
        <w:t>addressed</w:t>
      </w:r>
      <w:r w:rsidRPr="00CC562A">
        <w:rPr>
          <w:rFonts w:ascii="Cambria" w:eastAsia="Cambria" w:hAnsi="Cambria" w:cs="Cambria"/>
          <w:sz w:val="20"/>
          <w:szCs w:val="20"/>
          <w:lang w:val="en-US"/>
        </w:rPr>
        <w:t xml:space="preserve">. When the rest were asked </w:t>
      </w:r>
      <w:r w:rsidR="001107D6" w:rsidRPr="00CC562A">
        <w:rPr>
          <w:rFonts w:ascii="Cambria" w:eastAsia="Cambria" w:hAnsi="Cambria" w:cs="Cambria"/>
          <w:sz w:val="20"/>
          <w:szCs w:val="20"/>
          <w:lang w:val="en-US"/>
        </w:rPr>
        <w:t xml:space="preserve">why they were </w:t>
      </w:r>
      <w:r w:rsidR="00D0562A" w:rsidRPr="00CC562A">
        <w:rPr>
          <w:rFonts w:ascii="Cambria" w:eastAsia="Cambria" w:hAnsi="Cambria" w:cs="Cambria"/>
          <w:sz w:val="20"/>
          <w:szCs w:val="20"/>
          <w:lang w:val="en-US"/>
        </w:rPr>
        <w:t>not properly</w:t>
      </w:r>
      <w:r w:rsidR="001107D6" w:rsidRPr="00CC562A">
        <w:rPr>
          <w:rFonts w:ascii="Cambria" w:eastAsia="Cambria" w:hAnsi="Cambria" w:cs="Cambria"/>
          <w:sz w:val="20"/>
          <w:szCs w:val="20"/>
          <w:lang w:val="en-US"/>
        </w:rPr>
        <w:t xml:space="preserve"> taken care of, they indicated that the institution to which they were referred did not have the material, medications, or resources necessary, did not carry out the correct procedures, there was no follow-up</w:t>
      </w:r>
      <w:r w:rsidR="2DED9AFD" w:rsidRPr="00CC562A">
        <w:rPr>
          <w:rFonts w:ascii="Cambria" w:eastAsia="Cambria" w:hAnsi="Cambria" w:cs="Cambria"/>
          <w:sz w:val="20"/>
          <w:szCs w:val="20"/>
          <w:lang w:val="en-US"/>
        </w:rPr>
        <w:t>, o</w:t>
      </w:r>
      <w:r w:rsidR="001107D6" w:rsidRPr="00CC562A">
        <w:rPr>
          <w:rFonts w:ascii="Cambria" w:eastAsia="Cambria" w:hAnsi="Cambria" w:cs="Cambria"/>
          <w:sz w:val="20"/>
          <w:szCs w:val="20"/>
          <w:lang w:val="en-US"/>
        </w:rPr>
        <w:t xml:space="preserve">r the care had a cost they could not </w:t>
      </w:r>
      <w:r w:rsidR="00D0562A" w:rsidRPr="00CC562A">
        <w:rPr>
          <w:rFonts w:ascii="Cambria" w:eastAsia="Cambria" w:hAnsi="Cambria" w:cs="Cambria"/>
          <w:sz w:val="20"/>
          <w:szCs w:val="20"/>
          <w:lang w:val="en-US"/>
        </w:rPr>
        <w:t>afford</w:t>
      </w:r>
      <w:r w:rsidR="001107D6" w:rsidRPr="00CC562A">
        <w:rPr>
          <w:rFonts w:ascii="Cambria" w:eastAsia="Cambria" w:hAnsi="Cambria" w:cs="Cambria"/>
          <w:sz w:val="20"/>
          <w:szCs w:val="20"/>
          <w:lang w:val="en-US"/>
        </w:rPr>
        <w:t>. Of these</w:t>
      </w:r>
      <w:r w:rsidR="2DED9AFD" w:rsidRPr="00CC562A">
        <w:rPr>
          <w:rFonts w:ascii="Cambria" w:eastAsia="Cambria" w:hAnsi="Cambria" w:cs="Cambria"/>
          <w:sz w:val="20"/>
          <w:szCs w:val="20"/>
          <w:lang w:val="en-US"/>
        </w:rPr>
        <w:t xml:space="preserve"> 18 pe</w:t>
      </w:r>
      <w:r w:rsidR="001107D6" w:rsidRPr="00CC562A">
        <w:rPr>
          <w:rFonts w:ascii="Cambria" w:eastAsia="Cambria" w:hAnsi="Cambria" w:cs="Cambria"/>
          <w:sz w:val="20"/>
          <w:szCs w:val="20"/>
          <w:lang w:val="en-US"/>
        </w:rPr>
        <w:t>ople</w:t>
      </w:r>
      <w:r w:rsidR="2DED9AFD" w:rsidRPr="00CC562A">
        <w:rPr>
          <w:rFonts w:ascii="Cambria" w:eastAsia="Cambria" w:hAnsi="Cambria" w:cs="Cambria"/>
          <w:sz w:val="20"/>
          <w:szCs w:val="20"/>
          <w:lang w:val="en-US"/>
        </w:rPr>
        <w:t>, 12 indica</w:t>
      </w:r>
      <w:r w:rsidR="001107D6" w:rsidRPr="00CC562A">
        <w:rPr>
          <w:rFonts w:ascii="Cambria" w:eastAsia="Cambria" w:hAnsi="Cambria" w:cs="Cambria"/>
          <w:sz w:val="20"/>
          <w:szCs w:val="20"/>
          <w:lang w:val="en-US"/>
        </w:rPr>
        <w:t xml:space="preserve">ted that the institution to which they were </w:t>
      </w:r>
      <w:r w:rsidR="001107D6" w:rsidRPr="00CC562A">
        <w:rPr>
          <w:rFonts w:ascii="Cambria" w:eastAsia="Cambria" w:hAnsi="Cambria" w:cs="Cambria"/>
          <w:sz w:val="20"/>
          <w:szCs w:val="20"/>
          <w:lang w:val="en-US"/>
        </w:rPr>
        <w:lastRenderedPageBreak/>
        <w:t xml:space="preserve">referred was not close to their residence and five indicated that it was in a state other than the state where they reside. Seventy-three percent of those who were referred to other medical institutions did not receive support for transfers ordered by the </w:t>
      </w:r>
      <w:r w:rsidR="2DED9AFD" w:rsidRPr="00CC562A">
        <w:rPr>
          <w:rFonts w:ascii="Cambria" w:eastAsia="Cambria" w:hAnsi="Cambria" w:cs="Cambria"/>
          <w:sz w:val="20"/>
          <w:szCs w:val="20"/>
          <w:lang w:val="en-US"/>
        </w:rPr>
        <w:t>CEAV. A</w:t>
      </w:r>
      <w:r w:rsidR="001107D6" w:rsidRPr="00CC562A">
        <w:rPr>
          <w:rFonts w:ascii="Cambria" w:eastAsia="Cambria" w:hAnsi="Cambria" w:cs="Cambria"/>
          <w:sz w:val="20"/>
          <w:szCs w:val="20"/>
          <w:lang w:val="en-US"/>
        </w:rPr>
        <w:t xml:space="preserve">dded to this, </w:t>
      </w:r>
      <w:r w:rsidR="2DED9AFD" w:rsidRPr="00CC562A">
        <w:rPr>
          <w:rFonts w:ascii="Cambria" w:eastAsia="Cambria" w:hAnsi="Cambria" w:cs="Cambria"/>
          <w:sz w:val="20"/>
          <w:szCs w:val="20"/>
          <w:lang w:val="en-US"/>
        </w:rPr>
        <w:t>35.48% indic</w:t>
      </w:r>
      <w:r w:rsidR="001107D6" w:rsidRPr="00CC562A">
        <w:rPr>
          <w:rFonts w:ascii="Cambria" w:eastAsia="Cambria" w:hAnsi="Cambria" w:cs="Cambria"/>
          <w:sz w:val="20"/>
          <w:szCs w:val="20"/>
          <w:lang w:val="en-US"/>
        </w:rPr>
        <w:t xml:space="preserve">ated they had not received information on the treatment they needed and </w:t>
      </w:r>
      <w:r w:rsidR="2DED9AFD" w:rsidRPr="00CC562A">
        <w:rPr>
          <w:rFonts w:ascii="Cambria" w:eastAsia="Cambria" w:hAnsi="Cambria" w:cs="Cambria"/>
          <w:sz w:val="20"/>
          <w:szCs w:val="20"/>
          <w:lang w:val="en-US"/>
        </w:rPr>
        <w:t>35.48</w:t>
      </w:r>
      <w:r w:rsidR="4A79BA5A" w:rsidRPr="00CC562A">
        <w:rPr>
          <w:rFonts w:ascii="Cambria" w:eastAsia="Cambria" w:hAnsi="Cambria" w:cs="Cambria"/>
          <w:sz w:val="20"/>
          <w:szCs w:val="20"/>
          <w:lang w:val="en-US"/>
        </w:rPr>
        <w:t xml:space="preserve"> </w:t>
      </w:r>
      <w:r w:rsidR="2DED9AFD" w:rsidRPr="00CC562A">
        <w:rPr>
          <w:rFonts w:ascii="Cambria" w:eastAsia="Cambria" w:hAnsi="Cambria" w:cs="Cambria"/>
          <w:sz w:val="20"/>
          <w:szCs w:val="20"/>
          <w:lang w:val="en-US"/>
        </w:rPr>
        <w:t>% indic</w:t>
      </w:r>
      <w:r w:rsidR="001107D6" w:rsidRPr="00CC562A">
        <w:rPr>
          <w:rFonts w:ascii="Cambria" w:eastAsia="Cambria" w:hAnsi="Cambria" w:cs="Cambria"/>
          <w:sz w:val="20"/>
          <w:szCs w:val="20"/>
          <w:lang w:val="en-US"/>
        </w:rPr>
        <w:t>ated that the institution to which they were referred did not have specialists in their disease.</w:t>
      </w:r>
      <w:r w:rsidR="2DED9AFD" w:rsidRPr="00CC562A">
        <w:rPr>
          <w:rFonts w:ascii="Cambria" w:eastAsia="Cambria" w:hAnsi="Cambria" w:cs="Cambria"/>
          <w:sz w:val="20"/>
          <w:szCs w:val="20"/>
          <w:lang w:val="en-US"/>
        </w:rPr>
        <w:t xml:space="preserve"> </w:t>
      </w:r>
    </w:p>
    <w:p w14:paraId="19D19064" w14:textId="23D79E67" w:rsidR="00DB71FA" w:rsidRPr="00CC562A" w:rsidRDefault="001107D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w:t>
      </w:r>
      <w:r w:rsidR="1EB29F69" w:rsidRPr="00CC562A">
        <w:rPr>
          <w:rFonts w:ascii="Cambria" w:eastAsia="Cambria" w:hAnsi="Cambria" w:cs="Cambria"/>
          <w:sz w:val="20"/>
          <w:szCs w:val="20"/>
          <w:lang w:val="en-US"/>
        </w:rPr>
        <w:t xml:space="preserve"> </w:t>
      </w:r>
      <w:r w:rsidR="1EB29F69" w:rsidRPr="00CC562A">
        <w:rPr>
          <w:rFonts w:ascii="Cambria" w:eastAsia="Cambria" w:hAnsi="Cambria" w:cs="Times New Roman"/>
          <w:sz w:val="20"/>
          <w:szCs w:val="20"/>
          <w:lang w:val="en-US"/>
        </w:rPr>
        <w:t xml:space="preserve">CMDPDH </w:t>
      </w:r>
      <w:r w:rsidRPr="00CC562A">
        <w:rPr>
          <w:rFonts w:ascii="Cambria" w:eastAsia="Cambria" w:hAnsi="Cambria" w:cs="Times New Roman"/>
          <w:sz w:val="20"/>
          <w:szCs w:val="20"/>
          <w:lang w:val="en-US"/>
        </w:rPr>
        <w:t>reported</w:t>
      </w:r>
      <w:r w:rsidR="006364A9" w:rsidRPr="00CC562A">
        <w:rPr>
          <w:rStyle w:val="FootnoteReference"/>
          <w:rFonts w:ascii="Cambria" w:eastAsia="Cambria" w:hAnsi="Cambria" w:cs="Times New Roman"/>
          <w:sz w:val="20"/>
          <w:szCs w:val="20"/>
          <w:lang w:val="en-US"/>
        </w:rPr>
        <w:footnoteReference w:id="179"/>
      </w:r>
      <w:r w:rsidR="1EB29F69" w:rsidRPr="00CC562A">
        <w:rPr>
          <w:rFonts w:ascii="Cambria" w:eastAsia="Cambria" w:hAnsi="Cambria" w:cs="Times New Roman"/>
          <w:sz w:val="20"/>
          <w:szCs w:val="20"/>
          <w:lang w:val="en-US"/>
        </w:rPr>
        <w:t xml:space="preserve"> </w:t>
      </w:r>
      <w:r w:rsidRPr="00CC562A">
        <w:rPr>
          <w:rFonts w:ascii="Cambria" w:eastAsia="Cambria" w:hAnsi="Cambria" w:cs="Times New Roman"/>
          <w:sz w:val="20"/>
          <w:szCs w:val="20"/>
          <w:lang w:val="en-US"/>
        </w:rPr>
        <w:t>that the</w:t>
      </w:r>
      <w:r w:rsidR="1EB29F69" w:rsidRPr="00CC562A">
        <w:rPr>
          <w:rFonts w:ascii="Cambria" w:eastAsia="Cambria" w:hAnsi="Cambria" w:cs="Times New Roman"/>
          <w:sz w:val="20"/>
          <w:szCs w:val="20"/>
          <w:lang w:val="en-US"/>
        </w:rPr>
        <w:t xml:space="preserve"> CEA</w:t>
      </w:r>
      <w:r w:rsidR="0CFC1E15" w:rsidRPr="00CC562A">
        <w:rPr>
          <w:rFonts w:ascii="Cambria" w:eastAsia="Cambria" w:hAnsi="Cambria" w:cs="Times New Roman"/>
          <w:sz w:val="20"/>
          <w:szCs w:val="20"/>
          <w:lang w:val="en-US"/>
        </w:rPr>
        <w:t xml:space="preserve">V </w:t>
      </w:r>
      <w:r w:rsidR="1EB29F69" w:rsidRPr="00CC562A">
        <w:rPr>
          <w:rFonts w:ascii="Cambria" w:eastAsia="Cambria" w:hAnsi="Cambria" w:cs="Times New Roman"/>
          <w:sz w:val="20"/>
          <w:szCs w:val="20"/>
          <w:lang w:val="en-US"/>
        </w:rPr>
        <w:t>respond</w:t>
      </w:r>
      <w:r w:rsidRPr="00CC562A">
        <w:rPr>
          <w:rFonts w:ascii="Cambria" w:eastAsia="Cambria" w:hAnsi="Cambria" w:cs="Times New Roman"/>
          <w:sz w:val="20"/>
          <w:szCs w:val="20"/>
          <w:lang w:val="en-US"/>
        </w:rPr>
        <w:t>ed to the</w:t>
      </w:r>
      <w:r w:rsidR="00417DAF" w:rsidRPr="00CC562A">
        <w:rPr>
          <w:rFonts w:ascii="Cambria" w:eastAsia="Cambria" w:hAnsi="Cambria" w:cs="Times New Roman"/>
          <w:sz w:val="20"/>
          <w:szCs w:val="20"/>
          <w:lang w:val="en-US"/>
        </w:rPr>
        <w:t xml:space="preserve"> petition brief that was submitted asking them to initiate the procedures necessary to establish a Truth and Historical Memory Commission, indicating that the institution lacks powers </w:t>
      </w:r>
      <w:proofErr w:type="gramStart"/>
      <w:r w:rsidR="00417DAF" w:rsidRPr="00CC562A">
        <w:rPr>
          <w:rFonts w:ascii="Cambria" w:eastAsia="Cambria" w:hAnsi="Cambria" w:cs="Times New Roman"/>
          <w:sz w:val="20"/>
          <w:szCs w:val="20"/>
          <w:lang w:val="en-US"/>
        </w:rPr>
        <w:t>with regard to</w:t>
      </w:r>
      <w:proofErr w:type="gramEnd"/>
      <w:r w:rsidR="00417DAF" w:rsidRPr="00CC562A">
        <w:rPr>
          <w:rFonts w:ascii="Cambria" w:eastAsia="Cambria" w:hAnsi="Cambria" w:cs="Times New Roman"/>
          <w:sz w:val="20"/>
          <w:szCs w:val="20"/>
          <w:lang w:val="en-US"/>
        </w:rPr>
        <w:t xml:space="preserve"> the Truth and Historical Memory Commission and the International Mechanism against Impunity</w:t>
      </w:r>
      <w:r w:rsidR="1EB29F69" w:rsidRPr="00CC562A">
        <w:rPr>
          <w:rFonts w:ascii="Cambria" w:eastAsia="Cambria" w:hAnsi="Cambria" w:cs="Times New Roman"/>
          <w:sz w:val="20"/>
          <w:szCs w:val="20"/>
          <w:lang w:val="en-US"/>
        </w:rPr>
        <w:t xml:space="preserve">. </w:t>
      </w:r>
      <w:r w:rsidR="00752FED" w:rsidRPr="00CC562A">
        <w:rPr>
          <w:rFonts w:ascii="Cambria" w:eastAsia="Cambria" w:hAnsi="Cambria" w:cs="Times New Roman"/>
          <w:sz w:val="20"/>
          <w:szCs w:val="20"/>
          <w:lang w:val="en-US"/>
        </w:rPr>
        <w:t>Nonetheless,</w:t>
      </w:r>
      <w:r w:rsidR="1EB29F69" w:rsidRPr="00CC562A">
        <w:rPr>
          <w:rFonts w:ascii="Cambria" w:eastAsia="Cambria" w:hAnsi="Cambria" w:cs="Times New Roman"/>
          <w:sz w:val="20"/>
          <w:szCs w:val="20"/>
          <w:lang w:val="en-US"/>
        </w:rPr>
        <w:t xml:space="preserve"> </w:t>
      </w:r>
      <w:proofErr w:type="gramStart"/>
      <w:r w:rsidR="00417DAF" w:rsidRPr="00CC562A">
        <w:rPr>
          <w:rFonts w:ascii="Cambria" w:eastAsia="Cambria" w:hAnsi="Cambria" w:cs="Times New Roman"/>
          <w:sz w:val="20"/>
          <w:szCs w:val="20"/>
          <w:lang w:val="en-US"/>
        </w:rPr>
        <w:t>with regard to</w:t>
      </w:r>
      <w:proofErr w:type="gramEnd"/>
      <w:r w:rsidR="00417DAF" w:rsidRPr="00CC562A">
        <w:rPr>
          <w:rFonts w:ascii="Cambria" w:eastAsia="Cambria" w:hAnsi="Cambria" w:cs="Times New Roman"/>
          <w:sz w:val="20"/>
          <w:szCs w:val="20"/>
          <w:lang w:val="en-US"/>
        </w:rPr>
        <w:t xml:space="preserve"> the establishment of an Extraordinary Reparation Model, </w:t>
      </w:r>
      <w:r w:rsidR="00133FB6" w:rsidRPr="00CC562A">
        <w:rPr>
          <w:rFonts w:ascii="Cambria" w:eastAsia="Cambria" w:hAnsi="Cambria" w:cs="Times New Roman"/>
          <w:sz w:val="20"/>
          <w:szCs w:val="20"/>
          <w:lang w:val="en-US"/>
        </w:rPr>
        <w:t xml:space="preserve">it </w:t>
      </w:r>
      <w:r w:rsidR="00417DAF" w:rsidRPr="00CC562A">
        <w:rPr>
          <w:rFonts w:ascii="Cambria" w:eastAsia="Cambria" w:hAnsi="Cambria" w:cs="Times New Roman"/>
          <w:sz w:val="20"/>
          <w:szCs w:val="20"/>
          <w:lang w:val="en-US"/>
        </w:rPr>
        <w:t xml:space="preserve">limited itself to saying that its action will be carried out in the context of the Commission for Access to the Truth, Historical Clarification, and the Promotion of Justice for serious human rights violations committed from </w:t>
      </w:r>
      <w:r w:rsidR="1EB29F69" w:rsidRPr="00CC562A">
        <w:rPr>
          <w:rFonts w:ascii="Cambria" w:eastAsia="Cambria" w:hAnsi="Cambria" w:cs="Times New Roman"/>
          <w:sz w:val="20"/>
          <w:szCs w:val="20"/>
          <w:lang w:val="en-US"/>
        </w:rPr>
        <w:t xml:space="preserve">1965 </w:t>
      </w:r>
      <w:r w:rsidR="00417DAF" w:rsidRPr="00CC562A">
        <w:rPr>
          <w:rFonts w:ascii="Cambria" w:eastAsia="Cambria" w:hAnsi="Cambria" w:cs="Times New Roman"/>
          <w:sz w:val="20"/>
          <w:szCs w:val="20"/>
          <w:lang w:val="en-US"/>
        </w:rPr>
        <w:t>to</w:t>
      </w:r>
      <w:r w:rsidR="1EB29F69" w:rsidRPr="00CC562A">
        <w:rPr>
          <w:rFonts w:ascii="Cambria" w:eastAsia="Cambria" w:hAnsi="Cambria" w:cs="Times New Roman"/>
          <w:sz w:val="20"/>
          <w:szCs w:val="20"/>
          <w:lang w:val="en-US"/>
        </w:rPr>
        <w:t xml:space="preserve"> 1990 </w:t>
      </w:r>
      <w:r w:rsidR="00417DAF" w:rsidRPr="00CC562A">
        <w:rPr>
          <w:rFonts w:ascii="Cambria" w:eastAsia="Cambria" w:hAnsi="Cambria" w:cs="Times New Roman"/>
          <w:sz w:val="20"/>
          <w:szCs w:val="20"/>
          <w:lang w:val="en-US"/>
        </w:rPr>
        <w:t xml:space="preserve">without referring to the possibility that civil </w:t>
      </w:r>
      <w:r w:rsidR="00C80FE5" w:rsidRPr="00CC562A">
        <w:rPr>
          <w:rFonts w:ascii="Cambria" w:eastAsia="Cambria" w:hAnsi="Cambria" w:cs="Times New Roman"/>
          <w:sz w:val="20"/>
          <w:szCs w:val="20"/>
          <w:lang w:val="en-US"/>
        </w:rPr>
        <w:t>society might</w:t>
      </w:r>
      <w:r w:rsidR="00417DAF" w:rsidRPr="00CC562A">
        <w:rPr>
          <w:rFonts w:ascii="Cambria" w:eastAsia="Cambria" w:hAnsi="Cambria" w:cs="Times New Roman"/>
          <w:sz w:val="20"/>
          <w:szCs w:val="20"/>
          <w:lang w:val="en-US"/>
        </w:rPr>
        <w:t xml:space="preserve"> participate actively in the reparation process</w:t>
      </w:r>
      <w:r w:rsidR="1EB29F69" w:rsidRPr="00CC562A">
        <w:rPr>
          <w:rFonts w:ascii="Cambria" w:eastAsia="Cambria" w:hAnsi="Cambria" w:cs="Times New Roman"/>
          <w:sz w:val="20"/>
          <w:szCs w:val="20"/>
          <w:lang w:val="en-US"/>
        </w:rPr>
        <w:t xml:space="preserve">. </w:t>
      </w:r>
    </w:p>
    <w:p w14:paraId="0D6805D3" w14:textId="5A5888D9" w:rsidR="00DB71FA" w:rsidRPr="00CC562A" w:rsidRDefault="002766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The IACHR</w:t>
      </w:r>
      <w:r w:rsidR="148B2797" w:rsidRPr="00CC562A">
        <w:rPr>
          <w:rFonts w:ascii="Cambria" w:hAnsi="Cambria"/>
          <w:sz w:val="20"/>
          <w:szCs w:val="20"/>
          <w:lang w:val="en-US"/>
        </w:rPr>
        <w:t xml:space="preserve"> </w:t>
      </w:r>
      <w:r w:rsidR="00FF4CF6" w:rsidRPr="00CC562A">
        <w:rPr>
          <w:rFonts w:ascii="Cambria" w:hAnsi="Cambria"/>
          <w:sz w:val="20"/>
          <w:szCs w:val="20"/>
          <w:lang w:val="en-US"/>
        </w:rPr>
        <w:t xml:space="preserve">notes the information provided by IDHEAS and the results of the survey conducted that depicts the </w:t>
      </w:r>
      <w:r w:rsidR="0CFC1E15" w:rsidRPr="00CC562A">
        <w:rPr>
          <w:rFonts w:ascii="Cambria" w:hAnsi="Cambria"/>
          <w:sz w:val="20"/>
          <w:szCs w:val="20"/>
          <w:lang w:val="en-US"/>
        </w:rPr>
        <w:t>CEAV</w:t>
      </w:r>
      <w:r w:rsidR="00FF4CF6" w:rsidRPr="00CC562A">
        <w:rPr>
          <w:rFonts w:ascii="Cambria" w:hAnsi="Cambria"/>
          <w:sz w:val="20"/>
          <w:szCs w:val="20"/>
          <w:lang w:val="en-US"/>
        </w:rPr>
        <w:t>’s challenges</w:t>
      </w:r>
      <w:r w:rsidR="0CFC1E15" w:rsidRPr="00CC562A">
        <w:rPr>
          <w:rFonts w:ascii="Cambria" w:hAnsi="Cambria"/>
          <w:sz w:val="20"/>
          <w:szCs w:val="20"/>
          <w:lang w:val="en-US"/>
        </w:rPr>
        <w:t xml:space="preserve"> </w:t>
      </w:r>
      <w:r w:rsidR="00FF4CF6" w:rsidRPr="00CC562A">
        <w:rPr>
          <w:rFonts w:ascii="Cambria" w:hAnsi="Cambria"/>
          <w:sz w:val="20"/>
          <w:szCs w:val="20"/>
          <w:lang w:val="en-US"/>
        </w:rPr>
        <w:t xml:space="preserve">in providing the supports established in the law, as well as in the responses to requests, denying them by arguing the lack of resources and with the justification that health </w:t>
      </w:r>
      <w:r w:rsidR="00C80FE5" w:rsidRPr="00CC562A">
        <w:rPr>
          <w:rFonts w:ascii="Cambria" w:hAnsi="Cambria"/>
          <w:sz w:val="20"/>
          <w:szCs w:val="20"/>
          <w:lang w:val="en-US"/>
        </w:rPr>
        <w:t>complaints are</w:t>
      </w:r>
      <w:r w:rsidR="00FF4CF6" w:rsidRPr="00CC562A">
        <w:rPr>
          <w:rFonts w:ascii="Cambria" w:hAnsi="Cambria"/>
          <w:sz w:val="20"/>
          <w:szCs w:val="20"/>
          <w:lang w:val="en-US"/>
        </w:rPr>
        <w:t xml:space="preserve"> not directly related to the fact of </w:t>
      </w:r>
      <w:r w:rsidR="00133FB6" w:rsidRPr="00CC562A">
        <w:rPr>
          <w:rFonts w:ascii="Cambria" w:hAnsi="Cambria"/>
          <w:sz w:val="20"/>
          <w:szCs w:val="20"/>
          <w:lang w:val="en-US"/>
        </w:rPr>
        <w:t>having been</w:t>
      </w:r>
      <w:r w:rsidR="00FF4CF6" w:rsidRPr="00CC562A">
        <w:rPr>
          <w:rFonts w:ascii="Cambria" w:hAnsi="Cambria"/>
          <w:sz w:val="20"/>
          <w:szCs w:val="20"/>
          <w:lang w:val="en-US"/>
        </w:rPr>
        <w:t xml:space="preserve"> victimization.</w:t>
      </w:r>
      <w:r w:rsidR="0CFC1E15"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CFC1E15" w:rsidRPr="00CC562A">
        <w:rPr>
          <w:rFonts w:ascii="Cambria" w:eastAsia="Cambria" w:hAnsi="Cambria" w:cs="Cambria"/>
          <w:sz w:val="20"/>
          <w:szCs w:val="20"/>
          <w:lang w:val="en-US"/>
        </w:rPr>
        <w:t xml:space="preserve"> </w:t>
      </w:r>
      <w:r w:rsidR="00FF4CF6" w:rsidRPr="00CC562A">
        <w:rPr>
          <w:rFonts w:ascii="Cambria" w:eastAsia="Cambria" w:hAnsi="Cambria" w:cs="Cambria"/>
          <w:sz w:val="20"/>
          <w:szCs w:val="20"/>
          <w:lang w:val="en-US"/>
        </w:rPr>
        <w:t xml:space="preserve">the Commission recognizes the institutional structure of the Mexican State, although it notes that State’s omissions in </w:t>
      </w:r>
      <w:r w:rsidR="00133FB6" w:rsidRPr="00CC562A">
        <w:rPr>
          <w:rFonts w:ascii="Cambria" w:eastAsia="Cambria" w:hAnsi="Cambria" w:cs="Cambria"/>
          <w:sz w:val="20"/>
          <w:szCs w:val="20"/>
          <w:lang w:val="en-US"/>
        </w:rPr>
        <w:t>providing</w:t>
      </w:r>
      <w:r w:rsidR="00FF4CF6" w:rsidRPr="00CC562A">
        <w:rPr>
          <w:rFonts w:ascii="Cambria" w:eastAsia="Cambria" w:hAnsi="Cambria" w:cs="Cambria"/>
          <w:sz w:val="20"/>
          <w:szCs w:val="20"/>
          <w:lang w:val="en-US"/>
        </w:rPr>
        <w:t xml:space="preserve"> material care for victims due to the lack of public resources and inter-institutional coordination that make it difficult for people to access comprehensive reparation</w:t>
      </w:r>
      <w:r w:rsidR="00133FB6" w:rsidRPr="00CC562A">
        <w:rPr>
          <w:rFonts w:ascii="Cambria" w:eastAsia="Cambria" w:hAnsi="Cambria" w:cs="Cambria"/>
          <w:sz w:val="20"/>
          <w:szCs w:val="20"/>
          <w:lang w:val="en-US"/>
        </w:rPr>
        <w:t>s</w:t>
      </w:r>
      <w:r w:rsidR="00FF4CF6" w:rsidRPr="00CC562A">
        <w:rPr>
          <w:rFonts w:ascii="Cambria" w:eastAsia="Cambria" w:hAnsi="Cambria" w:cs="Cambria"/>
          <w:sz w:val="20"/>
          <w:szCs w:val="20"/>
          <w:lang w:val="en-US"/>
        </w:rPr>
        <w:t>. In addition, the Commission notes the failure to create local commission</w:t>
      </w:r>
      <w:r w:rsidR="00133FB6" w:rsidRPr="00CC562A">
        <w:rPr>
          <w:rFonts w:ascii="Cambria" w:eastAsia="Cambria" w:hAnsi="Cambria" w:cs="Cambria"/>
          <w:sz w:val="20"/>
          <w:szCs w:val="20"/>
          <w:lang w:val="en-US"/>
        </w:rPr>
        <w:t>s</w:t>
      </w:r>
      <w:r w:rsidR="00FF4CF6" w:rsidRPr="00CC562A">
        <w:rPr>
          <w:rFonts w:ascii="Cambria" w:eastAsia="Cambria" w:hAnsi="Cambria" w:cs="Cambria"/>
          <w:sz w:val="20"/>
          <w:szCs w:val="20"/>
          <w:lang w:val="en-US"/>
        </w:rPr>
        <w:t xml:space="preserve"> in some states, as well as the harmonization of the law at the local level</w:t>
      </w:r>
      <w:r w:rsidR="774EF67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IACHR</w:t>
      </w:r>
      <w:r w:rsidR="148B2797" w:rsidRPr="00CC562A">
        <w:rPr>
          <w:rFonts w:ascii="Cambria" w:eastAsia="Cambria" w:hAnsi="Cambria" w:cs="Cambria"/>
          <w:sz w:val="20"/>
          <w:szCs w:val="20"/>
          <w:lang w:val="en-US"/>
        </w:rPr>
        <w:t xml:space="preserve"> </w:t>
      </w:r>
      <w:r w:rsidR="00FF4CF6" w:rsidRPr="00CC562A">
        <w:rPr>
          <w:rFonts w:ascii="Cambria" w:eastAsia="Cambria" w:hAnsi="Cambria" w:cs="Cambria"/>
          <w:sz w:val="20"/>
          <w:szCs w:val="20"/>
          <w:lang w:val="en-US"/>
        </w:rPr>
        <w:t xml:space="preserve">urges the State to continue strengthening the National System for Victim Care, although it does not overlook the achievements that have been </w:t>
      </w:r>
      <w:r w:rsidR="00133FB6" w:rsidRPr="00CC562A">
        <w:rPr>
          <w:rFonts w:ascii="Cambria" w:eastAsia="Cambria" w:hAnsi="Cambria" w:cs="Cambria"/>
          <w:sz w:val="20"/>
          <w:szCs w:val="20"/>
          <w:lang w:val="en-US"/>
        </w:rPr>
        <w:t>made</w:t>
      </w:r>
      <w:r w:rsidR="00FF4CF6" w:rsidRPr="00CC562A">
        <w:rPr>
          <w:rFonts w:ascii="Cambria" w:eastAsia="Cambria" w:hAnsi="Cambria" w:cs="Cambria"/>
          <w:sz w:val="20"/>
          <w:szCs w:val="20"/>
          <w:lang w:val="en-US"/>
        </w:rPr>
        <w:t xml:space="preserve"> in the time since it was created. For that reason, there is </w:t>
      </w:r>
      <w:r w:rsidR="00FF4CF6" w:rsidRPr="00CC562A">
        <w:rPr>
          <w:rFonts w:ascii="Cambria" w:eastAsia="Cambria" w:hAnsi="Cambria" w:cs="Cambria"/>
          <w:b/>
          <w:bCs/>
          <w:sz w:val="20"/>
          <w:szCs w:val="20"/>
          <w:lang w:val="en-US"/>
        </w:rPr>
        <w:t xml:space="preserve">partial compliance </w:t>
      </w:r>
      <w:r w:rsidR="00FF4CF6" w:rsidRPr="00CC562A">
        <w:rPr>
          <w:rFonts w:ascii="Cambria" w:eastAsia="Cambria" w:hAnsi="Cambria" w:cs="Cambria"/>
          <w:sz w:val="20"/>
          <w:szCs w:val="20"/>
          <w:lang w:val="en-US"/>
        </w:rPr>
        <w:t>with the recommendation</w:t>
      </w:r>
      <w:r w:rsidR="148B2797" w:rsidRPr="00CC562A">
        <w:rPr>
          <w:rFonts w:ascii="Cambria" w:eastAsia="Cambria" w:hAnsi="Cambria" w:cs="Cambria"/>
          <w:b/>
          <w:bCs/>
          <w:sz w:val="20"/>
          <w:szCs w:val="20"/>
          <w:lang w:val="en-US"/>
        </w:rPr>
        <w:t>.</w:t>
      </w:r>
      <w:r w:rsidR="148B2797" w:rsidRPr="00CC562A">
        <w:rPr>
          <w:rFonts w:ascii="Cambria" w:eastAsia="Cambria" w:hAnsi="Cambria" w:cs="Cambria"/>
          <w:sz w:val="20"/>
          <w:szCs w:val="20"/>
          <w:lang w:val="en-US"/>
        </w:rPr>
        <w:t xml:space="preserve">  </w:t>
      </w:r>
    </w:p>
    <w:p w14:paraId="495585EA" w14:textId="25263EDF" w:rsidR="00DB71FA" w:rsidRPr="00CC562A" w:rsidRDefault="00FF4CF6" w:rsidP="00BE66B0">
      <w:pPr>
        <w:numPr>
          <w:ilvl w:val="0"/>
          <w:numId w:val="2"/>
        </w:numPr>
        <w:spacing w:before="240" w:line="240" w:lineRule="auto"/>
        <w:ind w:left="0" w:firstLine="720"/>
        <w:jc w:val="both"/>
        <w:rPr>
          <w:rFonts w:ascii="Cambria" w:hAnsi="Cambria"/>
          <w:sz w:val="20"/>
          <w:lang w:val="en-US"/>
        </w:rPr>
      </w:pPr>
      <w:r w:rsidRPr="00CC562A">
        <w:rPr>
          <w:rFonts w:ascii="Cambria" w:eastAsia="Cambria" w:hAnsi="Cambria" w:cs="Cambria"/>
          <w:sz w:val="20"/>
          <w:szCs w:val="20"/>
          <w:lang w:val="en-US"/>
        </w:rPr>
        <w:t>With a view to guiding compliance with this recommendation, the</w:t>
      </w:r>
      <w:r w:rsidR="00E8033B" w:rsidRPr="00CC562A">
        <w:rPr>
          <w:rFonts w:ascii="Cambria" w:eastAsia="Cambria" w:hAnsi="Cambria" w:cs="Cambria"/>
          <w:sz w:val="20"/>
          <w:szCs w:val="20"/>
          <w:lang w:val="en-US"/>
        </w:rPr>
        <w:t xml:space="preserve"> Commission sees fit to suggest</w:t>
      </w:r>
      <w:r w:rsidRPr="00CC562A">
        <w:rPr>
          <w:rFonts w:ascii="Cambria" w:eastAsia="Cambria" w:hAnsi="Cambria" w:cs="Cambria"/>
          <w:sz w:val="20"/>
          <w:szCs w:val="20"/>
          <w:lang w:val="en-US"/>
        </w:rPr>
        <w:t xml:space="preserve"> that the State adopt additional measures to ensure the effective implementation of the General Law on Victims and to overcome obstacles such as those mentioned with respect to access to health and access to comprehensive reparation</w:t>
      </w:r>
      <w:r w:rsidR="00133FB6"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among others. For this reason, the Commission asks that the institutions charged with implementation of the General Law on Victims act in coordination with the victims and strengthen their internal processes </w:t>
      </w:r>
      <w:proofErr w:type="gramStart"/>
      <w:r w:rsidRPr="00CC562A">
        <w:rPr>
          <w:rFonts w:ascii="Cambria" w:eastAsia="Cambria" w:hAnsi="Cambria" w:cs="Cambria"/>
          <w:sz w:val="20"/>
          <w:szCs w:val="20"/>
          <w:lang w:val="en-US"/>
        </w:rPr>
        <w:t>so as to</w:t>
      </w:r>
      <w:proofErr w:type="gramEnd"/>
      <w:r w:rsidRPr="00CC562A">
        <w:rPr>
          <w:rFonts w:ascii="Cambria" w:eastAsia="Cambria" w:hAnsi="Cambria" w:cs="Cambria"/>
          <w:sz w:val="20"/>
          <w:szCs w:val="20"/>
          <w:lang w:val="en-US"/>
        </w:rPr>
        <w:t xml:space="preserve"> allow for the application and operation of the law at both the federal and state level, ensuring that all states have a law and a </w:t>
      </w:r>
      <w:r w:rsidR="00C80FE5" w:rsidRPr="00CC562A">
        <w:rPr>
          <w:rFonts w:ascii="Cambria" w:eastAsia="Cambria" w:hAnsi="Cambria" w:cs="Cambria"/>
          <w:sz w:val="20"/>
          <w:szCs w:val="20"/>
          <w:lang w:val="en-US"/>
        </w:rPr>
        <w:t>victim’s</w:t>
      </w:r>
      <w:r w:rsidRPr="00CC562A">
        <w:rPr>
          <w:rFonts w:ascii="Cambria" w:eastAsia="Cambria" w:hAnsi="Cambria" w:cs="Cambria"/>
          <w:sz w:val="20"/>
          <w:szCs w:val="20"/>
          <w:lang w:val="en-US"/>
        </w:rPr>
        <w:t xml:space="preserve"> commission in operatio</w:t>
      </w:r>
      <w:r w:rsidR="00133FB6" w:rsidRPr="00CC562A">
        <w:rPr>
          <w:rFonts w:ascii="Cambria" w:eastAsia="Cambria" w:hAnsi="Cambria" w:cs="Cambria"/>
          <w:sz w:val="20"/>
          <w:szCs w:val="20"/>
          <w:lang w:val="en-US"/>
        </w:rPr>
        <w:t>n</w:t>
      </w:r>
      <w:r w:rsidR="774EF675" w:rsidRPr="00CC562A">
        <w:rPr>
          <w:rFonts w:ascii="Cambria" w:eastAsia="Cambria" w:hAnsi="Cambria" w:cs="Cambria"/>
          <w:sz w:val="20"/>
          <w:szCs w:val="20"/>
          <w:lang w:val="en-US"/>
        </w:rPr>
        <w:t xml:space="preserve">. </w:t>
      </w:r>
      <w:r w:rsidR="00043EFA" w:rsidRPr="00CC562A">
        <w:rPr>
          <w:rFonts w:ascii="Cambria" w:hAnsi="Cambria"/>
          <w:sz w:val="20"/>
          <w:lang w:val="en-US"/>
        </w:rPr>
        <w:t>The Commission also invites the State to provide information regarding the type and number of services that are provided to the victims</w:t>
      </w:r>
      <w:r w:rsidR="00BE66B0" w:rsidRPr="00CC562A">
        <w:rPr>
          <w:rFonts w:ascii="Cambria" w:hAnsi="Cambria"/>
          <w:sz w:val="20"/>
          <w:lang w:val="en-US"/>
        </w:rPr>
        <w:t xml:space="preserve">. </w:t>
      </w:r>
    </w:p>
    <w:p w14:paraId="33F6D517" w14:textId="2A8F15BF" w:rsidR="00DA4A6D" w:rsidRPr="00CC562A" w:rsidRDefault="00AA2032"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regard to the recommendation concerning </w:t>
      </w:r>
      <w:r w:rsidRPr="00CC562A">
        <w:rPr>
          <w:rFonts w:ascii="Cambria" w:hAnsi="Cambria"/>
          <w:b/>
          <w:bCs/>
          <w:sz w:val="20"/>
          <w:szCs w:val="20"/>
          <w:lang w:val="en-US"/>
        </w:rPr>
        <w:t>accountability for serious human rights violations and investigation and punishment of the events of the so-called Dirty War</w:t>
      </w:r>
      <w:r w:rsidR="6887544F"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7DF8A96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reported in 2021 on the creation of a truth commission on this subject.</w:t>
      </w:r>
      <w:r w:rsidR="006C5BEE" w:rsidRPr="00CC562A">
        <w:rPr>
          <w:rStyle w:val="FootnoteReference"/>
          <w:rFonts w:ascii="Cambria" w:eastAsia="Cambria" w:hAnsi="Cambria" w:cs="Cambria"/>
          <w:sz w:val="20"/>
          <w:szCs w:val="20"/>
          <w:lang w:val="en-US"/>
        </w:rPr>
        <w:footnoteReference w:id="180"/>
      </w:r>
      <w:r w:rsidRPr="00CC562A">
        <w:rPr>
          <w:rFonts w:ascii="Cambria" w:eastAsia="Cambria" w:hAnsi="Cambria" w:cs="Cambria"/>
          <w:sz w:val="20"/>
          <w:szCs w:val="20"/>
          <w:lang w:val="en-US"/>
        </w:rPr>
        <w:t xml:space="preserve"> </w:t>
      </w:r>
      <w:r w:rsidR="5A0BB90B"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5A0BB90B"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5A0BB90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has known that the </w:t>
      </w:r>
      <w:r w:rsidR="5A0BB90B" w:rsidRPr="00CC562A">
        <w:rPr>
          <w:rFonts w:ascii="Cambria" w:eastAsia="Cambria" w:hAnsi="Cambria" w:cs="Cambria"/>
          <w:sz w:val="20"/>
          <w:szCs w:val="20"/>
          <w:lang w:val="en-US"/>
        </w:rPr>
        <w:t xml:space="preserve">COVEH </w:t>
      </w:r>
      <w:r w:rsidR="6158B3A0" w:rsidRPr="00CC562A">
        <w:rPr>
          <w:rFonts w:ascii="Cambria" w:eastAsia="Cambria" w:hAnsi="Cambria" w:cs="Cambria"/>
          <w:sz w:val="20"/>
          <w:szCs w:val="20"/>
          <w:lang w:val="en-US"/>
        </w:rPr>
        <w:t>func</w:t>
      </w:r>
      <w:r w:rsidRPr="00CC562A">
        <w:rPr>
          <w:rFonts w:ascii="Cambria" w:eastAsia="Cambria" w:hAnsi="Cambria" w:cs="Cambria"/>
          <w:sz w:val="20"/>
          <w:szCs w:val="20"/>
          <w:lang w:val="en-US"/>
        </w:rPr>
        <w:t>tions by mean of five mechanisms, which</w:t>
      </w:r>
      <w:r w:rsidR="00133FB6" w:rsidRPr="00CC562A">
        <w:rPr>
          <w:rFonts w:ascii="Cambria" w:eastAsia="Cambria" w:hAnsi="Cambria" w:cs="Cambria"/>
          <w:sz w:val="20"/>
          <w:szCs w:val="20"/>
          <w:lang w:val="en-US"/>
        </w:rPr>
        <w:t xml:space="preserve"> were</w:t>
      </w:r>
      <w:r w:rsidRPr="00CC562A">
        <w:rPr>
          <w:rFonts w:ascii="Cambria" w:eastAsia="Cambria" w:hAnsi="Cambria" w:cs="Cambria"/>
          <w:sz w:val="20"/>
          <w:szCs w:val="20"/>
          <w:lang w:val="en-US"/>
        </w:rPr>
        <w:t xml:space="preserve"> the subject of agreement between the federal government and the survivors and family members of the disappeared and victims of human rights violations</w:t>
      </w:r>
      <w:r w:rsidR="5A0BB90B" w:rsidRPr="00CC562A">
        <w:rPr>
          <w:rFonts w:ascii="Cambria" w:eastAsia="Cambria" w:hAnsi="Cambria" w:cs="Cambria"/>
          <w:sz w:val="20"/>
          <w:szCs w:val="20"/>
          <w:lang w:val="en-US"/>
        </w:rPr>
        <w:t xml:space="preserve">: (a) </w:t>
      </w:r>
      <w:r w:rsidRPr="00CC562A">
        <w:rPr>
          <w:rFonts w:ascii="Cambria" w:eastAsia="Cambria" w:hAnsi="Cambria" w:cs="Cambria"/>
          <w:sz w:val="20"/>
          <w:szCs w:val="20"/>
          <w:lang w:val="en-US"/>
        </w:rPr>
        <w:t>Mechanism for the trut</w:t>
      </w:r>
      <w:r w:rsidR="00133FB6" w:rsidRPr="00CC562A">
        <w:rPr>
          <w:rFonts w:ascii="Cambria" w:eastAsia="Cambria" w:hAnsi="Cambria" w:cs="Cambria"/>
          <w:sz w:val="20"/>
          <w:szCs w:val="20"/>
          <w:lang w:val="en-US"/>
        </w:rPr>
        <w:t xml:space="preserve">h </w:t>
      </w:r>
      <w:r w:rsidRPr="00CC562A">
        <w:rPr>
          <w:rFonts w:ascii="Cambria" w:eastAsia="Cambria" w:hAnsi="Cambria" w:cs="Cambria"/>
          <w:sz w:val="20"/>
          <w:szCs w:val="20"/>
          <w:lang w:val="en-US"/>
        </w:rPr>
        <w:t>and historical clarification;</w:t>
      </w:r>
      <w:r w:rsidR="5A0BB90B" w:rsidRPr="00CC562A">
        <w:rPr>
          <w:rFonts w:ascii="Cambria" w:eastAsia="Cambria" w:hAnsi="Cambria" w:cs="Cambria"/>
          <w:sz w:val="20"/>
          <w:szCs w:val="20"/>
          <w:lang w:val="en-US"/>
        </w:rPr>
        <w:t xml:space="preserve"> (b) </w:t>
      </w:r>
      <w:r w:rsidRPr="00CC562A">
        <w:rPr>
          <w:rFonts w:ascii="Cambria" w:eastAsia="Cambria" w:hAnsi="Cambria" w:cs="Cambria"/>
          <w:sz w:val="20"/>
          <w:szCs w:val="20"/>
          <w:lang w:val="en-US"/>
        </w:rPr>
        <w:t>Committee for the promotion of justice</w:t>
      </w:r>
      <w:r w:rsidR="5A0BB90B" w:rsidRPr="00CC562A">
        <w:rPr>
          <w:rFonts w:ascii="Cambria" w:eastAsia="Cambria" w:hAnsi="Cambria" w:cs="Cambria"/>
          <w:sz w:val="20"/>
          <w:szCs w:val="20"/>
          <w:lang w:val="en-US"/>
        </w:rPr>
        <w:t xml:space="preserve">; (c) </w:t>
      </w:r>
      <w:r w:rsidRPr="00CC562A">
        <w:rPr>
          <w:rFonts w:ascii="Cambria" w:eastAsia="Cambria" w:hAnsi="Cambria" w:cs="Cambria"/>
          <w:sz w:val="20"/>
          <w:szCs w:val="20"/>
          <w:lang w:val="en-US"/>
        </w:rPr>
        <w:t>Special search plan</w:t>
      </w:r>
      <w:r w:rsidR="5A0BB90B" w:rsidRPr="00CC562A">
        <w:rPr>
          <w:rFonts w:ascii="Cambria" w:eastAsia="Cambria" w:hAnsi="Cambria" w:cs="Cambria"/>
          <w:sz w:val="20"/>
          <w:szCs w:val="20"/>
          <w:lang w:val="en-US"/>
        </w:rPr>
        <w:t xml:space="preserve">; (d) </w:t>
      </w:r>
      <w:r w:rsidRPr="00CC562A">
        <w:rPr>
          <w:rFonts w:ascii="Cambria" w:eastAsia="Cambria" w:hAnsi="Cambria" w:cs="Cambria"/>
          <w:sz w:val="20"/>
          <w:szCs w:val="20"/>
          <w:lang w:val="en-US"/>
        </w:rPr>
        <w:t>Special reparation and compensation plan; and</w:t>
      </w:r>
      <w:r w:rsidR="5A0BB90B" w:rsidRPr="00CC562A">
        <w:rPr>
          <w:rFonts w:ascii="Cambria" w:eastAsia="Cambria" w:hAnsi="Cambria" w:cs="Cambria"/>
          <w:sz w:val="20"/>
          <w:szCs w:val="20"/>
          <w:lang w:val="en-US"/>
        </w:rPr>
        <w:t xml:space="preserve"> (e) Ac</w:t>
      </w:r>
      <w:r w:rsidRPr="00CC562A">
        <w:rPr>
          <w:rFonts w:ascii="Cambria" w:eastAsia="Cambria" w:hAnsi="Cambria" w:cs="Cambria"/>
          <w:sz w:val="20"/>
          <w:szCs w:val="20"/>
          <w:lang w:val="en-US"/>
        </w:rPr>
        <w:t xml:space="preserve">tions for </w:t>
      </w:r>
      <w:r w:rsidR="0012289B" w:rsidRPr="00CC562A">
        <w:rPr>
          <w:rFonts w:ascii="Cambria" w:eastAsia="Cambria" w:hAnsi="Cambria" w:cs="Cambria"/>
          <w:sz w:val="20"/>
          <w:szCs w:val="20"/>
          <w:lang w:val="en-US"/>
        </w:rPr>
        <w:t>memory and guarantee of non-</w:t>
      </w:r>
      <w:r w:rsidR="0012289B" w:rsidRPr="00CC562A">
        <w:rPr>
          <w:rFonts w:ascii="Cambria" w:eastAsia="Cambria" w:hAnsi="Cambria" w:cs="Cambria"/>
          <w:sz w:val="20"/>
          <w:szCs w:val="20"/>
          <w:lang w:val="en-US"/>
        </w:rPr>
        <w:lastRenderedPageBreak/>
        <w:t>repetition to dignify the memory of the victims.</w:t>
      </w:r>
      <w:r w:rsidR="00155EE6" w:rsidRPr="00CC562A">
        <w:rPr>
          <w:rFonts w:ascii="Cambria" w:eastAsia="Cambria" w:hAnsi="Cambria" w:cs="Cambria"/>
          <w:sz w:val="20"/>
          <w:szCs w:val="20"/>
          <w:vertAlign w:val="superscript"/>
          <w:lang w:val="en-US"/>
        </w:rPr>
        <w:footnoteReference w:id="181"/>
      </w:r>
      <w:r w:rsidR="0012289B" w:rsidRPr="00CC562A">
        <w:rPr>
          <w:rFonts w:ascii="Cambria" w:eastAsia="Cambria" w:hAnsi="Cambria" w:cs="Cambria"/>
          <w:sz w:val="20"/>
          <w:szCs w:val="20"/>
          <w:lang w:val="en-US"/>
        </w:rPr>
        <w:t xml:space="preserve"> In this reporting period, </w:t>
      </w:r>
      <w:r w:rsidR="00752FED" w:rsidRPr="00CC562A">
        <w:rPr>
          <w:rFonts w:ascii="Cambria" w:eastAsia="Cambria" w:hAnsi="Cambria" w:cs="Cambria"/>
          <w:sz w:val="20"/>
          <w:szCs w:val="20"/>
          <w:lang w:val="en-US"/>
        </w:rPr>
        <w:t>the State</w:t>
      </w:r>
      <w:r w:rsidR="221386C5" w:rsidRPr="00CC562A">
        <w:rPr>
          <w:rFonts w:ascii="Cambria" w:eastAsia="Cambria" w:hAnsi="Cambria" w:cs="Cambria"/>
          <w:sz w:val="20"/>
          <w:szCs w:val="20"/>
          <w:lang w:val="en-US"/>
        </w:rPr>
        <w:t xml:space="preserve"> </w:t>
      </w:r>
      <w:r w:rsidR="00133FB6" w:rsidRPr="00CC562A">
        <w:rPr>
          <w:rFonts w:ascii="Cambria" w:eastAsia="Cambria" w:hAnsi="Cambria" w:cs="Cambria"/>
          <w:sz w:val="20"/>
          <w:szCs w:val="20"/>
          <w:lang w:val="en-US"/>
        </w:rPr>
        <w:t>indicated</w:t>
      </w:r>
      <w:r w:rsidR="00900ED4" w:rsidRPr="00CC562A">
        <w:rPr>
          <w:rFonts w:ascii="Cambria" w:eastAsia="Cambria" w:hAnsi="Cambria" w:cs="Cambria"/>
          <w:sz w:val="20"/>
          <w:szCs w:val="20"/>
          <w:lang w:val="en-US"/>
        </w:rPr>
        <w:t xml:space="preserve"> that</w:t>
      </w:r>
      <w:r w:rsidR="221386C5" w:rsidRPr="00CC562A">
        <w:rPr>
          <w:rFonts w:ascii="Cambria" w:eastAsia="Cambria" w:hAnsi="Cambria" w:cs="Cambria"/>
          <w:sz w:val="20"/>
          <w:szCs w:val="20"/>
          <w:lang w:val="en-US"/>
        </w:rPr>
        <w:t>,</w:t>
      </w:r>
      <w:r w:rsidR="3855FC6D" w:rsidRPr="00CC562A">
        <w:rPr>
          <w:rFonts w:ascii="Cambria" w:eastAsia="Cambria" w:hAnsi="Cambria" w:cs="Cambria"/>
          <w:sz w:val="20"/>
          <w:szCs w:val="20"/>
          <w:lang w:val="en-US"/>
        </w:rPr>
        <w:t xml:space="preserve"> dur</w:t>
      </w:r>
      <w:r w:rsidR="0012289B" w:rsidRPr="00CC562A">
        <w:rPr>
          <w:rFonts w:ascii="Cambria" w:eastAsia="Cambria" w:hAnsi="Cambria" w:cs="Cambria"/>
          <w:sz w:val="20"/>
          <w:szCs w:val="20"/>
          <w:lang w:val="en-US"/>
        </w:rPr>
        <w:t xml:space="preserve">ing the initial months of </w:t>
      </w:r>
      <w:r w:rsidR="3855FC6D" w:rsidRPr="00CC562A">
        <w:rPr>
          <w:rFonts w:ascii="Cambria" w:eastAsia="Cambria" w:hAnsi="Cambria" w:cs="Cambria"/>
          <w:sz w:val="20"/>
          <w:szCs w:val="20"/>
          <w:lang w:val="en-US"/>
        </w:rPr>
        <w:t>2022</w:t>
      </w:r>
      <w:r w:rsidR="221386C5" w:rsidRPr="00CC562A">
        <w:rPr>
          <w:rFonts w:ascii="Cambria" w:eastAsia="Cambria" w:hAnsi="Cambria" w:cs="Cambria"/>
          <w:sz w:val="20"/>
          <w:szCs w:val="20"/>
          <w:lang w:val="en-US"/>
        </w:rPr>
        <w:t xml:space="preserve">, </w:t>
      </w:r>
      <w:r w:rsidR="0012289B" w:rsidRPr="00CC562A">
        <w:rPr>
          <w:rFonts w:ascii="Cambria" w:eastAsia="Cambria" w:hAnsi="Cambria" w:cs="Cambria"/>
          <w:sz w:val="20"/>
          <w:szCs w:val="20"/>
          <w:lang w:val="en-US"/>
        </w:rPr>
        <w:t xml:space="preserve">the Commission held six regional events in the states of </w:t>
      </w:r>
      <w:r w:rsidR="3855FC6D" w:rsidRPr="00CC562A">
        <w:rPr>
          <w:rFonts w:ascii="Cambria" w:eastAsia="Cambria" w:hAnsi="Cambria" w:cs="Cambria"/>
          <w:sz w:val="20"/>
          <w:szCs w:val="20"/>
          <w:lang w:val="en-US"/>
        </w:rPr>
        <w:t>Oaxaca, Jalisco, Guerrero, Chihuahua, Sinaloa</w:t>
      </w:r>
      <w:r w:rsidR="0012289B" w:rsidRPr="00CC562A">
        <w:rPr>
          <w:rFonts w:ascii="Cambria" w:eastAsia="Cambria" w:hAnsi="Cambria" w:cs="Cambria"/>
          <w:sz w:val="20"/>
          <w:szCs w:val="20"/>
          <w:lang w:val="en-US"/>
        </w:rPr>
        <w:t>, and Mexico City, making contact with more than 600 families and victims of the historical period and reach</w:t>
      </w:r>
      <w:r w:rsidR="00133FB6" w:rsidRPr="00CC562A">
        <w:rPr>
          <w:rFonts w:ascii="Cambria" w:eastAsia="Cambria" w:hAnsi="Cambria" w:cs="Cambria"/>
          <w:sz w:val="20"/>
          <w:szCs w:val="20"/>
          <w:lang w:val="en-US"/>
        </w:rPr>
        <w:t>ing</w:t>
      </w:r>
      <w:r w:rsidR="0012289B" w:rsidRPr="00CC562A">
        <w:rPr>
          <w:rFonts w:ascii="Cambria" w:eastAsia="Cambria" w:hAnsi="Cambria" w:cs="Cambria"/>
          <w:sz w:val="20"/>
          <w:szCs w:val="20"/>
          <w:lang w:val="en-US"/>
        </w:rPr>
        <w:t xml:space="preserve"> agreements with the local level authority to strengthen its work in the entities</w:t>
      </w:r>
      <w:r w:rsidR="7DF8A966" w:rsidRPr="00CC562A">
        <w:rPr>
          <w:rFonts w:ascii="Cambria" w:eastAsia="Cambria" w:hAnsi="Cambria" w:cs="Cambria"/>
          <w:sz w:val="20"/>
          <w:szCs w:val="20"/>
          <w:lang w:val="en-US"/>
        </w:rPr>
        <w:t>.</w:t>
      </w:r>
      <w:r w:rsidR="5AD13EFE" w:rsidRPr="00CC562A">
        <w:rPr>
          <w:rFonts w:ascii="Cambria" w:eastAsia="Cambria" w:hAnsi="Cambria" w:cs="Cambria"/>
          <w:sz w:val="20"/>
          <w:szCs w:val="20"/>
          <w:lang w:val="en-US"/>
        </w:rPr>
        <w:t xml:space="preserve"> </w:t>
      </w:r>
    </w:p>
    <w:p w14:paraId="2A1BF679" w14:textId="41158DC0" w:rsidR="00DB71FA" w:rsidRPr="00CC562A" w:rsidRDefault="0012289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Following up these efforts, from September 20 to September 22, </w:t>
      </w:r>
      <w:r w:rsidR="3855FC6D" w:rsidRPr="00CC562A">
        <w:rPr>
          <w:rFonts w:ascii="Cambria" w:eastAsia="Cambria" w:hAnsi="Cambria" w:cs="Cambria"/>
          <w:sz w:val="20"/>
          <w:szCs w:val="20"/>
          <w:lang w:val="en-US"/>
        </w:rPr>
        <w:t xml:space="preserve">2022, </w:t>
      </w:r>
      <w:r w:rsidRPr="00CC562A">
        <w:rPr>
          <w:rFonts w:ascii="Cambria" w:eastAsia="Cambria" w:hAnsi="Cambria" w:cs="Cambria"/>
          <w:sz w:val="20"/>
          <w:szCs w:val="20"/>
          <w:lang w:val="en-US"/>
        </w:rPr>
        <w:t xml:space="preserve">with the participation of 55 survivors and families of victims of forced disappearance, and in coordination with the institutions that make up the </w:t>
      </w:r>
      <w:r w:rsidR="221386C5" w:rsidRPr="00CC562A">
        <w:rPr>
          <w:rFonts w:ascii="Cambria" w:eastAsia="Cambria" w:hAnsi="Cambria" w:cs="Cambria"/>
          <w:sz w:val="20"/>
          <w:szCs w:val="20"/>
          <w:lang w:val="en-US"/>
        </w:rPr>
        <w:t>COVEH</w:t>
      </w:r>
      <w:r w:rsidR="3855FC6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w:t>
      </w:r>
      <w:r w:rsidR="3855FC6D" w:rsidRPr="00CC562A">
        <w:rPr>
          <w:rFonts w:ascii="Cambria" w:eastAsia="Cambria" w:hAnsi="Cambria" w:cs="Cambria"/>
          <w:sz w:val="20"/>
          <w:szCs w:val="20"/>
          <w:lang w:val="en-US"/>
        </w:rPr>
        <w:t xml:space="preserve"> CNDH, </w:t>
      </w:r>
      <w:r w:rsidRPr="00CC562A">
        <w:rPr>
          <w:rFonts w:ascii="Cambria" w:eastAsia="Cambria" w:hAnsi="Cambria" w:cs="Cambria"/>
          <w:sz w:val="20"/>
          <w:szCs w:val="20"/>
          <w:lang w:val="en-US"/>
        </w:rPr>
        <w:t xml:space="preserve">the Mexican State Public Radiobroadcasting System, and the Secretariat of National Defense, </w:t>
      </w:r>
      <w:r w:rsidR="009D16D0" w:rsidRPr="00CC562A">
        <w:rPr>
          <w:rFonts w:ascii="Cambria" w:eastAsia="Cambria" w:hAnsi="Cambria" w:cs="Cambria"/>
          <w:sz w:val="20"/>
          <w:szCs w:val="20"/>
          <w:lang w:val="en-US"/>
        </w:rPr>
        <w:t>the first inspection</w:t>
      </w:r>
      <w:r w:rsidR="0000411A" w:rsidRPr="00CC562A">
        <w:rPr>
          <w:rFonts w:ascii="Cambria" w:eastAsia="Cambria" w:hAnsi="Cambria" w:cs="Cambria"/>
          <w:sz w:val="20"/>
          <w:szCs w:val="20"/>
          <w:lang w:val="en-US"/>
        </w:rPr>
        <w:t xml:space="preserve"> work</w:t>
      </w:r>
      <w:r w:rsidR="009D16D0" w:rsidRPr="00CC562A">
        <w:rPr>
          <w:rFonts w:ascii="Cambria" w:eastAsia="Cambria" w:hAnsi="Cambria" w:cs="Cambria"/>
          <w:sz w:val="20"/>
          <w:szCs w:val="20"/>
          <w:lang w:val="en-US"/>
        </w:rPr>
        <w:t xml:space="preserve"> was conducted at Military Camp</w:t>
      </w:r>
      <w:r w:rsidR="3855FC6D" w:rsidRPr="00CC562A">
        <w:rPr>
          <w:rFonts w:ascii="Cambria" w:eastAsia="Cambria" w:hAnsi="Cambria" w:cs="Cambria"/>
          <w:sz w:val="20"/>
          <w:szCs w:val="20"/>
          <w:lang w:val="en-US"/>
        </w:rPr>
        <w:t xml:space="preserve"> No</w:t>
      </w:r>
      <w:r w:rsidR="221386C5" w:rsidRPr="00CC562A">
        <w:rPr>
          <w:rFonts w:ascii="Cambria" w:eastAsia="Cambria" w:hAnsi="Cambria" w:cs="Cambria"/>
          <w:sz w:val="20"/>
          <w:szCs w:val="20"/>
          <w:lang w:val="en-US"/>
        </w:rPr>
        <w:t xml:space="preserve">. </w:t>
      </w:r>
      <w:r w:rsidR="3855FC6D" w:rsidRPr="00CC562A">
        <w:rPr>
          <w:rFonts w:ascii="Cambria" w:eastAsia="Cambria" w:hAnsi="Cambria" w:cs="Cambria"/>
          <w:sz w:val="20"/>
          <w:szCs w:val="20"/>
          <w:lang w:val="en-US"/>
        </w:rPr>
        <w:t xml:space="preserve">1 </w:t>
      </w:r>
      <w:r w:rsidR="009D16D0" w:rsidRPr="00CC562A">
        <w:rPr>
          <w:rFonts w:ascii="Cambria" w:eastAsia="Cambria" w:hAnsi="Cambria" w:cs="Cambria"/>
          <w:sz w:val="20"/>
          <w:szCs w:val="20"/>
          <w:lang w:val="en-US"/>
        </w:rPr>
        <w:t>to identify facilities where serious human rights violations have been committed</w:t>
      </w:r>
      <w:r w:rsidR="3855FC6D" w:rsidRPr="00CC562A">
        <w:rPr>
          <w:rFonts w:ascii="Cambria" w:eastAsia="Cambria" w:hAnsi="Cambria" w:cs="Cambria"/>
          <w:sz w:val="20"/>
          <w:szCs w:val="20"/>
          <w:lang w:val="en-US"/>
        </w:rPr>
        <w:t>.</w:t>
      </w:r>
      <w:r w:rsidR="391AB805" w:rsidRPr="00CC562A">
        <w:rPr>
          <w:rFonts w:ascii="Cambria" w:eastAsia="Cambria" w:hAnsi="Cambria" w:cs="Cambria"/>
          <w:sz w:val="20"/>
          <w:szCs w:val="20"/>
          <w:lang w:val="en-US"/>
        </w:rPr>
        <w:t xml:space="preserve"> </w:t>
      </w:r>
      <w:r w:rsidR="009D16D0" w:rsidRPr="00CC562A">
        <w:rPr>
          <w:rFonts w:ascii="Cambria" w:eastAsia="Cambria" w:hAnsi="Cambria" w:cs="Cambria"/>
          <w:sz w:val="20"/>
          <w:szCs w:val="20"/>
          <w:lang w:val="en-US"/>
        </w:rPr>
        <w:t>In addition to the active participation of survivors, this inspection work was monitored by experts in history, psycho-social support, forensic architects, criminalists, and visitors from the</w:t>
      </w:r>
      <w:r w:rsidR="3855FC6D" w:rsidRPr="00CC562A">
        <w:rPr>
          <w:rFonts w:ascii="Cambria" w:eastAsia="Cambria" w:hAnsi="Cambria" w:cs="Cambria"/>
          <w:sz w:val="20"/>
          <w:szCs w:val="20"/>
          <w:lang w:val="en-US"/>
        </w:rPr>
        <w:t xml:space="preserve"> CNDH </w:t>
      </w:r>
      <w:r w:rsidR="009D16D0" w:rsidRPr="00CC562A">
        <w:rPr>
          <w:rFonts w:ascii="Cambria" w:eastAsia="Cambria" w:hAnsi="Cambria" w:cs="Cambria"/>
          <w:sz w:val="20"/>
          <w:szCs w:val="20"/>
          <w:lang w:val="en-US"/>
        </w:rPr>
        <w:t>who bore witness to all the work</w:t>
      </w:r>
      <w:r w:rsidR="3855FC6D" w:rsidRPr="00CC562A">
        <w:rPr>
          <w:rFonts w:ascii="Cambria" w:eastAsia="Cambria" w:hAnsi="Cambria" w:cs="Cambria"/>
          <w:sz w:val="20"/>
          <w:szCs w:val="20"/>
          <w:lang w:val="en-US"/>
        </w:rPr>
        <w:t>.</w:t>
      </w:r>
      <w:r w:rsidR="391AB805"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21386C5" w:rsidRPr="00CC562A">
        <w:rPr>
          <w:rFonts w:ascii="Cambria" w:eastAsia="Cambria" w:hAnsi="Cambria" w:cs="Cambria"/>
          <w:sz w:val="20"/>
          <w:szCs w:val="20"/>
          <w:lang w:val="en-US"/>
        </w:rPr>
        <w:t xml:space="preserve"> indi</w:t>
      </w:r>
      <w:r w:rsidR="0051225C" w:rsidRPr="00CC562A">
        <w:rPr>
          <w:rFonts w:ascii="Cambria" w:eastAsia="Cambria" w:hAnsi="Cambria" w:cs="Cambria"/>
          <w:sz w:val="20"/>
          <w:szCs w:val="20"/>
          <w:lang w:val="en-US"/>
        </w:rPr>
        <w:t xml:space="preserve">cated that toward the end of </w:t>
      </w:r>
      <w:r w:rsidR="3855FC6D" w:rsidRPr="00CC562A">
        <w:rPr>
          <w:rFonts w:ascii="Cambria" w:eastAsia="Cambria" w:hAnsi="Cambria" w:cs="Cambria"/>
          <w:sz w:val="20"/>
          <w:szCs w:val="20"/>
          <w:lang w:val="en-US"/>
        </w:rPr>
        <w:t xml:space="preserve">2022 </w:t>
      </w:r>
      <w:r w:rsidR="0051225C" w:rsidRPr="00CC562A">
        <w:rPr>
          <w:rFonts w:ascii="Cambria" w:eastAsia="Cambria" w:hAnsi="Cambria" w:cs="Cambria"/>
          <w:sz w:val="20"/>
          <w:szCs w:val="20"/>
          <w:lang w:val="en-US"/>
        </w:rPr>
        <w:t xml:space="preserve">it plans to continue the work of inspecting files and facilities at Military Camp </w:t>
      </w:r>
      <w:r w:rsidR="3855FC6D" w:rsidRPr="00CC562A">
        <w:rPr>
          <w:rFonts w:ascii="Cambria" w:eastAsia="Cambria" w:hAnsi="Cambria" w:cs="Cambria"/>
          <w:sz w:val="20"/>
          <w:szCs w:val="20"/>
          <w:lang w:val="en-US"/>
        </w:rPr>
        <w:t>No</w:t>
      </w:r>
      <w:r w:rsidR="0051225C" w:rsidRPr="00CC562A">
        <w:rPr>
          <w:rFonts w:ascii="Cambria" w:eastAsia="Cambria" w:hAnsi="Cambria" w:cs="Cambria"/>
          <w:sz w:val="20"/>
          <w:szCs w:val="20"/>
          <w:lang w:val="en-US"/>
        </w:rPr>
        <w:t>.</w:t>
      </w:r>
      <w:r w:rsidR="3855FC6D" w:rsidRPr="00CC562A">
        <w:rPr>
          <w:rFonts w:ascii="Cambria" w:eastAsia="Cambria" w:hAnsi="Cambria" w:cs="Cambria"/>
          <w:sz w:val="20"/>
          <w:szCs w:val="20"/>
          <w:lang w:val="en-US"/>
        </w:rPr>
        <w:t xml:space="preserve"> 1</w:t>
      </w:r>
      <w:r w:rsidR="221386C5" w:rsidRPr="00CC562A">
        <w:rPr>
          <w:rFonts w:ascii="Cambria" w:eastAsia="Cambria" w:hAnsi="Cambria" w:cs="Cambria"/>
          <w:sz w:val="20"/>
          <w:szCs w:val="20"/>
          <w:lang w:val="en-US"/>
        </w:rPr>
        <w:t xml:space="preserve"> </w:t>
      </w:r>
      <w:r w:rsidR="0051225C" w:rsidRPr="00CC562A">
        <w:rPr>
          <w:rFonts w:ascii="Cambria" w:eastAsia="Cambria" w:hAnsi="Cambria" w:cs="Cambria"/>
          <w:sz w:val="20"/>
          <w:szCs w:val="20"/>
          <w:lang w:val="en-US"/>
        </w:rPr>
        <w:t xml:space="preserve">and extend the work </w:t>
      </w:r>
      <w:r w:rsidR="0000411A" w:rsidRPr="00CC562A">
        <w:rPr>
          <w:rFonts w:ascii="Cambria" w:eastAsia="Cambria" w:hAnsi="Cambria" w:cs="Cambria"/>
          <w:sz w:val="20"/>
          <w:szCs w:val="20"/>
          <w:lang w:val="en-US"/>
        </w:rPr>
        <w:t>to</w:t>
      </w:r>
      <w:r w:rsidR="0051225C" w:rsidRPr="00CC562A">
        <w:rPr>
          <w:rFonts w:ascii="Cambria" w:eastAsia="Cambria" w:hAnsi="Cambria" w:cs="Cambria"/>
          <w:sz w:val="20"/>
          <w:szCs w:val="20"/>
          <w:lang w:val="en-US"/>
        </w:rPr>
        <w:t xml:space="preserve"> the states of </w:t>
      </w:r>
      <w:r w:rsidR="3855FC6D" w:rsidRPr="00CC562A">
        <w:rPr>
          <w:rFonts w:ascii="Cambria" w:eastAsia="Cambria" w:hAnsi="Cambria" w:cs="Cambria"/>
          <w:sz w:val="20"/>
          <w:szCs w:val="20"/>
          <w:lang w:val="en-US"/>
        </w:rPr>
        <w:t xml:space="preserve">Oaxaca </w:t>
      </w:r>
      <w:r w:rsidR="0051225C" w:rsidRPr="00CC562A">
        <w:rPr>
          <w:rFonts w:ascii="Cambria" w:eastAsia="Cambria" w:hAnsi="Cambria" w:cs="Cambria"/>
          <w:sz w:val="20"/>
          <w:szCs w:val="20"/>
          <w:lang w:val="en-US"/>
        </w:rPr>
        <w:t xml:space="preserve">and </w:t>
      </w:r>
      <w:r w:rsidR="3855FC6D" w:rsidRPr="00CC562A">
        <w:rPr>
          <w:rFonts w:ascii="Cambria" w:eastAsia="Cambria" w:hAnsi="Cambria" w:cs="Cambria"/>
          <w:sz w:val="20"/>
          <w:szCs w:val="20"/>
          <w:lang w:val="en-US"/>
        </w:rPr>
        <w:t>Sinaloa.</w:t>
      </w:r>
      <w:r w:rsidR="7DF8A966" w:rsidRPr="00CC562A">
        <w:rPr>
          <w:rFonts w:ascii="Cambria" w:eastAsia="Cambria" w:hAnsi="Cambria" w:cs="Cambria"/>
          <w:sz w:val="20"/>
          <w:szCs w:val="20"/>
          <w:lang w:val="en-US"/>
        </w:rPr>
        <w:t xml:space="preserve"> </w:t>
      </w:r>
      <w:r w:rsidR="0051225C" w:rsidRPr="00CC562A">
        <w:rPr>
          <w:rFonts w:ascii="Cambria" w:eastAsia="Cambria" w:hAnsi="Cambria" w:cs="Cambria"/>
          <w:sz w:val="20"/>
          <w:szCs w:val="20"/>
          <w:lang w:val="en-US"/>
        </w:rPr>
        <w:t>For</w:t>
      </w:r>
      <w:r w:rsidR="3855FC6D" w:rsidRPr="00CC562A">
        <w:rPr>
          <w:rFonts w:ascii="Cambria" w:eastAsia="Cambria" w:hAnsi="Cambria" w:cs="Cambria"/>
          <w:sz w:val="20"/>
          <w:szCs w:val="20"/>
          <w:lang w:val="en-US"/>
        </w:rPr>
        <w:t xml:space="preserve"> 2023</w:t>
      </w:r>
      <w:r w:rsidR="221386C5" w:rsidRPr="00CC562A">
        <w:rPr>
          <w:rFonts w:ascii="Cambria" w:eastAsia="Cambria" w:hAnsi="Cambria" w:cs="Cambria"/>
          <w:sz w:val="20"/>
          <w:szCs w:val="20"/>
          <w:lang w:val="en-US"/>
        </w:rPr>
        <w:t xml:space="preserve">, </w:t>
      </w:r>
      <w:r w:rsidR="0051225C" w:rsidRPr="00CC562A">
        <w:rPr>
          <w:rFonts w:ascii="Cambria" w:eastAsia="Cambria" w:hAnsi="Cambria" w:cs="Cambria"/>
          <w:sz w:val="20"/>
          <w:szCs w:val="20"/>
          <w:lang w:val="en-US"/>
        </w:rPr>
        <w:t>the</w:t>
      </w:r>
      <w:r w:rsidR="221386C5" w:rsidRPr="00CC562A">
        <w:rPr>
          <w:rFonts w:ascii="Cambria" w:eastAsia="Cambria" w:hAnsi="Cambria" w:cs="Cambria"/>
          <w:sz w:val="20"/>
          <w:szCs w:val="20"/>
          <w:lang w:val="en-US"/>
        </w:rPr>
        <w:t xml:space="preserve"> COVEH</w:t>
      </w:r>
      <w:r w:rsidR="3855FC6D" w:rsidRPr="00CC562A">
        <w:rPr>
          <w:rFonts w:ascii="Cambria" w:eastAsia="Cambria" w:hAnsi="Cambria" w:cs="Cambria"/>
          <w:sz w:val="20"/>
          <w:szCs w:val="20"/>
          <w:lang w:val="en-US"/>
        </w:rPr>
        <w:t xml:space="preserve"> </w:t>
      </w:r>
      <w:r w:rsidR="0051225C" w:rsidRPr="00CC562A">
        <w:rPr>
          <w:rFonts w:ascii="Cambria" w:eastAsia="Cambria" w:hAnsi="Cambria" w:cs="Cambria"/>
          <w:sz w:val="20"/>
          <w:szCs w:val="20"/>
          <w:lang w:val="en-US"/>
        </w:rPr>
        <w:t xml:space="preserve">expects to </w:t>
      </w:r>
      <w:r w:rsidR="00C80FE5" w:rsidRPr="00CC562A">
        <w:rPr>
          <w:rFonts w:ascii="Cambria" w:eastAsia="Cambria" w:hAnsi="Cambria" w:cs="Cambria"/>
          <w:sz w:val="20"/>
          <w:szCs w:val="20"/>
          <w:lang w:val="en-US"/>
        </w:rPr>
        <w:t>continue the</w:t>
      </w:r>
      <w:r w:rsidR="0051225C" w:rsidRPr="00CC562A">
        <w:rPr>
          <w:rFonts w:ascii="Cambria" w:eastAsia="Cambria" w:hAnsi="Cambria" w:cs="Cambria"/>
          <w:sz w:val="20"/>
          <w:szCs w:val="20"/>
          <w:lang w:val="en-US"/>
        </w:rPr>
        <w:t xml:space="preserve"> work of reviewing files and civilian and military facilities in </w:t>
      </w:r>
      <w:r w:rsidR="3855FC6D" w:rsidRPr="00CC562A">
        <w:rPr>
          <w:rFonts w:ascii="Cambria" w:eastAsia="Cambria" w:hAnsi="Cambria" w:cs="Cambria"/>
          <w:sz w:val="20"/>
          <w:szCs w:val="20"/>
          <w:lang w:val="en-US"/>
        </w:rPr>
        <w:t>Guerrero, Chihuahua, Jalisco</w:t>
      </w:r>
      <w:r w:rsidR="0051225C" w:rsidRPr="00CC562A">
        <w:rPr>
          <w:rFonts w:ascii="Cambria" w:eastAsia="Cambria" w:hAnsi="Cambria" w:cs="Cambria"/>
          <w:sz w:val="20"/>
          <w:szCs w:val="20"/>
          <w:lang w:val="en-US"/>
        </w:rPr>
        <w:t>, and Mexico City</w:t>
      </w:r>
      <w:r w:rsidR="3855FC6D" w:rsidRPr="00CC562A">
        <w:rPr>
          <w:rFonts w:ascii="Cambria" w:eastAsia="Cambria" w:hAnsi="Cambria" w:cs="Cambria"/>
          <w:sz w:val="20"/>
          <w:szCs w:val="20"/>
          <w:lang w:val="en-US"/>
        </w:rPr>
        <w:t xml:space="preserve">, </w:t>
      </w:r>
      <w:r w:rsidR="0051225C" w:rsidRPr="00CC562A">
        <w:rPr>
          <w:rFonts w:ascii="Cambria" w:eastAsia="Cambria" w:hAnsi="Cambria" w:cs="Cambria"/>
          <w:sz w:val="20"/>
          <w:szCs w:val="20"/>
          <w:lang w:val="en-US"/>
        </w:rPr>
        <w:t>and to conduct interviews with families, victims, and survivors</w:t>
      </w:r>
      <w:r w:rsidR="3855FC6D" w:rsidRPr="00CC562A">
        <w:rPr>
          <w:rFonts w:ascii="Cambria" w:eastAsia="Cambria" w:hAnsi="Cambria" w:cs="Cambria"/>
          <w:sz w:val="20"/>
          <w:szCs w:val="20"/>
          <w:lang w:val="en-US"/>
        </w:rPr>
        <w:t xml:space="preserve">. </w:t>
      </w:r>
      <w:r w:rsidR="0051225C" w:rsidRPr="00CC562A">
        <w:rPr>
          <w:rFonts w:ascii="Cambria" w:eastAsia="Cambria" w:hAnsi="Cambria" w:cs="Cambria"/>
          <w:sz w:val="20"/>
          <w:szCs w:val="20"/>
          <w:lang w:val="en-US"/>
        </w:rPr>
        <w:t xml:space="preserve">On the promotion of justice, the State indicated that it plans to submit a report on the status of preliminary investigation and active investigation files throughout the country </w:t>
      </w:r>
      <w:proofErr w:type="gramStart"/>
      <w:r w:rsidR="0051225C" w:rsidRPr="00CC562A">
        <w:rPr>
          <w:rFonts w:ascii="Cambria" w:eastAsia="Cambria" w:hAnsi="Cambria" w:cs="Cambria"/>
          <w:sz w:val="20"/>
          <w:szCs w:val="20"/>
          <w:lang w:val="en-US"/>
        </w:rPr>
        <w:t>on the subject of serious</w:t>
      </w:r>
      <w:proofErr w:type="gramEnd"/>
      <w:r w:rsidR="0051225C" w:rsidRPr="00CC562A">
        <w:rPr>
          <w:rFonts w:ascii="Cambria" w:eastAsia="Cambria" w:hAnsi="Cambria" w:cs="Cambria"/>
          <w:sz w:val="20"/>
          <w:szCs w:val="20"/>
          <w:lang w:val="en-US"/>
        </w:rPr>
        <w:t xml:space="preserve"> rights violations in the recent past and to begin comprehensive reparation of the victims</w:t>
      </w:r>
      <w:r w:rsidR="221386C5" w:rsidRPr="00CC562A">
        <w:rPr>
          <w:rFonts w:ascii="Cambria" w:eastAsia="Cambria" w:hAnsi="Cambria" w:cs="Cambria"/>
          <w:sz w:val="20"/>
          <w:szCs w:val="20"/>
          <w:lang w:val="en-US"/>
        </w:rPr>
        <w:t>.</w:t>
      </w:r>
    </w:p>
    <w:p w14:paraId="5832C1B7" w14:textId="656DED3B" w:rsidR="00DB71FA" w:rsidRPr="00CC562A" w:rsidRDefault="3855FC6D" w:rsidP="002F5D16">
      <w:pPr>
        <w:numPr>
          <w:ilvl w:val="0"/>
          <w:numId w:val="2"/>
        </w:numPr>
        <w:tabs>
          <w:tab w:val="left" w:pos="900"/>
        </w:tabs>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Final</w:t>
      </w:r>
      <w:r w:rsidR="0051225C" w:rsidRPr="00CC562A">
        <w:rPr>
          <w:rFonts w:ascii="Cambria" w:eastAsia="Cambria" w:hAnsi="Cambria" w:cs="Cambria"/>
          <w:sz w:val="20"/>
          <w:szCs w:val="20"/>
          <w:lang w:val="en-US"/>
        </w:rPr>
        <w:t>ly</w:t>
      </w:r>
      <w:r w:rsidRPr="00CC562A">
        <w:rPr>
          <w:rFonts w:ascii="Cambria" w:eastAsia="Cambria" w:hAnsi="Cambria" w:cs="Cambria"/>
          <w:sz w:val="20"/>
          <w:szCs w:val="20"/>
          <w:lang w:val="en-US"/>
        </w:rPr>
        <w:t>,</w:t>
      </w:r>
      <w:r w:rsidR="391AB805"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391AB805" w:rsidRPr="00CC562A">
        <w:rPr>
          <w:rFonts w:ascii="Cambria" w:eastAsia="Cambria" w:hAnsi="Cambria" w:cs="Cambria"/>
          <w:sz w:val="20"/>
          <w:szCs w:val="20"/>
          <w:lang w:val="en-US"/>
        </w:rPr>
        <w:t xml:space="preserve"> indic</w:t>
      </w:r>
      <w:r w:rsidR="0051225C" w:rsidRPr="00CC562A">
        <w:rPr>
          <w:rFonts w:ascii="Cambria" w:eastAsia="Cambria" w:hAnsi="Cambria" w:cs="Cambria"/>
          <w:sz w:val="20"/>
          <w:szCs w:val="20"/>
          <w:lang w:val="en-US"/>
        </w:rPr>
        <w:t>ated that</w:t>
      </w:r>
      <w:r w:rsidR="002F5D16" w:rsidRPr="00CC562A">
        <w:rPr>
          <w:rFonts w:ascii="Cambria" w:eastAsia="Cambria" w:hAnsi="Cambria" w:cs="Cambria"/>
          <w:sz w:val="20"/>
          <w:szCs w:val="20"/>
          <w:lang w:val="en-US"/>
        </w:rPr>
        <w:t xml:space="preserve"> work is being done</w:t>
      </w:r>
      <w:r w:rsidR="0051225C" w:rsidRPr="00CC562A">
        <w:rPr>
          <w:rFonts w:ascii="Cambria" w:eastAsia="Cambria" w:hAnsi="Cambria" w:cs="Cambria"/>
          <w:sz w:val="20"/>
          <w:szCs w:val="20"/>
          <w:lang w:val="en-US"/>
        </w:rPr>
        <w:t xml:space="preserve"> on the subject of memory and </w:t>
      </w:r>
      <w:r w:rsidR="002F5D16" w:rsidRPr="00CC562A">
        <w:rPr>
          <w:rFonts w:ascii="Cambria" w:eastAsia="Cambria" w:hAnsi="Cambria" w:cs="Cambria"/>
          <w:sz w:val="20"/>
          <w:szCs w:val="20"/>
          <w:lang w:val="en-US"/>
        </w:rPr>
        <w:t>n</w:t>
      </w:r>
      <w:r w:rsidR="0051225C" w:rsidRPr="00CC562A">
        <w:rPr>
          <w:rFonts w:ascii="Cambria" w:eastAsia="Cambria" w:hAnsi="Cambria" w:cs="Cambria"/>
          <w:sz w:val="20"/>
          <w:szCs w:val="20"/>
          <w:lang w:val="en-US"/>
        </w:rPr>
        <w:t>on-repetitio</w:t>
      </w:r>
      <w:r w:rsidR="002F5D16" w:rsidRPr="00CC562A">
        <w:rPr>
          <w:rFonts w:ascii="Cambria" w:eastAsia="Cambria" w:hAnsi="Cambria" w:cs="Cambria"/>
          <w:sz w:val="20"/>
          <w:szCs w:val="20"/>
          <w:lang w:val="en-US"/>
        </w:rPr>
        <w:t xml:space="preserve">n to consolidate the creation of the National Memory Center for Human Rights as well as to issue the bill on the General Memory Law, the objective of which will be to guarantee access to the right to the truth and memory by establishing mechanisms </w:t>
      </w:r>
      <w:r w:rsidR="0000411A" w:rsidRPr="00CC562A">
        <w:rPr>
          <w:rFonts w:ascii="Cambria" w:eastAsia="Cambria" w:hAnsi="Cambria" w:cs="Cambria"/>
          <w:sz w:val="20"/>
          <w:szCs w:val="20"/>
          <w:lang w:val="en-US"/>
        </w:rPr>
        <w:t>for</w:t>
      </w:r>
      <w:r w:rsidR="002F5D16" w:rsidRPr="00CC562A">
        <w:rPr>
          <w:rFonts w:ascii="Cambria" w:eastAsia="Cambria" w:hAnsi="Cambria" w:cs="Cambria"/>
          <w:sz w:val="20"/>
          <w:szCs w:val="20"/>
          <w:lang w:val="en-US"/>
        </w:rPr>
        <w:t xml:space="preserve"> the creation of memory sites, the identification and opening of files related to human rights violations, and the design of public policies in this area.</w:t>
      </w:r>
      <w:r w:rsidR="00946551" w:rsidRPr="00CC562A">
        <w:rPr>
          <w:rStyle w:val="FootnoteReference"/>
          <w:rFonts w:ascii="Cambria" w:eastAsia="Cambria" w:hAnsi="Cambria" w:cs="Cambria"/>
          <w:sz w:val="20"/>
          <w:szCs w:val="20"/>
          <w:lang w:val="en-US"/>
        </w:rPr>
        <w:footnoteReference w:id="182"/>
      </w:r>
    </w:p>
    <w:p w14:paraId="47AFC2B8" w14:textId="3FC7B7AB" w:rsidR="008F5CC2" w:rsidRPr="00CC562A" w:rsidRDefault="002F5D1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PRODH Center indicated that</w:t>
      </w:r>
      <w:r w:rsidR="0000411A"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at the public event at Military Camp No. 1, the Secretary of National Defense gave a “flawed” speech,</w:t>
      </w:r>
      <w:r w:rsidR="00A06F2A" w:rsidRPr="00CC562A">
        <w:rPr>
          <w:rFonts w:ascii="Cambria" w:eastAsia="Cambria" w:hAnsi="Cambria" w:cs="Cambria"/>
          <w:sz w:val="20"/>
          <w:szCs w:val="20"/>
          <w:vertAlign w:val="superscript"/>
          <w:lang w:val="en-US"/>
        </w:rPr>
        <w:footnoteReference w:id="183"/>
      </w:r>
      <w:r w:rsidR="5E99244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not because he presented the military perspective regarding what happened at the time but because it was a speech in which the head of the Army</w:t>
      </w:r>
      <w:r w:rsidR="5E992440" w:rsidRPr="00CC562A">
        <w:rPr>
          <w:rFonts w:ascii="Cambria" w:eastAsia="Cambria" w:hAnsi="Cambria" w:cs="Cambria"/>
          <w:sz w:val="20"/>
          <w:szCs w:val="20"/>
          <w:lang w:val="en-US"/>
        </w:rPr>
        <w:t xml:space="preserve"> re</w:t>
      </w:r>
      <w:r w:rsidR="005F64BC" w:rsidRPr="00CC562A">
        <w:rPr>
          <w:rFonts w:ascii="Cambria" w:eastAsia="Cambria" w:hAnsi="Cambria" w:cs="Cambria"/>
          <w:sz w:val="20"/>
          <w:szCs w:val="20"/>
          <w:lang w:val="en-US"/>
        </w:rPr>
        <w:t>asserted</w:t>
      </w:r>
      <w:r w:rsidR="003077A6" w:rsidRPr="00CC562A">
        <w:rPr>
          <w:rFonts w:ascii="Cambria" w:eastAsia="Cambria" w:hAnsi="Cambria" w:cs="Cambria"/>
          <w:sz w:val="20"/>
          <w:szCs w:val="20"/>
          <w:lang w:val="en-US"/>
        </w:rPr>
        <w:t xml:space="preserve"> and claimed presidential support for </w:t>
      </w:r>
      <w:r w:rsidR="005F64BC" w:rsidRPr="00CC562A">
        <w:rPr>
          <w:rFonts w:ascii="Cambria" w:eastAsia="Cambria" w:hAnsi="Cambria" w:cs="Cambria"/>
          <w:sz w:val="20"/>
          <w:szCs w:val="20"/>
          <w:lang w:val="en-US"/>
        </w:rPr>
        <w:t xml:space="preserve">the legitimacy of the doctrine of </w:t>
      </w:r>
      <w:r w:rsidR="5E992440" w:rsidRPr="00CC562A">
        <w:rPr>
          <w:rFonts w:ascii="Cambria" w:eastAsia="Cambria" w:hAnsi="Cambria" w:cs="Cambria"/>
          <w:sz w:val="20"/>
          <w:szCs w:val="20"/>
          <w:lang w:val="en-US"/>
        </w:rPr>
        <w:t>“</w:t>
      </w:r>
      <w:r w:rsidR="005F64BC" w:rsidRPr="00CC562A">
        <w:rPr>
          <w:rFonts w:ascii="Cambria" w:eastAsia="Cambria" w:hAnsi="Cambria" w:cs="Cambria"/>
          <w:sz w:val="20"/>
          <w:szCs w:val="20"/>
          <w:lang w:val="en-US"/>
        </w:rPr>
        <w:t xml:space="preserve">due obedience,” according to which military and police authorities have no </w:t>
      </w:r>
      <w:r w:rsidR="003077A6" w:rsidRPr="00CC562A">
        <w:rPr>
          <w:rFonts w:ascii="Cambria" w:eastAsia="Cambria" w:hAnsi="Cambria" w:cs="Cambria"/>
          <w:sz w:val="20"/>
          <w:szCs w:val="20"/>
          <w:lang w:val="en-US"/>
        </w:rPr>
        <w:t xml:space="preserve">room to maneuver </w:t>
      </w:r>
      <w:r w:rsidR="005F64BC" w:rsidRPr="00CC562A">
        <w:rPr>
          <w:rFonts w:ascii="Cambria" w:eastAsia="Cambria" w:hAnsi="Cambria" w:cs="Cambria"/>
          <w:sz w:val="20"/>
          <w:szCs w:val="20"/>
          <w:lang w:val="en-US"/>
        </w:rPr>
        <w:t>when the civilian command orders the</w:t>
      </w:r>
      <w:r w:rsidR="003077A6" w:rsidRPr="00CC562A">
        <w:rPr>
          <w:rFonts w:ascii="Cambria" w:eastAsia="Cambria" w:hAnsi="Cambria" w:cs="Cambria"/>
          <w:sz w:val="20"/>
          <w:szCs w:val="20"/>
          <w:lang w:val="en-US"/>
        </w:rPr>
        <w:t>m</w:t>
      </w:r>
      <w:r w:rsidR="005F64BC" w:rsidRPr="00CC562A">
        <w:rPr>
          <w:rFonts w:ascii="Cambria" w:eastAsia="Cambria" w:hAnsi="Cambria" w:cs="Cambria"/>
          <w:sz w:val="20"/>
          <w:szCs w:val="20"/>
          <w:lang w:val="en-US"/>
        </w:rPr>
        <w:t xml:space="preserve"> to perpetrate serious human rights violations</w:t>
      </w:r>
      <w:r w:rsidR="0000411A" w:rsidRPr="00CC562A">
        <w:rPr>
          <w:rFonts w:ascii="Cambria" w:eastAsia="Cambria" w:hAnsi="Cambria" w:cs="Cambria"/>
          <w:sz w:val="20"/>
          <w:szCs w:val="20"/>
          <w:lang w:val="en-US"/>
        </w:rPr>
        <w:t>. This openly contradicts</w:t>
      </w:r>
      <w:r w:rsidR="003077A6" w:rsidRPr="00CC562A">
        <w:rPr>
          <w:rFonts w:ascii="Cambria" w:eastAsia="Cambria" w:hAnsi="Cambria" w:cs="Cambria"/>
          <w:sz w:val="20"/>
          <w:szCs w:val="20"/>
          <w:lang w:val="en-US"/>
        </w:rPr>
        <w:t xml:space="preserve"> international human rights law, </w:t>
      </w:r>
      <w:r w:rsidR="0000411A" w:rsidRPr="00CC562A">
        <w:rPr>
          <w:rFonts w:ascii="Cambria" w:eastAsia="Cambria" w:hAnsi="Cambria" w:cs="Cambria"/>
          <w:sz w:val="20"/>
          <w:szCs w:val="20"/>
          <w:lang w:val="en-US"/>
        </w:rPr>
        <w:t>the</w:t>
      </w:r>
      <w:r w:rsidR="003077A6" w:rsidRPr="00CC562A">
        <w:rPr>
          <w:rFonts w:ascii="Cambria" w:eastAsia="Cambria" w:hAnsi="Cambria" w:cs="Cambria"/>
          <w:sz w:val="20"/>
          <w:szCs w:val="20"/>
          <w:lang w:val="en-US"/>
        </w:rPr>
        <w:t xml:space="preserve"> standards </w:t>
      </w:r>
      <w:r w:rsidR="0000411A" w:rsidRPr="00CC562A">
        <w:rPr>
          <w:rFonts w:ascii="Cambria" w:eastAsia="Cambria" w:hAnsi="Cambria" w:cs="Cambria"/>
          <w:sz w:val="20"/>
          <w:szCs w:val="20"/>
          <w:lang w:val="en-US"/>
        </w:rPr>
        <w:t xml:space="preserve">of which </w:t>
      </w:r>
      <w:r w:rsidR="003077A6" w:rsidRPr="00CC562A">
        <w:rPr>
          <w:rFonts w:ascii="Cambria" w:eastAsia="Cambria" w:hAnsi="Cambria" w:cs="Cambria"/>
          <w:sz w:val="20"/>
          <w:szCs w:val="20"/>
          <w:lang w:val="en-US"/>
        </w:rPr>
        <w:t xml:space="preserve">make it clear that </w:t>
      </w:r>
      <w:r w:rsidR="0000411A" w:rsidRPr="00CC562A">
        <w:rPr>
          <w:rFonts w:ascii="Cambria" w:eastAsia="Cambria" w:hAnsi="Cambria" w:cs="Cambria"/>
          <w:sz w:val="20"/>
          <w:szCs w:val="20"/>
          <w:lang w:val="en-US"/>
        </w:rPr>
        <w:t>no</w:t>
      </w:r>
      <w:r w:rsidR="003077A6" w:rsidRPr="00CC562A">
        <w:rPr>
          <w:rFonts w:ascii="Cambria" w:eastAsia="Cambria" w:hAnsi="Cambria" w:cs="Cambria"/>
          <w:sz w:val="20"/>
          <w:szCs w:val="20"/>
          <w:lang w:val="en-US"/>
        </w:rPr>
        <w:t xml:space="preserve"> agent of the state is required to comply with an order or instruction that is clearly incompatible</w:t>
      </w:r>
      <w:r w:rsidR="5E992440" w:rsidRPr="00CC562A">
        <w:rPr>
          <w:rFonts w:ascii="Cambria" w:eastAsia="Cambria" w:hAnsi="Cambria" w:cs="Cambria"/>
          <w:sz w:val="20"/>
          <w:szCs w:val="20"/>
          <w:lang w:val="en-US"/>
        </w:rPr>
        <w:t xml:space="preserve"> </w:t>
      </w:r>
      <w:r w:rsidR="003077A6" w:rsidRPr="00CC562A">
        <w:rPr>
          <w:rFonts w:ascii="Cambria" w:eastAsia="Cambria" w:hAnsi="Cambria" w:cs="Cambria"/>
          <w:sz w:val="20"/>
          <w:szCs w:val="20"/>
          <w:lang w:val="en-US"/>
        </w:rPr>
        <w:t>with human rights.</w:t>
      </w:r>
      <w:r w:rsidR="00A06F2A" w:rsidRPr="00CC562A">
        <w:rPr>
          <w:rFonts w:ascii="Cambria" w:eastAsia="Cambria" w:hAnsi="Cambria" w:cs="Cambria"/>
          <w:sz w:val="20"/>
          <w:szCs w:val="20"/>
          <w:vertAlign w:val="superscript"/>
          <w:lang w:val="en-US"/>
        </w:rPr>
        <w:footnoteReference w:id="184"/>
      </w:r>
      <w:r w:rsidR="00001E47" w:rsidRPr="00CC562A">
        <w:rPr>
          <w:rFonts w:ascii="Cambria" w:eastAsia="Cambria" w:hAnsi="Cambria" w:cs="Cambria"/>
          <w:sz w:val="20"/>
          <w:szCs w:val="20"/>
          <w:lang w:val="en-US"/>
        </w:rPr>
        <w:t xml:space="preserve"> For its part, the</w:t>
      </w:r>
      <w:r w:rsidR="419071F8" w:rsidRPr="00CC562A">
        <w:rPr>
          <w:rFonts w:ascii="Cambria" w:eastAsia="Cambria" w:hAnsi="Cambria" w:cs="Cambria"/>
          <w:sz w:val="20"/>
          <w:szCs w:val="20"/>
          <w:lang w:val="en-US"/>
        </w:rPr>
        <w:t xml:space="preserve"> CMDPDH men</w:t>
      </w:r>
      <w:r w:rsidR="00001E47" w:rsidRPr="00CC562A">
        <w:rPr>
          <w:rFonts w:ascii="Cambria" w:eastAsia="Cambria" w:hAnsi="Cambria" w:cs="Cambria"/>
          <w:sz w:val="20"/>
          <w:szCs w:val="20"/>
          <w:lang w:val="en-US"/>
        </w:rPr>
        <w:t xml:space="preserve">tioned that </w:t>
      </w:r>
      <w:r w:rsidR="221386C5" w:rsidRPr="00CC562A">
        <w:rPr>
          <w:rFonts w:ascii="Cambria" w:eastAsia="Cambria" w:hAnsi="Cambria" w:cs="Cambria"/>
          <w:sz w:val="20"/>
          <w:szCs w:val="20"/>
          <w:lang w:val="en-US"/>
        </w:rPr>
        <w:t>COVEH</w:t>
      </w:r>
      <w:r w:rsidR="419071F8" w:rsidRPr="00CC562A">
        <w:rPr>
          <w:rFonts w:ascii="Cambria" w:eastAsia="Cambria" w:hAnsi="Cambria" w:cs="Cambria"/>
          <w:sz w:val="20"/>
          <w:szCs w:val="20"/>
          <w:lang w:val="en-US"/>
        </w:rPr>
        <w:t xml:space="preserve"> </w:t>
      </w:r>
      <w:r w:rsidR="009E5426" w:rsidRPr="00CC562A">
        <w:rPr>
          <w:rFonts w:ascii="Cambria" w:eastAsia="Cambria" w:hAnsi="Cambria" w:cs="Cambria"/>
          <w:sz w:val="20"/>
          <w:szCs w:val="20"/>
          <w:lang w:val="en-US"/>
        </w:rPr>
        <w:t xml:space="preserve">reports to the State. </w:t>
      </w:r>
      <w:r w:rsidR="00F108AA" w:rsidRPr="00CC562A">
        <w:rPr>
          <w:rFonts w:ascii="Cambria" w:eastAsia="Cambria" w:hAnsi="Cambria" w:cs="Cambria"/>
          <w:sz w:val="20"/>
          <w:szCs w:val="20"/>
          <w:lang w:val="en-US"/>
        </w:rPr>
        <w:t>In addition,</w:t>
      </w:r>
      <w:r w:rsidR="774EF675" w:rsidRPr="00CC562A">
        <w:rPr>
          <w:rFonts w:ascii="Cambria" w:eastAsia="Cambria" w:hAnsi="Cambria" w:cs="Cambria"/>
          <w:sz w:val="20"/>
          <w:szCs w:val="20"/>
          <w:lang w:val="en-US"/>
        </w:rPr>
        <w:t xml:space="preserve"> </w:t>
      </w:r>
      <w:r w:rsidR="009E5426" w:rsidRPr="00CC562A">
        <w:rPr>
          <w:rFonts w:ascii="Cambria" w:eastAsia="Cambria" w:hAnsi="Cambria" w:cs="Cambria"/>
          <w:sz w:val="20"/>
          <w:szCs w:val="20"/>
          <w:lang w:val="en-US"/>
        </w:rPr>
        <w:t>it stated that the process of selecting honorary commission members presents limitations on the participation of the victims in the entity’s activities</w:t>
      </w:r>
      <w:r w:rsidR="419071F8"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w:t>
      </w:r>
      <w:r w:rsidR="009E5426" w:rsidRPr="00CC562A">
        <w:rPr>
          <w:rFonts w:ascii="Cambria" w:eastAsia="Cambria" w:hAnsi="Cambria" w:cs="Cambria"/>
          <w:sz w:val="20"/>
          <w:szCs w:val="20"/>
          <w:lang w:val="en-US"/>
        </w:rPr>
        <w:t>t also indicated that in</w:t>
      </w:r>
      <w:r w:rsidR="419071F8" w:rsidRPr="00CC562A">
        <w:rPr>
          <w:rFonts w:ascii="Cambria" w:eastAsia="Cambria" w:hAnsi="Cambria" w:cs="Cambria"/>
          <w:sz w:val="20"/>
          <w:szCs w:val="20"/>
          <w:lang w:val="en-US"/>
        </w:rPr>
        <w:t xml:space="preserve"> 2022 </w:t>
      </w:r>
      <w:r w:rsidR="009E5426" w:rsidRPr="00CC562A">
        <w:rPr>
          <w:rFonts w:ascii="Cambria" w:eastAsia="Cambria" w:hAnsi="Cambria" w:cs="Cambria"/>
          <w:sz w:val="20"/>
          <w:szCs w:val="20"/>
          <w:lang w:val="en-US"/>
        </w:rPr>
        <w:t xml:space="preserve">one of the honorary commission members, </w:t>
      </w:r>
      <w:proofErr w:type="spellStart"/>
      <w:r w:rsidR="419071F8" w:rsidRPr="00CC562A">
        <w:rPr>
          <w:rFonts w:ascii="Cambria" w:eastAsia="Cambria" w:hAnsi="Cambria" w:cs="Cambria"/>
          <w:sz w:val="20"/>
          <w:szCs w:val="20"/>
          <w:lang w:val="en-US"/>
        </w:rPr>
        <w:t>Aleída</w:t>
      </w:r>
      <w:proofErr w:type="spellEnd"/>
      <w:r w:rsidR="419071F8" w:rsidRPr="00CC562A">
        <w:rPr>
          <w:rFonts w:ascii="Cambria" w:eastAsia="Cambria" w:hAnsi="Cambria" w:cs="Cambria"/>
          <w:sz w:val="20"/>
          <w:szCs w:val="20"/>
          <w:lang w:val="en-US"/>
        </w:rPr>
        <w:t xml:space="preserve"> </w:t>
      </w:r>
      <w:proofErr w:type="spellStart"/>
      <w:r w:rsidR="419071F8" w:rsidRPr="00CC562A">
        <w:rPr>
          <w:rFonts w:ascii="Cambria" w:eastAsia="Cambria" w:hAnsi="Cambria" w:cs="Cambria"/>
          <w:sz w:val="20"/>
          <w:szCs w:val="20"/>
          <w:lang w:val="en-US"/>
        </w:rPr>
        <w:t>García</w:t>
      </w:r>
      <w:proofErr w:type="spellEnd"/>
      <w:r w:rsidR="419071F8" w:rsidRPr="00CC562A">
        <w:rPr>
          <w:rFonts w:ascii="Cambria" w:eastAsia="Cambria" w:hAnsi="Cambria" w:cs="Cambria"/>
          <w:sz w:val="20"/>
          <w:szCs w:val="20"/>
          <w:lang w:val="en-US"/>
        </w:rPr>
        <w:t xml:space="preserve"> Aguirre,</w:t>
      </w:r>
      <w:r w:rsidR="009E5426" w:rsidRPr="00CC562A">
        <w:rPr>
          <w:rFonts w:ascii="Cambria" w:eastAsia="Cambria" w:hAnsi="Cambria" w:cs="Cambria"/>
          <w:sz w:val="20"/>
          <w:szCs w:val="20"/>
          <w:lang w:val="en-US"/>
        </w:rPr>
        <w:t xml:space="preserve"> resigned while making allegations regarding that Commission’s lack of independence.</w:t>
      </w:r>
      <w:r w:rsidR="009318E4" w:rsidRPr="00CC562A">
        <w:rPr>
          <w:rStyle w:val="FootnoteReference"/>
          <w:rFonts w:ascii="Cambria" w:eastAsia="Cambria" w:hAnsi="Cambria" w:cs="Cambria"/>
          <w:sz w:val="20"/>
          <w:szCs w:val="20"/>
          <w:lang w:val="en-US"/>
        </w:rPr>
        <w:footnoteReference w:id="185"/>
      </w:r>
    </w:p>
    <w:p w14:paraId="1EB0536A" w14:textId="2D61860B" w:rsidR="009318E4" w:rsidRPr="00CC562A" w:rsidRDefault="009E542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Commission appreciates the start of COVEH operations and its territorial and participatory deployment to gather evidence to fulfill its mandate.</w:t>
      </w:r>
      <w:r w:rsidR="320E09CA"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6D088DA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notes the concerns relating to the functional independence of the </w:t>
      </w:r>
      <w:r w:rsidR="6D088DAD" w:rsidRPr="00CC562A">
        <w:rPr>
          <w:rFonts w:ascii="Cambria" w:eastAsia="Cambria" w:hAnsi="Cambria" w:cs="Cambria"/>
          <w:sz w:val="20"/>
          <w:szCs w:val="20"/>
          <w:lang w:val="en-US"/>
        </w:rPr>
        <w:t xml:space="preserve">COVEH </w:t>
      </w:r>
      <w:r w:rsidRPr="00CC562A">
        <w:rPr>
          <w:rFonts w:ascii="Cambria" w:eastAsia="Cambria" w:hAnsi="Cambria" w:cs="Cambria"/>
          <w:sz w:val="20"/>
          <w:szCs w:val="20"/>
          <w:lang w:val="en-US"/>
        </w:rPr>
        <w:t xml:space="preserve">and the emergence of revisionist public postures regarding the State </w:t>
      </w:r>
      <w:r w:rsidRPr="00CC562A">
        <w:rPr>
          <w:rFonts w:ascii="Cambria" w:eastAsia="Cambria" w:hAnsi="Cambria" w:cs="Cambria"/>
          <w:sz w:val="20"/>
          <w:szCs w:val="20"/>
          <w:lang w:val="en-US"/>
        </w:rPr>
        <w:lastRenderedPageBreak/>
        <w:t>security forces’ responsibility in the “dirty war” and expects that they will not affect Mexico’s obligations in the matter of memory, truth, justice, reparation, and non-repetition</w:t>
      </w:r>
      <w:r w:rsidR="320E09CA" w:rsidRPr="00CC562A">
        <w:rPr>
          <w:rFonts w:ascii="Cambria" w:eastAsia="Cambria" w:hAnsi="Cambria" w:cs="Cambria"/>
          <w:sz w:val="20"/>
          <w:szCs w:val="20"/>
          <w:lang w:val="en-US"/>
        </w:rPr>
        <w:t xml:space="preserve">. </w:t>
      </w:r>
    </w:p>
    <w:p w14:paraId="464BB2E4" w14:textId="6BDE013F" w:rsidR="00DB71FA" w:rsidRPr="00CC562A" w:rsidRDefault="009E542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As for the process of selecting and incorporating the </w:t>
      </w:r>
      <w:r w:rsidR="774EF675" w:rsidRPr="00CC562A">
        <w:rPr>
          <w:rFonts w:ascii="Cambria" w:eastAsia="Cambria" w:hAnsi="Cambria" w:cs="Cambria"/>
          <w:sz w:val="20"/>
          <w:szCs w:val="20"/>
          <w:lang w:val="en-US"/>
        </w:rPr>
        <w:t xml:space="preserve">COVEH, </w:t>
      </w:r>
      <w:r w:rsidR="00276638" w:rsidRPr="00CC562A">
        <w:rPr>
          <w:rFonts w:ascii="Cambria" w:eastAsia="Cambria" w:hAnsi="Cambria" w:cs="Cambria"/>
          <w:sz w:val="20"/>
          <w:szCs w:val="20"/>
          <w:lang w:val="en-US"/>
        </w:rPr>
        <w:t>the IACHR</w:t>
      </w:r>
      <w:r w:rsidR="774EF675" w:rsidRPr="00CC562A">
        <w:rPr>
          <w:rFonts w:ascii="Cambria" w:eastAsia="Cambria" w:hAnsi="Cambria" w:cs="Cambria"/>
          <w:sz w:val="20"/>
          <w:szCs w:val="20"/>
          <w:lang w:val="en-US"/>
        </w:rPr>
        <w:t xml:space="preserve"> reitera</w:t>
      </w:r>
      <w:r w:rsidRPr="00CC562A">
        <w:rPr>
          <w:rFonts w:ascii="Cambria" w:eastAsia="Cambria" w:hAnsi="Cambria" w:cs="Cambria"/>
          <w:sz w:val="20"/>
          <w:szCs w:val="20"/>
          <w:lang w:val="en-US"/>
        </w:rPr>
        <w:t>tes that a central aspect of truth commission</w:t>
      </w:r>
      <w:r w:rsidR="0000411A"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is their composition and integration. Thus, it has been stated that the power of truth commissions derives to a great extent from the moral authority and competence of their members, so </w:t>
      </w:r>
      <w:r w:rsidR="00A01EB2" w:rsidRPr="00CC562A">
        <w:rPr>
          <w:rFonts w:ascii="Cambria" w:eastAsia="Cambria" w:hAnsi="Cambria" w:cs="Cambria"/>
          <w:sz w:val="20"/>
          <w:szCs w:val="20"/>
          <w:lang w:val="en-US"/>
        </w:rPr>
        <w:t>that the priority is to establish selection criteria that assess technical experience or achievements in the mandated or related areas.</w:t>
      </w:r>
      <w:r w:rsidR="009318E4" w:rsidRPr="00CC562A">
        <w:rPr>
          <w:rStyle w:val="FootnoteReference"/>
          <w:rFonts w:ascii="Cambria" w:eastAsia="Cambria" w:hAnsi="Cambria" w:cs="Cambria"/>
          <w:sz w:val="20"/>
          <w:szCs w:val="20"/>
          <w:lang w:val="en-US"/>
        </w:rPr>
        <w:footnoteReference w:id="186"/>
      </w:r>
    </w:p>
    <w:p w14:paraId="6FFE6551" w14:textId="367B41F5" w:rsidR="00DB71FA" w:rsidRPr="00CC562A" w:rsidRDefault="002766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320E09CA" w:rsidRPr="00CC562A">
        <w:rPr>
          <w:rFonts w:ascii="Cambria" w:hAnsi="Cambria"/>
          <w:sz w:val="20"/>
          <w:szCs w:val="20"/>
          <w:lang w:val="en-US"/>
        </w:rPr>
        <w:t xml:space="preserve"> </w:t>
      </w:r>
      <w:r w:rsidR="00A01EB2" w:rsidRPr="00CC562A">
        <w:rPr>
          <w:rFonts w:ascii="Cambria" w:hAnsi="Cambria"/>
          <w:sz w:val="20"/>
          <w:szCs w:val="20"/>
          <w:lang w:val="en-US"/>
        </w:rPr>
        <w:t xml:space="preserve">estimates that the efforts implemented by the State allow for categorizing compliance with the recommendation as being </w:t>
      </w:r>
      <w:r w:rsidR="00A01EB2" w:rsidRPr="00CC562A">
        <w:rPr>
          <w:rFonts w:ascii="Cambria" w:hAnsi="Cambria"/>
          <w:b/>
          <w:bCs/>
          <w:sz w:val="20"/>
          <w:szCs w:val="20"/>
          <w:lang w:val="en-US"/>
        </w:rPr>
        <w:t>substantially partial</w:t>
      </w:r>
      <w:r w:rsidR="320E09CA" w:rsidRPr="00CC562A">
        <w:rPr>
          <w:rFonts w:ascii="Cambria" w:hAnsi="Cambria"/>
          <w:b/>
          <w:bCs/>
          <w:sz w:val="20"/>
          <w:szCs w:val="20"/>
          <w:lang w:val="en-US"/>
        </w:rPr>
        <w:t>.</w:t>
      </w:r>
      <w:r w:rsidR="320E09CA" w:rsidRPr="00CC562A">
        <w:rPr>
          <w:rFonts w:ascii="Cambria" w:hAnsi="Cambria"/>
          <w:sz w:val="20"/>
          <w:szCs w:val="20"/>
          <w:lang w:val="en-US"/>
        </w:rPr>
        <w:t xml:space="preserve"> </w:t>
      </w:r>
    </w:p>
    <w:p w14:paraId="7AE60B87" w14:textId="45DD5BC0" w:rsidR="00DB71FA" w:rsidRPr="00CC562A" w:rsidRDefault="00F108A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00F1532A" w:rsidRPr="00CC562A">
        <w:rPr>
          <w:rFonts w:ascii="Cambria" w:eastAsia="Cambria" w:hAnsi="Cambria" w:cs="Cambria"/>
          <w:sz w:val="20"/>
          <w:szCs w:val="20"/>
          <w:lang w:val="en-US"/>
        </w:rPr>
        <w:t xml:space="preserve">, </w:t>
      </w:r>
      <w:r w:rsidR="00A01EB2" w:rsidRPr="00CC562A">
        <w:rPr>
          <w:rFonts w:ascii="Cambria" w:eastAsia="Cambria" w:hAnsi="Cambria" w:cs="Cambria"/>
          <w:sz w:val="20"/>
          <w:szCs w:val="20"/>
          <w:lang w:val="en-US"/>
        </w:rPr>
        <w:t>the Commission urges the relevant authorities to adopt measures to guarantee transparency and access to information related to the clarification of human rights violations in the context of the “dirty war.”</w:t>
      </w:r>
      <w:r w:rsidR="7B3E463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 addition,</w:t>
      </w:r>
      <w:r w:rsidR="7B3E4638" w:rsidRPr="00CC562A">
        <w:rPr>
          <w:rFonts w:ascii="Cambria" w:eastAsia="Cambria" w:hAnsi="Cambria" w:cs="Cambria"/>
          <w:sz w:val="20"/>
          <w:szCs w:val="20"/>
          <w:lang w:val="en-US"/>
        </w:rPr>
        <w:t xml:space="preserve"> </w:t>
      </w:r>
      <w:r w:rsidR="00A01EB2" w:rsidRPr="00CC562A">
        <w:rPr>
          <w:rFonts w:ascii="Cambria" w:eastAsia="Cambria" w:hAnsi="Cambria" w:cs="Cambria"/>
          <w:sz w:val="20"/>
          <w:szCs w:val="20"/>
          <w:lang w:val="en-US"/>
        </w:rPr>
        <w:t>the Commission suggests that the State provide all the guarantees necessary for the COVEH’s independence and autonomy so that it can comply with its mandate related to memory, truth, justice, reparation, and non-repetition, in addition to assigning it all the appropriate human, financial, and technological resources for that purpose. Finally, it reiterates the importance of establishing appropriate channels for the participation of and communication with the victims and society at large in the development of its work.</w:t>
      </w:r>
    </w:p>
    <w:p w14:paraId="35A525F5" w14:textId="219B00DD" w:rsidR="00DB71FA" w:rsidRPr="00CC562A" w:rsidRDefault="007738D7" w:rsidP="00001918">
      <w:pPr>
        <w:numPr>
          <w:ilvl w:val="0"/>
          <w:numId w:val="2"/>
        </w:numPr>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hAnsi="Cambria" w:cs="Arial"/>
          <w:color w:val="000000" w:themeColor="text1"/>
          <w:sz w:val="20"/>
          <w:szCs w:val="20"/>
          <w:shd w:val="clear" w:color="auto" w:fill="FFFFFF"/>
          <w:lang w:val="en-US"/>
        </w:rPr>
        <w:t>Wit</w:t>
      </w:r>
      <w:r w:rsidR="00607AC2" w:rsidRPr="00CC562A">
        <w:rPr>
          <w:rFonts w:ascii="Cambria" w:hAnsi="Cambria" w:cs="Arial"/>
          <w:color w:val="000000" w:themeColor="text1"/>
          <w:sz w:val="20"/>
          <w:szCs w:val="20"/>
          <w:shd w:val="clear" w:color="auto" w:fill="FFFFFF"/>
          <w:lang w:val="en-US"/>
        </w:rPr>
        <w:t>h</w:t>
      </w:r>
      <w:r w:rsidRPr="00CC562A">
        <w:rPr>
          <w:rFonts w:ascii="Cambria" w:hAnsi="Cambria" w:cs="Arial"/>
          <w:color w:val="000000" w:themeColor="text1"/>
          <w:sz w:val="20"/>
          <w:szCs w:val="20"/>
          <w:shd w:val="clear" w:color="auto" w:fill="FFFFFF"/>
          <w:lang w:val="en-US"/>
        </w:rPr>
        <w:t xml:space="preserve"> respect to the recommendation on </w:t>
      </w:r>
      <w:r w:rsidRPr="00CC562A">
        <w:rPr>
          <w:rFonts w:ascii="Cambria" w:hAnsi="Cambria"/>
          <w:b/>
          <w:bCs/>
          <w:color w:val="000000" w:themeColor="text1"/>
          <w:sz w:val="20"/>
          <w:szCs w:val="20"/>
          <w:lang w:val="en-US"/>
        </w:rPr>
        <w:t>strengthening the mechanism for the protection of human rights defenders and journalists, guaranteeing its long-term economic sustainability and autonomy, as well as adopting measures for the evaluation and differentiated protection of beneficiaries</w:t>
      </w:r>
      <w:r w:rsidR="11C56623" w:rsidRPr="00CC562A">
        <w:rPr>
          <w:rFonts w:ascii="Cambria" w:hAnsi="Cambria"/>
          <w:b/>
          <w:bCs/>
          <w:color w:val="000000" w:themeColor="text1"/>
          <w:sz w:val="20"/>
          <w:szCs w:val="20"/>
          <w:lang w:val="en-US"/>
        </w:rPr>
        <w:t xml:space="preserve">, </w:t>
      </w:r>
      <w:r w:rsidR="00752FED" w:rsidRPr="00CC562A">
        <w:rPr>
          <w:rFonts w:ascii="Cambria" w:hAnsi="Cambria"/>
          <w:color w:val="000000" w:themeColor="text1"/>
          <w:sz w:val="20"/>
          <w:szCs w:val="20"/>
          <w:lang w:val="en-US"/>
        </w:rPr>
        <w:t>the State</w:t>
      </w:r>
      <w:r w:rsidR="008F650F" w:rsidRPr="00CC562A">
        <w:rPr>
          <w:rStyle w:val="FootnoteReference"/>
          <w:rFonts w:ascii="Arial" w:hAnsi="Arial" w:cs="Arial"/>
          <w:color w:val="444444"/>
          <w:sz w:val="18"/>
          <w:szCs w:val="18"/>
          <w:shd w:val="clear" w:color="auto" w:fill="FFFFFF"/>
          <w:lang w:val="en-US"/>
        </w:rPr>
        <w:footnoteReference w:id="187"/>
      </w:r>
      <w:r w:rsidR="11C56623" w:rsidRPr="00CC562A">
        <w:rPr>
          <w:rFonts w:ascii="Cambria" w:hAnsi="Cambria"/>
          <w:color w:val="000000" w:themeColor="text1"/>
          <w:sz w:val="20"/>
          <w:szCs w:val="20"/>
          <w:lang w:val="en-US"/>
        </w:rPr>
        <w:t xml:space="preserve"> </w:t>
      </w:r>
      <w:r w:rsidR="00881B6C" w:rsidRPr="00CC562A">
        <w:rPr>
          <w:rFonts w:ascii="Cambria" w:hAnsi="Cambria"/>
          <w:color w:val="000000" w:themeColor="text1"/>
          <w:sz w:val="20"/>
          <w:szCs w:val="20"/>
          <w:lang w:val="en-US"/>
        </w:rPr>
        <w:t>reported that as of the month of August</w:t>
      </w:r>
      <w:r w:rsidR="7AC77F6F" w:rsidRPr="00CC562A">
        <w:rPr>
          <w:rFonts w:ascii="Cambria" w:eastAsia="Cambria" w:hAnsi="Cambria" w:cs="Cambria"/>
          <w:sz w:val="20"/>
          <w:szCs w:val="20"/>
          <w:lang w:val="en-US"/>
        </w:rPr>
        <w:t xml:space="preserve"> 2022</w:t>
      </w:r>
      <w:r w:rsidR="00881B6C" w:rsidRPr="00CC562A">
        <w:rPr>
          <w:rFonts w:ascii="Cambria" w:eastAsia="Cambria" w:hAnsi="Cambria" w:cs="Cambria"/>
          <w:sz w:val="20"/>
          <w:szCs w:val="20"/>
          <w:lang w:val="en-US"/>
        </w:rPr>
        <w:t xml:space="preserve"> the Mechanisms reported </w:t>
      </w:r>
      <w:r w:rsidR="7AC77F6F" w:rsidRPr="00CC562A">
        <w:rPr>
          <w:rFonts w:ascii="Cambria" w:eastAsia="Cambria" w:hAnsi="Cambria" w:cs="Cambria"/>
          <w:sz w:val="20"/>
          <w:szCs w:val="20"/>
          <w:lang w:val="en-US"/>
        </w:rPr>
        <w:t>1</w:t>
      </w:r>
      <w:r w:rsidR="00881B6C" w:rsidRPr="00CC562A">
        <w:rPr>
          <w:rFonts w:ascii="Cambria" w:eastAsia="Cambria" w:hAnsi="Cambria" w:cs="Cambria"/>
          <w:sz w:val="20"/>
          <w:szCs w:val="20"/>
          <w:lang w:val="en-US"/>
        </w:rPr>
        <w:t>,</w:t>
      </w:r>
      <w:r w:rsidR="7AC77F6F" w:rsidRPr="00CC562A">
        <w:rPr>
          <w:rFonts w:ascii="Cambria" w:eastAsia="Cambria" w:hAnsi="Cambria" w:cs="Cambria"/>
          <w:sz w:val="20"/>
          <w:szCs w:val="20"/>
          <w:lang w:val="en-US"/>
        </w:rPr>
        <w:t xml:space="preserve">667 </w:t>
      </w:r>
      <w:r w:rsidR="00881B6C" w:rsidRPr="00CC562A">
        <w:rPr>
          <w:rFonts w:ascii="Cambria" w:eastAsia="Cambria" w:hAnsi="Cambria" w:cs="Cambria"/>
          <w:sz w:val="20"/>
          <w:szCs w:val="20"/>
          <w:lang w:val="en-US"/>
        </w:rPr>
        <w:t xml:space="preserve">active cases, </w:t>
      </w:r>
      <w:r w:rsidR="004026EC" w:rsidRPr="00CC562A">
        <w:rPr>
          <w:rFonts w:ascii="Cambria" w:eastAsia="Cambria" w:hAnsi="Cambria" w:cs="Cambria"/>
          <w:sz w:val="20"/>
          <w:szCs w:val="20"/>
          <w:lang w:val="en-US"/>
        </w:rPr>
        <w:t xml:space="preserve">in which </w:t>
      </w:r>
      <w:r w:rsidR="00881B6C" w:rsidRPr="00CC562A">
        <w:rPr>
          <w:rFonts w:ascii="Cambria" w:eastAsia="Cambria" w:hAnsi="Cambria" w:cs="Cambria"/>
          <w:sz w:val="20"/>
          <w:szCs w:val="20"/>
          <w:lang w:val="en-US"/>
        </w:rPr>
        <w:t>555 represent journalists</w:t>
      </w:r>
      <w:r w:rsidR="7AC77F6F" w:rsidRPr="00CC562A">
        <w:rPr>
          <w:rFonts w:ascii="Cambria" w:eastAsia="Cambria" w:hAnsi="Cambria" w:cs="Cambria"/>
          <w:sz w:val="20"/>
          <w:szCs w:val="20"/>
          <w:lang w:val="en-US"/>
        </w:rPr>
        <w:t xml:space="preserve"> (152 </w:t>
      </w:r>
      <w:r w:rsidR="00881B6C" w:rsidRPr="00CC562A">
        <w:rPr>
          <w:rFonts w:ascii="Cambria" w:eastAsia="Cambria" w:hAnsi="Cambria" w:cs="Cambria"/>
          <w:sz w:val="20"/>
          <w:szCs w:val="20"/>
          <w:lang w:val="en-US"/>
        </w:rPr>
        <w:t>women  and</w:t>
      </w:r>
      <w:r w:rsidR="7AC77F6F" w:rsidRPr="00CC562A">
        <w:rPr>
          <w:rFonts w:ascii="Cambria" w:eastAsia="Cambria" w:hAnsi="Cambria" w:cs="Cambria"/>
          <w:sz w:val="20"/>
          <w:szCs w:val="20"/>
          <w:lang w:val="en-US"/>
        </w:rPr>
        <w:t xml:space="preserve"> 403 </w:t>
      </w:r>
      <w:r w:rsidR="00881B6C" w:rsidRPr="00CC562A">
        <w:rPr>
          <w:rFonts w:ascii="Cambria" w:eastAsia="Cambria" w:hAnsi="Cambria" w:cs="Cambria"/>
          <w:sz w:val="20"/>
          <w:szCs w:val="20"/>
          <w:lang w:val="en-US"/>
        </w:rPr>
        <w:t>men</w:t>
      </w:r>
      <w:r w:rsidR="7AC77F6F" w:rsidRPr="00CC562A">
        <w:rPr>
          <w:rFonts w:ascii="Cambria" w:eastAsia="Cambria" w:hAnsi="Cambria" w:cs="Cambria"/>
          <w:sz w:val="20"/>
          <w:szCs w:val="20"/>
          <w:lang w:val="en-US"/>
        </w:rPr>
        <w:t xml:space="preserve">) </w:t>
      </w:r>
      <w:r w:rsidR="00881B6C" w:rsidRPr="00CC562A">
        <w:rPr>
          <w:rFonts w:ascii="Cambria" w:eastAsia="Cambria" w:hAnsi="Cambria" w:cs="Cambria"/>
          <w:sz w:val="20"/>
          <w:szCs w:val="20"/>
          <w:lang w:val="en-US"/>
        </w:rPr>
        <w:t xml:space="preserve">and </w:t>
      </w:r>
      <w:r w:rsidR="7AC77F6F" w:rsidRPr="00CC562A">
        <w:rPr>
          <w:rFonts w:ascii="Cambria" w:eastAsia="Cambria" w:hAnsi="Cambria" w:cs="Cambria"/>
          <w:sz w:val="20"/>
          <w:szCs w:val="20"/>
          <w:lang w:val="en-US"/>
        </w:rPr>
        <w:t>1</w:t>
      </w:r>
      <w:r w:rsidR="00881B6C" w:rsidRPr="00CC562A">
        <w:rPr>
          <w:rFonts w:ascii="Cambria" w:eastAsia="Cambria" w:hAnsi="Cambria" w:cs="Cambria"/>
          <w:sz w:val="20"/>
          <w:szCs w:val="20"/>
          <w:lang w:val="en-US"/>
        </w:rPr>
        <w:t>,</w:t>
      </w:r>
      <w:r w:rsidR="7AC77F6F" w:rsidRPr="00CC562A">
        <w:rPr>
          <w:rFonts w:ascii="Cambria" w:eastAsia="Cambria" w:hAnsi="Cambria" w:cs="Cambria"/>
          <w:sz w:val="20"/>
          <w:szCs w:val="20"/>
          <w:lang w:val="en-US"/>
        </w:rPr>
        <w:t xml:space="preserve">112 </w:t>
      </w:r>
      <w:r w:rsidR="004026EC" w:rsidRPr="00CC562A">
        <w:rPr>
          <w:rFonts w:ascii="Cambria" w:eastAsia="Cambria" w:hAnsi="Cambria" w:cs="Cambria"/>
          <w:sz w:val="20"/>
          <w:szCs w:val="20"/>
          <w:lang w:val="en-US"/>
        </w:rPr>
        <w:t xml:space="preserve">are </w:t>
      </w:r>
      <w:r w:rsidR="00881B6C" w:rsidRPr="00CC562A">
        <w:rPr>
          <w:rFonts w:ascii="Cambria" w:eastAsia="Cambria" w:hAnsi="Cambria" w:cs="Cambria"/>
          <w:sz w:val="20"/>
          <w:szCs w:val="20"/>
          <w:lang w:val="en-US"/>
        </w:rPr>
        <w:t>human rights defenders</w:t>
      </w:r>
      <w:r w:rsidR="7AC77F6F" w:rsidRPr="00CC562A">
        <w:rPr>
          <w:rFonts w:ascii="Cambria" w:eastAsia="Cambria" w:hAnsi="Cambria" w:cs="Cambria"/>
          <w:sz w:val="20"/>
          <w:szCs w:val="20"/>
          <w:lang w:val="en-US"/>
        </w:rPr>
        <w:t xml:space="preserve"> (594 </w:t>
      </w:r>
      <w:r w:rsidR="00881B6C" w:rsidRPr="00CC562A">
        <w:rPr>
          <w:rFonts w:ascii="Cambria" w:eastAsia="Cambria" w:hAnsi="Cambria" w:cs="Cambria"/>
          <w:sz w:val="20"/>
          <w:szCs w:val="20"/>
          <w:lang w:val="en-US"/>
        </w:rPr>
        <w:t xml:space="preserve">women and </w:t>
      </w:r>
      <w:r w:rsidR="7AC77F6F" w:rsidRPr="00CC562A">
        <w:rPr>
          <w:rFonts w:ascii="Cambria" w:eastAsia="Cambria" w:hAnsi="Cambria" w:cs="Cambria"/>
          <w:sz w:val="20"/>
          <w:szCs w:val="20"/>
          <w:lang w:val="en-US"/>
        </w:rPr>
        <w:t xml:space="preserve">518 </w:t>
      </w:r>
      <w:r w:rsidR="00881B6C" w:rsidRPr="00CC562A">
        <w:rPr>
          <w:rFonts w:ascii="Cambria" w:eastAsia="Cambria" w:hAnsi="Cambria" w:cs="Cambria"/>
          <w:sz w:val="20"/>
          <w:szCs w:val="20"/>
          <w:lang w:val="en-US"/>
        </w:rPr>
        <w:t>men</w:t>
      </w:r>
      <w:r w:rsidR="7AC77F6F" w:rsidRPr="00CC562A">
        <w:rPr>
          <w:rFonts w:ascii="Cambria" w:eastAsia="Cambria" w:hAnsi="Cambria" w:cs="Cambria"/>
          <w:sz w:val="20"/>
          <w:szCs w:val="20"/>
          <w:lang w:val="en-US"/>
        </w:rPr>
        <w:t xml:space="preserve">). </w:t>
      </w:r>
      <w:r w:rsidR="00881B6C" w:rsidRPr="00CC562A">
        <w:rPr>
          <w:rFonts w:ascii="Cambria" w:eastAsia="Cambria" w:hAnsi="Cambria" w:cs="Cambria"/>
          <w:sz w:val="20"/>
          <w:szCs w:val="20"/>
          <w:lang w:val="en-US"/>
        </w:rPr>
        <w:t>Under the current administration</w:t>
      </w:r>
      <w:r w:rsidR="004026EC" w:rsidRPr="00CC562A">
        <w:rPr>
          <w:rFonts w:ascii="Cambria" w:eastAsia="Cambria" w:hAnsi="Cambria" w:cs="Cambria"/>
          <w:sz w:val="20"/>
          <w:szCs w:val="20"/>
          <w:lang w:val="en-US"/>
        </w:rPr>
        <w:t>,</w:t>
      </w:r>
      <w:r w:rsidR="00881B6C" w:rsidRPr="00CC562A">
        <w:rPr>
          <w:rFonts w:ascii="Cambria" w:eastAsia="Cambria" w:hAnsi="Cambria" w:cs="Cambria"/>
          <w:sz w:val="20"/>
          <w:szCs w:val="20"/>
          <w:lang w:val="en-US"/>
        </w:rPr>
        <w:t xml:space="preserve"> entries</w:t>
      </w:r>
      <w:r w:rsidR="004026EC" w:rsidRPr="00CC562A">
        <w:rPr>
          <w:rFonts w:ascii="Cambria" w:eastAsia="Cambria" w:hAnsi="Cambria" w:cs="Cambria"/>
          <w:sz w:val="20"/>
          <w:szCs w:val="20"/>
          <w:lang w:val="en-US"/>
        </w:rPr>
        <w:t xml:space="preserve"> </w:t>
      </w:r>
      <w:r w:rsidR="00881B6C" w:rsidRPr="00CC562A">
        <w:rPr>
          <w:rFonts w:ascii="Cambria" w:eastAsia="Cambria" w:hAnsi="Cambria" w:cs="Cambria"/>
          <w:sz w:val="20"/>
          <w:szCs w:val="20"/>
          <w:lang w:val="en-US"/>
        </w:rPr>
        <w:t xml:space="preserve">equal an increase of </w:t>
      </w:r>
      <w:r w:rsidR="7AC77F6F" w:rsidRPr="00CC562A">
        <w:rPr>
          <w:rFonts w:ascii="Cambria" w:eastAsia="Cambria" w:hAnsi="Cambria" w:cs="Cambria"/>
          <w:sz w:val="20"/>
          <w:szCs w:val="20"/>
          <w:lang w:val="en-US"/>
        </w:rPr>
        <w:t xml:space="preserve">108%. </w:t>
      </w:r>
      <w:r w:rsidR="00881B6C" w:rsidRPr="00CC562A">
        <w:rPr>
          <w:rFonts w:ascii="Cambria" w:eastAsia="Cambria" w:hAnsi="Cambria" w:cs="Cambria"/>
          <w:sz w:val="20"/>
          <w:szCs w:val="20"/>
          <w:lang w:val="en-US"/>
        </w:rPr>
        <w:t xml:space="preserve">It reported that a total of </w:t>
      </w:r>
      <w:r w:rsidR="7AC77F6F" w:rsidRPr="00CC562A">
        <w:rPr>
          <w:rFonts w:ascii="Cambria" w:eastAsia="Cambria" w:hAnsi="Cambria" w:cs="Cambria"/>
          <w:sz w:val="20"/>
          <w:szCs w:val="20"/>
          <w:lang w:val="en-US"/>
        </w:rPr>
        <w:t xml:space="preserve">$380,583,860.00 </w:t>
      </w:r>
      <w:r w:rsidR="00881B6C" w:rsidRPr="00CC562A">
        <w:rPr>
          <w:rFonts w:ascii="Cambria" w:eastAsia="Cambria" w:hAnsi="Cambria" w:cs="Cambria"/>
          <w:sz w:val="20"/>
          <w:szCs w:val="20"/>
          <w:lang w:val="en-US"/>
        </w:rPr>
        <w:t xml:space="preserve">were authorized for the current fiscal year, solely for operating expenses, indicating that this amount does not consider personal services and represents an increase of </w:t>
      </w:r>
      <w:r w:rsidR="7AC77F6F" w:rsidRPr="00CC562A">
        <w:rPr>
          <w:rFonts w:ascii="Cambria" w:eastAsia="Cambria" w:hAnsi="Cambria" w:cs="Cambria"/>
          <w:sz w:val="20"/>
          <w:szCs w:val="20"/>
          <w:lang w:val="en-US"/>
        </w:rPr>
        <w:t xml:space="preserve">62% </w:t>
      </w:r>
      <w:r w:rsidR="00881B6C" w:rsidRPr="00CC562A">
        <w:rPr>
          <w:rFonts w:ascii="Cambria" w:eastAsia="Cambria" w:hAnsi="Cambria" w:cs="Cambria"/>
          <w:sz w:val="20"/>
          <w:szCs w:val="20"/>
          <w:lang w:val="en-US"/>
        </w:rPr>
        <w:t>over the preceding year</w:t>
      </w:r>
      <w:r w:rsidR="7AC77F6F" w:rsidRPr="00CC562A">
        <w:rPr>
          <w:rFonts w:ascii="Cambria" w:eastAsia="Cambria" w:hAnsi="Cambria" w:cs="Cambria"/>
          <w:sz w:val="20"/>
          <w:szCs w:val="20"/>
          <w:lang w:val="en-US"/>
        </w:rPr>
        <w:t>.</w:t>
      </w:r>
    </w:p>
    <w:p w14:paraId="56BD81FA" w14:textId="37475E70" w:rsidR="00DB71FA" w:rsidRPr="00CC562A" w:rsidRDefault="00F108AA" w:rsidP="00607AC2">
      <w:pPr>
        <w:numPr>
          <w:ilvl w:val="0"/>
          <w:numId w:val="2"/>
        </w:numPr>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sz w:val="20"/>
          <w:szCs w:val="20"/>
          <w:lang w:val="en-US"/>
        </w:rPr>
        <w:t>In addition,</w:t>
      </w:r>
      <w:r w:rsidR="7AC77F6F" w:rsidRPr="00CC562A">
        <w:rPr>
          <w:rFonts w:ascii="Cambria" w:eastAsia="Cambria" w:hAnsi="Cambria" w:cs="Cambria"/>
          <w:sz w:val="20"/>
          <w:szCs w:val="20"/>
          <w:lang w:val="en-US"/>
        </w:rPr>
        <w:t xml:space="preserve"> </w:t>
      </w:r>
      <w:r w:rsidR="00881B6C" w:rsidRPr="00CC562A">
        <w:rPr>
          <w:rFonts w:ascii="Cambria" w:eastAsia="Cambria" w:hAnsi="Cambria" w:cs="Cambria"/>
          <w:sz w:val="20"/>
          <w:szCs w:val="20"/>
          <w:lang w:val="en-US"/>
        </w:rPr>
        <w:t xml:space="preserve">it </w:t>
      </w:r>
      <w:r w:rsidR="00900ED4" w:rsidRPr="00CC562A">
        <w:rPr>
          <w:rFonts w:ascii="Cambria" w:eastAsia="Cambria" w:hAnsi="Cambria" w:cs="Cambria"/>
          <w:sz w:val="20"/>
          <w:szCs w:val="20"/>
          <w:lang w:val="en-US"/>
        </w:rPr>
        <w:t>reported that</w:t>
      </w:r>
      <w:r w:rsidR="00881B6C" w:rsidRPr="00CC562A">
        <w:rPr>
          <w:rFonts w:ascii="Cambria" w:eastAsia="Cambria" w:hAnsi="Cambria" w:cs="Cambria"/>
          <w:sz w:val="20"/>
          <w:szCs w:val="20"/>
          <w:lang w:val="en-US"/>
        </w:rPr>
        <w:t xml:space="preserve"> the Mechanism is working to restructure the protection policy, starting by strengthening the legal framework. In this context, it indicated that, during the year </w:t>
      </w:r>
      <w:r w:rsidR="7AC77F6F" w:rsidRPr="00CC562A">
        <w:rPr>
          <w:rFonts w:ascii="Cambria" w:eastAsia="Cambria" w:hAnsi="Cambria" w:cs="Cambria"/>
          <w:sz w:val="20"/>
          <w:szCs w:val="20"/>
          <w:lang w:val="en-US"/>
        </w:rPr>
        <w:t>2022</w:t>
      </w:r>
      <w:r w:rsidR="00881B6C" w:rsidRPr="00CC562A">
        <w:rPr>
          <w:rFonts w:ascii="Cambria" w:eastAsia="Cambria" w:hAnsi="Cambria" w:cs="Cambria"/>
          <w:sz w:val="20"/>
          <w:szCs w:val="20"/>
          <w:lang w:val="en-US"/>
        </w:rPr>
        <w:t xml:space="preserve">, </w:t>
      </w:r>
      <w:r w:rsidR="7AC77F6F" w:rsidRPr="00CC562A">
        <w:rPr>
          <w:rFonts w:ascii="Cambria" w:eastAsia="Cambria" w:hAnsi="Cambria" w:cs="Cambria"/>
          <w:sz w:val="20"/>
          <w:szCs w:val="20"/>
          <w:lang w:val="en-US"/>
        </w:rPr>
        <w:t xml:space="preserve">13 </w:t>
      </w:r>
      <w:r w:rsidR="00881B6C" w:rsidRPr="00CC562A">
        <w:rPr>
          <w:rFonts w:ascii="Cambria" w:eastAsia="Cambria" w:hAnsi="Cambria" w:cs="Cambria"/>
          <w:sz w:val="20"/>
          <w:szCs w:val="20"/>
          <w:lang w:val="en-US"/>
        </w:rPr>
        <w:t xml:space="preserve">sessions </w:t>
      </w:r>
      <w:r w:rsidR="004026EC" w:rsidRPr="00CC562A">
        <w:rPr>
          <w:rFonts w:ascii="Cambria" w:eastAsia="Cambria" w:hAnsi="Cambria" w:cs="Cambria"/>
          <w:sz w:val="20"/>
          <w:szCs w:val="20"/>
          <w:lang w:val="en-US"/>
        </w:rPr>
        <w:t>have been</w:t>
      </w:r>
      <w:r w:rsidR="00881B6C" w:rsidRPr="00CC562A">
        <w:rPr>
          <w:rFonts w:ascii="Cambria" w:eastAsia="Cambria" w:hAnsi="Cambria" w:cs="Cambria"/>
          <w:sz w:val="20"/>
          <w:szCs w:val="20"/>
          <w:lang w:val="en-US"/>
        </w:rPr>
        <w:t xml:space="preserve"> </w:t>
      </w:r>
      <w:r w:rsidR="004026EC" w:rsidRPr="00CC562A">
        <w:rPr>
          <w:rFonts w:ascii="Cambria" w:eastAsia="Cambria" w:hAnsi="Cambria" w:cs="Cambria"/>
          <w:sz w:val="20"/>
          <w:szCs w:val="20"/>
          <w:lang w:val="en-US"/>
        </w:rPr>
        <w:t>held</w:t>
      </w:r>
      <w:r w:rsidR="00881B6C" w:rsidRPr="00CC562A">
        <w:rPr>
          <w:rFonts w:ascii="Cambria" w:eastAsia="Cambria" w:hAnsi="Cambria" w:cs="Cambria"/>
          <w:sz w:val="20"/>
          <w:szCs w:val="20"/>
          <w:lang w:val="en-US"/>
        </w:rPr>
        <w:t xml:space="preserve"> for discussions with various sectors, including civil society organizations, </w:t>
      </w:r>
      <w:r w:rsidR="00C80FE5" w:rsidRPr="00CC562A">
        <w:rPr>
          <w:rFonts w:ascii="Cambria" w:eastAsia="Cambria" w:hAnsi="Cambria" w:cs="Cambria"/>
          <w:sz w:val="20"/>
          <w:szCs w:val="20"/>
          <w:lang w:val="en-US"/>
        </w:rPr>
        <w:t>defenders,</w:t>
      </w:r>
      <w:r w:rsidR="00881B6C" w:rsidRPr="00CC562A">
        <w:rPr>
          <w:rFonts w:ascii="Cambria" w:eastAsia="Cambria" w:hAnsi="Cambria" w:cs="Cambria"/>
          <w:sz w:val="20"/>
          <w:szCs w:val="20"/>
          <w:lang w:val="en-US"/>
        </w:rPr>
        <w:t xml:space="preserve"> and journalists. This broad and plural</w:t>
      </w:r>
      <w:r w:rsidR="0010529E" w:rsidRPr="00CC562A">
        <w:rPr>
          <w:rFonts w:ascii="Cambria" w:eastAsia="Cambria" w:hAnsi="Cambria" w:cs="Cambria"/>
          <w:sz w:val="20"/>
          <w:szCs w:val="20"/>
          <w:lang w:val="en-US"/>
        </w:rPr>
        <w:t xml:space="preserve">istic </w:t>
      </w:r>
      <w:r w:rsidR="00881B6C" w:rsidRPr="00CC562A">
        <w:rPr>
          <w:rFonts w:ascii="Cambria" w:eastAsia="Cambria" w:hAnsi="Cambria" w:cs="Cambria"/>
          <w:sz w:val="20"/>
          <w:szCs w:val="20"/>
          <w:lang w:val="en-US"/>
        </w:rPr>
        <w:t xml:space="preserve">process will result in </w:t>
      </w:r>
      <w:r w:rsidR="0010529E" w:rsidRPr="00CC562A">
        <w:rPr>
          <w:rFonts w:ascii="Cambria" w:eastAsia="Cambria" w:hAnsi="Cambria" w:cs="Cambria"/>
          <w:sz w:val="20"/>
          <w:szCs w:val="20"/>
          <w:lang w:val="en-US"/>
        </w:rPr>
        <w:t>a draft General Law the purpose of which is to improve the implementation of security for journalists and human rights defenders, as well as to strengthen protection actions, seeking to produce requirements on the subject for authorities at the three levels of government and under the constitutional mandate that recognizes the right to defend human rights and pro</w:t>
      </w:r>
      <w:r w:rsidR="004026EC" w:rsidRPr="00CC562A">
        <w:rPr>
          <w:rFonts w:ascii="Cambria" w:eastAsia="Cambria" w:hAnsi="Cambria" w:cs="Cambria"/>
          <w:sz w:val="20"/>
          <w:szCs w:val="20"/>
          <w:lang w:val="en-US"/>
        </w:rPr>
        <w:t>t</w:t>
      </w:r>
      <w:r w:rsidR="0010529E" w:rsidRPr="00CC562A">
        <w:rPr>
          <w:rFonts w:ascii="Cambria" w:eastAsia="Cambria" w:hAnsi="Cambria" w:cs="Cambria"/>
          <w:sz w:val="20"/>
          <w:szCs w:val="20"/>
          <w:lang w:val="en-US"/>
        </w:rPr>
        <w:t>ect</w:t>
      </w:r>
      <w:r w:rsidR="004026EC" w:rsidRPr="00CC562A">
        <w:rPr>
          <w:rFonts w:ascii="Cambria" w:eastAsia="Cambria" w:hAnsi="Cambria" w:cs="Cambria"/>
          <w:sz w:val="20"/>
          <w:szCs w:val="20"/>
          <w:lang w:val="en-US"/>
        </w:rPr>
        <w:t xml:space="preserve">ion </w:t>
      </w:r>
      <w:r w:rsidR="00C80FE5" w:rsidRPr="00CC562A">
        <w:rPr>
          <w:rFonts w:ascii="Cambria" w:eastAsia="Cambria" w:hAnsi="Cambria" w:cs="Cambria"/>
          <w:sz w:val="20"/>
          <w:szCs w:val="20"/>
          <w:lang w:val="en-US"/>
        </w:rPr>
        <w:t>for those</w:t>
      </w:r>
      <w:r w:rsidR="0010529E" w:rsidRPr="00CC562A">
        <w:rPr>
          <w:rFonts w:ascii="Cambria" w:eastAsia="Cambria" w:hAnsi="Cambria" w:cs="Cambria"/>
          <w:sz w:val="20"/>
          <w:szCs w:val="20"/>
          <w:lang w:val="en-US"/>
        </w:rPr>
        <w:t xml:space="preserve"> who exercise freedom of expression. Along these lines, it</w:t>
      </w:r>
      <w:r w:rsidR="7B1EC894"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0010529E" w:rsidRPr="00CC562A">
        <w:rPr>
          <w:rFonts w:ascii="Cambria" w:eastAsia="Cambria" w:hAnsi="Cambria" w:cs="Cambria"/>
          <w:sz w:val="20"/>
          <w:szCs w:val="20"/>
          <w:lang w:val="en-US"/>
        </w:rPr>
        <w:t xml:space="preserve"> the current process of protection assumes the investigation of unlawful acts under the jurisdiction of the respective prosecutorial bodies, the provision of security measures according to the National Code of Civil Procedures, with the support of the Mechanism. In response to any assault or threat, the </w:t>
      </w:r>
      <w:r w:rsidR="00C80FE5" w:rsidRPr="00CC562A">
        <w:rPr>
          <w:rFonts w:ascii="Cambria" w:eastAsia="Cambria" w:hAnsi="Cambria" w:cs="Cambria"/>
          <w:sz w:val="20"/>
          <w:szCs w:val="20"/>
          <w:lang w:val="en-US"/>
        </w:rPr>
        <w:t>Mechanism conducts</w:t>
      </w:r>
      <w:r w:rsidR="0010529E" w:rsidRPr="00CC562A">
        <w:rPr>
          <w:rFonts w:ascii="Cambria" w:eastAsia="Cambria" w:hAnsi="Cambria" w:cs="Cambria"/>
          <w:sz w:val="20"/>
          <w:szCs w:val="20"/>
          <w:lang w:val="en-US"/>
        </w:rPr>
        <w:t xml:space="preserve"> a risk assessment and </w:t>
      </w:r>
      <w:r w:rsidR="004026EC" w:rsidRPr="00CC562A">
        <w:rPr>
          <w:rFonts w:ascii="Cambria" w:eastAsia="Cambria" w:hAnsi="Cambria" w:cs="Cambria"/>
          <w:sz w:val="20"/>
          <w:szCs w:val="20"/>
          <w:lang w:val="en-US"/>
        </w:rPr>
        <w:t>presents</w:t>
      </w:r>
      <w:r w:rsidR="0010529E" w:rsidRPr="00CC562A">
        <w:rPr>
          <w:rFonts w:ascii="Cambria" w:eastAsia="Cambria" w:hAnsi="Cambria" w:cs="Cambria"/>
          <w:sz w:val="20"/>
          <w:szCs w:val="20"/>
          <w:lang w:val="en-US"/>
        </w:rPr>
        <w:t xml:space="preserve"> a plan of protection defined with the participation of the beneficiaries before the</w:t>
      </w:r>
      <w:r w:rsidR="00FD03FA" w:rsidRPr="00CC562A">
        <w:rPr>
          <w:rFonts w:ascii="Cambria" w:eastAsia="Cambria" w:hAnsi="Cambria" w:cs="Cambria"/>
          <w:sz w:val="20"/>
          <w:szCs w:val="20"/>
          <w:lang w:val="en-US"/>
        </w:rPr>
        <w:t xml:space="preserve"> Governing Body</w:t>
      </w:r>
      <w:r w:rsidR="7AC77F6F" w:rsidRPr="00CC562A">
        <w:rPr>
          <w:rFonts w:ascii="Cambria" w:eastAsia="Cambria" w:hAnsi="Cambria" w:cs="Cambria"/>
          <w:sz w:val="20"/>
          <w:szCs w:val="20"/>
          <w:lang w:val="en-US"/>
        </w:rPr>
        <w:t>.</w:t>
      </w:r>
    </w:p>
    <w:p w14:paraId="78EDE0D5" w14:textId="2C5FC6FB" w:rsidR="00DB71FA" w:rsidRPr="00CC562A" w:rsidRDefault="00FD03FA" w:rsidP="00001918">
      <w:pPr>
        <w:numPr>
          <w:ilvl w:val="0"/>
          <w:numId w:val="2"/>
        </w:numPr>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sz w:val="20"/>
          <w:szCs w:val="20"/>
          <w:lang w:val="en-US"/>
        </w:rPr>
        <w:lastRenderedPageBreak/>
        <w:t xml:space="preserve">In this regard, it established that work has been done on the preparation and training of civil servants </w:t>
      </w:r>
      <w:r w:rsidR="004026EC" w:rsidRPr="00CC562A">
        <w:rPr>
          <w:rFonts w:ascii="Cambria" w:eastAsia="Cambria" w:hAnsi="Cambria" w:cs="Cambria"/>
          <w:sz w:val="20"/>
          <w:szCs w:val="20"/>
          <w:lang w:val="en-US"/>
        </w:rPr>
        <w:t>to ensure that</w:t>
      </w:r>
      <w:r w:rsidRPr="00CC562A">
        <w:rPr>
          <w:rFonts w:ascii="Cambria" w:eastAsia="Cambria" w:hAnsi="Cambria" w:cs="Cambria"/>
          <w:sz w:val="20"/>
          <w:szCs w:val="20"/>
          <w:lang w:val="en-US"/>
        </w:rPr>
        <w:t xml:space="preserve"> they provide better care to those who use the mechanism.</w:t>
      </w:r>
      <w:r w:rsidR="3CB37975" w:rsidRPr="00CC562A">
        <w:rPr>
          <w:rFonts w:ascii="Cambria" w:eastAsia="Cambria" w:hAnsi="Cambria" w:cs="Cambria"/>
          <w:sz w:val="20"/>
          <w:szCs w:val="20"/>
          <w:lang w:val="en-US"/>
        </w:rPr>
        <w:t xml:space="preserve">  </w:t>
      </w:r>
      <w:r w:rsidR="00C80FE5" w:rsidRPr="00CC562A">
        <w:rPr>
          <w:rFonts w:ascii="Cambria" w:eastAsia="Cambria" w:hAnsi="Cambria" w:cs="Cambria"/>
          <w:sz w:val="20"/>
          <w:szCs w:val="20"/>
          <w:lang w:val="en-US"/>
        </w:rPr>
        <w:t>Altogether</w:t>
      </w:r>
      <w:r w:rsidRPr="00CC562A">
        <w:rPr>
          <w:rFonts w:ascii="Cambria" w:eastAsia="Cambria" w:hAnsi="Cambria" w:cs="Cambria"/>
          <w:sz w:val="20"/>
          <w:szCs w:val="20"/>
          <w:lang w:val="en-US"/>
        </w:rPr>
        <w:t>, this is why work has been done with the specialized institutions for effective action and care</w:t>
      </w:r>
      <w:r w:rsidR="7AC77F6F" w:rsidRPr="00CC562A">
        <w:rPr>
          <w:rFonts w:ascii="Cambria" w:eastAsia="Cambria" w:hAnsi="Cambria" w:cs="Cambria"/>
          <w:sz w:val="20"/>
          <w:szCs w:val="20"/>
          <w:lang w:val="en-US"/>
        </w:rPr>
        <w:t>.</w:t>
      </w:r>
      <w:r w:rsidR="00BE66B0" w:rsidRPr="00CC562A">
        <w:rPr>
          <w:rFonts w:ascii="Cambria" w:hAnsi="Cambria"/>
          <w:sz w:val="20"/>
          <w:lang w:val="en-US"/>
        </w:rPr>
        <w:t xml:space="preserve"> </w:t>
      </w:r>
      <w:r w:rsidR="00043EFA" w:rsidRPr="00CC562A">
        <w:rPr>
          <w:rFonts w:ascii="Cambria" w:hAnsi="Cambria"/>
          <w:sz w:val="20"/>
          <w:lang w:val="en-US"/>
        </w:rPr>
        <w:t xml:space="preserve">In addition, for case intake, </w:t>
      </w:r>
      <w:r w:rsidR="00C74E6F" w:rsidRPr="00CC562A">
        <w:rPr>
          <w:rFonts w:ascii="Cambria" w:hAnsi="Cambria"/>
          <w:sz w:val="20"/>
          <w:lang w:val="en-US"/>
        </w:rPr>
        <w:t>implementation</w:t>
      </w:r>
      <w:r w:rsidR="00043EFA" w:rsidRPr="00CC562A">
        <w:rPr>
          <w:rFonts w:ascii="Cambria" w:hAnsi="Cambria"/>
          <w:sz w:val="20"/>
          <w:lang w:val="en-US"/>
        </w:rPr>
        <w:t xml:space="preserve"> of measures, and follow-up, the State indicated that there are an additional 26 people, within the structural scheme, who have the specific </w:t>
      </w:r>
      <w:r w:rsidR="00C74E6F" w:rsidRPr="00CC562A">
        <w:rPr>
          <w:rFonts w:ascii="Cambria" w:hAnsi="Cambria"/>
          <w:sz w:val="20"/>
          <w:lang w:val="en-US"/>
        </w:rPr>
        <w:t>tools</w:t>
      </w:r>
      <w:r w:rsidR="00043EFA" w:rsidRPr="00CC562A">
        <w:rPr>
          <w:rFonts w:ascii="Cambria" w:hAnsi="Cambria"/>
          <w:sz w:val="20"/>
          <w:lang w:val="en-US"/>
        </w:rPr>
        <w:t xml:space="preserve"> and skills for handling cases and there are an additional five people who carry out activities</w:t>
      </w:r>
      <w:r w:rsidR="00BE66B0" w:rsidRPr="00CC562A">
        <w:rPr>
          <w:rFonts w:ascii="Cambria" w:eastAsia="Cambria" w:hAnsi="Cambria" w:cs="Cambria"/>
          <w:sz w:val="20"/>
          <w:szCs w:val="20"/>
          <w:lang w:val="en-US"/>
        </w:rPr>
        <w:t xml:space="preserve"> </w:t>
      </w:r>
      <w:r w:rsidR="00C74E6F" w:rsidRPr="00CC562A">
        <w:rPr>
          <w:rFonts w:ascii="Cambria" w:eastAsia="Cambria" w:hAnsi="Cambria" w:cs="Cambria"/>
          <w:sz w:val="20"/>
          <w:szCs w:val="20"/>
          <w:lang w:val="en-US"/>
        </w:rPr>
        <w:t>within the framework of the prevention and follow-up unit.</w:t>
      </w:r>
      <w:r w:rsidR="00BE66B0" w:rsidRPr="00CC562A">
        <w:rPr>
          <w:rStyle w:val="FootnoteReference"/>
          <w:rFonts w:ascii="Cambria" w:eastAsia="Cambria" w:hAnsi="Cambria" w:cs="Cambria"/>
          <w:sz w:val="20"/>
          <w:szCs w:val="20"/>
          <w:lang w:val="en-US"/>
        </w:rPr>
        <w:footnoteReference w:id="188"/>
      </w:r>
    </w:p>
    <w:p w14:paraId="2693D37C" w14:textId="2F9B2BEF" w:rsidR="00DB71FA" w:rsidRPr="00CC562A" w:rsidRDefault="00FD03FA"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w:t>
      </w:r>
      <w:r w:rsidR="05CF8749" w:rsidRPr="00CC562A">
        <w:rPr>
          <w:rFonts w:ascii="Cambria" w:eastAsia="Cambria" w:hAnsi="Cambria" w:cs="Cambria"/>
          <w:sz w:val="20"/>
          <w:szCs w:val="20"/>
          <w:lang w:val="en-US"/>
        </w:rPr>
        <w:t xml:space="preserve"> CNDH </w:t>
      </w:r>
      <w:r w:rsidRPr="00CC562A">
        <w:rPr>
          <w:rFonts w:ascii="Cambria" w:eastAsia="Cambria" w:hAnsi="Cambria" w:cs="Cambria"/>
          <w:sz w:val="20"/>
          <w:szCs w:val="20"/>
          <w:lang w:val="en-US"/>
        </w:rPr>
        <w:t xml:space="preserve">stated that, in its diagnosis </w:t>
      </w:r>
      <w:r w:rsidR="00C80FE5" w:rsidRPr="00CC562A">
        <w:rPr>
          <w:rFonts w:ascii="Cambria" w:eastAsia="Cambria" w:hAnsi="Cambria" w:cs="Cambria"/>
          <w:sz w:val="20"/>
          <w:szCs w:val="20"/>
          <w:lang w:val="en-US"/>
        </w:rPr>
        <w:t>regarding progress</w:t>
      </w:r>
      <w:r w:rsidRPr="00CC562A">
        <w:rPr>
          <w:rFonts w:ascii="Cambria" w:eastAsia="Cambria" w:hAnsi="Cambria" w:cs="Cambria"/>
          <w:sz w:val="20"/>
          <w:szCs w:val="20"/>
          <w:lang w:val="en-US"/>
        </w:rPr>
        <w:t xml:space="preserve"> and challenges of the “Protection mechanism for human rights defenders and journalists </w:t>
      </w:r>
      <w:r w:rsidR="05CF8749" w:rsidRPr="00CC562A">
        <w:rPr>
          <w:rFonts w:ascii="Cambria" w:eastAsia="Cambria" w:hAnsi="Cambria" w:cs="Cambria"/>
          <w:sz w:val="20"/>
          <w:szCs w:val="20"/>
          <w:lang w:val="en-US"/>
        </w:rPr>
        <w:t>" publi</w:t>
      </w:r>
      <w:r w:rsidRPr="00CC562A">
        <w:rPr>
          <w:rFonts w:ascii="Cambria" w:eastAsia="Cambria" w:hAnsi="Cambria" w:cs="Cambria"/>
          <w:sz w:val="20"/>
          <w:szCs w:val="20"/>
          <w:lang w:val="en-US"/>
        </w:rPr>
        <w:t>shed in May</w:t>
      </w:r>
      <w:r w:rsidR="05CF8749"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 xml:space="preserve">it determined that Mexico requires a state policy for the protection of human rights defenders and journalists that has clear mechanisms for coordinating actions and sharing information among federal, state, and municipal authorities. It indicated that the legislative branch needs to establish the mandate requiring State Protection Units or State Mechanisms to work in coordination with the Federal Mechanism on identifying and implementing preventive measures as well as urgent protective measures, given that the Mechanism is not currently empowered to directly carry out actions to prevent crimes in the states or municipalities, to direct </w:t>
      </w:r>
      <w:r w:rsidR="00866B17" w:rsidRPr="00CC562A">
        <w:rPr>
          <w:rFonts w:ascii="Cambria" w:eastAsia="Cambria" w:hAnsi="Cambria" w:cs="Cambria"/>
          <w:sz w:val="20"/>
          <w:szCs w:val="20"/>
          <w:lang w:val="en-US"/>
        </w:rPr>
        <w:t xml:space="preserve">prosecutorial investigations, or combat impunity in the justice system and eradicate widespread violence, without losing sight of the fact that the current law is a federal law and would have no </w:t>
      </w:r>
      <w:r w:rsidR="004026EC" w:rsidRPr="00CC562A">
        <w:rPr>
          <w:rFonts w:ascii="Cambria" w:eastAsia="Cambria" w:hAnsi="Cambria" w:cs="Cambria"/>
          <w:sz w:val="20"/>
          <w:szCs w:val="20"/>
          <w:lang w:val="en-US"/>
        </w:rPr>
        <w:t>power</w:t>
      </w:r>
      <w:r w:rsidR="00866B17" w:rsidRPr="00CC562A">
        <w:rPr>
          <w:rFonts w:ascii="Cambria" w:eastAsia="Cambria" w:hAnsi="Cambria" w:cs="Cambria"/>
          <w:sz w:val="20"/>
          <w:szCs w:val="20"/>
          <w:lang w:val="en-US"/>
        </w:rPr>
        <w:t xml:space="preserve"> to bind the </w:t>
      </w:r>
      <w:r w:rsidR="00365543" w:rsidRPr="00CC562A">
        <w:rPr>
          <w:rFonts w:ascii="Cambria" w:eastAsia="Cambria" w:hAnsi="Cambria" w:cs="Cambria"/>
          <w:sz w:val="20"/>
          <w:szCs w:val="20"/>
          <w:lang w:val="en-US"/>
        </w:rPr>
        <w:t>states</w:t>
      </w:r>
      <w:r w:rsidR="00866B17" w:rsidRPr="00CC562A">
        <w:rPr>
          <w:rFonts w:ascii="Cambria" w:eastAsia="Cambria" w:hAnsi="Cambria" w:cs="Cambria"/>
          <w:sz w:val="20"/>
          <w:szCs w:val="20"/>
          <w:lang w:val="en-US"/>
        </w:rPr>
        <w:t>, municipalities, or the autonomous bodies.</w:t>
      </w:r>
      <w:r w:rsidR="00384B03" w:rsidRPr="00CC562A">
        <w:rPr>
          <w:rStyle w:val="FootnoteReference"/>
          <w:rFonts w:ascii="Arial" w:hAnsi="Arial" w:cs="Arial"/>
          <w:color w:val="444444"/>
          <w:sz w:val="18"/>
          <w:szCs w:val="18"/>
          <w:shd w:val="clear" w:color="auto" w:fill="FFFFFF"/>
          <w:lang w:val="en-US"/>
        </w:rPr>
        <w:footnoteReference w:id="189"/>
      </w:r>
    </w:p>
    <w:p w14:paraId="0E7464B0" w14:textId="101F3ECA" w:rsidR="00DB71FA" w:rsidRPr="00CC562A" w:rsidRDefault="002766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w:t>
      </w:r>
      <w:r w:rsidR="003775ED" w:rsidRPr="00CC562A">
        <w:rPr>
          <w:rFonts w:ascii="Cambria" w:eastAsia="Cambria" w:hAnsi="Cambria" w:cs="Cambria"/>
          <w:sz w:val="20"/>
          <w:szCs w:val="20"/>
          <w:lang w:val="en-US"/>
        </w:rPr>
        <w:t>commends the increase</w:t>
      </w:r>
      <w:r w:rsidR="005905AB" w:rsidRPr="00CC562A">
        <w:rPr>
          <w:rFonts w:ascii="Cambria" w:eastAsia="Cambria" w:hAnsi="Cambria" w:cs="Cambria"/>
          <w:sz w:val="20"/>
          <w:szCs w:val="20"/>
          <w:lang w:val="en-US"/>
        </w:rPr>
        <w:t>d</w:t>
      </w:r>
      <w:r w:rsidR="003775ED" w:rsidRPr="00CC562A">
        <w:rPr>
          <w:rFonts w:ascii="Cambria" w:eastAsia="Cambria" w:hAnsi="Cambria" w:cs="Cambria"/>
          <w:sz w:val="20"/>
          <w:szCs w:val="20"/>
          <w:lang w:val="en-US"/>
        </w:rPr>
        <w:t xml:space="preserve"> resources allocated for operation of the Protection Mechanism as well as the protection policy restructuring being undertaken and allowing room for discussion with other stakeholders.</w:t>
      </w:r>
      <w:r w:rsidR="7AC77F6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w:t>
      </w:r>
      <w:r w:rsidR="003775ED" w:rsidRPr="00CC562A">
        <w:rPr>
          <w:rFonts w:ascii="Cambria" w:eastAsia="Cambria" w:hAnsi="Cambria" w:cs="Cambria"/>
          <w:sz w:val="20"/>
          <w:szCs w:val="20"/>
          <w:lang w:val="en-US"/>
        </w:rPr>
        <w:t>awaits information on the referenced policy once it is finalized and implemented by the authorities. In view of this, the</w:t>
      </w:r>
      <w:r w:rsidRPr="00CC562A">
        <w:rPr>
          <w:rFonts w:ascii="Cambria" w:eastAsia="Cambria" w:hAnsi="Cambria" w:cs="Cambria"/>
          <w:sz w:val="20"/>
          <w:szCs w:val="20"/>
          <w:lang w:val="en-US"/>
        </w:rPr>
        <w:t xml:space="preserve"> IACHR</w:t>
      </w:r>
      <w:r w:rsidR="7AC77F6F" w:rsidRPr="00CC562A">
        <w:rPr>
          <w:rFonts w:ascii="Cambria" w:eastAsia="Cambria" w:hAnsi="Cambria" w:cs="Cambria"/>
          <w:sz w:val="20"/>
          <w:szCs w:val="20"/>
          <w:lang w:val="en-US"/>
        </w:rPr>
        <w:t xml:space="preserve"> </w:t>
      </w:r>
      <w:r w:rsidR="003775ED" w:rsidRPr="00CC562A">
        <w:rPr>
          <w:rFonts w:ascii="Cambria" w:eastAsia="Cambria" w:hAnsi="Cambria" w:cs="Cambria"/>
          <w:sz w:val="20"/>
          <w:szCs w:val="20"/>
          <w:lang w:val="en-US"/>
        </w:rPr>
        <w:t>emphasizes the importance of clearly and precisely including mechanisms for coordinating actions and sharing information among federal, state, and municipal authorities, the purpose being to ensure the effectiveness of the measures to be implemented by the mechanism, without undermining its autonomy</w:t>
      </w:r>
      <w:r w:rsidR="7AC77F6F" w:rsidRPr="00CC562A">
        <w:rPr>
          <w:rFonts w:ascii="Cambria" w:eastAsia="Cambria" w:hAnsi="Cambria" w:cs="Cambria"/>
          <w:sz w:val="20"/>
          <w:szCs w:val="20"/>
          <w:lang w:val="en-US"/>
        </w:rPr>
        <w:t xml:space="preserve">. </w:t>
      </w:r>
      <w:r w:rsidR="003775ED" w:rsidRPr="00CC562A">
        <w:rPr>
          <w:rFonts w:ascii="Cambria" w:eastAsia="Cambria" w:hAnsi="Cambria" w:cs="Cambria"/>
          <w:sz w:val="20"/>
          <w:szCs w:val="20"/>
          <w:lang w:val="en-US"/>
        </w:rPr>
        <w:t>In addition</w:t>
      </w:r>
      <w:r w:rsidR="7AC77F6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rec</w:t>
      </w:r>
      <w:r w:rsidR="003775ED" w:rsidRPr="00CC562A">
        <w:rPr>
          <w:rFonts w:ascii="Cambria" w:eastAsia="Cambria" w:hAnsi="Cambria" w:cs="Cambria"/>
          <w:sz w:val="20"/>
          <w:szCs w:val="20"/>
          <w:lang w:val="en-US"/>
        </w:rPr>
        <w:t>alls that the effective operation of the Mechanism must be guaranteed internally (budget, operational independence, sustainability</w:t>
      </w:r>
      <w:r w:rsidR="7AC77F6F" w:rsidRPr="00CC562A">
        <w:rPr>
          <w:rFonts w:ascii="Cambria" w:eastAsia="Cambria" w:hAnsi="Cambria" w:cs="Cambria"/>
          <w:sz w:val="20"/>
          <w:szCs w:val="20"/>
          <w:lang w:val="en-US"/>
        </w:rPr>
        <w:t xml:space="preserve">) </w:t>
      </w:r>
      <w:r w:rsidR="003775ED" w:rsidRPr="00CC562A">
        <w:rPr>
          <w:rFonts w:ascii="Cambria" w:eastAsia="Cambria" w:hAnsi="Cambria" w:cs="Cambria"/>
          <w:sz w:val="20"/>
          <w:szCs w:val="20"/>
          <w:lang w:val="en-US"/>
        </w:rPr>
        <w:t xml:space="preserve">and externally (effective delivery of protection service according to the needs of the </w:t>
      </w:r>
      <w:r w:rsidR="009E09A3" w:rsidRPr="00CC562A">
        <w:rPr>
          <w:rFonts w:ascii="Cambria" w:eastAsia="Cambria" w:hAnsi="Cambria" w:cs="Cambria"/>
          <w:sz w:val="20"/>
          <w:szCs w:val="20"/>
          <w:lang w:val="en-US"/>
        </w:rPr>
        <w:t xml:space="preserve">target </w:t>
      </w:r>
      <w:r w:rsidR="003775ED" w:rsidRPr="00CC562A">
        <w:rPr>
          <w:rFonts w:ascii="Cambria" w:eastAsia="Cambria" w:hAnsi="Cambria" w:cs="Cambria"/>
          <w:sz w:val="20"/>
          <w:szCs w:val="20"/>
          <w:lang w:val="en-US"/>
        </w:rPr>
        <w:t>population</w:t>
      </w:r>
      <w:r w:rsidR="7AC77F6F" w:rsidRPr="00CC562A">
        <w:rPr>
          <w:rFonts w:ascii="Cambria" w:eastAsia="Cambria" w:hAnsi="Cambria" w:cs="Cambria"/>
          <w:sz w:val="20"/>
          <w:szCs w:val="20"/>
          <w:lang w:val="en-US"/>
        </w:rPr>
        <w:t xml:space="preserve">). </w:t>
      </w:r>
    </w:p>
    <w:p w14:paraId="7C0408CF" w14:textId="2778E035" w:rsidR="00522749" w:rsidRPr="00CC562A" w:rsidRDefault="009E09A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While awaiting detailed information yet to be sent, </w:t>
      </w:r>
      <w:r w:rsidR="00276638"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estima</w:t>
      </w:r>
      <w:r w:rsidRPr="00CC562A">
        <w:rPr>
          <w:rFonts w:ascii="Cambria" w:eastAsia="Cambria" w:hAnsi="Cambria" w:cs="Cambria"/>
          <w:sz w:val="20"/>
          <w:szCs w:val="20"/>
          <w:lang w:val="en-US"/>
        </w:rPr>
        <w:t xml:space="preserve">tes that this recommendation retains its </w:t>
      </w:r>
      <w:r w:rsidRPr="00CC562A">
        <w:rPr>
          <w:rFonts w:ascii="Cambria" w:eastAsia="Cambria" w:hAnsi="Cambria" w:cs="Cambria"/>
          <w:b/>
          <w:bCs/>
          <w:sz w:val="20"/>
          <w:szCs w:val="20"/>
          <w:lang w:val="en-US"/>
        </w:rPr>
        <w:t xml:space="preserve">partial compliance </w:t>
      </w:r>
      <w:r w:rsidRPr="00CC562A">
        <w:rPr>
          <w:rFonts w:ascii="Cambria" w:eastAsia="Cambria" w:hAnsi="Cambria" w:cs="Cambria"/>
          <w:sz w:val="20"/>
          <w:szCs w:val="20"/>
          <w:lang w:val="en-US"/>
        </w:rPr>
        <w:t>rating.</w:t>
      </w:r>
      <w:r w:rsidR="7AC77F6F" w:rsidRPr="00CC562A">
        <w:rPr>
          <w:rFonts w:ascii="Cambria" w:eastAsia="Cambria" w:hAnsi="Cambria" w:cs="Cambria"/>
          <w:sz w:val="20"/>
          <w:szCs w:val="20"/>
          <w:lang w:val="en-US"/>
        </w:rPr>
        <w:t xml:space="preserve"> </w:t>
      </w:r>
    </w:p>
    <w:p w14:paraId="469AF53B" w14:textId="602E272F" w:rsidR="00DB71FA" w:rsidRPr="00CC562A" w:rsidRDefault="009E09A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a view to guiding compliance with this recommendation, the Commission sees fit to urge the State to provide information demonstrating that the measures adopted during </w:t>
      </w:r>
      <w:r w:rsidR="434323B3" w:rsidRPr="00CC562A">
        <w:rPr>
          <w:rFonts w:ascii="Cambria" w:eastAsia="Cambria" w:hAnsi="Cambria" w:cs="Cambria"/>
          <w:sz w:val="20"/>
          <w:szCs w:val="20"/>
          <w:lang w:val="en-US"/>
        </w:rPr>
        <w:t xml:space="preserve">2022 </w:t>
      </w:r>
      <w:r w:rsidR="005D23BC" w:rsidRPr="00CC562A">
        <w:rPr>
          <w:rFonts w:ascii="Cambria" w:eastAsia="Cambria" w:hAnsi="Cambria" w:cs="Cambria"/>
          <w:sz w:val="20"/>
          <w:szCs w:val="20"/>
          <w:lang w:val="en-US"/>
        </w:rPr>
        <w:t>c</w:t>
      </w:r>
      <w:r w:rsidRPr="00CC562A">
        <w:rPr>
          <w:rFonts w:ascii="Cambria" w:eastAsia="Cambria" w:hAnsi="Cambria" w:cs="Cambria"/>
          <w:sz w:val="20"/>
          <w:szCs w:val="20"/>
          <w:lang w:val="en-US"/>
        </w:rPr>
        <w:t>onstitute a state policy allowing for sustainable operation of the Mechanism</w:t>
      </w:r>
      <w:r w:rsidR="00771C41" w:rsidRPr="00CC562A">
        <w:rPr>
          <w:rFonts w:ascii="Cambria" w:eastAsia="Cambria" w:hAnsi="Cambria" w:cs="Cambria"/>
          <w:sz w:val="20"/>
          <w:szCs w:val="20"/>
          <w:lang w:val="en-US"/>
        </w:rPr>
        <w:t>.</w:t>
      </w:r>
    </w:p>
    <w:p w14:paraId="082A3AB6" w14:textId="4A8A0F3B" w:rsidR="00DB71FA" w:rsidRPr="00CC562A" w:rsidRDefault="009E09A3" w:rsidP="00001918">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With regard to</w:t>
      </w:r>
      <w:proofErr w:type="gramEnd"/>
      <w:r w:rsidRPr="00CC562A">
        <w:rPr>
          <w:rFonts w:ascii="Cambria" w:eastAsia="Cambria" w:hAnsi="Cambria" w:cs="Cambria"/>
          <w:sz w:val="20"/>
          <w:szCs w:val="20"/>
          <w:lang w:val="en-US"/>
        </w:rPr>
        <w:t xml:space="preserve"> the recommendation on </w:t>
      </w:r>
      <w:r w:rsidR="11C56623" w:rsidRPr="00CC562A">
        <w:rPr>
          <w:rFonts w:ascii="Cambria" w:hAnsi="Cambria"/>
          <w:b/>
          <w:bCs/>
          <w:sz w:val="20"/>
          <w:szCs w:val="20"/>
          <w:lang w:val="en-US"/>
        </w:rPr>
        <w:t>reform</w:t>
      </w:r>
      <w:r w:rsidRPr="00CC562A">
        <w:rPr>
          <w:rFonts w:ascii="Cambria" w:hAnsi="Cambria"/>
          <w:b/>
          <w:bCs/>
          <w:sz w:val="20"/>
          <w:szCs w:val="20"/>
          <w:lang w:val="en-US"/>
        </w:rPr>
        <w:t xml:space="preserve"> of the Code of Military Justice</w:t>
      </w:r>
      <w:r w:rsidR="11C56623"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391AB80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did not provide any information.</w:t>
      </w:r>
      <w:r w:rsidR="00946551" w:rsidRPr="00CC562A">
        <w:rPr>
          <w:rStyle w:val="FootnoteReference"/>
          <w:rFonts w:ascii="Cambria" w:eastAsia="Cambria" w:hAnsi="Cambria" w:cs="Cambria"/>
          <w:sz w:val="20"/>
          <w:szCs w:val="20"/>
          <w:lang w:val="en-US"/>
        </w:rPr>
        <w:footnoteReference w:id="190"/>
      </w:r>
    </w:p>
    <w:p w14:paraId="4DE0440B" w14:textId="754733E4" w:rsidR="00DB71FA" w:rsidRPr="00CC562A" w:rsidRDefault="009E09A3"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PRODH Center stated that appropriate modifications have not been made to comply with this recommendation, consistent with the four judgments of the I/A Court H.R. that has ordered similarly.</w:t>
      </w:r>
      <w:r w:rsidR="5E99244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They also pointed out that the recent reforms that assigned the operational and administrative mandate of the National Guard to the</w:t>
      </w:r>
      <w:r w:rsidR="5E992440" w:rsidRPr="00CC562A">
        <w:rPr>
          <w:rFonts w:ascii="Cambria" w:eastAsia="Cambria" w:hAnsi="Cambria" w:cs="Cambria"/>
          <w:sz w:val="20"/>
          <w:szCs w:val="20"/>
          <w:lang w:val="en-US"/>
        </w:rPr>
        <w:t xml:space="preserve"> SEDENA</w:t>
      </w:r>
      <w:r w:rsidR="44296D51"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 already referenced in this report </w:t>
      </w:r>
      <w:r w:rsidR="44296D51" w:rsidRPr="00CC562A">
        <w:rPr>
          <w:rFonts w:ascii="Cambria" w:eastAsia="Cambria" w:hAnsi="Cambria" w:cs="Cambria"/>
          <w:sz w:val="20"/>
          <w:szCs w:val="20"/>
          <w:lang w:val="en-US"/>
        </w:rPr>
        <w:t>–</w:t>
      </w:r>
      <w:r w:rsidR="5E99244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include provisions on extending military </w:t>
      </w:r>
      <w:r w:rsidRPr="00CC562A">
        <w:rPr>
          <w:rFonts w:ascii="Cambria" w:eastAsia="Cambria" w:hAnsi="Cambria" w:cs="Cambria"/>
          <w:sz w:val="20"/>
          <w:szCs w:val="20"/>
          <w:lang w:val="en-US"/>
        </w:rPr>
        <w:lastRenderedPageBreak/>
        <w:t>jurisdiction to this security force. The reform establishes – by means of amendments adopted in Article 57 of the Law on the National Guard - that</w:t>
      </w:r>
      <w:r w:rsidR="5E992440" w:rsidRPr="00CC562A">
        <w:rPr>
          <w:rFonts w:ascii="Cambria" w:eastAsia="Cambria" w:hAnsi="Cambria" w:cs="Cambria"/>
          <w:sz w:val="20"/>
          <w:szCs w:val="20"/>
          <w:lang w:val="en-US"/>
        </w:rPr>
        <w:t xml:space="preserve"> “[…] </w:t>
      </w:r>
      <w:r w:rsidR="001C33D1" w:rsidRPr="00CC562A">
        <w:rPr>
          <w:rFonts w:ascii="Cambria" w:eastAsia="Cambria" w:hAnsi="Cambria" w:cs="Cambria"/>
          <w:sz w:val="20"/>
          <w:szCs w:val="20"/>
          <w:lang w:val="en-US"/>
        </w:rPr>
        <w:t>military personnel assigned to the National Guard shall continue to be subject to military jurisdiction with respect to the offenses specified in the Second Book of the Code of Military Justice that infringe upon the hierarchy and the authority.” Thus, the military units that are assigned to the National Guard shall continue to be subject to the military criminal regime. This extends the reach of this specialized criminal jurisdiction, which may thus hear alleged crimes committed when serving in an institution that is constitutionally a civilian institution</w:t>
      </w:r>
      <w:r w:rsidR="5E992440" w:rsidRPr="00CC562A">
        <w:rPr>
          <w:rFonts w:ascii="Cambria" w:eastAsia="Cambria" w:hAnsi="Cambria" w:cs="Cambria"/>
          <w:sz w:val="20"/>
          <w:szCs w:val="20"/>
          <w:lang w:val="en-US"/>
        </w:rPr>
        <w:t>.</w:t>
      </w:r>
    </w:p>
    <w:p w14:paraId="550A3DB7" w14:textId="0E3609C8" w:rsidR="00DB71FA" w:rsidRPr="00CC562A" w:rsidRDefault="001C33D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w:t>
      </w:r>
      <w:r w:rsidR="1EB29F69" w:rsidRPr="00CC562A">
        <w:rPr>
          <w:rFonts w:ascii="Cambria" w:eastAsia="Cambria" w:hAnsi="Cambria" w:cs="Cambria"/>
          <w:sz w:val="20"/>
          <w:szCs w:val="20"/>
          <w:lang w:val="en-US"/>
        </w:rPr>
        <w:t xml:space="preserve"> CMDPDH</w:t>
      </w:r>
      <w:r w:rsidR="602DAB02" w:rsidRPr="00CC562A">
        <w:rPr>
          <w:rFonts w:ascii="Cambria" w:eastAsia="Cambria" w:hAnsi="Cambria" w:cs="Cambria"/>
          <w:sz w:val="20"/>
          <w:szCs w:val="20"/>
          <w:lang w:val="en-US"/>
        </w:rPr>
        <w:t xml:space="preserve"> </w:t>
      </w:r>
      <w:r w:rsidR="00900ED4" w:rsidRPr="00CC562A">
        <w:rPr>
          <w:rFonts w:ascii="Cambria" w:eastAsia="Cambria" w:hAnsi="Cambria"/>
          <w:sz w:val="20"/>
          <w:szCs w:val="20"/>
          <w:lang w:val="en-US"/>
        </w:rPr>
        <w:t>reported that</w:t>
      </w:r>
      <w:r w:rsidR="602DAB02" w:rsidRPr="00CC562A">
        <w:rPr>
          <w:rFonts w:ascii="Cambria" w:eastAsia="Cambria" w:hAnsi="Cambria"/>
          <w:sz w:val="20"/>
          <w:szCs w:val="20"/>
          <w:lang w:val="en-US"/>
        </w:rPr>
        <w:t xml:space="preserve"> </w:t>
      </w:r>
      <w:r w:rsidR="00752FED" w:rsidRPr="00CC562A">
        <w:rPr>
          <w:rFonts w:ascii="Cambria" w:eastAsia="Cambria" w:hAnsi="Cambria"/>
          <w:sz w:val="20"/>
          <w:szCs w:val="20"/>
          <w:lang w:val="en-US"/>
        </w:rPr>
        <w:t>the State</w:t>
      </w:r>
      <w:r w:rsidR="602DAB02" w:rsidRPr="00CC562A">
        <w:rPr>
          <w:rFonts w:ascii="Cambria" w:hAnsi="Cambria"/>
          <w:sz w:val="20"/>
          <w:szCs w:val="20"/>
          <w:lang w:val="en-US"/>
        </w:rPr>
        <w:t xml:space="preserve"> </w:t>
      </w:r>
      <w:r w:rsidRPr="00CC562A">
        <w:rPr>
          <w:rFonts w:ascii="Cambria" w:hAnsi="Cambria"/>
          <w:sz w:val="20"/>
          <w:szCs w:val="20"/>
          <w:lang w:val="en-US"/>
        </w:rPr>
        <w:t xml:space="preserve">has not adopted the reforms needed to ensure that, when a civilian is the victim of a member of the military, parallel investigations are not initiated in the military </w:t>
      </w:r>
      <w:r w:rsidR="00D230F7" w:rsidRPr="00CC562A">
        <w:rPr>
          <w:rFonts w:ascii="Cambria" w:hAnsi="Cambria"/>
          <w:sz w:val="20"/>
          <w:szCs w:val="20"/>
          <w:lang w:val="en-US"/>
        </w:rPr>
        <w:t>jurisdiction</w:t>
      </w:r>
      <w:r w:rsidRPr="00CC562A">
        <w:rPr>
          <w:rFonts w:ascii="Cambria" w:hAnsi="Cambria"/>
          <w:sz w:val="20"/>
          <w:szCs w:val="20"/>
          <w:lang w:val="en-US"/>
        </w:rPr>
        <w:t xml:space="preserve"> and in the civilian </w:t>
      </w:r>
      <w:r w:rsidR="00D230F7" w:rsidRPr="00CC562A">
        <w:rPr>
          <w:rFonts w:ascii="Cambria" w:hAnsi="Cambria"/>
          <w:sz w:val="20"/>
          <w:szCs w:val="20"/>
          <w:lang w:val="en-US"/>
        </w:rPr>
        <w:t>jurisdiction</w:t>
      </w:r>
      <w:r w:rsidRPr="00CC562A">
        <w:rPr>
          <w:rFonts w:ascii="Cambria" w:hAnsi="Cambria"/>
          <w:sz w:val="20"/>
          <w:szCs w:val="20"/>
          <w:lang w:val="en-US"/>
        </w:rPr>
        <w:t xml:space="preserve"> </w:t>
      </w:r>
      <w:proofErr w:type="gramStart"/>
      <w:r w:rsidR="00D230F7" w:rsidRPr="00CC562A">
        <w:rPr>
          <w:rFonts w:ascii="Cambria" w:hAnsi="Cambria"/>
          <w:sz w:val="20"/>
          <w:szCs w:val="20"/>
          <w:lang w:val="en-US"/>
        </w:rPr>
        <w:t>with regard to</w:t>
      </w:r>
      <w:proofErr w:type="gramEnd"/>
      <w:r w:rsidRPr="00CC562A">
        <w:rPr>
          <w:rFonts w:ascii="Cambria" w:hAnsi="Cambria"/>
          <w:sz w:val="20"/>
          <w:szCs w:val="20"/>
          <w:lang w:val="en-US"/>
        </w:rPr>
        <w:t xml:space="preserve"> the same incident</w:t>
      </w:r>
      <w:r w:rsidR="602DAB02" w:rsidRPr="00CC562A">
        <w:rPr>
          <w:rFonts w:ascii="Cambria" w:hAnsi="Cambria"/>
          <w:sz w:val="20"/>
          <w:szCs w:val="20"/>
          <w:lang w:val="en-US"/>
        </w:rPr>
        <w:t xml:space="preserve">. </w:t>
      </w:r>
      <w:r w:rsidR="00F108AA" w:rsidRPr="00CC562A">
        <w:rPr>
          <w:rFonts w:ascii="Cambria" w:hAnsi="Cambria"/>
          <w:sz w:val="20"/>
          <w:szCs w:val="20"/>
          <w:lang w:val="en-US"/>
        </w:rPr>
        <w:t>In addition,</w:t>
      </w:r>
      <w:r w:rsidR="602DAB02" w:rsidRPr="00CC562A">
        <w:rPr>
          <w:rFonts w:ascii="Cambria" w:hAnsi="Cambria"/>
          <w:sz w:val="20"/>
          <w:szCs w:val="20"/>
          <w:lang w:val="en-US"/>
        </w:rPr>
        <w:t xml:space="preserve"> </w:t>
      </w:r>
      <w:r w:rsidR="00752FED" w:rsidRPr="00CC562A">
        <w:rPr>
          <w:rFonts w:ascii="Cambria" w:hAnsi="Cambria"/>
          <w:sz w:val="20"/>
          <w:szCs w:val="20"/>
          <w:lang w:val="en-US"/>
        </w:rPr>
        <w:t>the State</w:t>
      </w:r>
      <w:r w:rsidR="602DAB02" w:rsidRPr="00CC562A">
        <w:rPr>
          <w:rFonts w:ascii="Cambria" w:hAnsi="Cambria"/>
          <w:sz w:val="20"/>
          <w:szCs w:val="20"/>
          <w:lang w:val="en-US"/>
        </w:rPr>
        <w:t xml:space="preserve"> </w:t>
      </w:r>
      <w:r w:rsidRPr="00CC562A">
        <w:rPr>
          <w:rFonts w:ascii="Cambria" w:hAnsi="Cambria"/>
          <w:sz w:val="20"/>
          <w:szCs w:val="20"/>
          <w:lang w:val="en-US"/>
        </w:rPr>
        <w:t xml:space="preserve">has not adopted the reforms needed to ensure that, when a member of the military is the victim of another member of the military, the </w:t>
      </w:r>
      <w:r w:rsidR="00D230F7" w:rsidRPr="00CC562A">
        <w:rPr>
          <w:rFonts w:ascii="Cambria" w:hAnsi="Cambria"/>
          <w:sz w:val="20"/>
          <w:szCs w:val="20"/>
          <w:lang w:val="en-US"/>
        </w:rPr>
        <w:t>investigation into human rights violations is conducted in the civilian jurisdiction</w:t>
      </w:r>
      <w:r w:rsidR="602DAB02" w:rsidRPr="00CC562A">
        <w:rPr>
          <w:rFonts w:ascii="Cambria" w:hAnsi="Cambria"/>
          <w:sz w:val="20"/>
          <w:szCs w:val="20"/>
          <w:lang w:val="en-US"/>
        </w:rPr>
        <w:t>.</w:t>
      </w:r>
    </w:p>
    <w:p w14:paraId="3A10AFB3" w14:textId="2B81BC46" w:rsidR="00DB71FA" w:rsidRPr="00CC562A" w:rsidRDefault="2D308A46"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D230F7" w:rsidRPr="00CC562A">
        <w:rPr>
          <w:rFonts w:ascii="Cambria" w:eastAsia="Cambria" w:hAnsi="Cambria" w:cs="Cambria"/>
          <w:sz w:val="20"/>
          <w:szCs w:val="20"/>
          <w:lang w:val="en-US"/>
        </w:rPr>
        <w:t>The Commission notes with concern that the State has not provided information regarding the recommendations on reform of the code of military justice</w:t>
      </w:r>
      <w:r w:rsidR="320E09CA"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320E09CA" w:rsidRPr="00CC562A">
        <w:rPr>
          <w:rFonts w:ascii="Cambria" w:eastAsia="Cambria" w:hAnsi="Cambria" w:cs="Cambria"/>
          <w:sz w:val="20"/>
          <w:szCs w:val="20"/>
          <w:lang w:val="en-US"/>
        </w:rPr>
        <w:t xml:space="preserve"> </w:t>
      </w:r>
      <w:r w:rsidR="00D230F7" w:rsidRPr="00CC562A">
        <w:rPr>
          <w:rFonts w:ascii="Cambria" w:eastAsia="Cambria" w:hAnsi="Cambria" w:cs="Cambria"/>
          <w:sz w:val="20"/>
          <w:szCs w:val="20"/>
          <w:lang w:val="en-US"/>
        </w:rPr>
        <w:t>the Commission takes not</w:t>
      </w:r>
      <w:r w:rsidR="00932F3F" w:rsidRPr="00CC562A">
        <w:rPr>
          <w:rFonts w:ascii="Cambria" w:eastAsia="Cambria" w:hAnsi="Cambria" w:cs="Cambria"/>
          <w:sz w:val="20"/>
          <w:szCs w:val="20"/>
          <w:lang w:val="en-US"/>
        </w:rPr>
        <w:t xml:space="preserve">e </w:t>
      </w:r>
      <w:r w:rsidR="00D230F7" w:rsidRPr="00CC562A">
        <w:rPr>
          <w:rFonts w:ascii="Cambria" w:eastAsia="Cambria" w:hAnsi="Cambria" w:cs="Cambria"/>
          <w:sz w:val="20"/>
          <w:szCs w:val="20"/>
          <w:lang w:val="en-US"/>
        </w:rPr>
        <w:t>of the many prote</w:t>
      </w:r>
      <w:r w:rsidR="00932F3F" w:rsidRPr="00CC562A">
        <w:rPr>
          <w:rFonts w:ascii="Cambria" w:eastAsia="Cambria" w:hAnsi="Cambria" w:cs="Cambria"/>
          <w:sz w:val="20"/>
          <w:szCs w:val="20"/>
          <w:lang w:val="en-US"/>
        </w:rPr>
        <w:t>s</w:t>
      </w:r>
      <w:r w:rsidR="00D230F7" w:rsidRPr="00CC562A">
        <w:rPr>
          <w:rFonts w:ascii="Cambria" w:eastAsia="Cambria" w:hAnsi="Cambria" w:cs="Cambria"/>
          <w:sz w:val="20"/>
          <w:szCs w:val="20"/>
          <w:lang w:val="en-US"/>
        </w:rPr>
        <w:t xml:space="preserve">ts </w:t>
      </w:r>
      <w:r w:rsidR="00932F3F" w:rsidRPr="00CC562A">
        <w:rPr>
          <w:rFonts w:ascii="Cambria" w:eastAsia="Cambria" w:hAnsi="Cambria" w:cs="Cambria"/>
          <w:sz w:val="20"/>
          <w:szCs w:val="20"/>
          <w:lang w:val="en-US"/>
        </w:rPr>
        <w:t>led</w:t>
      </w:r>
      <w:r w:rsidR="00D230F7" w:rsidRPr="00CC562A">
        <w:rPr>
          <w:rFonts w:ascii="Cambria" w:eastAsia="Cambria" w:hAnsi="Cambria" w:cs="Cambria"/>
          <w:sz w:val="20"/>
          <w:szCs w:val="20"/>
          <w:lang w:val="en-US"/>
        </w:rPr>
        <w:t xml:space="preserve"> by civil society groups such as the PRODH Center and the </w:t>
      </w:r>
      <w:r w:rsidR="320E09CA" w:rsidRPr="00CC562A">
        <w:rPr>
          <w:rFonts w:ascii="Cambria" w:eastAsia="Cambria" w:hAnsi="Cambria" w:cs="Cambria"/>
          <w:sz w:val="20"/>
          <w:szCs w:val="20"/>
          <w:lang w:val="en-US"/>
        </w:rPr>
        <w:t xml:space="preserve">CMDPDH </w:t>
      </w:r>
      <w:r w:rsidR="00D230F7" w:rsidRPr="00CC562A">
        <w:rPr>
          <w:rFonts w:ascii="Cambria" w:eastAsia="Cambria" w:hAnsi="Cambria" w:cs="Cambria"/>
          <w:sz w:val="20"/>
          <w:szCs w:val="20"/>
          <w:lang w:val="en-US"/>
        </w:rPr>
        <w:t>regarding the increasing militarization of public security tasks and the scheme of impunity that may include having a militarized public security system. Added to this, the Commission recalls that since the 2017 Annual Report</w:t>
      </w:r>
      <w:r w:rsidR="000256A4" w:rsidRPr="00CC562A">
        <w:rPr>
          <w:rStyle w:val="FootnoteReference"/>
          <w:rFonts w:ascii="Cambria" w:eastAsia="Cambria" w:hAnsi="Cambria" w:cs="Cambria"/>
          <w:sz w:val="20"/>
          <w:szCs w:val="20"/>
          <w:lang w:val="en-US"/>
        </w:rPr>
        <w:footnoteReference w:id="191"/>
      </w:r>
      <w:r w:rsidR="4D99F635" w:rsidRPr="00CC562A">
        <w:rPr>
          <w:rFonts w:ascii="Cambria" w:eastAsia="Cambria" w:hAnsi="Cambria" w:cs="Cambria"/>
          <w:sz w:val="20"/>
          <w:szCs w:val="20"/>
          <w:lang w:val="en-US"/>
        </w:rPr>
        <w:t xml:space="preserve"> </w:t>
      </w:r>
      <w:r w:rsidR="00D230F7" w:rsidRPr="00CC562A">
        <w:rPr>
          <w:rFonts w:ascii="Cambria" w:eastAsia="Cambria" w:hAnsi="Cambria" w:cs="Cambria"/>
          <w:sz w:val="20"/>
          <w:szCs w:val="20"/>
          <w:lang w:val="en-US"/>
        </w:rPr>
        <w:t xml:space="preserve">it indicated that said reform of the Code has been pending, as the current legislation has still not been fully adapted to the inter-American standards, an observation that </w:t>
      </w:r>
      <w:r w:rsidR="00E22E4F" w:rsidRPr="00CC562A">
        <w:rPr>
          <w:rFonts w:ascii="Cambria" w:eastAsia="Cambria" w:hAnsi="Cambria" w:cs="Cambria"/>
          <w:sz w:val="20"/>
          <w:szCs w:val="20"/>
          <w:lang w:val="en-US"/>
        </w:rPr>
        <w:t>the I/A Court H.R. has shared consistently in its monitoring of compliance with some judgments against Mexico.</w:t>
      </w:r>
      <w:r w:rsidR="000256A4" w:rsidRPr="00CC562A">
        <w:rPr>
          <w:rStyle w:val="FootnoteReference"/>
          <w:rFonts w:ascii="Cambria" w:eastAsia="Cambria" w:hAnsi="Cambria" w:cs="Cambria"/>
          <w:sz w:val="20"/>
          <w:szCs w:val="20"/>
          <w:lang w:val="en-US"/>
        </w:rPr>
        <w:footnoteReference w:id="192"/>
      </w:r>
      <w:r w:rsidR="4D99F635" w:rsidRPr="00CC562A">
        <w:rPr>
          <w:rFonts w:ascii="Cambria" w:eastAsia="Cambria" w:hAnsi="Cambria" w:cs="Cambria"/>
          <w:sz w:val="20"/>
          <w:szCs w:val="20"/>
          <w:lang w:val="en-US"/>
        </w:rPr>
        <w:t xml:space="preserve"> </w:t>
      </w:r>
      <w:r w:rsidR="00E22E4F" w:rsidRPr="00CC562A">
        <w:rPr>
          <w:rFonts w:ascii="Cambria" w:hAnsi="Cambria"/>
          <w:sz w:val="20"/>
          <w:szCs w:val="20"/>
          <w:lang w:val="en-US"/>
        </w:rPr>
        <w:t xml:space="preserve">For these reasons, </w:t>
      </w:r>
      <w:r w:rsidR="320E09CA" w:rsidRPr="00CC562A">
        <w:rPr>
          <w:rFonts w:ascii="Cambria" w:hAnsi="Cambria"/>
          <w:sz w:val="20"/>
          <w:szCs w:val="20"/>
          <w:lang w:val="en-US"/>
        </w:rPr>
        <w:t xml:space="preserve"> </w:t>
      </w:r>
      <w:r w:rsidR="00276638" w:rsidRPr="00CC562A">
        <w:rPr>
          <w:rFonts w:ascii="Cambria" w:hAnsi="Cambria"/>
          <w:sz w:val="20"/>
          <w:szCs w:val="20"/>
          <w:lang w:val="en-US"/>
        </w:rPr>
        <w:t>the IACHR</w:t>
      </w:r>
      <w:r w:rsidR="320E09CA" w:rsidRPr="00CC562A">
        <w:rPr>
          <w:rFonts w:ascii="Cambria" w:hAnsi="Cambria"/>
          <w:sz w:val="20"/>
          <w:szCs w:val="20"/>
          <w:lang w:val="en-US"/>
        </w:rPr>
        <w:t xml:space="preserve"> </w:t>
      </w:r>
      <w:r w:rsidR="00E22E4F" w:rsidRPr="00CC562A">
        <w:rPr>
          <w:rFonts w:ascii="Cambria" w:hAnsi="Cambria"/>
          <w:sz w:val="20"/>
          <w:szCs w:val="20"/>
          <w:lang w:val="en-US"/>
        </w:rPr>
        <w:t xml:space="preserve">considered that this recommendation is </w:t>
      </w:r>
      <w:r w:rsidR="00E22E4F" w:rsidRPr="00CC562A">
        <w:rPr>
          <w:rFonts w:ascii="Cambria" w:hAnsi="Cambria"/>
          <w:b/>
          <w:bCs/>
          <w:sz w:val="20"/>
          <w:szCs w:val="20"/>
          <w:lang w:val="en-US"/>
        </w:rPr>
        <w:t>pending compliance.</w:t>
      </w:r>
    </w:p>
    <w:p w14:paraId="6602D69D" w14:textId="3087345C" w:rsidR="00DB71FA" w:rsidRPr="00CC562A" w:rsidRDefault="00E22E4F"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order to guide the implementation of this recommendation, the Commission urges the State to complete the reform of the Code of Military Justice, as indicated by the I/A Court H.R., so that the standard makes it clear that</w:t>
      </w:r>
      <w:r w:rsidR="4D280932" w:rsidRPr="00CC562A">
        <w:rPr>
          <w:rFonts w:ascii="Cambria" w:eastAsia="Cambria" w:hAnsi="Cambria" w:cs="Cambria"/>
          <w:sz w:val="20"/>
          <w:szCs w:val="20"/>
          <w:lang w:val="en-US"/>
        </w:rPr>
        <w:t xml:space="preserve"> “a)</w:t>
      </w:r>
      <w:r w:rsidRPr="00CC562A">
        <w:rPr>
          <w:rFonts w:ascii="Cambria" w:eastAsia="Cambria" w:hAnsi="Cambria" w:cs="Cambria"/>
          <w:sz w:val="20"/>
          <w:szCs w:val="20"/>
          <w:lang w:val="en-US"/>
        </w:rPr>
        <w:t xml:space="preserve"> the military jurisdiction is not the competent forum for investigating and, as applicable, prosecuting and punishing the perpetrators of human rights violations, even when both the perpetrator and the victim are members of the military, and</w:t>
      </w:r>
      <w:r w:rsidR="4D280932" w:rsidRPr="00CC562A">
        <w:rPr>
          <w:rFonts w:ascii="Cambria" w:eastAsia="Cambria" w:hAnsi="Cambria" w:cs="Cambria"/>
          <w:sz w:val="20"/>
          <w:szCs w:val="20"/>
          <w:lang w:val="en-US"/>
        </w:rPr>
        <w:t xml:space="preserve"> b) </w:t>
      </w:r>
      <w:r w:rsidRPr="00CC562A">
        <w:rPr>
          <w:rFonts w:ascii="Cambria" w:eastAsia="Cambria" w:hAnsi="Cambria" w:cs="Cambria"/>
          <w:sz w:val="20"/>
          <w:szCs w:val="20"/>
          <w:lang w:val="en-US"/>
        </w:rPr>
        <w:t>the military forum may only judge the commission of crimes or offenses (committed by active members of the military) that by their very nature impinge upon the legal assets pertaining to the military order.</w:t>
      </w:r>
      <w:r w:rsidR="4D280932" w:rsidRPr="00CC562A">
        <w:rPr>
          <w:rFonts w:ascii="Cambria" w:eastAsia="Cambria" w:hAnsi="Cambria" w:cs="Cambria"/>
          <w:sz w:val="20"/>
          <w:szCs w:val="20"/>
          <w:lang w:val="en-US"/>
        </w:rPr>
        <w:t>”</w:t>
      </w:r>
      <w:r w:rsidR="00900719" w:rsidRPr="00CC562A">
        <w:rPr>
          <w:rStyle w:val="FootnoteReference"/>
          <w:rFonts w:ascii="Cambria" w:eastAsia="Cambria" w:hAnsi="Cambria" w:cs="Cambria"/>
          <w:sz w:val="20"/>
          <w:szCs w:val="20"/>
          <w:lang w:val="en-US"/>
        </w:rPr>
        <w:footnoteReference w:id="193"/>
      </w:r>
    </w:p>
    <w:p w14:paraId="2A8C0B72" w14:textId="621C9C5E" w:rsidR="00DB71FA" w:rsidRPr="00CC562A" w:rsidRDefault="00FF3CC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With respect to</w:t>
      </w:r>
      <w:r w:rsidR="11C56623" w:rsidRPr="00CC562A">
        <w:rPr>
          <w:rFonts w:ascii="Cambria" w:eastAsia="Cambria" w:hAnsi="Cambria" w:cs="Cambria"/>
          <w:sz w:val="20"/>
          <w:szCs w:val="20"/>
          <w:lang w:val="en-US"/>
        </w:rPr>
        <w:t xml:space="preserve"> </w:t>
      </w:r>
      <w:r w:rsidR="11C56623" w:rsidRPr="00CC562A">
        <w:rPr>
          <w:rFonts w:ascii="Cambria" w:hAnsi="Cambria"/>
          <w:b/>
          <w:bCs/>
          <w:sz w:val="20"/>
          <w:szCs w:val="20"/>
          <w:lang w:val="en-US"/>
        </w:rPr>
        <w:t>monitor</w:t>
      </w:r>
      <w:r w:rsidRPr="00CC562A">
        <w:rPr>
          <w:rFonts w:ascii="Cambria" w:hAnsi="Cambria"/>
          <w:b/>
          <w:bCs/>
          <w:sz w:val="20"/>
          <w:szCs w:val="20"/>
          <w:lang w:val="en-US"/>
        </w:rPr>
        <w:t>ing the effectiveness of the new criminal justice system and evaluating its actual implementation</w:t>
      </w:r>
      <w:r w:rsidRPr="00CC562A">
        <w:rPr>
          <w:rFonts w:ascii="Cambria" w:hAnsi="Cambria"/>
          <w:sz w:val="20"/>
          <w:szCs w:val="20"/>
          <w:lang w:val="en-US"/>
        </w:rPr>
        <w:t xml:space="preserve">, </w:t>
      </w:r>
      <w:r w:rsidR="00752FED" w:rsidRPr="00CC562A">
        <w:rPr>
          <w:rFonts w:ascii="Cambria" w:hAnsi="Cambria"/>
          <w:sz w:val="20"/>
          <w:szCs w:val="20"/>
          <w:lang w:val="en-US"/>
        </w:rPr>
        <w:t>the State</w:t>
      </w:r>
      <w:r w:rsidR="008F650F" w:rsidRPr="00CC562A">
        <w:rPr>
          <w:rStyle w:val="FootnoteReference"/>
          <w:rFonts w:ascii="Arial" w:hAnsi="Arial" w:cs="Arial"/>
          <w:color w:val="444444"/>
          <w:sz w:val="18"/>
          <w:szCs w:val="18"/>
          <w:shd w:val="clear" w:color="auto" w:fill="FFFFFF"/>
          <w:lang w:val="en-US"/>
        </w:rPr>
        <w:footnoteReference w:id="194"/>
      </w:r>
      <w:r w:rsidR="11C56623" w:rsidRPr="00CC562A">
        <w:rPr>
          <w:rFonts w:ascii="Cambria" w:hAnsi="Cambria"/>
          <w:sz w:val="20"/>
          <w:szCs w:val="20"/>
          <w:lang w:val="en-US"/>
        </w:rPr>
        <w:t xml:space="preserve"> </w:t>
      </w:r>
      <w:r w:rsidRPr="00CC562A">
        <w:rPr>
          <w:rFonts w:ascii="Cambria" w:hAnsi="Cambria"/>
          <w:sz w:val="20"/>
          <w:szCs w:val="20"/>
          <w:lang w:val="en-US"/>
        </w:rPr>
        <w:t>pointed out that the Unit for the Consolidation of the New Criminal Justice System</w:t>
      </w:r>
      <w:r w:rsidR="7AC77F6F" w:rsidRPr="00CC562A">
        <w:rPr>
          <w:rFonts w:ascii="Cambria" w:eastAsia="Cambria" w:hAnsi="Cambria" w:cs="Cambria"/>
          <w:sz w:val="20"/>
          <w:szCs w:val="20"/>
          <w:lang w:val="en-US"/>
        </w:rPr>
        <w:t xml:space="preserve"> (UCNSJP) </w:t>
      </w:r>
      <w:r w:rsidRPr="00CC562A">
        <w:rPr>
          <w:rFonts w:ascii="Cambria" w:eastAsia="Cambria" w:hAnsi="Cambria" w:cs="Cambria"/>
          <w:sz w:val="20"/>
          <w:szCs w:val="20"/>
          <w:lang w:val="en-US"/>
        </w:rPr>
        <w:t xml:space="preserve">constantly monitors the operation of each of the </w:t>
      </w:r>
      <w:r w:rsidR="7AC77F6F" w:rsidRPr="00CC562A">
        <w:rPr>
          <w:rFonts w:ascii="Cambria" w:eastAsia="Cambria" w:hAnsi="Cambria" w:cs="Cambria"/>
          <w:sz w:val="20"/>
          <w:szCs w:val="20"/>
          <w:lang w:val="en-US"/>
        </w:rPr>
        <w:t xml:space="preserve">41 </w:t>
      </w:r>
      <w:r w:rsidRPr="00CC562A">
        <w:rPr>
          <w:rFonts w:ascii="Cambria" w:eastAsia="Cambria" w:hAnsi="Cambria" w:cs="Cambria"/>
          <w:sz w:val="20"/>
          <w:szCs w:val="20"/>
          <w:lang w:val="en-US"/>
        </w:rPr>
        <w:t>Federal Criminal Justice Centers</w:t>
      </w:r>
      <w:r w:rsidR="7AC77F6F" w:rsidRPr="00CC562A">
        <w:rPr>
          <w:rFonts w:ascii="Cambria" w:eastAsia="Cambria" w:hAnsi="Cambria" w:cs="Cambria"/>
          <w:sz w:val="20"/>
          <w:szCs w:val="20"/>
          <w:lang w:val="en-US"/>
        </w:rPr>
        <w:t xml:space="preserve"> (CJPF), </w:t>
      </w:r>
      <w:r w:rsidRPr="00CC562A">
        <w:rPr>
          <w:rFonts w:ascii="Cambria" w:eastAsia="Cambria" w:hAnsi="Cambria" w:cs="Cambria"/>
          <w:sz w:val="20"/>
          <w:szCs w:val="20"/>
          <w:lang w:val="en-US"/>
        </w:rPr>
        <w:t xml:space="preserve">making available to society various statistics on its official microsite. </w:t>
      </w:r>
      <w:r w:rsidR="7AC77F6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information on that site is updated monthly, which allows anyone interested in the</w:t>
      </w:r>
      <w:r w:rsidR="7AC77F6F" w:rsidRPr="00CC562A">
        <w:rPr>
          <w:rFonts w:ascii="Cambria" w:eastAsia="Cambria" w:hAnsi="Cambria" w:cs="Cambria"/>
          <w:sz w:val="20"/>
          <w:szCs w:val="20"/>
          <w:lang w:val="en-US"/>
        </w:rPr>
        <w:t xml:space="preserve"> SJPA</w:t>
      </w:r>
      <w:r w:rsidRPr="00CC562A">
        <w:rPr>
          <w:rFonts w:ascii="Cambria" w:eastAsia="Cambria" w:hAnsi="Cambria" w:cs="Cambria"/>
          <w:sz w:val="20"/>
          <w:szCs w:val="20"/>
          <w:lang w:val="en-US"/>
        </w:rPr>
        <w:t xml:space="preserve"> to monitor the operation</w:t>
      </w:r>
      <w:r w:rsidR="7AC77F6F" w:rsidRPr="00CC562A">
        <w:rPr>
          <w:rFonts w:ascii="Cambria" w:eastAsia="Cambria" w:hAnsi="Cambria" w:cs="Cambria"/>
          <w:sz w:val="20"/>
          <w:szCs w:val="20"/>
          <w:lang w:val="en-US"/>
        </w:rPr>
        <w:t xml:space="preserve">. </w:t>
      </w:r>
    </w:p>
    <w:p w14:paraId="0C6805B6" w14:textId="395F0B7F" w:rsidR="00DB71FA" w:rsidRPr="00CC562A" w:rsidRDefault="00FF3CC7"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 it established</w:t>
      </w:r>
      <w:r w:rsidR="0029212B" w:rsidRPr="00CC562A">
        <w:rPr>
          <w:rFonts w:ascii="Cambria" w:eastAsia="Cambria" w:hAnsi="Cambria" w:cs="Cambria"/>
          <w:sz w:val="20"/>
          <w:szCs w:val="20"/>
          <w:lang w:val="en-US"/>
        </w:rPr>
        <w:t xml:space="preserve"> consistent with the purposes indicated in transitory Article 13 of the Decree</w:t>
      </w:r>
      <w:r w:rsidR="00932F3F" w:rsidRPr="00CC562A">
        <w:rPr>
          <w:rFonts w:ascii="Cambria" w:eastAsia="Cambria" w:hAnsi="Cambria" w:cs="Cambria"/>
          <w:sz w:val="20"/>
          <w:szCs w:val="20"/>
          <w:lang w:val="en-US"/>
        </w:rPr>
        <w:t xml:space="preserve"> establishing the National Code of Criminal Procedure</w:t>
      </w:r>
      <w:r w:rsidR="7AC77F6F" w:rsidRPr="00CC562A">
        <w:rPr>
          <w:rFonts w:ascii="Cambria" w:eastAsia="Cambria" w:hAnsi="Cambria" w:cs="Cambria"/>
          <w:sz w:val="20"/>
          <w:szCs w:val="20"/>
          <w:lang w:val="en-US"/>
        </w:rPr>
        <w:t xml:space="preserve"> </w:t>
      </w:r>
      <w:r w:rsidR="0029212B" w:rsidRPr="00CC562A">
        <w:rPr>
          <w:rFonts w:ascii="Cambria" w:eastAsia="Cambria" w:hAnsi="Cambria" w:cs="Cambria"/>
          <w:sz w:val="20"/>
          <w:szCs w:val="20"/>
          <w:lang w:val="en-US"/>
        </w:rPr>
        <w:t xml:space="preserve">that a report should be submitted every six </w:t>
      </w:r>
      <w:r w:rsidR="0029212B" w:rsidRPr="00CC562A">
        <w:rPr>
          <w:rFonts w:ascii="Cambria" w:eastAsia="Cambria" w:hAnsi="Cambria" w:cs="Cambria"/>
          <w:sz w:val="20"/>
          <w:szCs w:val="20"/>
          <w:lang w:val="en-US"/>
        </w:rPr>
        <w:lastRenderedPageBreak/>
        <w:t xml:space="preserve">months to the Congress of the Union regarding the status of the process of consolidation of the </w:t>
      </w:r>
      <w:r w:rsidR="7AC77F6F" w:rsidRPr="00CC562A">
        <w:rPr>
          <w:rFonts w:ascii="Cambria" w:eastAsia="Cambria" w:hAnsi="Cambria" w:cs="Cambria"/>
          <w:sz w:val="20"/>
          <w:szCs w:val="20"/>
          <w:lang w:val="en-US"/>
        </w:rPr>
        <w:t xml:space="preserve">SJPA </w:t>
      </w:r>
      <w:r w:rsidR="0029212B" w:rsidRPr="00CC562A">
        <w:rPr>
          <w:rFonts w:ascii="Cambria" w:eastAsia="Cambria" w:hAnsi="Cambria" w:cs="Cambria"/>
          <w:sz w:val="20"/>
          <w:szCs w:val="20"/>
          <w:lang w:val="en-US"/>
        </w:rPr>
        <w:t>within the federal judiciary</w:t>
      </w:r>
      <w:r w:rsidR="7AC77F6F" w:rsidRPr="00CC562A">
        <w:rPr>
          <w:rFonts w:ascii="Cambria" w:eastAsia="Cambria" w:hAnsi="Cambria" w:cs="Cambria"/>
          <w:sz w:val="20"/>
          <w:szCs w:val="20"/>
          <w:lang w:val="en-US"/>
        </w:rPr>
        <w:t xml:space="preserve">. </w:t>
      </w:r>
      <w:r w:rsidR="0029212B" w:rsidRPr="00CC562A">
        <w:rPr>
          <w:rFonts w:ascii="Cambria" w:eastAsia="Cambria" w:hAnsi="Cambria" w:cs="Cambria"/>
          <w:sz w:val="20"/>
          <w:szCs w:val="20"/>
          <w:lang w:val="en-US"/>
        </w:rPr>
        <w:t>That report provides an accounting of judicial statistics produced in each of the</w:t>
      </w:r>
      <w:r w:rsidR="7AC77F6F" w:rsidRPr="00CC562A">
        <w:rPr>
          <w:rFonts w:ascii="Cambria" w:eastAsia="Cambria" w:hAnsi="Cambria" w:cs="Cambria"/>
          <w:sz w:val="20"/>
          <w:szCs w:val="20"/>
          <w:lang w:val="en-US"/>
        </w:rPr>
        <w:t xml:space="preserve"> 41 CJPF</w:t>
      </w:r>
      <w:r w:rsidR="0029212B" w:rsidRPr="00CC562A">
        <w:rPr>
          <w:rFonts w:ascii="Cambria" w:eastAsia="Cambria" w:hAnsi="Cambria" w:cs="Cambria"/>
          <w:sz w:val="20"/>
          <w:szCs w:val="20"/>
          <w:lang w:val="en-US"/>
        </w:rPr>
        <w:t>s</w:t>
      </w:r>
      <w:r w:rsidR="7AC77F6F" w:rsidRPr="00CC562A">
        <w:rPr>
          <w:rFonts w:ascii="Cambria" w:eastAsia="Cambria" w:hAnsi="Cambria" w:cs="Cambria"/>
          <w:sz w:val="20"/>
          <w:szCs w:val="20"/>
          <w:lang w:val="en-US"/>
        </w:rPr>
        <w:t xml:space="preserve">. </w:t>
      </w:r>
      <w:r w:rsidR="0029212B" w:rsidRPr="00CC562A">
        <w:rPr>
          <w:rFonts w:ascii="Cambria" w:eastAsia="Cambria" w:hAnsi="Cambria" w:cs="Cambria"/>
          <w:sz w:val="20"/>
          <w:szCs w:val="20"/>
          <w:lang w:val="en-US"/>
        </w:rPr>
        <w:t>With this, the</w:t>
      </w:r>
      <w:r w:rsidR="7AC77F6F" w:rsidRPr="00CC562A">
        <w:rPr>
          <w:rFonts w:ascii="Cambria" w:eastAsia="Cambria" w:hAnsi="Cambria" w:cs="Cambria"/>
          <w:sz w:val="20"/>
          <w:szCs w:val="20"/>
          <w:lang w:val="en-US"/>
        </w:rPr>
        <w:t xml:space="preserve"> UCNSJP </w:t>
      </w:r>
      <w:r w:rsidR="0029212B" w:rsidRPr="00CC562A">
        <w:rPr>
          <w:rFonts w:ascii="Cambria" w:eastAsia="Cambria" w:hAnsi="Cambria" w:cs="Cambria"/>
          <w:sz w:val="20"/>
          <w:szCs w:val="20"/>
          <w:lang w:val="en-US"/>
        </w:rPr>
        <w:t>provides useful information for monitoring each of the division</w:t>
      </w:r>
      <w:r w:rsidR="00932F3F" w:rsidRPr="00CC562A">
        <w:rPr>
          <w:rFonts w:ascii="Cambria" w:eastAsia="Cambria" w:hAnsi="Cambria" w:cs="Cambria"/>
          <w:sz w:val="20"/>
          <w:szCs w:val="20"/>
          <w:lang w:val="en-US"/>
        </w:rPr>
        <w:t>s</w:t>
      </w:r>
      <w:r w:rsidR="0029212B" w:rsidRPr="00CC562A">
        <w:rPr>
          <w:rFonts w:ascii="Cambria" w:eastAsia="Cambria" w:hAnsi="Cambria" w:cs="Cambria"/>
          <w:sz w:val="20"/>
          <w:szCs w:val="20"/>
          <w:lang w:val="en-US"/>
        </w:rPr>
        <w:t xml:space="preserve"> that </w:t>
      </w:r>
      <w:r w:rsidR="00932F3F" w:rsidRPr="00CC562A">
        <w:rPr>
          <w:rFonts w:ascii="Cambria" w:eastAsia="Cambria" w:hAnsi="Cambria" w:cs="Cambria"/>
          <w:sz w:val="20"/>
          <w:szCs w:val="20"/>
          <w:lang w:val="en-US"/>
        </w:rPr>
        <w:t>make up</w:t>
      </w:r>
      <w:r w:rsidR="0029212B" w:rsidRPr="00CC562A">
        <w:rPr>
          <w:rFonts w:ascii="Cambria" w:eastAsia="Cambria" w:hAnsi="Cambria" w:cs="Cambria"/>
          <w:sz w:val="20"/>
          <w:szCs w:val="20"/>
          <w:lang w:val="en-US"/>
        </w:rPr>
        <w:t xml:space="preserve"> the operations of the </w:t>
      </w:r>
      <w:r w:rsidR="7AC77F6F" w:rsidRPr="00CC562A">
        <w:rPr>
          <w:rFonts w:ascii="Cambria" w:eastAsia="Cambria" w:hAnsi="Cambria" w:cs="Cambria"/>
          <w:sz w:val="20"/>
          <w:szCs w:val="20"/>
          <w:lang w:val="en-US"/>
        </w:rPr>
        <w:t>SJPA a</w:t>
      </w:r>
      <w:r w:rsidR="0029212B" w:rsidRPr="00CC562A">
        <w:rPr>
          <w:rFonts w:ascii="Cambria" w:eastAsia="Cambria" w:hAnsi="Cambria" w:cs="Cambria"/>
          <w:sz w:val="20"/>
          <w:szCs w:val="20"/>
          <w:lang w:val="en-US"/>
        </w:rPr>
        <w:t>t the federal level, information that can be accessed by the public</w:t>
      </w:r>
      <w:r w:rsidR="7AC77F6F" w:rsidRPr="00CC562A">
        <w:rPr>
          <w:rFonts w:ascii="Cambria" w:eastAsia="Cambria" w:hAnsi="Cambria" w:cs="Cambria"/>
          <w:sz w:val="20"/>
          <w:szCs w:val="20"/>
          <w:lang w:val="en-US"/>
        </w:rPr>
        <w:t>.</w:t>
      </w:r>
    </w:p>
    <w:p w14:paraId="6EACE5BF" w14:textId="1D52F6FB" w:rsidR="00DB71FA" w:rsidRPr="00CC562A" w:rsidRDefault="0029212B"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Based on the Judicial Guidelines for Conducting Criminal Hearings, as of August</w:t>
      </w:r>
      <w:r w:rsidR="7AC77F6F"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 xml:space="preserve">it indicated that </w:t>
      </w:r>
      <w:r w:rsidR="00B150C9" w:rsidRPr="00CC562A">
        <w:rPr>
          <w:rFonts w:ascii="Cambria" w:eastAsia="Cambria" w:hAnsi="Cambria" w:cs="Cambria"/>
          <w:sz w:val="20"/>
          <w:szCs w:val="20"/>
          <w:lang w:val="en-US"/>
        </w:rPr>
        <w:t xml:space="preserve">a scheme is underway for measuring its monitoring and evaluation in seven </w:t>
      </w:r>
      <w:r w:rsidR="00365543" w:rsidRPr="00CC562A">
        <w:rPr>
          <w:rFonts w:ascii="Cambria" w:eastAsia="Cambria" w:hAnsi="Cambria" w:cs="Cambria"/>
          <w:sz w:val="20"/>
          <w:szCs w:val="20"/>
          <w:lang w:val="en-US"/>
        </w:rPr>
        <w:t>states</w:t>
      </w:r>
      <w:r w:rsidR="7AC77F6F" w:rsidRPr="00CC562A">
        <w:rPr>
          <w:rFonts w:ascii="Cambria" w:eastAsia="Cambria" w:hAnsi="Cambria" w:cs="Cambria"/>
          <w:sz w:val="20"/>
          <w:szCs w:val="20"/>
          <w:lang w:val="en-US"/>
        </w:rPr>
        <w:t xml:space="preserve">: Chihuahua, </w:t>
      </w:r>
      <w:r w:rsidR="00B150C9" w:rsidRPr="00CC562A">
        <w:rPr>
          <w:rFonts w:ascii="Cambria" w:eastAsia="Cambria" w:hAnsi="Cambria" w:cs="Cambria"/>
          <w:sz w:val="20"/>
          <w:szCs w:val="20"/>
          <w:lang w:val="en-US"/>
        </w:rPr>
        <w:t xml:space="preserve">Mexico City, State of Mexico, </w:t>
      </w:r>
      <w:r w:rsidR="7AC77F6F" w:rsidRPr="00CC562A">
        <w:rPr>
          <w:rFonts w:ascii="Cambria" w:eastAsia="Cambria" w:hAnsi="Cambria" w:cs="Cambria"/>
          <w:sz w:val="20"/>
          <w:szCs w:val="20"/>
          <w:lang w:val="en-US"/>
        </w:rPr>
        <w:t>Oaxaca, Puebla, Quinta Roo</w:t>
      </w:r>
      <w:r w:rsidR="00B150C9" w:rsidRPr="00CC562A">
        <w:rPr>
          <w:rFonts w:ascii="Cambria" w:eastAsia="Cambria" w:hAnsi="Cambria" w:cs="Cambria"/>
          <w:sz w:val="20"/>
          <w:szCs w:val="20"/>
          <w:lang w:val="en-US"/>
        </w:rPr>
        <w:t>, and</w:t>
      </w:r>
      <w:r w:rsidR="7AC77F6F" w:rsidRPr="00CC562A">
        <w:rPr>
          <w:rFonts w:ascii="Cambria" w:eastAsia="Cambria" w:hAnsi="Cambria" w:cs="Cambria"/>
          <w:sz w:val="20"/>
          <w:szCs w:val="20"/>
          <w:lang w:val="en-US"/>
        </w:rPr>
        <w:t xml:space="preserve"> Sonora</w:t>
      </w:r>
      <w:r w:rsidR="00B150C9" w:rsidRPr="00CC562A">
        <w:rPr>
          <w:rFonts w:ascii="Cambria" w:eastAsia="Cambria" w:hAnsi="Cambria" w:cs="Cambria"/>
          <w:sz w:val="20"/>
          <w:szCs w:val="20"/>
          <w:lang w:val="en-US"/>
        </w:rPr>
        <w:t xml:space="preserve"> and their respective </w:t>
      </w:r>
      <w:r w:rsidR="7AC77F6F" w:rsidRPr="00CC562A">
        <w:rPr>
          <w:rFonts w:ascii="Cambria" w:eastAsia="Cambria" w:hAnsi="Cambria" w:cs="Cambria"/>
          <w:sz w:val="20"/>
          <w:szCs w:val="20"/>
          <w:lang w:val="en-US"/>
        </w:rPr>
        <w:t>CJPF</w:t>
      </w:r>
      <w:r w:rsidR="00B150C9" w:rsidRPr="00CC562A">
        <w:rPr>
          <w:rFonts w:ascii="Cambria" w:eastAsia="Cambria" w:hAnsi="Cambria" w:cs="Cambria"/>
          <w:sz w:val="20"/>
          <w:szCs w:val="20"/>
          <w:lang w:val="en-US"/>
        </w:rPr>
        <w:t>s</w:t>
      </w:r>
      <w:r w:rsidR="7AC77F6F" w:rsidRPr="00CC562A">
        <w:rPr>
          <w:rFonts w:ascii="Cambria" w:eastAsia="Cambria" w:hAnsi="Cambria" w:cs="Cambria"/>
          <w:sz w:val="20"/>
          <w:szCs w:val="20"/>
          <w:lang w:val="en-US"/>
        </w:rPr>
        <w:t xml:space="preserve">. </w:t>
      </w:r>
      <w:r w:rsidR="00B150C9" w:rsidRPr="00CC562A">
        <w:rPr>
          <w:rFonts w:ascii="Cambria" w:eastAsia="Cambria" w:hAnsi="Cambria" w:cs="Cambria"/>
          <w:sz w:val="20"/>
          <w:szCs w:val="20"/>
          <w:lang w:val="en-US"/>
        </w:rPr>
        <w:t xml:space="preserve">According to reports, this measure used a methodology that consists of separating the judicial bodies of the ordinary jurisdiction with adversarial criminal competence and the </w:t>
      </w:r>
      <w:r w:rsidR="7AC77F6F" w:rsidRPr="00CC562A">
        <w:rPr>
          <w:rFonts w:ascii="Cambria" w:eastAsia="Cambria" w:hAnsi="Cambria" w:cs="Cambria"/>
          <w:sz w:val="20"/>
          <w:szCs w:val="20"/>
          <w:lang w:val="en-US"/>
        </w:rPr>
        <w:t>CJPF</w:t>
      </w:r>
      <w:r w:rsidR="00B150C9" w:rsidRPr="00CC562A">
        <w:rPr>
          <w:rFonts w:ascii="Cambria" w:eastAsia="Cambria" w:hAnsi="Cambria" w:cs="Cambria"/>
          <w:sz w:val="20"/>
          <w:szCs w:val="20"/>
          <w:lang w:val="en-US"/>
        </w:rPr>
        <w:t>s</w:t>
      </w:r>
      <w:r w:rsidR="7AC77F6F" w:rsidRPr="00CC562A">
        <w:rPr>
          <w:rFonts w:ascii="Cambria" w:eastAsia="Cambria" w:hAnsi="Cambria" w:cs="Cambria"/>
          <w:sz w:val="20"/>
          <w:szCs w:val="20"/>
          <w:lang w:val="en-US"/>
        </w:rPr>
        <w:t xml:space="preserve">. </w:t>
      </w:r>
      <w:r w:rsidR="00B150C9" w:rsidRPr="00CC562A">
        <w:rPr>
          <w:rFonts w:ascii="Cambria" w:eastAsia="Cambria" w:hAnsi="Cambria" w:cs="Cambria"/>
          <w:sz w:val="20"/>
          <w:szCs w:val="20"/>
          <w:lang w:val="en-US"/>
        </w:rPr>
        <w:t xml:space="preserve">Subsequently, judges will act consistent with their role in the hearings for three to six months, to record the respective data in the platform designed for that purpose, </w:t>
      </w:r>
      <w:proofErr w:type="gramStart"/>
      <w:r w:rsidR="00B150C9" w:rsidRPr="00CC562A">
        <w:rPr>
          <w:rFonts w:ascii="Cambria" w:eastAsia="Cambria" w:hAnsi="Cambria" w:cs="Cambria"/>
          <w:sz w:val="20"/>
          <w:szCs w:val="20"/>
          <w:lang w:val="en-US"/>
        </w:rPr>
        <w:t>so as to</w:t>
      </w:r>
      <w:proofErr w:type="gramEnd"/>
      <w:r w:rsidR="00B150C9" w:rsidRPr="00CC562A">
        <w:rPr>
          <w:rFonts w:ascii="Cambria" w:eastAsia="Cambria" w:hAnsi="Cambria" w:cs="Cambria"/>
          <w:sz w:val="20"/>
          <w:szCs w:val="20"/>
          <w:lang w:val="en-US"/>
        </w:rPr>
        <w:t xml:space="preserve"> obtain a precise measurement. In addition to the monitoring work, from September 2021 to date, the State reported that the</w:t>
      </w:r>
      <w:r w:rsidR="7AC77F6F" w:rsidRPr="00CC562A">
        <w:rPr>
          <w:rFonts w:ascii="Cambria" w:eastAsia="Cambria" w:hAnsi="Cambria" w:cs="Cambria"/>
          <w:sz w:val="20"/>
          <w:szCs w:val="20"/>
          <w:lang w:val="en-US"/>
        </w:rPr>
        <w:t xml:space="preserve"> UCNSJP </w:t>
      </w:r>
      <w:r w:rsidR="00B150C9" w:rsidRPr="00CC562A">
        <w:rPr>
          <w:rFonts w:ascii="Cambria" w:eastAsia="Cambria" w:hAnsi="Cambria" w:cs="Cambria"/>
          <w:sz w:val="20"/>
          <w:szCs w:val="20"/>
          <w:lang w:val="en-US"/>
        </w:rPr>
        <w:t>carried out training actions and developed various tools to help strengthen the technical capabilities of the judges</w:t>
      </w:r>
      <w:r w:rsidR="008F3BBA" w:rsidRPr="00CC562A">
        <w:rPr>
          <w:rStyle w:val="FootnoteReference"/>
          <w:rFonts w:ascii="Cambria" w:eastAsia="Cambria" w:hAnsi="Cambria" w:cs="Cambria"/>
          <w:sz w:val="20"/>
          <w:szCs w:val="20"/>
          <w:lang w:val="en-US"/>
        </w:rPr>
        <w:footnoteReference w:id="195"/>
      </w:r>
      <w:r w:rsidR="445D633B" w:rsidRPr="00CC562A">
        <w:rPr>
          <w:rFonts w:ascii="Cambria" w:eastAsia="Cambria" w:hAnsi="Cambria" w:cs="Cambria"/>
          <w:sz w:val="20"/>
          <w:szCs w:val="20"/>
          <w:lang w:val="en-US"/>
        </w:rPr>
        <w:t xml:space="preserve"> </w:t>
      </w:r>
      <w:r w:rsidR="00B150C9" w:rsidRPr="00CC562A">
        <w:rPr>
          <w:rFonts w:ascii="Cambria" w:eastAsia="Cambria" w:hAnsi="Cambria" w:cs="Cambria"/>
          <w:sz w:val="20"/>
          <w:szCs w:val="20"/>
          <w:lang w:val="en-US"/>
        </w:rPr>
        <w:t xml:space="preserve">and that the </w:t>
      </w:r>
      <w:r w:rsidR="445D633B" w:rsidRPr="00CC562A">
        <w:rPr>
          <w:rFonts w:ascii="Cambria" w:eastAsia="Cambria" w:hAnsi="Cambria" w:cs="Cambria"/>
          <w:sz w:val="20"/>
          <w:szCs w:val="20"/>
          <w:lang w:val="en-US"/>
        </w:rPr>
        <w:t xml:space="preserve">SCJN </w:t>
      </w:r>
      <w:r w:rsidR="00B150C9" w:rsidRPr="00CC562A">
        <w:rPr>
          <w:rFonts w:ascii="Cambria" w:eastAsia="Cambria" w:hAnsi="Cambria" w:cs="Cambria"/>
          <w:sz w:val="20"/>
          <w:szCs w:val="20"/>
          <w:lang w:val="en-US"/>
        </w:rPr>
        <w:t>also conducts various activities to disseminate the Convention’s standards and promote inter-institutional dialogue.</w:t>
      </w:r>
      <w:r w:rsidR="008F3BBA" w:rsidRPr="00CC562A">
        <w:rPr>
          <w:rStyle w:val="FootnoteReference"/>
          <w:rFonts w:ascii="Cambria" w:eastAsia="Cambria" w:hAnsi="Cambria" w:cs="Cambria"/>
          <w:sz w:val="20"/>
          <w:szCs w:val="20"/>
          <w:lang w:val="en-US"/>
        </w:rPr>
        <w:footnoteReference w:id="196"/>
      </w:r>
    </w:p>
    <w:p w14:paraId="6376DDD8" w14:textId="6784FEA2" w:rsidR="00DB71FA" w:rsidRPr="00CC562A" w:rsidRDefault="00B150C9" w:rsidP="00001918">
      <w:pPr>
        <w:numPr>
          <w:ilvl w:val="0"/>
          <w:numId w:val="2"/>
        </w:numPr>
        <w:spacing w:before="240" w:line="240" w:lineRule="auto"/>
        <w:ind w:left="0" w:firstLine="720"/>
        <w:jc w:val="both"/>
        <w:rPr>
          <w:rFonts w:ascii="Cambria" w:eastAsia="Cambria" w:hAnsi="Cambria" w:cs="Cambria"/>
          <w:sz w:val="20"/>
          <w:szCs w:val="20"/>
          <w:lang w:val="es-ES"/>
        </w:rPr>
      </w:pPr>
      <w:r w:rsidRPr="00CC562A">
        <w:rPr>
          <w:rFonts w:ascii="Cambria" w:eastAsia="Cambria" w:hAnsi="Cambria" w:cs="Cambria"/>
          <w:sz w:val="20"/>
          <w:szCs w:val="20"/>
          <w:lang w:val="en-US"/>
        </w:rPr>
        <w:t>For their part, civil society organizations reported that the situation of impunity in Mexico continues to be one of the country’s major problems six years after the IACHR’s visit. In general terms, in 2022 the</w:t>
      </w:r>
      <w:r w:rsidR="7AC77F6F" w:rsidRPr="00CC562A">
        <w:rPr>
          <w:rFonts w:ascii="Cambria" w:eastAsia="Cambria" w:hAnsi="Cambria" w:cs="Cambria"/>
          <w:sz w:val="20"/>
          <w:szCs w:val="20"/>
          <w:lang w:val="en-US"/>
        </w:rPr>
        <w:t xml:space="preserve"> </w:t>
      </w:r>
      <w:r w:rsidR="7AC77F6F" w:rsidRPr="00CC562A">
        <w:rPr>
          <w:rFonts w:ascii="Cambria" w:eastAsia="Cambria" w:hAnsi="Cambria" w:cs="Cambria"/>
          <w:i/>
          <w:iCs/>
          <w:sz w:val="20"/>
          <w:szCs w:val="20"/>
          <w:lang w:val="en-US"/>
        </w:rPr>
        <w:t xml:space="preserve">México </w:t>
      </w:r>
      <w:proofErr w:type="spellStart"/>
      <w:r w:rsidR="7AC77F6F" w:rsidRPr="00CC562A">
        <w:rPr>
          <w:rFonts w:ascii="Cambria" w:eastAsia="Cambria" w:hAnsi="Cambria" w:cs="Cambria"/>
          <w:i/>
          <w:iCs/>
          <w:sz w:val="20"/>
          <w:szCs w:val="20"/>
          <w:lang w:val="en-US"/>
        </w:rPr>
        <w:t>Evalúa</w:t>
      </w:r>
      <w:proofErr w:type="spellEnd"/>
      <w:r w:rsidR="7AC77F6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organization </w:t>
      </w:r>
      <w:r w:rsidR="005C54C5" w:rsidRPr="00CC562A">
        <w:rPr>
          <w:rFonts w:ascii="Cambria" w:eastAsia="Cambria" w:hAnsi="Cambria" w:cs="Cambria"/>
          <w:sz w:val="20"/>
          <w:szCs w:val="20"/>
          <w:lang w:val="en-US"/>
        </w:rPr>
        <w:t xml:space="preserve">determined that the national impunity average was </w:t>
      </w:r>
      <w:r w:rsidR="7AC77F6F" w:rsidRPr="00CC562A">
        <w:rPr>
          <w:rFonts w:ascii="Cambria" w:eastAsia="Cambria" w:hAnsi="Cambria" w:cs="Cambria"/>
          <w:sz w:val="20"/>
          <w:szCs w:val="20"/>
          <w:lang w:val="en-US"/>
        </w:rPr>
        <w:t>9</w:t>
      </w:r>
      <w:r w:rsidR="445D633B" w:rsidRPr="00CC562A">
        <w:rPr>
          <w:rFonts w:ascii="Cambria" w:eastAsia="Cambria" w:hAnsi="Cambria" w:cs="Cambria"/>
          <w:sz w:val="20"/>
          <w:szCs w:val="20"/>
          <w:lang w:val="en-US"/>
        </w:rPr>
        <w:t>1</w:t>
      </w:r>
      <w:r w:rsidR="7AC77F6F" w:rsidRPr="00CC562A">
        <w:rPr>
          <w:rFonts w:ascii="Cambria" w:eastAsia="Cambria" w:hAnsi="Cambria" w:cs="Cambria"/>
          <w:sz w:val="20"/>
          <w:szCs w:val="20"/>
          <w:lang w:val="en-US"/>
        </w:rPr>
        <w:t xml:space="preserve">.8% </w:t>
      </w:r>
      <w:r w:rsidR="005C54C5" w:rsidRPr="00CC562A">
        <w:rPr>
          <w:rFonts w:ascii="Cambria" w:eastAsia="Cambria" w:hAnsi="Cambria" w:cs="Cambria"/>
          <w:sz w:val="20"/>
          <w:szCs w:val="20"/>
          <w:lang w:val="en-US"/>
        </w:rPr>
        <w:t>for the Mexican criminal justice system</w:t>
      </w:r>
      <w:r w:rsidR="00C74E6F" w:rsidRPr="00CC562A">
        <w:rPr>
          <w:rFonts w:ascii="Cambria" w:eastAsia="Cambria" w:hAnsi="Cambria" w:cs="Cambria"/>
          <w:sz w:val="20"/>
          <w:szCs w:val="20"/>
          <w:lang w:val="en-US"/>
        </w:rPr>
        <w:t>.</w:t>
      </w:r>
      <w:r w:rsidR="008F650F" w:rsidRPr="00CC562A">
        <w:rPr>
          <w:rFonts w:ascii="Cambria" w:eastAsia="Cambria" w:hAnsi="Cambria" w:cs="Cambria"/>
          <w:sz w:val="20"/>
          <w:szCs w:val="20"/>
          <w:vertAlign w:val="superscript"/>
          <w:lang w:val="en-US"/>
        </w:rPr>
        <w:footnoteReference w:id="197"/>
      </w:r>
      <w:r w:rsidR="00BE66B0" w:rsidRPr="00CC562A">
        <w:rPr>
          <w:rFonts w:ascii="Cambria" w:eastAsia="Cambria" w:hAnsi="Cambria" w:cs="Cambria"/>
          <w:sz w:val="20"/>
          <w:szCs w:val="20"/>
          <w:lang w:val="en-US"/>
        </w:rPr>
        <w:t xml:space="preserve"> </w:t>
      </w:r>
      <w:r w:rsidR="00C74E6F" w:rsidRPr="00CC562A">
        <w:rPr>
          <w:rFonts w:ascii="Cambria" w:hAnsi="Cambria"/>
          <w:sz w:val="20"/>
          <w:lang w:val="en-US"/>
        </w:rPr>
        <w:t xml:space="preserve">In addition, the State reported that the </w:t>
      </w:r>
      <w:r w:rsidR="00BE66B0" w:rsidRPr="00CC562A">
        <w:rPr>
          <w:rFonts w:ascii="Cambria" w:hAnsi="Cambria"/>
          <w:sz w:val="20"/>
          <w:lang w:val="en-US"/>
        </w:rPr>
        <w:t>CJF cre</w:t>
      </w:r>
      <w:r w:rsidR="00C74E6F" w:rsidRPr="00CC562A">
        <w:rPr>
          <w:rFonts w:ascii="Cambria" w:hAnsi="Cambria"/>
          <w:sz w:val="20"/>
          <w:lang w:val="en-US"/>
        </w:rPr>
        <w:t xml:space="preserve">ated a consultation system on </w:t>
      </w:r>
      <w:r w:rsidR="0065266A" w:rsidRPr="00CC562A">
        <w:rPr>
          <w:rFonts w:ascii="Cambria" w:hAnsi="Cambria"/>
          <w:sz w:val="20"/>
          <w:lang w:val="en-US"/>
        </w:rPr>
        <w:t>the decisions made by judicial branch judges</w:t>
      </w:r>
      <w:r w:rsidR="00C74E6F" w:rsidRPr="00CC562A">
        <w:rPr>
          <w:rFonts w:ascii="Cambria" w:hAnsi="Cambria"/>
          <w:sz w:val="20"/>
          <w:lang w:val="en-US"/>
        </w:rPr>
        <w:t xml:space="preserve">, </w:t>
      </w:r>
      <w:r w:rsidR="00326FBD" w:rsidRPr="00CC562A">
        <w:rPr>
          <w:rFonts w:ascii="Cambria" w:hAnsi="Cambria"/>
          <w:sz w:val="20"/>
          <w:lang w:val="en-US"/>
        </w:rPr>
        <w:t xml:space="preserve">a system that </w:t>
      </w:r>
      <w:r w:rsidR="00C74E6F" w:rsidRPr="00CC562A">
        <w:rPr>
          <w:rFonts w:ascii="Cambria" w:hAnsi="Cambria"/>
          <w:sz w:val="20"/>
          <w:lang w:val="en-US"/>
        </w:rPr>
        <w:t xml:space="preserve">incorporates various indicators </w:t>
      </w:r>
      <w:proofErr w:type="gramStart"/>
      <w:r w:rsidR="00C74E6F" w:rsidRPr="00CC562A">
        <w:rPr>
          <w:rFonts w:ascii="Cambria" w:hAnsi="Cambria"/>
          <w:sz w:val="20"/>
          <w:lang w:val="en-US"/>
        </w:rPr>
        <w:t>in the area of</w:t>
      </w:r>
      <w:proofErr w:type="gramEnd"/>
      <w:r w:rsidR="00C74E6F" w:rsidRPr="00CC562A">
        <w:rPr>
          <w:rFonts w:ascii="Cambria" w:hAnsi="Cambria"/>
          <w:sz w:val="20"/>
          <w:lang w:val="en-US"/>
        </w:rPr>
        <w:t xml:space="preserve"> human rights. Along the same lines, the</w:t>
      </w:r>
      <w:r w:rsidR="00BE66B0" w:rsidRPr="00CC562A">
        <w:rPr>
          <w:rFonts w:ascii="Cambria" w:hAnsi="Cambria"/>
          <w:sz w:val="20"/>
          <w:lang w:val="en-US"/>
        </w:rPr>
        <w:t xml:space="preserve"> INAI </w:t>
      </w:r>
      <w:r w:rsidR="00C74E6F" w:rsidRPr="00CC562A">
        <w:rPr>
          <w:rFonts w:ascii="Cambria" w:hAnsi="Cambria"/>
          <w:sz w:val="20"/>
          <w:lang w:val="en-US"/>
        </w:rPr>
        <w:t xml:space="preserve">promoted progress-related activities </w:t>
      </w:r>
      <w:proofErr w:type="gramStart"/>
      <w:r w:rsidR="00C74E6F" w:rsidRPr="00CC562A">
        <w:rPr>
          <w:rFonts w:ascii="Cambria" w:hAnsi="Cambria"/>
          <w:sz w:val="20"/>
          <w:lang w:val="en-US"/>
        </w:rPr>
        <w:t>in the area of</w:t>
      </w:r>
      <w:proofErr w:type="gramEnd"/>
      <w:r w:rsidR="00C74E6F" w:rsidRPr="00CC562A">
        <w:rPr>
          <w:rFonts w:ascii="Cambria" w:hAnsi="Cambria"/>
          <w:sz w:val="20"/>
          <w:lang w:val="en-US"/>
        </w:rPr>
        <w:t xml:space="preserve"> open justice and is currently in the process of developing the first open justice metric </w:t>
      </w:r>
      <w:r w:rsidR="00806048" w:rsidRPr="00CC562A">
        <w:rPr>
          <w:rFonts w:ascii="Cambria" w:hAnsi="Cambria"/>
          <w:sz w:val="20"/>
          <w:lang w:val="en-US"/>
        </w:rPr>
        <w:t>in Mexico</w:t>
      </w:r>
      <w:r w:rsidR="00BE66B0" w:rsidRPr="00CC562A">
        <w:rPr>
          <w:rFonts w:ascii="Cambria" w:hAnsi="Cambria"/>
          <w:sz w:val="20"/>
          <w:lang w:val="en-US"/>
        </w:rPr>
        <w:t xml:space="preserve">. </w:t>
      </w:r>
      <w:r w:rsidR="00806048" w:rsidRPr="00CC562A">
        <w:rPr>
          <w:rFonts w:ascii="Cambria" w:hAnsi="Cambria"/>
          <w:sz w:val="20"/>
          <w:lang w:val="en-US"/>
        </w:rPr>
        <w:t xml:space="preserve">The State also reported on the </w:t>
      </w:r>
      <w:r w:rsidR="00BE66B0" w:rsidRPr="00CC562A">
        <w:rPr>
          <w:rFonts w:ascii="Cambria" w:hAnsi="Cambria"/>
          <w:sz w:val="20"/>
          <w:lang w:val="en-US"/>
        </w:rPr>
        <w:t>Pact</w:t>
      </w:r>
      <w:r w:rsidR="00806048" w:rsidRPr="00CC562A">
        <w:rPr>
          <w:rFonts w:ascii="Cambria" w:hAnsi="Cambria"/>
          <w:sz w:val="20"/>
          <w:lang w:val="en-US"/>
        </w:rPr>
        <w:t xml:space="preserve"> for open justice with a gender perspective for responding to the needs of justice. The Pact’s implementation plan includes five stages.</w:t>
      </w:r>
      <w:r w:rsidR="00BE66B0" w:rsidRPr="00CC562A">
        <w:rPr>
          <w:rStyle w:val="FootnoteReference"/>
          <w:rFonts w:ascii="Cambria" w:hAnsi="Cambria"/>
          <w:sz w:val="20"/>
          <w:lang w:val="en-US"/>
        </w:rPr>
        <w:footnoteReference w:id="198"/>
      </w:r>
    </w:p>
    <w:p w14:paraId="14AFA1F7" w14:textId="37A14794" w:rsidR="00DB71FA" w:rsidRPr="00CC562A" w:rsidRDefault="00276638"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w:t>
      </w:r>
      <w:r w:rsidR="005D2E21" w:rsidRPr="00CC562A">
        <w:rPr>
          <w:rFonts w:ascii="Cambria" w:eastAsia="Cambria" w:hAnsi="Cambria" w:cs="Cambria"/>
          <w:sz w:val="20"/>
          <w:szCs w:val="20"/>
          <w:lang w:val="en-US"/>
        </w:rPr>
        <w:t>appreciates the training activities programs and activities to strengthen the capabilities of justice operators and monitoring data available to society. However, it notes with concern that, despite the time needed to implement the new system, the rate of impunity in the Mexican criminal justice system continues to be very high</w:t>
      </w:r>
      <w:r w:rsidR="7AC77F6F"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7AC77F6F" w:rsidRPr="00CC562A">
        <w:rPr>
          <w:rFonts w:ascii="Cambria" w:eastAsia="Cambria" w:hAnsi="Cambria" w:cs="Cambria"/>
          <w:sz w:val="20"/>
          <w:szCs w:val="20"/>
          <w:lang w:val="en-US"/>
        </w:rPr>
        <w:t xml:space="preserve"> </w:t>
      </w:r>
      <w:r w:rsidR="00C80FE5" w:rsidRPr="00CC562A">
        <w:rPr>
          <w:rFonts w:ascii="Cambria" w:eastAsia="Cambria" w:hAnsi="Cambria" w:cs="Cambria"/>
          <w:sz w:val="20"/>
          <w:szCs w:val="20"/>
          <w:lang w:val="en-US"/>
        </w:rPr>
        <w:t>it is</w:t>
      </w:r>
      <w:r w:rsidR="005D2E21" w:rsidRPr="00CC562A">
        <w:rPr>
          <w:rFonts w:ascii="Cambria" w:eastAsia="Cambria" w:hAnsi="Cambria" w:cs="Cambria"/>
          <w:sz w:val="20"/>
          <w:szCs w:val="20"/>
          <w:lang w:val="en-US"/>
        </w:rPr>
        <w:t xml:space="preserve"> not clear from the information received which actions have been taken to respond to areas that require closer monitoring to improve implementation of the new system</w:t>
      </w:r>
      <w:r w:rsidR="7AC77F6F" w:rsidRPr="00CC562A">
        <w:rPr>
          <w:rFonts w:ascii="Cambria" w:eastAsia="Cambria" w:hAnsi="Cambria" w:cs="Cambria"/>
          <w:sz w:val="20"/>
          <w:szCs w:val="20"/>
          <w:lang w:val="en-US"/>
        </w:rPr>
        <w:t xml:space="preserve">. </w:t>
      </w:r>
    </w:p>
    <w:p w14:paraId="006E8347" w14:textId="25D5CB5C" w:rsidR="00DB71FA" w:rsidRPr="00CC562A" w:rsidRDefault="005D2E21" w:rsidP="0000191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Given the lack of specific data that could be used to determine the link between effective implementation of the new criminal justice system and the measures adopted to strengthen areas for its improvement</w:t>
      </w:r>
      <w:r w:rsidR="7AC77F6F"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7AC77F6F" w:rsidRPr="00CC562A">
        <w:rPr>
          <w:rFonts w:ascii="Cambria" w:eastAsia="Cambria" w:hAnsi="Cambria" w:cs="Cambria"/>
          <w:sz w:val="20"/>
          <w:szCs w:val="20"/>
          <w:lang w:val="en-US"/>
        </w:rPr>
        <w:t xml:space="preserve"> consider</w:t>
      </w:r>
      <w:r w:rsidR="00932F3F"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that </w:t>
      </w:r>
      <w:r w:rsidR="008C6263" w:rsidRPr="00CC562A">
        <w:rPr>
          <w:rFonts w:ascii="Cambria" w:eastAsia="Cambria" w:hAnsi="Cambria" w:cs="Cambria"/>
          <w:b/>
          <w:bCs/>
          <w:sz w:val="20"/>
          <w:szCs w:val="20"/>
          <w:lang w:val="en-US"/>
        </w:rPr>
        <w:t xml:space="preserve">partial compliance </w:t>
      </w:r>
      <w:r w:rsidR="008C6263" w:rsidRPr="00CC562A">
        <w:rPr>
          <w:rFonts w:ascii="Cambria" w:eastAsia="Cambria" w:hAnsi="Cambria" w:cs="Cambria"/>
          <w:sz w:val="20"/>
          <w:szCs w:val="20"/>
          <w:lang w:val="en-US"/>
        </w:rPr>
        <w:t>with the recommendations continues</w:t>
      </w:r>
      <w:r w:rsidR="7AC77F6F" w:rsidRPr="00CC562A">
        <w:rPr>
          <w:rFonts w:ascii="Cambria" w:eastAsia="Cambria" w:hAnsi="Cambria" w:cs="Cambria"/>
          <w:sz w:val="20"/>
          <w:szCs w:val="20"/>
          <w:lang w:val="en-US"/>
        </w:rPr>
        <w:t xml:space="preserve">. </w:t>
      </w:r>
    </w:p>
    <w:p w14:paraId="4475D7C2" w14:textId="6A9B0E47" w:rsidR="00FE7E4A" w:rsidRPr="00CC562A" w:rsidRDefault="008C6263" w:rsidP="00001918">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lastRenderedPageBreak/>
        <w:t>In order to</w:t>
      </w:r>
      <w:proofErr w:type="gramEnd"/>
      <w:r w:rsidRPr="00CC562A">
        <w:rPr>
          <w:rFonts w:ascii="Cambria" w:eastAsia="Cambria" w:hAnsi="Cambria" w:cs="Cambria"/>
          <w:sz w:val="20"/>
          <w:szCs w:val="20"/>
          <w:lang w:val="en-US"/>
        </w:rPr>
        <w:t xml:space="preserve"> guide the follow-up of this recommendation, the Commission considers i</w:t>
      </w:r>
      <w:r w:rsidR="004E6E4B" w:rsidRPr="00CC562A">
        <w:rPr>
          <w:rFonts w:ascii="Cambria" w:eastAsia="Cambria" w:hAnsi="Cambria" w:cs="Cambria"/>
          <w:sz w:val="20"/>
          <w:szCs w:val="20"/>
          <w:lang w:val="en-US"/>
        </w:rPr>
        <w:t>t</w:t>
      </w:r>
      <w:r w:rsidRPr="00CC562A">
        <w:rPr>
          <w:rFonts w:ascii="Cambria" w:eastAsia="Cambria" w:hAnsi="Cambria" w:cs="Cambria"/>
          <w:sz w:val="20"/>
          <w:szCs w:val="20"/>
          <w:lang w:val="en-US"/>
        </w:rPr>
        <w:t xml:space="preserve"> pertinent to ask the State to adopt measures to identify and report the results of the evaluation on the implementation of the new criminal justice system</w:t>
      </w:r>
      <w:r w:rsidR="00C95C02" w:rsidRPr="00CC562A">
        <w:rPr>
          <w:rFonts w:ascii="Cambria" w:eastAsia="Cambria" w:hAnsi="Cambria" w:cs="Cambria"/>
          <w:sz w:val="20"/>
          <w:szCs w:val="20"/>
          <w:lang w:val="en-US"/>
        </w:rPr>
        <w:t>.</w:t>
      </w:r>
      <w:r w:rsidR="008445BF" w:rsidRPr="00CC562A">
        <w:rPr>
          <w:rFonts w:ascii="Cambria" w:eastAsia="Cambria" w:hAnsi="Cambria" w:cs="Cambria"/>
          <w:sz w:val="20"/>
          <w:szCs w:val="20"/>
          <w:lang w:val="en-US"/>
        </w:rPr>
        <w:t xml:space="preserve"> </w:t>
      </w:r>
    </w:p>
    <w:p w14:paraId="2B78A149" w14:textId="09835183" w:rsidR="7ED16BE6" w:rsidRPr="00CC562A" w:rsidRDefault="008C6263" w:rsidP="00A04335">
      <w:pPr>
        <w:pStyle w:val="Heading2"/>
        <w:numPr>
          <w:ilvl w:val="0"/>
          <w:numId w:val="5"/>
        </w:numPr>
        <w:spacing w:before="24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Harm Done to Specific Groups</w:t>
      </w:r>
    </w:p>
    <w:p w14:paraId="60784C81" w14:textId="548BF003" w:rsidR="00142DD3" w:rsidRPr="00CC562A" w:rsidRDefault="00142DD3" w:rsidP="00A04335">
      <w:pPr>
        <w:pStyle w:val="Heading3"/>
        <w:numPr>
          <w:ilvl w:val="0"/>
          <w:numId w:val="30"/>
        </w:numPr>
        <w:spacing w:before="240" w:after="200" w:line="240" w:lineRule="auto"/>
        <w:ind w:left="1440"/>
        <w:rPr>
          <w:sz w:val="20"/>
          <w:szCs w:val="20"/>
          <w:lang w:val="en-US"/>
        </w:rPr>
      </w:pPr>
      <w:r w:rsidRPr="00CC562A">
        <w:rPr>
          <w:sz w:val="20"/>
          <w:szCs w:val="20"/>
          <w:lang w:val="en-US"/>
        </w:rPr>
        <w:t>LGBT</w:t>
      </w:r>
      <w:r w:rsidR="008C6263" w:rsidRPr="00CC562A">
        <w:rPr>
          <w:sz w:val="20"/>
          <w:szCs w:val="20"/>
          <w:lang w:val="en-US"/>
        </w:rPr>
        <w:t xml:space="preserve"> Persons</w:t>
      </w:r>
    </w:p>
    <w:p w14:paraId="7B776A95" w14:textId="6B18862E" w:rsidR="00142DD3" w:rsidRPr="00CC562A" w:rsidRDefault="00142DD3" w:rsidP="00001918">
      <w:pPr>
        <w:numPr>
          <w:ilvl w:val="0"/>
          <w:numId w:val="9"/>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eastAsia="Cambria" w:hAnsi="Cambria" w:cs="Cambria"/>
          <w:sz w:val="20"/>
          <w:szCs w:val="20"/>
          <w:lang w:val="en-US"/>
        </w:rPr>
        <w:t>Adopt</w:t>
      </w:r>
      <w:r w:rsidR="008C6263" w:rsidRPr="00CC562A">
        <w:rPr>
          <w:rFonts w:ascii="Cambria" w:eastAsia="Cambria" w:hAnsi="Cambria" w:cs="Cambria"/>
          <w:sz w:val="20"/>
          <w:szCs w:val="20"/>
          <w:lang w:val="en-US"/>
        </w:rPr>
        <w:t xml:space="preserve"> the necessary measures to investigate, punish, and redress acts of violence against</w:t>
      </w:r>
      <w:r w:rsidRPr="00CC562A">
        <w:rPr>
          <w:rFonts w:ascii="Cambria" w:eastAsia="Cambria" w:hAnsi="Cambria" w:cs="Cambria"/>
          <w:sz w:val="20"/>
          <w:szCs w:val="20"/>
          <w:lang w:val="en-US"/>
        </w:rPr>
        <w:t xml:space="preserve"> LGBT</w:t>
      </w:r>
      <w:r w:rsidR="008C6263" w:rsidRPr="00CC562A">
        <w:rPr>
          <w:rFonts w:ascii="Cambria" w:eastAsia="Cambria" w:hAnsi="Cambria" w:cs="Cambria"/>
          <w:sz w:val="20"/>
          <w:szCs w:val="20"/>
          <w:lang w:val="en-US"/>
        </w:rPr>
        <w:t xml:space="preserve"> persons, in accordance with due diligence standards. Investigations into cases of violence against</w:t>
      </w:r>
      <w:r w:rsidRPr="00CC562A">
        <w:rPr>
          <w:rFonts w:ascii="Cambria" w:eastAsia="Cambria" w:hAnsi="Cambria" w:cs="Cambria"/>
          <w:sz w:val="20"/>
          <w:szCs w:val="20"/>
          <w:lang w:val="en-US"/>
        </w:rPr>
        <w:t xml:space="preserve"> LGBT</w:t>
      </w:r>
      <w:r w:rsidR="008C6263" w:rsidRPr="00CC562A">
        <w:rPr>
          <w:rFonts w:ascii="Cambria" w:eastAsia="Cambria" w:hAnsi="Cambria" w:cs="Cambria"/>
          <w:sz w:val="20"/>
          <w:szCs w:val="20"/>
          <w:lang w:val="en-US"/>
        </w:rPr>
        <w:t xml:space="preserve"> persons should be free of stereotypical notions of </w:t>
      </w:r>
      <w:r w:rsidRPr="00CC562A">
        <w:rPr>
          <w:rFonts w:ascii="Cambria" w:eastAsia="Cambria" w:hAnsi="Cambria" w:cs="Cambria"/>
          <w:sz w:val="20"/>
          <w:szCs w:val="20"/>
          <w:lang w:val="en-US"/>
        </w:rPr>
        <w:t xml:space="preserve">LGBT </w:t>
      </w:r>
      <w:r w:rsidR="008C6263" w:rsidRPr="00CC562A">
        <w:rPr>
          <w:rFonts w:ascii="Cambria" w:eastAsia="Cambria" w:hAnsi="Cambria" w:cs="Cambria"/>
          <w:sz w:val="20"/>
          <w:szCs w:val="20"/>
          <w:lang w:val="en-US"/>
        </w:rPr>
        <w:t>persons and should include a determination as to whether the acts of violence were committed because of the sexual orientation or gender identity of the victims</w:t>
      </w:r>
      <w:r w:rsidRPr="00CC562A">
        <w:rPr>
          <w:rFonts w:ascii="Cambria" w:eastAsia="Cambria" w:hAnsi="Cambria" w:cs="Cambria"/>
          <w:sz w:val="20"/>
          <w:szCs w:val="20"/>
          <w:lang w:val="en-US"/>
        </w:rPr>
        <w:t xml:space="preserve">. </w:t>
      </w:r>
    </w:p>
    <w:p w14:paraId="2195FE60" w14:textId="21090E68" w:rsidR="0015296F" w:rsidRPr="00CC562A" w:rsidRDefault="00995B30" w:rsidP="00001918">
      <w:pPr>
        <w:numPr>
          <w:ilvl w:val="0"/>
          <w:numId w:val="9"/>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eastAsia="Cambria" w:hAnsi="Cambria" w:cs="Cambria"/>
          <w:sz w:val="20"/>
          <w:szCs w:val="20"/>
          <w:lang w:val="en-US"/>
        </w:rPr>
        <w:t>Adopt</w:t>
      </w:r>
      <w:r w:rsidR="008C6263" w:rsidRPr="00CC562A">
        <w:rPr>
          <w:rFonts w:ascii="Cambria" w:eastAsia="Cambria" w:hAnsi="Cambria" w:cs="Cambria"/>
          <w:sz w:val="20"/>
          <w:szCs w:val="20"/>
          <w:lang w:val="en-US"/>
        </w:rPr>
        <w:t xml:space="preserve"> measures </w:t>
      </w:r>
      <w:r w:rsidR="007E24E5" w:rsidRPr="00CC562A">
        <w:rPr>
          <w:rFonts w:ascii="Cambria" w:eastAsia="Cambria" w:hAnsi="Cambria" w:cs="Cambria"/>
          <w:sz w:val="20"/>
          <w:szCs w:val="20"/>
          <w:lang w:val="en-US"/>
        </w:rPr>
        <w:t xml:space="preserve">needed to prevent violence, including legislative and public policy measures aimed at eradicating the social discrimination that exists against </w:t>
      </w:r>
      <w:r w:rsidRPr="00CC562A">
        <w:rPr>
          <w:rFonts w:ascii="Cambria" w:eastAsia="Cambria" w:hAnsi="Cambria" w:cs="Cambria"/>
          <w:sz w:val="20"/>
          <w:szCs w:val="20"/>
          <w:lang w:val="en-US"/>
        </w:rPr>
        <w:t>LGBT</w:t>
      </w:r>
      <w:r w:rsidR="007E24E5" w:rsidRPr="00CC562A">
        <w:rPr>
          <w:rFonts w:ascii="Cambria" w:eastAsia="Cambria" w:hAnsi="Cambria" w:cs="Cambria"/>
          <w:sz w:val="20"/>
          <w:szCs w:val="20"/>
          <w:lang w:val="en-US"/>
        </w:rPr>
        <w:t xml:space="preserve"> persons, which exacerbates and reinforces violence based on prejudice</w:t>
      </w:r>
      <w:r w:rsidRPr="00CC562A">
        <w:rPr>
          <w:rFonts w:ascii="Cambria" w:eastAsia="Cambria" w:hAnsi="Cambria" w:cs="Cambria"/>
          <w:sz w:val="20"/>
          <w:szCs w:val="20"/>
          <w:lang w:val="en-US"/>
        </w:rPr>
        <w:t xml:space="preserve">. </w:t>
      </w:r>
    </w:p>
    <w:p w14:paraId="1393A6CC" w14:textId="669D88DF" w:rsidR="00064DA7" w:rsidRPr="00CC562A" w:rsidRDefault="002D3668" w:rsidP="00001918">
      <w:pPr>
        <w:numPr>
          <w:ilvl w:val="0"/>
          <w:numId w:val="2"/>
        </w:numPr>
        <w:spacing w:before="240" w:line="240" w:lineRule="auto"/>
        <w:ind w:left="0" w:firstLine="720"/>
        <w:jc w:val="both"/>
        <w:rPr>
          <w:rFonts w:ascii="Cambria" w:eastAsia="Cambria" w:hAnsi="Cambria" w:cs="Cambria"/>
          <w:strike/>
          <w:color w:val="000000" w:themeColor="text1"/>
          <w:sz w:val="20"/>
          <w:szCs w:val="20"/>
          <w:lang w:val="en-US"/>
        </w:rPr>
      </w:pPr>
      <w:r w:rsidRPr="00CC562A">
        <w:rPr>
          <w:rFonts w:ascii="Cambria" w:hAnsi="Cambria"/>
          <w:sz w:val="20"/>
          <w:szCs w:val="20"/>
          <w:lang w:val="en-US"/>
        </w:rPr>
        <w:t xml:space="preserve">Regarding the recommendation to </w:t>
      </w:r>
      <w:r w:rsidR="11C56623" w:rsidRPr="00CC562A">
        <w:rPr>
          <w:rFonts w:ascii="Cambria" w:hAnsi="Cambria"/>
          <w:b/>
          <w:bCs/>
          <w:sz w:val="20"/>
          <w:szCs w:val="20"/>
          <w:lang w:val="en-US"/>
        </w:rPr>
        <w:t>preven</w:t>
      </w:r>
      <w:r w:rsidRPr="00CC562A">
        <w:rPr>
          <w:rFonts w:ascii="Cambria" w:hAnsi="Cambria"/>
          <w:b/>
          <w:bCs/>
          <w:sz w:val="20"/>
          <w:szCs w:val="20"/>
          <w:lang w:val="en-US"/>
        </w:rPr>
        <w:t>t violence and adopt measures needed to investigate, punish, and redress acts of violence</w:t>
      </w:r>
      <w:r w:rsidR="11C56623"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02B75E68" w:rsidRPr="00CC562A">
        <w:rPr>
          <w:rFonts w:ascii="Cambria" w:eastAsia="Cambria" w:hAnsi="Cambria" w:cs="Cambria"/>
          <w:sz w:val="20"/>
          <w:szCs w:val="20"/>
          <w:lang w:val="en-US"/>
        </w:rPr>
        <w:t xml:space="preserve"> indic</w:t>
      </w:r>
      <w:r w:rsidRPr="00CC562A">
        <w:rPr>
          <w:rFonts w:ascii="Cambria" w:eastAsia="Cambria" w:hAnsi="Cambria" w:cs="Cambria"/>
          <w:sz w:val="20"/>
          <w:szCs w:val="20"/>
          <w:lang w:val="en-US"/>
        </w:rPr>
        <w:t xml:space="preserve">ated that the </w:t>
      </w:r>
      <w:r w:rsidR="00E3406C" w:rsidRPr="00CC562A">
        <w:rPr>
          <w:rFonts w:ascii="Cambria" w:eastAsia="Cambria" w:hAnsi="Cambria" w:cs="Cambria"/>
          <w:sz w:val="20"/>
          <w:szCs w:val="20"/>
          <w:lang w:val="en-US"/>
        </w:rPr>
        <w:t>CONAPRED Liaison Unit has followed up a series of legislative initiatives that seek to safeguard the integrity of</w:t>
      </w:r>
      <w:r w:rsidR="3855FC6D" w:rsidRPr="00CC562A">
        <w:rPr>
          <w:rFonts w:ascii="Cambria" w:eastAsia="Cambria" w:hAnsi="Cambria" w:cs="Cambria"/>
          <w:sz w:val="20"/>
          <w:szCs w:val="20"/>
          <w:lang w:val="en-US"/>
        </w:rPr>
        <w:t xml:space="preserve"> LGBT</w:t>
      </w:r>
      <w:r w:rsidR="00E3406C" w:rsidRPr="00CC562A">
        <w:rPr>
          <w:rFonts w:ascii="Cambria" w:eastAsia="Cambria" w:hAnsi="Cambria" w:cs="Cambria"/>
          <w:sz w:val="20"/>
          <w:szCs w:val="20"/>
          <w:lang w:val="en-US"/>
        </w:rPr>
        <w:t xml:space="preserve"> persons. In addition, in the context of the 2021-2024 National Program for Equality and Non-Discrimination</w:t>
      </w:r>
      <w:r w:rsidR="3855FC6D" w:rsidRPr="00CC562A">
        <w:rPr>
          <w:rFonts w:ascii="Cambria" w:eastAsia="Cambria" w:hAnsi="Cambria" w:cs="Cambria"/>
          <w:sz w:val="20"/>
          <w:szCs w:val="20"/>
          <w:lang w:val="en-US"/>
        </w:rPr>
        <w:t xml:space="preserve"> (</w:t>
      </w:r>
      <w:r w:rsidR="00E3406C" w:rsidRPr="00CC562A">
        <w:rPr>
          <w:rFonts w:ascii="Cambria" w:eastAsia="Cambria" w:hAnsi="Cambria" w:cs="Cambria"/>
          <w:sz w:val="20"/>
          <w:szCs w:val="20"/>
          <w:lang w:val="en-US"/>
        </w:rPr>
        <w:t>hereinafter</w:t>
      </w:r>
      <w:r w:rsidR="02B75E68" w:rsidRPr="00CC562A">
        <w:rPr>
          <w:rFonts w:ascii="Cambria" w:eastAsia="Cambria" w:hAnsi="Cambria" w:cs="Cambria"/>
          <w:sz w:val="20"/>
          <w:szCs w:val="20"/>
          <w:lang w:val="en-US"/>
        </w:rPr>
        <w:t xml:space="preserve"> “</w:t>
      </w:r>
      <w:r w:rsidR="3855FC6D" w:rsidRPr="00CC562A">
        <w:rPr>
          <w:rFonts w:ascii="Cambria" w:eastAsia="Cambria" w:hAnsi="Cambria" w:cs="Cambria"/>
          <w:sz w:val="20"/>
          <w:szCs w:val="20"/>
          <w:lang w:val="en-US"/>
        </w:rPr>
        <w:t>PRONAIND</w:t>
      </w:r>
      <w:r w:rsidR="02B75E68" w:rsidRPr="00CC562A">
        <w:rPr>
          <w:rFonts w:ascii="Cambria" w:eastAsia="Cambria" w:hAnsi="Cambria" w:cs="Cambria"/>
          <w:sz w:val="20"/>
          <w:szCs w:val="20"/>
          <w:lang w:val="en-US"/>
        </w:rPr>
        <w:t>”</w:t>
      </w:r>
      <w:r w:rsidR="3855FC6D" w:rsidRPr="00CC562A">
        <w:rPr>
          <w:rFonts w:ascii="Cambria" w:eastAsia="Cambria" w:hAnsi="Cambria" w:cs="Cambria"/>
          <w:sz w:val="20"/>
          <w:szCs w:val="20"/>
          <w:lang w:val="en-US"/>
        </w:rPr>
        <w:t xml:space="preserve">) </w:t>
      </w:r>
      <w:r w:rsidR="00E3406C" w:rsidRPr="00CC562A">
        <w:rPr>
          <w:rFonts w:ascii="Cambria" w:eastAsia="Cambria" w:hAnsi="Cambria" w:cs="Cambria"/>
          <w:sz w:val="20"/>
          <w:szCs w:val="20"/>
          <w:lang w:val="en-US"/>
        </w:rPr>
        <w:t xml:space="preserve">actions have been </w:t>
      </w:r>
      <w:r w:rsidR="004E6E4B" w:rsidRPr="00CC562A">
        <w:rPr>
          <w:rFonts w:ascii="Cambria" w:eastAsia="Cambria" w:hAnsi="Cambria" w:cs="Cambria"/>
          <w:sz w:val="20"/>
          <w:szCs w:val="20"/>
          <w:lang w:val="en-US"/>
        </w:rPr>
        <w:t>taken</w:t>
      </w:r>
      <w:r w:rsidR="00E3406C" w:rsidRPr="00CC562A">
        <w:rPr>
          <w:rFonts w:ascii="Cambria" w:eastAsia="Cambria" w:hAnsi="Cambria" w:cs="Cambria"/>
          <w:sz w:val="20"/>
          <w:szCs w:val="20"/>
          <w:lang w:val="en-US"/>
        </w:rPr>
        <w:t xml:space="preserve"> to combat discrimination </w:t>
      </w:r>
      <w:proofErr w:type="gramStart"/>
      <w:r w:rsidR="00E3406C" w:rsidRPr="00CC562A">
        <w:rPr>
          <w:rFonts w:ascii="Cambria" w:eastAsia="Cambria" w:hAnsi="Cambria" w:cs="Cambria"/>
          <w:sz w:val="20"/>
          <w:szCs w:val="20"/>
          <w:lang w:val="en-US"/>
        </w:rPr>
        <w:t>on the basis of</w:t>
      </w:r>
      <w:proofErr w:type="gramEnd"/>
      <w:r w:rsidR="00E3406C" w:rsidRPr="00CC562A">
        <w:rPr>
          <w:rFonts w:ascii="Cambria" w:eastAsia="Cambria" w:hAnsi="Cambria" w:cs="Cambria"/>
          <w:sz w:val="20"/>
          <w:szCs w:val="20"/>
          <w:lang w:val="en-US"/>
        </w:rPr>
        <w:t xml:space="preserve"> sexual orientation, gender identity, and sexual characteristics</w:t>
      </w:r>
      <w:r w:rsidR="02B75E68" w:rsidRPr="00CC562A">
        <w:rPr>
          <w:rFonts w:ascii="Cambria" w:eastAsia="Cambria" w:hAnsi="Cambria" w:cs="Cambria"/>
          <w:color w:val="000000" w:themeColor="text1"/>
          <w:sz w:val="20"/>
          <w:szCs w:val="20"/>
          <w:lang w:val="en-US"/>
        </w:rPr>
        <w:t>.</w:t>
      </w:r>
    </w:p>
    <w:p w14:paraId="4498C8B9" w14:textId="7809CFC8" w:rsidR="00BE66B0" w:rsidRPr="00CC562A" w:rsidRDefault="00C37551" w:rsidP="00BE66B0">
      <w:pPr>
        <w:numPr>
          <w:ilvl w:val="0"/>
          <w:numId w:val="2"/>
        </w:numPr>
        <w:spacing w:before="240" w:line="240" w:lineRule="auto"/>
        <w:ind w:left="0" w:firstLine="720"/>
        <w:jc w:val="both"/>
        <w:rPr>
          <w:rFonts w:ascii="Cambria" w:hAnsi="Cambria"/>
          <w:sz w:val="20"/>
          <w:lang w:val="en-US"/>
        </w:rPr>
      </w:pPr>
      <w:r w:rsidRPr="00CC562A">
        <w:rPr>
          <w:rFonts w:ascii="Cambria" w:hAnsi="Cambria"/>
          <w:sz w:val="20"/>
          <w:lang w:val="en-US"/>
        </w:rPr>
        <w:t>For its part, the</w:t>
      </w:r>
      <w:r w:rsidR="00BE66B0" w:rsidRPr="00CC562A">
        <w:rPr>
          <w:rFonts w:ascii="Cambria" w:hAnsi="Cambria"/>
          <w:sz w:val="20"/>
          <w:lang w:val="en-US"/>
        </w:rPr>
        <w:t xml:space="preserve"> CJF </w:t>
      </w:r>
      <w:r w:rsidRPr="00CC562A">
        <w:rPr>
          <w:rFonts w:ascii="Cambria" w:hAnsi="Cambria"/>
          <w:sz w:val="20"/>
          <w:lang w:val="en-US"/>
        </w:rPr>
        <w:t xml:space="preserve">reported the development of a research project to shed light on the barriers and challenges the FGR faces when conducting investigations regarding acts of violence against </w:t>
      </w:r>
      <w:r w:rsidR="00BE66B0" w:rsidRPr="00CC562A">
        <w:rPr>
          <w:rFonts w:ascii="Cambria" w:hAnsi="Cambria"/>
          <w:sz w:val="20"/>
          <w:lang w:val="en-US"/>
        </w:rPr>
        <w:t>LGBTI</w:t>
      </w:r>
      <w:r w:rsidRPr="00CC562A">
        <w:rPr>
          <w:rFonts w:ascii="Cambria" w:hAnsi="Cambria"/>
          <w:sz w:val="20"/>
          <w:lang w:val="en-US"/>
        </w:rPr>
        <w:t xml:space="preserve"> persons. It also reported the publication in 2017 of the National Action Protocol</w:t>
      </w:r>
      <w:r w:rsidR="00BE66B0" w:rsidRPr="00CC562A">
        <w:rPr>
          <w:rFonts w:ascii="Cambria" w:hAnsi="Cambria"/>
          <w:sz w:val="20"/>
          <w:lang w:val="en-US"/>
        </w:rPr>
        <w:t xml:space="preserve"> </w:t>
      </w:r>
      <w:r w:rsidRPr="00CC562A">
        <w:rPr>
          <w:rFonts w:ascii="Cambria" w:hAnsi="Cambria"/>
          <w:sz w:val="20"/>
          <w:lang w:val="en-US"/>
        </w:rPr>
        <w:t>for personnel in justice procurement agencies in cases involving sexual orientation or gender identi</w:t>
      </w:r>
      <w:r w:rsidR="00326FBD" w:rsidRPr="00CC562A">
        <w:rPr>
          <w:rFonts w:ascii="Cambria" w:hAnsi="Cambria"/>
          <w:sz w:val="20"/>
          <w:lang w:val="en-US"/>
        </w:rPr>
        <w:t>t</w:t>
      </w:r>
      <w:r w:rsidRPr="00CC562A">
        <w:rPr>
          <w:rFonts w:ascii="Cambria" w:hAnsi="Cambria"/>
          <w:sz w:val="20"/>
          <w:lang w:val="en-US"/>
        </w:rPr>
        <w:t xml:space="preserve">y, as well as various training sessions and courses on the subject that the FGR provides for the country’s public servants. The State also indicated that the National Protocol on the Investigation of Crimes Committed against </w:t>
      </w:r>
      <w:r w:rsidR="00BE66B0" w:rsidRPr="00CC562A">
        <w:rPr>
          <w:rFonts w:ascii="Cambria" w:hAnsi="Cambria"/>
          <w:sz w:val="20"/>
          <w:lang w:val="en-US"/>
        </w:rPr>
        <w:t>LGBTTTI</w:t>
      </w:r>
      <w:r w:rsidR="00BE66B0" w:rsidRPr="00CC562A">
        <w:rPr>
          <w:rFonts w:ascii="Cambria" w:eastAsia="Cambria" w:hAnsi="Cambria" w:cs="Cambria"/>
          <w:sz w:val="20"/>
          <w:szCs w:val="20"/>
          <w:lang w:val="en-US"/>
        </w:rPr>
        <w:t xml:space="preserve">+ </w:t>
      </w:r>
      <w:r w:rsidR="00700401" w:rsidRPr="00CC562A">
        <w:rPr>
          <w:rFonts w:ascii="Cambria" w:eastAsia="Cambria" w:hAnsi="Cambria" w:cs="Cambria"/>
          <w:sz w:val="20"/>
          <w:szCs w:val="20"/>
          <w:lang w:val="en-US"/>
        </w:rPr>
        <w:t>persons</w:t>
      </w:r>
      <w:r w:rsidRPr="00CC562A">
        <w:rPr>
          <w:rFonts w:ascii="Cambria" w:eastAsia="Cambria" w:hAnsi="Cambria" w:cs="Cambria"/>
          <w:sz w:val="20"/>
          <w:szCs w:val="20"/>
          <w:lang w:val="en-US"/>
        </w:rPr>
        <w:t xml:space="preserve"> is being developed with a series of objectives </w:t>
      </w:r>
      <w:r w:rsidR="00700401" w:rsidRPr="00CC562A">
        <w:rPr>
          <w:rFonts w:ascii="Cambria" w:eastAsia="Cambria" w:hAnsi="Cambria" w:cs="Cambria"/>
          <w:sz w:val="20"/>
          <w:szCs w:val="20"/>
          <w:lang w:val="en-US"/>
        </w:rPr>
        <w:t>directed to all justice procurement agencies in the country, which is expected to be issued by the</w:t>
      </w:r>
      <w:r w:rsidR="00BE66B0" w:rsidRPr="00CC562A">
        <w:rPr>
          <w:rFonts w:ascii="Cambria" w:eastAsia="Cambria" w:hAnsi="Cambria" w:cs="Cambria"/>
          <w:sz w:val="20"/>
          <w:szCs w:val="20"/>
          <w:lang w:val="en-US"/>
        </w:rPr>
        <w:t xml:space="preserve"> </w:t>
      </w:r>
      <w:r w:rsidR="00700401" w:rsidRPr="00CC562A">
        <w:rPr>
          <w:rFonts w:ascii="Cambria" w:eastAsia="Cambria" w:hAnsi="Cambria" w:cs="Cambria"/>
          <w:sz w:val="20"/>
          <w:szCs w:val="20"/>
          <w:lang w:val="en-US"/>
        </w:rPr>
        <w:t>CNPJ.</w:t>
      </w:r>
      <w:r w:rsidR="00BE66B0" w:rsidRPr="00CC562A">
        <w:rPr>
          <w:rStyle w:val="FootnoteReference"/>
          <w:rFonts w:ascii="Cambria" w:hAnsi="Cambria"/>
          <w:sz w:val="20"/>
          <w:lang w:val="en-US"/>
        </w:rPr>
        <w:footnoteReference w:id="199"/>
      </w:r>
    </w:p>
    <w:p w14:paraId="3EA92A8E" w14:textId="0E04AB55" w:rsidR="00DB71FA" w:rsidRPr="00CC562A" w:rsidRDefault="00E3406C" w:rsidP="00001918">
      <w:pPr>
        <w:numPr>
          <w:ilvl w:val="0"/>
          <w:numId w:val="2"/>
        </w:numPr>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color w:val="000000" w:themeColor="text1"/>
          <w:sz w:val="20"/>
          <w:szCs w:val="20"/>
          <w:lang w:val="en-US"/>
        </w:rPr>
        <w:t xml:space="preserve"> </w:t>
      </w:r>
      <w:r w:rsidR="004E6E4B" w:rsidRPr="00CC562A">
        <w:rPr>
          <w:rFonts w:ascii="Cambria" w:eastAsia="Cambria" w:hAnsi="Cambria" w:cs="Cambria"/>
          <w:color w:val="000000" w:themeColor="text1"/>
          <w:sz w:val="20"/>
          <w:szCs w:val="20"/>
          <w:lang w:val="en-US"/>
        </w:rPr>
        <w:t>I</w:t>
      </w:r>
      <w:r w:rsidRPr="00CC562A">
        <w:rPr>
          <w:rFonts w:ascii="Cambria" w:eastAsia="Cambria" w:hAnsi="Cambria" w:cs="Cambria"/>
          <w:color w:val="000000" w:themeColor="text1"/>
          <w:sz w:val="20"/>
          <w:szCs w:val="20"/>
          <w:lang w:val="en-US"/>
        </w:rPr>
        <w:t xml:space="preserve">n addition, according to public information, at least 25 murders and eight disappearances of LGBTI persons have been reported in Mexico in </w:t>
      </w:r>
      <w:r w:rsidR="1A5C3DC2" w:rsidRPr="00CC562A">
        <w:rPr>
          <w:rFonts w:ascii="Cambria" w:eastAsia="Cambria" w:hAnsi="Cambria" w:cs="Cambria"/>
          <w:color w:val="000000" w:themeColor="text1"/>
          <w:sz w:val="20"/>
          <w:szCs w:val="20"/>
          <w:lang w:val="en-US"/>
        </w:rPr>
        <w:t xml:space="preserve">2022. </w:t>
      </w:r>
      <w:r w:rsidRPr="00CC562A">
        <w:rPr>
          <w:rFonts w:ascii="Cambria" w:eastAsia="Cambria" w:hAnsi="Cambria" w:cs="Cambria"/>
          <w:color w:val="000000" w:themeColor="text1"/>
          <w:sz w:val="20"/>
          <w:szCs w:val="20"/>
          <w:lang w:val="en-US"/>
        </w:rPr>
        <w:t xml:space="preserve">Those murdered include </w:t>
      </w:r>
      <w:r w:rsidR="00C80FE5" w:rsidRPr="00CC562A">
        <w:rPr>
          <w:rFonts w:ascii="Cambria" w:eastAsia="Cambria" w:hAnsi="Cambria" w:cs="Cambria"/>
          <w:color w:val="000000" w:themeColor="text1"/>
          <w:sz w:val="20"/>
          <w:szCs w:val="20"/>
          <w:lang w:val="en-US"/>
        </w:rPr>
        <w:t>activists</w:t>
      </w:r>
      <w:r w:rsidRPr="00CC562A">
        <w:rPr>
          <w:rFonts w:ascii="Cambria" w:eastAsia="Cambria" w:hAnsi="Cambria" w:cs="Cambria"/>
          <w:color w:val="000000" w:themeColor="text1"/>
          <w:sz w:val="20"/>
          <w:szCs w:val="20"/>
          <w:lang w:val="en-US"/>
        </w:rPr>
        <w:t xml:space="preserve"> and human rights defenders, indigenous people, and women.</w:t>
      </w:r>
      <w:r w:rsidR="00064DA7" w:rsidRPr="00CC562A">
        <w:rPr>
          <w:rFonts w:ascii="Cambria" w:eastAsia="Cambria" w:hAnsi="Cambria" w:cs="Cambria"/>
          <w:color w:val="000000" w:themeColor="text1"/>
          <w:sz w:val="16"/>
          <w:szCs w:val="16"/>
          <w:vertAlign w:val="superscript"/>
          <w:lang w:val="en-US"/>
        </w:rPr>
        <w:footnoteReference w:id="200"/>
      </w:r>
    </w:p>
    <w:p w14:paraId="5ABBB172" w14:textId="77777777" w:rsidR="00BE66B0" w:rsidRPr="00CC562A" w:rsidRDefault="00E3406C" w:rsidP="00BE66B0">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The Commission </w:t>
      </w:r>
      <w:r w:rsidR="0041680E" w:rsidRPr="00CC562A">
        <w:rPr>
          <w:rFonts w:ascii="Cambria" w:hAnsi="Cambria"/>
          <w:sz w:val="20"/>
          <w:szCs w:val="20"/>
          <w:lang w:val="en-US"/>
        </w:rPr>
        <w:t xml:space="preserve">welcomes advances in the </w:t>
      </w:r>
      <w:r w:rsidRPr="00CC562A">
        <w:rPr>
          <w:rFonts w:ascii="Cambria" w:hAnsi="Cambria"/>
          <w:sz w:val="20"/>
          <w:szCs w:val="20"/>
          <w:lang w:val="en-US"/>
        </w:rPr>
        <w:t xml:space="preserve">recognition of the rights of </w:t>
      </w:r>
      <w:r w:rsidR="525DB2A1" w:rsidRPr="00CC562A">
        <w:rPr>
          <w:rFonts w:ascii="Cambria" w:hAnsi="Cambria"/>
          <w:sz w:val="20"/>
          <w:szCs w:val="20"/>
          <w:lang w:val="en-US"/>
        </w:rPr>
        <w:t xml:space="preserve">LGBTI </w:t>
      </w:r>
      <w:r w:rsidR="0041680E" w:rsidRPr="00CC562A">
        <w:rPr>
          <w:rFonts w:ascii="Cambria" w:hAnsi="Cambria"/>
          <w:sz w:val="20"/>
          <w:szCs w:val="20"/>
          <w:lang w:val="en-US"/>
        </w:rPr>
        <w:t>persons</w:t>
      </w:r>
      <w:r w:rsidRPr="00CC562A">
        <w:rPr>
          <w:rFonts w:ascii="Cambria" w:hAnsi="Cambria"/>
          <w:sz w:val="20"/>
          <w:szCs w:val="20"/>
          <w:lang w:val="en-US"/>
        </w:rPr>
        <w:t xml:space="preserve"> in Mexico, including the right to</w:t>
      </w:r>
      <w:r w:rsidR="0041680E" w:rsidRPr="00CC562A">
        <w:rPr>
          <w:rFonts w:ascii="Cambria" w:hAnsi="Cambria"/>
          <w:sz w:val="20"/>
          <w:szCs w:val="20"/>
          <w:lang w:val="en-US"/>
        </w:rPr>
        <w:t xml:space="preserve"> equal marriage and gender identity</w:t>
      </w:r>
      <w:r w:rsidR="525DB2A1" w:rsidRPr="00CC562A">
        <w:rPr>
          <w:rFonts w:ascii="Cambria" w:hAnsi="Cambria"/>
          <w:sz w:val="20"/>
          <w:szCs w:val="20"/>
          <w:lang w:val="en-US"/>
        </w:rPr>
        <w:t xml:space="preserve">. </w:t>
      </w:r>
      <w:r w:rsidR="00276638" w:rsidRPr="00CC562A">
        <w:rPr>
          <w:rFonts w:ascii="Cambria" w:hAnsi="Cambria"/>
          <w:sz w:val="20"/>
          <w:szCs w:val="20"/>
          <w:lang w:val="en-US"/>
        </w:rPr>
        <w:t>The IACHR</w:t>
      </w:r>
      <w:r w:rsidR="525DB2A1" w:rsidRPr="00CC562A">
        <w:rPr>
          <w:rFonts w:ascii="Cambria" w:hAnsi="Cambria"/>
          <w:sz w:val="20"/>
          <w:szCs w:val="20"/>
          <w:lang w:val="en-US"/>
        </w:rPr>
        <w:t xml:space="preserve"> </w:t>
      </w:r>
      <w:r w:rsidR="0041680E" w:rsidRPr="00CC562A">
        <w:rPr>
          <w:rFonts w:ascii="Cambria" w:hAnsi="Cambria"/>
          <w:sz w:val="20"/>
          <w:szCs w:val="20"/>
          <w:lang w:val="en-US"/>
        </w:rPr>
        <w:t>emphasizes that these measures make it possible to build a more egalitarian society.</w:t>
      </w:r>
      <w:r w:rsidR="004D365F" w:rsidRPr="00CC562A">
        <w:rPr>
          <w:rStyle w:val="FootnoteReference"/>
          <w:rFonts w:ascii="Cambria" w:hAnsi="Cambria"/>
          <w:sz w:val="20"/>
          <w:szCs w:val="20"/>
          <w:lang w:val="en-US"/>
        </w:rPr>
        <w:footnoteReference w:id="201"/>
      </w:r>
      <w:r w:rsidR="0041680E" w:rsidRPr="00CC562A">
        <w:rPr>
          <w:rFonts w:ascii="Cambria" w:hAnsi="Cambria"/>
          <w:sz w:val="20"/>
          <w:szCs w:val="20"/>
          <w:lang w:val="en-US"/>
        </w:rPr>
        <w:t xml:space="preserve"> Nonetheless, </w:t>
      </w:r>
      <w:r w:rsidR="00276638" w:rsidRPr="00CC562A">
        <w:rPr>
          <w:rFonts w:ascii="Cambria" w:hAnsi="Cambria"/>
          <w:sz w:val="20"/>
          <w:szCs w:val="20"/>
          <w:lang w:val="en-US"/>
        </w:rPr>
        <w:t>the IACHR</w:t>
      </w:r>
      <w:r w:rsidR="2AB4222F" w:rsidRPr="00CC562A">
        <w:rPr>
          <w:rFonts w:ascii="Cambria" w:hAnsi="Cambria"/>
          <w:sz w:val="20"/>
          <w:szCs w:val="20"/>
          <w:lang w:val="en-US"/>
        </w:rPr>
        <w:t xml:space="preserve"> not</w:t>
      </w:r>
      <w:r w:rsidR="0041680E" w:rsidRPr="00CC562A">
        <w:rPr>
          <w:rFonts w:ascii="Cambria" w:hAnsi="Cambria"/>
          <w:sz w:val="20"/>
          <w:szCs w:val="20"/>
          <w:lang w:val="en-US"/>
        </w:rPr>
        <w:t xml:space="preserve">es that the information </w:t>
      </w:r>
      <w:r w:rsidR="0041680E" w:rsidRPr="00CC562A">
        <w:rPr>
          <w:rFonts w:ascii="Cambria" w:hAnsi="Cambria"/>
          <w:sz w:val="20"/>
          <w:szCs w:val="20"/>
          <w:lang w:val="en-US"/>
        </w:rPr>
        <w:lastRenderedPageBreak/>
        <w:t>provide</w:t>
      </w:r>
      <w:r w:rsidR="004E6E4B" w:rsidRPr="00CC562A">
        <w:rPr>
          <w:rFonts w:ascii="Cambria" w:hAnsi="Cambria"/>
          <w:sz w:val="20"/>
          <w:szCs w:val="20"/>
          <w:lang w:val="en-US"/>
        </w:rPr>
        <w:t>d</w:t>
      </w:r>
      <w:r w:rsidR="0041680E" w:rsidRPr="00CC562A">
        <w:rPr>
          <w:rFonts w:ascii="Cambria" w:hAnsi="Cambria"/>
          <w:sz w:val="20"/>
          <w:szCs w:val="20"/>
          <w:lang w:val="en-US"/>
        </w:rPr>
        <w:t xml:space="preserve"> does not mention specific measures to prevent and eradicate violence against</w:t>
      </w:r>
      <w:r w:rsidR="71E9C518" w:rsidRPr="00CC562A">
        <w:rPr>
          <w:rFonts w:ascii="Cambria" w:hAnsi="Cambria"/>
          <w:sz w:val="20"/>
          <w:szCs w:val="20"/>
          <w:lang w:val="en-US"/>
        </w:rPr>
        <w:t xml:space="preserve"> LGBTI</w:t>
      </w:r>
      <w:r w:rsidR="0041680E" w:rsidRPr="00CC562A">
        <w:rPr>
          <w:rFonts w:ascii="Cambria" w:hAnsi="Cambria"/>
          <w:sz w:val="20"/>
          <w:szCs w:val="20"/>
          <w:lang w:val="en-US"/>
        </w:rPr>
        <w:t xml:space="preserve"> persons</w:t>
      </w:r>
      <w:r w:rsidR="71E9C518" w:rsidRPr="00CC562A">
        <w:rPr>
          <w:rFonts w:ascii="Cambria" w:hAnsi="Cambria"/>
          <w:sz w:val="20"/>
          <w:szCs w:val="20"/>
          <w:lang w:val="en-US"/>
        </w:rPr>
        <w:t xml:space="preserve"> </w:t>
      </w:r>
      <w:r w:rsidR="0041680E" w:rsidRPr="00CC562A">
        <w:rPr>
          <w:rFonts w:ascii="Cambria" w:hAnsi="Cambria"/>
          <w:sz w:val="20"/>
          <w:szCs w:val="20"/>
          <w:lang w:val="en-US"/>
        </w:rPr>
        <w:t xml:space="preserve">and thus considers that compliance with the recommendation is </w:t>
      </w:r>
      <w:r w:rsidR="0041680E" w:rsidRPr="00CC562A">
        <w:rPr>
          <w:rFonts w:ascii="Cambria" w:hAnsi="Cambria"/>
          <w:b/>
          <w:bCs/>
          <w:sz w:val="20"/>
          <w:szCs w:val="20"/>
          <w:lang w:val="en-US"/>
        </w:rPr>
        <w:t>partial</w:t>
      </w:r>
      <w:r w:rsidR="2AB4222F" w:rsidRPr="00CC562A">
        <w:rPr>
          <w:rFonts w:ascii="Cambria" w:hAnsi="Cambria"/>
          <w:sz w:val="20"/>
          <w:szCs w:val="20"/>
          <w:lang w:val="en-US"/>
        </w:rPr>
        <w:t>.</w:t>
      </w:r>
    </w:p>
    <w:p w14:paraId="7C4609FD" w14:textId="40746FBE" w:rsidR="00BE66B0" w:rsidRPr="00CC562A" w:rsidRDefault="0041680E" w:rsidP="00BE66B0">
      <w:pPr>
        <w:numPr>
          <w:ilvl w:val="0"/>
          <w:numId w:val="2"/>
        </w:numPr>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guide the implementation of both recommendations, </w:t>
      </w:r>
      <w:r w:rsidR="00276638" w:rsidRPr="00CC562A">
        <w:rPr>
          <w:rFonts w:ascii="Cambria" w:eastAsia="Cambria" w:hAnsi="Cambria" w:cs="Cambria"/>
          <w:sz w:val="20"/>
          <w:szCs w:val="20"/>
          <w:lang w:val="en-US"/>
        </w:rPr>
        <w:t>the IACHR</w:t>
      </w:r>
      <w:r w:rsidR="0031446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sees </w:t>
      </w:r>
      <w:r w:rsidR="004E6E4B" w:rsidRPr="00CC562A">
        <w:rPr>
          <w:rFonts w:ascii="Cambria" w:eastAsia="Cambria" w:hAnsi="Cambria" w:cs="Cambria"/>
          <w:sz w:val="20"/>
          <w:szCs w:val="20"/>
          <w:lang w:val="en-US"/>
        </w:rPr>
        <w:t>f</w:t>
      </w:r>
      <w:r w:rsidRPr="00CC562A">
        <w:rPr>
          <w:rFonts w:ascii="Cambria" w:eastAsia="Cambria" w:hAnsi="Cambria" w:cs="Cambria"/>
          <w:sz w:val="20"/>
          <w:szCs w:val="20"/>
          <w:lang w:val="en-US"/>
        </w:rPr>
        <w:t xml:space="preserve">it to suggest that specific information be compiled regarding the measures adopted at the federal and state level to guarantee a life free of violence for </w:t>
      </w:r>
      <w:r w:rsidR="71E9C518" w:rsidRPr="00CC562A">
        <w:rPr>
          <w:rFonts w:ascii="Cambria" w:eastAsia="Cambria" w:hAnsi="Cambria" w:cs="Cambria"/>
          <w:sz w:val="20"/>
          <w:szCs w:val="20"/>
          <w:lang w:val="en-US"/>
        </w:rPr>
        <w:t>LGBTI</w:t>
      </w:r>
      <w:r w:rsidRPr="00CC562A">
        <w:rPr>
          <w:rFonts w:ascii="Cambria" w:eastAsia="Cambria" w:hAnsi="Cambria" w:cs="Cambria"/>
          <w:sz w:val="20"/>
          <w:szCs w:val="20"/>
          <w:lang w:val="en-US"/>
        </w:rPr>
        <w:t xml:space="preserve"> persons, which may consist, for example, of public policies, institutional strengthening measures, and the adoption and enforcement of relevant regulations</w:t>
      </w:r>
      <w:r w:rsidR="71ACC342" w:rsidRPr="00CC562A">
        <w:rPr>
          <w:rFonts w:ascii="Cambria" w:eastAsia="Cambria" w:hAnsi="Cambria" w:cs="Cambria"/>
          <w:sz w:val="20"/>
          <w:szCs w:val="20"/>
          <w:lang w:val="en-US"/>
        </w:rPr>
        <w:t>.</w:t>
      </w:r>
    </w:p>
    <w:p w14:paraId="25FA314A" w14:textId="77777777" w:rsidR="00BE66B0" w:rsidRPr="00CC562A" w:rsidRDefault="00BE66B0" w:rsidP="008D0249">
      <w:pPr>
        <w:pStyle w:val="Heading3"/>
        <w:numPr>
          <w:ilvl w:val="0"/>
          <w:numId w:val="31"/>
        </w:numPr>
        <w:spacing w:before="240" w:after="200" w:line="240" w:lineRule="auto"/>
        <w:ind w:left="1440"/>
        <w:rPr>
          <w:sz w:val="20"/>
          <w:szCs w:val="20"/>
          <w:lang w:val="en-US"/>
        </w:rPr>
      </w:pPr>
      <w:r w:rsidRPr="00CC562A">
        <w:rPr>
          <w:sz w:val="20"/>
          <w:szCs w:val="20"/>
          <w:lang w:val="en-US"/>
        </w:rPr>
        <w:t>Women</w:t>
      </w:r>
    </w:p>
    <w:p w14:paraId="0A419976" w14:textId="77777777" w:rsidR="00BE66B0" w:rsidRPr="00CC562A" w:rsidRDefault="00BE66B0" w:rsidP="008D0249">
      <w:pPr>
        <w:numPr>
          <w:ilvl w:val="0"/>
          <w:numId w:val="10"/>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eastAsia="Cambria" w:hAnsi="Cambria" w:cs="Cambria"/>
          <w:sz w:val="20"/>
          <w:szCs w:val="20"/>
          <w:lang w:val="en-US"/>
        </w:rPr>
        <w:t>Implement and strengthen measures, incorporating a gender perspective, to comply with the duty to act with due diligence to prevent, punish, and eradicate violence and discrimination against women, including concrete efforts to comply with the obligations to prevent, investigate, punish, and redress violations of women’s human rights; this includes training and monitoring the authorities in charge of investigation, including health services and the judiciary.</w:t>
      </w:r>
    </w:p>
    <w:p w14:paraId="11A8F27A" w14:textId="77777777" w:rsidR="00BE66B0" w:rsidRPr="00CC562A" w:rsidRDefault="00BE66B0" w:rsidP="008D0249">
      <w:pPr>
        <w:numPr>
          <w:ilvl w:val="0"/>
          <w:numId w:val="10"/>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Adopt the measures necessary to prevent, punish, and eradicate acts of sexual violence and other forms of violence, torture, and cruel, inhuman, or degrading treatment by security forces against women, especially those deprived of their liberty.</w:t>
      </w:r>
    </w:p>
    <w:p w14:paraId="196AE50D" w14:textId="77777777" w:rsidR="00BE66B0" w:rsidRPr="00CC562A" w:rsidRDefault="00BE66B0" w:rsidP="008D0249">
      <w:pPr>
        <w:numPr>
          <w:ilvl w:val="0"/>
          <w:numId w:val="10"/>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hAnsi="Cambria"/>
          <w:sz w:val="20"/>
          <w:szCs w:val="20"/>
          <w:lang w:val="en-US"/>
        </w:rPr>
        <w:t xml:space="preserve">Implement standardized law enforcement protocols for crimes related to violence against women, as well as proper supervision of their implementation. </w:t>
      </w:r>
    </w:p>
    <w:p w14:paraId="34E1D613" w14:textId="77777777" w:rsidR="00BE66B0" w:rsidRPr="00CC562A" w:rsidRDefault="00BE66B0" w:rsidP="008D0249">
      <w:pPr>
        <w:numPr>
          <w:ilvl w:val="0"/>
          <w:numId w:val="10"/>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hAnsi="Cambria"/>
          <w:sz w:val="20"/>
          <w:szCs w:val="20"/>
          <w:lang w:val="en-US"/>
        </w:rPr>
        <w:t xml:space="preserve">Adopt public policies aimed at restructuring stereotypes about the role of women in society and promoting the eradication of discriminatory sociocultural patterns that impede their access to justice, including training programs and comprehensive policies for the prevention of violence against women. </w:t>
      </w:r>
    </w:p>
    <w:p w14:paraId="47301C1E" w14:textId="1F765948" w:rsidR="00BE66B0" w:rsidRPr="008D0249" w:rsidRDefault="00BE66B0" w:rsidP="00BE66B0">
      <w:pPr>
        <w:numPr>
          <w:ilvl w:val="0"/>
          <w:numId w:val="10"/>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hAnsi="Cambria"/>
          <w:sz w:val="20"/>
          <w:szCs w:val="20"/>
          <w:lang w:val="en-US"/>
        </w:rPr>
        <w:t xml:space="preserve">Design and implement culturally appropriate policies with the participation of indigenous women, applying a comprehensive and holistic approach aimed at preventing, investigations, punishing, and redressing acts of violence and discrimination committed against them. </w:t>
      </w:r>
    </w:p>
    <w:p w14:paraId="28FCBD5F" w14:textId="2C7F45BC" w:rsidR="00BE66B0" w:rsidRPr="00CC562A" w:rsidRDefault="00637247" w:rsidP="00BE66B0">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Regarding the </w:t>
      </w:r>
      <w:r w:rsidR="07D29BA2" w:rsidRPr="00CC562A">
        <w:rPr>
          <w:rFonts w:ascii="Cambria" w:eastAsia="Cambria" w:hAnsi="Cambria" w:cs="Cambria"/>
          <w:sz w:val="20"/>
          <w:szCs w:val="20"/>
          <w:lang w:val="en-US"/>
        </w:rPr>
        <w:t>implementa</w:t>
      </w:r>
      <w:r w:rsidRPr="00CC562A">
        <w:rPr>
          <w:rFonts w:ascii="Cambria" w:eastAsia="Cambria" w:hAnsi="Cambria" w:cs="Cambria"/>
          <w:sz w:val="20"/>
          <w:szCs w:val="20"/>
          <w:lang w:val="en-US"/>
        </w:rPr>
        <w:t>tion and strengthening of measures incorporating a gender perspective to prevent, punish, and eradicate violence and discrimination against women</w:t>
      </w:r>
      <w:r w:rsidR="07D29BA2"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07D29BA2" w:rsidRPr="00CC562A">
        <w:rPr>
          <w:rFonts w:ascii="Cambria" w:eastAsia="Cambria" w:hAnsi="Cambria" w:cs="Cambria"/>
          <w:sz w:val="20"/>
          <w:szCs w:val="20"/>
          <w:lang w:val="en-US"/>
        </w:rPr>
        <w:t xml:space="preserve"> indic</w:t>
      </w:r>
      <w:r w:rsidRPr="00CC562A">
        <w:rPr>
          <w:rFonts w:ascii="Cambria" w:eastAsia="Cambria" w:hAnsi="Cambria" w:cs="Cambria"/>
          <w:sz w:val="20"/>
          <w:szCs w:val="20"/>
          <w:lang w:val="en-US"/>
        </w:rPr>
        <w:t xml:space="preserve">ated that </w:t>
      </w:r>
      <w:r w:rsidR="07D29BA2" w:rsidRPr="00CC562A">
        <w:rPr>
          <w:rFonts w:ascii="Cambria" w:eastAsia="Cambria" w:hAnsi="Cambria" w:cs="Cambria"/>
          <w:sz w:val="20"/>
          <w:szCs w:val="20"/>
          <w:lang w:val="en-US"/>
        </w:rPr>
        <w:t>INMUJERES</w:t>
      </w:r>
      <w:r w:rsidRPr="00CC562A">
        <w:rPr>
          <w:rFonts w:ascii="Cambria" w:eastAsia="Cambria" w:hAnsi="Cambria" w:cs="Cambria"/>
          <w:sz w:val="20"/>
          <w:szCs w:val="20"/>
          <w:lang w:val="en-US"/>
        </w:rPr>
        <w:t xml:space="preserve"> conducted training on “Gender roles and stereotypes and women’s autonomy,” for staff of the Secretariat of Security and Citizen Protection in order to provide basic elements with which to understand the problem of violence against women and strengthen the skills of its staff with regard to gender equality topics. Similarly, three training tools were developed regarding the obligations established in the Protocol for preventing, addressing, and punishing assault and sexual harassment in the Federal Civil Service.</w:t>
      </w:r>
      <w:r w:rsidR="008779E9" w:rsidRPr="00CC562A">
        <w:rPr>
          <w:rStyle w:val="FootnoteReference"/>
          <w:rFonts w:ascii="Cambria" w:eastAsia="Cambria" w:hAnsi="Cambria" w:cs="Cambria"/>
          <w:sz w:val="20"/>
          <w:szCs w:val="20"/>
          <w:lang w:val="en-US"/>
        </w:rPr>
        <w:footnoteReference w:id="202"/>
      </w:r>
      <w:r w:rsidR="00E529E8" w:rsidRPr="00CC562A">
        <w:rPr>
          <w:rFonts w:ascii="Cambria" w:eastAsia="Cambria" w:hAnsi="Cambria" w:cs="Cambria"/>
          <w:sz w:val="20"/>
          <w:szCs w:val="20"/>
          <w:lang w:val="en-US"/>
        </w:rPr>
        <w:t xml:space="preserve"> </w:t>
      </w:r>
      <w:r w:rsidR="00700401" w:rsidRPr="00CC562A">
        <w:rPr>
          <w:rFonts w:ascii="Cambria" w:hAnsi="Cambria"/>
          <w:sz w:val="20"/>
          <w:lang w:val="en-US"/>
        </w:rPr>
        <w:t>In turn, the State reported that the Office of the Special Prosecutor for Crimes of Violence against Women and Trafficking</w:t>
      </w:r>
      <w:r w:rsidR="00E529E8" w:rsidRPr="00CC562A">
        <w:rPr>
          <w:rFonts w:ascii="Cambria" w:hAnsi="Cambria"/>
          <w:sz w:val="20"/>
          <w:lang w:val="en-US"/>
        </w:rPr>
        <w:t xml:space="preserve"> (FEVIMTRA) </w:t>
      </w:r>
      <w:r w:rsidR="006E4335" w:rsidRPr="00CC562A">
        <w:rPr>
          <w:rFonts w:ascii="Cambria" w:hAnsi="Cambria"/>
          <w:sz w:val="20"/>
          <w:lang w:val="en-US"/>
        </w:rPr>
        <w:t xml:space="preserve">is conducting investigations with a gender perspective and referred to various training session in that entity on the subject of violence against women and investigations with a gender perspective, and the existence of some action protocols and international instruments used. It also referred to the implementation of a Periodic Report on the Activities and Supervision of the Substantive Activities of </w:t>
      </w:r>
      <w:r w:rsidR="00E529E8" w:rsidRPr="00CC562A">
        <w:rPr>
          <w:rFonts w:ascii="Cambria" w:hAnsi="Cambria"/>
          <w:sz w:val="20"/>
          <w:lang w:val="en-US"/>
        </w:rPr>
        <w:t xml:space="preserve">FEVIMTRA </w:t>
      </w:r>
      <w:r w:rsidR="006E4335" w:rsidRPr="00CC562A">
        <w:rPr>
          <w:rFonts w:ascii="Cambria" w:hAnsi="Cambria"/>
          <w:sz w:val="20"/>
          <w:lang w:val="en-US"/>
        </w:rPr>
        <w:t xml:space="preserve">to supervise </w:t>
      </w:r>
      <w:r w:rsidR="006E4335" w:rsidRPr="00CC562A">
        <w:rPr>
          <w:rFonts w:ascii="Cambria" w:hAnsi="Cambria"/>
          <w:sz w:val="20"/>
          <w:lang w:val="en-US"/>
        </w:rPr>
        <w:lastRenderedPageBreak/>
        <w:t xml:space="preserve">and evaluate performance in the investigation and prosecution of crimes with a gender approach. The State also referred once again to the </w:t>
      </w:r>
      <w:r w:rsidR="00804C2C" w:rsidRPr="00CC562A">
        <w:rPr>
          <w:rFonts w:ascii="Cambria" w:hAnsi="Cambria"/>
          <w:sz w:val="20"/>
          <w:lang w:val="en-US"/>
        </w:rPr>
        <w:t>PHI.</w:t>
      </w:r>
      <w:r w:rsidR="00E529E8" w:rsidRPr="00CC562A">
        <w:rPr>
          <w:rStyle w:val="FootnoteReference"/>
          <w:rFonts w:ascii="Cambria" w:hAnsi="Cambria"/>
          <w:sz w:val="20"/>
          <w:lang w:val="en-US"/>
        </w:rPr>
        <w:footnoteReference w:id="203"/>
      </w:r>
    </w:p>
    <w:p w14:paraId="410EA7BC" w14:textId="0FFBD720" w:rsidR="008D0249" w:rsidRDefault="00F108AA" w:rsidP="008D0249">
      <w:pPr>
        <w:numPr>
          <w:ilvl w:val="0"/>
          <w:numId w:val="2"/>
        </w:numPr>
        <w:spacing w:after="0" w:line="240" w:lineRule="auto"/>
        <w:ind w:left="0" w:firstLine="720"/>
        <w:jc w:val="both"/>
        <w:rPr>
          <w:rFonts w:ascii="Cambria" w:hAnsi="Cambria"/>
          <w:sz w:val="20"/>
          <w:lang w:val="en-US"/>
        </w:rPr>
      </w:pPr>
      <w:r w:rsidRPr="00CC562A">
        <w:rPr>
          <w:rFonts w:ascii="Cambria" w:eastAsia="Cambria" w:hAnsi="Cambria" w:cs="Cambria"/>
          <w:sz w:val="20"/>
          <w:szCs w:val="20"/>
          <w:lang w:val="en-US"/>
        </w:rPr>
        <w:t>In addition,</w:t>
      </w:r>
      <w:r w:rsidR="014F1F8C"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 xml:space="preserve">the </w:t>
      </w:r>
      <w:r w:rsidR="00637247" w:rsidRPr="00CC562A">
        <w:rPr>
          <w:rFonts w:ascii="Cambria" w:eastAsia="Cambria" w:hAnsi="Cambria" w:cs="Cambria"/>
          <w:sz w:val="20"/>
          <w:szCs w:val="20"/>
          <w:lang w:val="en-US"/>
        </w:rPr>
        <w:t xml:space="preserve">Mexican </w:t>
      </w:r>
      <w:r w:rsidR="00752FED" w:rsidRPr="00CC562A">
        <w:rPr>
          <w:rFonts w:ascii="Cambria" w:eastAsia="Cambria" w:hAnsi="Cambria" w:cs="Cambria"/>
          <w:sz w:val="20"/>
          <w:szCs w:val="20"/>
          <w:lang w:val="en-US"/>
        </w:rPr>
        <w:t>State</w:t>
      </w:r>
      <w:r w:rsidR="00637247" w:rsidRPr="00CC562A">
        <w:rPr>
          <w:rFonts w:ascii="Cambria" w:eastAsia="Cambria" w:hAnsi="Cambria" w:cs="Cambria"/>
          <w:sz w:val="20"/>
          <w:szCs w:val="20"/>
          <w:lang w:val="en-US"/>
        </w:rPr>
        <w:t xml:space="preserve"> indicated that i</w:t>
      </w:r>
      <w:r w:rsidR="004E6E4B" w:rsidRPr="00CC562A">
        <w:rPr>
          <w:rFonts w:ascii="Cambria" w:eastAsia="Cambria" w:hAnsi="Cambria" w:cs="Cambria"/>
          <w:sz w:val="20"/>
          <w:szCs w:val="20"/>
          <w:lang w:val="en-US"/>
        </w:rPr>
        <w:t>t</w:t>
      </w:r>
      <w:r w:rsidR="00637247" w:rsidRPr="00CC562A">
        <w:rPr>
          <w:rFonts w:ascii="Cambria" w:eastAsia="Cambria" w:hAnsi="Cambria" w:cs="Cambria"/>
          <w:sz w:val="20"/>
          <w:szCs w:val="20"/>
          <w:lang w:val="en-US"/>
        </w:rPr>
        <w:t xml:space="preserve"> has been implementing </w:t>
      </w:r>
      <w:r w:rsidR="00940237" w:rsidRPr="00CC562A">
        <w:rPr>
          <w:rFonts w:ascii="Cambria" w:eastAsia="Cambria" w:hAnsi="Cambria" w:cs="Cambria"/>
          <w:sz w:val="20"/>
          <w:szCs w:val="20"/>
          <w:lang w:val="en-US"/>
        </w:rPr>
        <w:t xml:space="preserve">various legally established aspects of </w:t>
      </w:r>
      <w:r w:rsidR="00637247" w:rsidRPr="00CC562A">
        <w:rPr>
          <w:rFonts w:ascii="Cambria" w:eastAsia="Cambria" w:hAnsi="Cambria" w:cs="Cambria"/>
          <w:sz w:val="20"/>
          <w:szCs w:val="20"/>
          <w:lang w:val="en-US"/>
        </w:rPr>
        <w:t>the 2021-2024 Comprehensive Program to Prevent, Address, Punish, and Eradicate Violence against Women,</w:t>
      </w:r>
      <w:r w:rsidR="00940237" w:rsidRPr="00CC562A">
        <w:rPr>
          <w:rFonts w:ascii="Cambria" w:eastAsia="Cambria" w:hAnsi="Cambria" w:cs="Cambria"/>
          <w:sz w:val="20"/>
          <w:szCs w:val="20"/>
          <w:lang w:val="en-US"/>
        </w:rPr>
        <w:t xml:space="preserve"> which range from violence in families, the community, employment and education, institutions, policies, </w:t>
      </w:r>
      <w:r w:rsidR="004E6E4B" w:rsidRPr="00CC562A">
        <w:rPr>
          <w:rFonts w:ascii="Cambria" w:eastAsia="Cambria" w:hAnsi="Cambria" w:cs="Cambria"/>
          <w:sz w:val="20"/>
          <w:szCs w:val="20"/>
          <w:lang w:val="en-US"/>
        </w:rPr>
        <w:t xml:space="preserve">to </w:t>
      </w:r>
      <w:r w:rsidR="00940237" w:rsidRPr="00CC562A">
        <w:rPr>
          <w:rFonts w:ascii="Cambria" w:eastAsia="Cambria" w:hAnsi="Cambria" w:cs="Cambria"/>
          <w:sz w:val="20"/>
          <w:szCs w:val="20"/>
          <w:lang w:val="en-US"/>
        </w:rPr>
        <w:t xml:space="preserve">femicide </w:t>
      </w:r>
      <w:r w:rsidR="004E6E4B" w:rsidRPr="00CC562A">
        <w:rPr>
          <w:rFonts w:ascii="Cambria" w:eastAsia="Cambria" w:hAnsi="Cambria" w:cs="Cambria"/>
          <w:sz w:val="20"/>
          <w:szCs w:val="20"/>
          <w:lang w:val="en-US"/>
        </w:rPr>
        <w:t>and</w:t>
      </w:r>
      <w:r w:rsidR="00940237" w:rsidRPr="00CC562A">
        <w:rPr>
          <w:rFonts w:ascii="Cambria" w:eastAsia="Cambria" w:hAnsi="Cambria" w:cs="Cambria"/>
          <w:sz w:val="20"/>
          <w:szCs w:val="20"/>
          <w:lang w:val="en-US"/>
        </w:rPr>
        <w:t xml:space="preserve"> the gender violence alert.</w:t>
      </w:r>
      <w:r w:rsidR="014F1F8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w:t>
      </w:r>
      <w:r w:rsidR="00940237" w:rsidRPr="00CC562A">
        <w:rPr>
          <w:rFonts w:ascii="Cambria" w:eastAsia="Cambria" w:hAnsi="Cambria" w:cs="Cambria"/>
          <w:sz w:val="20"/>
          <w:szCs w:val="20"/>
          <w:lang w:val="en-US"/>
        </w:rPr>
        <w:t>t also indicated the health care services and the institutions that provide them are being implement</w:t>
      </w:r>
      <w:r w:rsidR="004E6E4B" w:rsidRPr="00CC562A">
        <w:rPr>
          <w:rFonts w:ascii="Cambria" w:eastAsia="Cambria" w:hAnsi="Cambria" w:cs="Cambria"/>
          <w:sz w:val="20"/>
          <w:szCs w:val="20"/>
          <w:lang w:val="en-US"/>
        </w:rPr>
        <w:t>ed</w:t>
      </w:r>
      <w:r w:rsidR="00940237" w:rsidRPr="00CC562A">
        <w:rPr>
          <w:rFonts w:ascii="Cambria" w:eastAsia="Cambria" w:hAnsi="Cambria" w:cs="Cambria"/>
          <w:sz w:val="20"/>
          <w:szCs w:val="20"/>
          <w:lang w:val="en-US"/>
        </w:rPr>
        <w:t xml:space="preserve"> to reduce violence against women using preventive measures related to risk factors, in addition to the promotion of specialized comprehensive care services with an intersectional and intercultural approach for women victims of violence and coordination actions to institutionalize the eradication of violence against women in the Mexican State.</w:t>
      </w:r>
      <w:r w:rsidR="00540016" w:rsidRPr="00CC562A">
        <w:rPr>
          <w:rStyle w:val="FootnoteReference"/>
          <w:rFonts w:ascii="Cambria" w:eastAsia="Cambria" w:hAnsi="Cambria" w:cs="Cambria"/>
          <w:sz w:val="20"/>
          <w:szCs w:val="20"/>
          <w:lang w:val="en-US"/>
        </w:rPr>
        <w:footnoteReference w:id="204"/>
      </w:r>
      <w:r w:rsidR="00E529E8" w:rsidRPr="00CC562A">
        <w:rPr>
          <w:rFonts w:ascii="Cambria" w:eastAsia="Cambria" w:hAnsi="Cambria" w:cs="Cambria"/>
          <w:sz w:val="20"/>
          <w:szCs w:val="20"/>
          <w:lang w:val="en-US"/>
        </w:rPr>
        <w:t xml:space="preserve"> </w:t>
      </w:r>
      <w:r w:rsidR="00804C2C" w:rsidRPr="00CC562A">
        <w:rPr>
          <w:rFonts w:ascii="Cambria" w:hAnsi="Cambria"/>
          <w:sz w:val="20"/>
          <w:lang w:val="en-US"/>
        </w:rPr>
        <w:t>In addition, the State indicated that in 2022 the National System to Prevent, Address, Punish, and Eradicate Violence against Women approved</w:t>
      </w:r>
      <w:r w:rsidR="00E529E8" w:rsidRPr="00CC562A">
        <w:rPr>
          <w:rFonts w:ascii="Cambria" w:hAnsi="Cambria"/>
          <w:sz w:val="20"/>
          <w:lang w:val="en-US"/>
        </w:rPr>
        <w:t xml:space="preserve"> </w:t>
      </w:r>
      <w:r w:rsidR="00804C2C" w:rsidRPr="00CC562A">
        <w:rPr>
          <w:rFonts w:ascii="Cambria" w:hAnsi="Cambria"/>
          <w:sz w:val="20"/>
          <w:lang w:val="en-US"/>
        </w:rPr>
        <w:t>the comprehensive model for primary prevention of violence against women, the comprehensive care and protection model for women who experience violence, and the punishment model, regulatory instruments established in accordance with the mandates of the General Law on Women’s Access  to a Life Free of Violence</w:t>
      </w:r>
      <w:r w:rsidR="00E529E8" w:rsidRPr="00CC562A">
        <w:rPr>
          <w:rFonts w:ascii="Cambria" w:hAnsi="Cambria"/>
          <w:sz w:val="20"/>
          <w:lang w:val="en-US"/>
        </w:rPr>
        <w:t xml:space="preserve">. </w:t>
      </w:r>
      <w:r w:rsidR="00533DEF" w:rsidRPr="00CC562A">
        <w:rPr>
          <w:rFonts w:ascii="Cambria" w:hAnsi="Cambria"/>
          <w:sz w:val="20"/>
          <w:lang w:val="en-US"/>
        </w:rPr>
        <w:t xml:space="preserve">In this regard, it pointed out that adherence to these instruments is </w:t>
      </w:r>
      <w:r w:rsidR="00326FBD" w:rsidRPr="00CC562A">
        <w:rPr>
          <w:rFonts w:ascii="Cambria" w:hAnsi="Cambria"/>
          <w:sz w:val="20"/>
          <w:lang w:val="en-US"/>
        </w:rPr>
        <w:t>mandatory</w:t>
      </w:r>
      <w:r w:rsidR="00533DEF" w:rsidRPr="00CC562A">
        <w:rPr>
          <w:rFonts w:ascii="Cambria" w:hAnsi="Cambria"/>
          <w:sz w:val="20"/>
          <w:lang w:val="en-US"/>
        </w:rPr>
        <w:t xml:space="preserve"> for federal civil service institutions as well as for the federative entities and make it possible to carry out actions that promote the culture of non-violence, as well as components, guidance, and minimum guidelines for providing women, girls, and adolescents with specialized care and comprehensive protection and reparations.</w:t>
      </w:r>
      <w:r w:rsidR="00E529E8" w:rsidRPr="00CC562A">
        <w:rPr>
          <w:rStyle w:val="FootnoteReference"/>
          <w:rFonts w:ascii="Cambria" w:hAnsi="Cambria"/>
          <w:sz w:val="20"/>
          <w:lang w:val="en-US"/>
        </w:rPr>
        <w:footnoteReference w:id="205"/>
      </w:r>
    </w:p>
    <w:p w14:paraId="6B91B691" w14:textId="77777777" w:rsidR="008D0249" w:rsidRPr="008D0249" w:rsidRDefault="008D0249" w:rsidP="008D0249">
      <w:pPr>
        <w:spacing w:after="0" w:line="240" w:lineRule="auto"/>
        <w:ind w:left="720"/>
        <w:jc w:val="both"/>
        <w:rPr>
          <w:rFonts w:ascii="Cambria" w:hAnsi="Cambria"/>
          <w:sz w:val="20"/>
          <w:lang w:val="en-US"/>
        </w:rPr>
      </w:pPr>
    </w:p>
    <w:p w14:paraId="0E3E6460" w14:textId="52EF911F" w:rsidR="00E529E8" w:rsidRPr="00CC562A" w:rsidRDefault="00533DEF" w:rsidP="008D0249">
      <w:pPr>
        <w:pStyle w:val="Heading3"/>
        <w:spacing w:before="0" w:after="0" w:line="240" w:lineRule="auto"/>
        <w:ind w:left="0" w:firstLine="720"/>
        <w:rPr>
          <w:b w:val="0"/>
          <w:bCs w:val="0"/>
          <w:sz w:val="20"/>
          <w:lang w:val="en-US"/>
        </w:rPr>
      </w:pPr>
      <w:r w:rsidRPr="00CC562A">
        <w:rPr>
          <w:b w:val="0"/>
          <w:bCs w:val="0"/>
          <w:sz w:val="20"/>
          <w:lang w:val="en-US"/>
        </w:rPr>
        <w:t>The State also pointed out that the</w:t>
      </w:r>
      <w:r w:rsidR="00E529E8" w:rsidRPr="00CC562A">
        <w:rPr>
          <w:b w:val="0"/>
          <w:bCs w:val="0"/>
          <w:sz w:val="20"/>
          <w:lang w:val="en-US"/>
        </w:rPr>
        <w:t xml:space="preserve"> CJF </w:t>
      </w:r>
      <w:r w:rsidRPr="00CC562A">
        <w:rPr>
          <w:b w:val="0"/>
          <w:bCs w:val="0"/>
          <w:sz w:val="20"/>
          <w:lang w:val="en-US"/>
        </w:rPr>
        <w:t xml:space="preserve">signed a collaborative agreement in October 2020 to execute the “Strategy for the Mainstreaming and Institutionalization of the Gender Perspective” project, which seeks to construct a minimum floor </w:t>
      </w:r>
      <w:r w:rsidR="00A92391" w:rsidRPr="00CC562A">
        <w:rPr>
          <w:b w:val="0"/>
          <w:bCs w:val="0"/>
          <w:sz w:val="20"/>
          <w:lang w:val="en-US"/>
        </w:rPr>
        <w:t>of knowledge</w:t>
      </w:r>
      <w:r w:rsidRPr="00CC562A">
        <w:rPr>
          <w:b w:val="0"/>
          <w:bCs w:val="0"/>
          <w:sz w:val="20"/>
          <w:lang w:val="en-US"/>
        </w:rPr>
        <w:t xml:space="preserve"> and tools </w:t>
      </w:r>
      <w:proofErr w:type="gramStart"/>
      <w:r w:rsidRPr="00CC562A">
        <w:rPr>
          <w:b w:val="0"/>
          <w:bCs w:val="0"/>
          <w:sz w:val="20"/>
          <w:lang w:val="en-US"/>
        </w:rPr>
        <w:t>on the subject of gender</w:t>
      </w:r>
      <w:proofErr w:type="gramEnd"/>
      <w:r w:rsidR="00E529E8" w:rsidRPr="00CC562A">
        <w:rPr>
          <w:b w:val="0"/>
          <w:bCs w:val="0"/>
          <w:sz w:val="20"/>
          <w:lang w:val="en-US"/>
        </w:rPr>
        <w:t xml:space="preserve">. </w:t>
      </w:r>
      <w:r w:rsidRPr="00CC562A">
        <w:rPr>
          <w:b w:val="0"/>
          <w:bCs w:val="0"/>
          <w:sz w:val="20"/>
          <w:lang w:val="en-US"/>
        </w:rPr>
        <w:t>It also reported on the implementation of various training courses on the subject, including the course on “Gender as a Tool for Equality,” which was established as a requirement for the judicial career.</w:t>
      </w:r>
      <w:r w:rsidR="00E529E8" w:rsidRPr="00CC562A">
        <w:rPr>
          <w:rStyle w:val="FootnoteReference"/>
          <w:b w:val="0"/>
          <w:bCs w:val="0"/>
          <w:sz w:val="20"/>
          <w:lang w:val="en-US"/>
        </w:rPr>
        <w:footnoteReference w:id="206"/>
      </w:r>
    </w:p>
    <w:p w14:paraId="68753269" w14:textId="24CC326F" w:rsidR="00BE66B0" w:rsidRPr="00CC562A" w:rsidRDefault="00940237" w:rsidP="00E529E8">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For its part, the</w:t>
      </w:r>
      <w:r w:rsidR="00C36F5D" w:rsidRPr="00CC562A">
        <w:rPr>
          <w:rFonts w:ascii="Cambria" w:hAnsi="Cambria"/>
          <w:sz w:val="20"/>
          <w:szCs w:val="20"/>
          <w:lang w:val="en-US"/>
        </w:rPr>
        <w:t xml:space="preserve"> EQUIS</w:t>
      </w:r>
      <w:r w:rsidR="00DC07CE" w:rsidRPr="00CC562A">
        <w:rPr>
          <w:rFonts w:ascii="Cambria" w:hAnsi="Cambria"/>
          <w:sz w:val="20"/>
          <w:szCs w:val="20"/>
          <w:lang w:val="en-US"/>
        </w:rPr>
        <w:t xml:space="preserve"> organization noted that the General Law on Women’s Access to a Life Free of Violence</w:t>
      </w:r>
      <w:r w:rsidR="00C36F5D" w:rsidRPr="00CC562A">
        <w:rPr>
          <w:rFonts w:ascii="Cambria" w:hAnsi="Cambria"/>
          <w:sz w:val="20"/>
          <w:szCs w:val="20"/>
          <w:lang w:val="en-US"/>
        </w:rPr>
        <w:t xml:space="preserve"> (</w:t>
      </w:r>
      <w:r w:rsidR="00DC07CE" w:rsidRPr="00CC562A">
        <w:rPr>
          <w:rFonts w:ascii="Cambria" w:hAnsi="Cambria"/>
          <w:sz w:val="20"/>
          <w:szCs w:val="20"/>
          <w:lang w:val="en-US"/>
        </w:rPr>
        <w:t>hereinafter</w:t>
      </w:r>
      <w:r w:rsidR="00C36F5D" w:rsidRPr="00CC562A">
        <w:rPr>
          <w:rFonts w:ascii="Cambria" w:hAnsi="Cambria"/>
          <w:sz w:val="20"/>
          <w:szCs w:val="20"/>
          <w:lang w:val="en-US"/>
        </w:rPr>
        <w:t xml:space="preserve"> “LGAMVLV”) </w:t>
      </w:r>
      <w:r w:rsidR="00DC07CE" w:rsidRPr="00CC562A">
        <w:rPr>
          <w:rFonts w:ascii="Cambria" w:hAnsi="Cambria"/>
          <w:sz w:val="20"/>
          <w:szCs w:val="20"/>
          <w:lang w:val="en-US"/>
        </w:rPr>
        <w:t xml:space="preserve">provided a period of six months for the publication of standardized legislation in the </w:t>
      </w:r>
      <w:r w:rsidR="00365543" w:rsidRPr="00CC562A">
        <w:rPr>
          <w:rFonts w:ascii="Cambria" w:hAnsi="Cambria"/>
          <w:sz w:val="20"/>
          <w:szCs w:val="20"/>
          <w:lang w:val="en-US"/>
        </w:rPr>
        <w:t>states</w:t>
      </w:r>
      <w:r w:rsidR="00DC07CE" w:rsidRPr="00CC562A">
        <w:rPr>
          <w:rFonts w:ascii="Cambria" w:hAnsi="Cambria"/>
          <w:sz w:val="20"/>
          <w:szCs w:val="20"/>
          <w:lang w:val="en-US"/>
        </w:rPr>
        <w:t>. However, compliance with this obligation took nearly a decade. Analysis of local laws on this subject indicates enormous differences, which is in turn reflected in uneven protection for women and girls who are the victims of violence. The most notable differences include discrepancies with respect to the types of violence recognized, how long it takes to grant protective order</w:t>
      </w:r>
      <w:r w:rsidR="007220A5" w:rsidRPr="00CC562A">
        <w:rPr>
          <w:rFonts w:ascii="Cambria" w:hAnsi="Cambria"/>
          <w:sz w:val="20"/>
          <w:szCs w:val="20"/>
          <w:lang w:val="en-US"/>
        </w:rPr>
        <w:t>s</w:t>
      </w:r>
      <w:r w:rsidR="00DC07CE" w:rsidRPr="00CC562A">
        <w:rPr>
          <w:rFonts w:ascii="Cambria" w:hAnsi="Cambria"/>
          <w:sz w:val="20"/>
          <w:szCs w:val="20"/>
          <w:lang w:val="en-US"/>
        </w:rPr>
        <w:t xml:space="preserve"> and their duration, as well as powers for granting them. For example, </w:t>
      </w:r>
      <w:proofErr w:type="gramStart"/>
      <w:r w:rsidR="00DC07CE" w:rsidRPr="00CC562A">
        <w:rPr>
          <w:rFonts w:ascii="Cambria" w:hAnsi="Cambria"/>
          <w:sz w:val="20"/>
          <w:szCs w:val="20"/>
          <w:lang w:val="en-US"/>
        </w:rPr>
        <w:t>with regard to</w:t>
      </w:r>
      <w:proofErr w:type="gramEnd"/>
      <w:r w:rsidR="00DC07CE" w:rsidRPr="00CC562A">
        <w:rPr>
          <w:rFonts w:ascii="Cambria" w:hAnsi="Cambria"/>
          <w:sz w:val="20"/>
          <w:szCs w:val="20"/>
          <w:lang w:val="en-US"/>
        </w:rPr>
        <w:t xml:space="preserve"> the types of violence included, 29 states recognize family, employment, community, and institutional violence, but only eight define media violence, nine define digital violence, and only seven recognize violence against sexual and reproductive rights</w:t>
      </w:r>
      <w:r w:rsidR="00FD3A13" w:rsidRPr="00CC562A">
        <w:rPr>
          <w:rFonts w:ascii="Cambria" w:hAnsi="Cambria"/>
          <w:sz w:val="20"/>
          <w:szCs w:val="20"/>
          <w:lang w:val="en-US"/>
        </w:rPr>
        <w:t xml:space="preserve"> and distinguish such violence </w:t>
      </w:r>
      <w:r w:rsidR="007220A5" w:rsidRPr="00CC562A">
        <w:rPr>
          <w:rFonts w:ascii="Cambria" w:hAnsi="Cambria"/>
          <w:sz w:val="20"/>
          <w:szCs w:val="20"/>
          <w:lang w:val="en-US"/>
        </w:rPr>
        <w:t>from</w:t>
      </w:r>
      <w:r w:rsidR="00FD3A13" w:rsidRPr="00CC562A">
        <w:rPr>
          <w:rFonts w:ascii="Cambria" w:hAnsi="Cambria"/>
          <w:sz w:val="20"/>
          <w:szCs w:val="20"/>
          <w:lang w:val="en-US"/>
        </w:rPr>
        <w:t xml:space="preserve"> sexual violence, two include violence in public spaces and transportation, and two more define symbolic violence</w:t>
      </w:r>
      <w:r w:rsidR="00C36F5D" w:rsidRPr="00CC562A">
        <w:rPr>
          <w:rFonts w:ascii="Cambria" w:hAnsi="Cambria"/>
          <w:sz w:val="20"/>
          <w:szCs w:val="20"/>
          <w:lang w:val="en-US"/>
        </w:rPr>
        <w:t xml:space="preserve">. </w:t>
      </w:r>
      <w:r w:rsidR="7EB4A142" w:rsidRPr="00CC562A">
        <w:rPr>
          <w:rFonts w:ascii="Cambria" w:eastAsia="Cambria" w:hAnsi="Cambria" w:cs="Cambria"/>
          <w:sz w:val="20"/>
          <w:szCs w:val="20"/>
          <w:lang w:val="en-US"/>
        </w:rPr>
        <w:t>EQUIS</w:t>
      </w:r>
      <w:r w:rsidR="00FD3A13" w:rsidRPr="00CC562A">
        <w:rPr>
          <w:rFonts w:ascii="Cambria" w:eastAsia="Cambria" w:hAnsi="Cambria" w:cs="Cambria"/>
          <w:sz w:val="20"/>
          <w:szCs w:val="20"/>
          <w:lang w:val="en-US"/>
        </w:rPr>
        <w:t xml:space="preserve"> emphasized that, </w:t>
      </w:r>
      <w:proofErr w:type="gramStart"/>
      <w:r w:rsidR="00FD3A13" w:rsidRPr="00CC562A">
        <w:rPr>
          <w:rFonts w:ascii="Cambria" w:eastAsia="Cambria" w:hAnsi="Cambria" w:cs="Cambria"/>
          <w:sz w:val="20"/>
          <w:szCs w:val="20"/>
          <w:lang w:val="en-US"/>
        </w:rPr>
        <w:t>with regard to</w:t>
      </w:r>
      <w:proofErr w:type="gramEnd"/>
      <w:r w:rsidR="00FD3A13" w:rsidRPr="00CC562A">
        <w:rPr>
          <w:rFonts w:ascii="Cambria" w:eastAsia="Cambria" w:hAnsi="Cambria" w:cs="Cambria"/>
          <w:sz w:val="20"/>
          <w:szCs w:val="20"/>
          <w:lang w:val="en-US"/>
        </w:rPr>
        <w:t xml:space="preserve"> the time it takes to issue a protective order, there is still legislation that fails to indicate the timeframe for doing so, as in</w:t>
      </w:r>
      <w:r w:rsidR="7EB4A142" w:rsidRPr="00CC562A">
        <w:rPr>
          <w:rFonts w:ascii="Cambria" w:eastAsia="Cambria" w:hAnsi="Cambria" w:cs="Cambria"/>
          <w:sz w:val="20"/>
          <w:szCs w:val="20"/>
          <w:lang w:val="en-US"/>
        </w:rPr>
        <w:t xml:space="preserve"> Campeche </w:t>
      </w:r>
      <w:r w:rsidR="00FD3A13" w:rsidRPr="00CC562A">
        <w:rPr>
          <w:rFonts w:ascii="Cambria" w:eastAsia="Cambria" w:hAnsi="Cambria" w:cs="Cambria"/>
          <w:sz w:val="20"/>
          <w:szCs w:val="20"/>
          <w:lang w:val="en-US"/>
        </w:rPr>
        <w:t xml:space="preserve">and </w:t>
      </w:r>
      <w:r w:rsidR="7EB4A142" w:rsidRPr="00CC562A">
        <w:rPr>
          <w:rFonts w:ascii="Cambria" w:eastAsia="Cambria" w:hAnsi="Cambria" w:cs="Cambria"/>
          <w:sz w:val="20"/>
          <w:szCs w:val="20"/>
          <w:lang w:val="en-US"/>
        </w:rPr>
        <w:t>Colima</w:t>
      </w:r>
      <w:r w:rsidR="00FD3A13" w:rsidRPr="00CC562A">
        <w:rPr>
          <w:rFonts w:ascii="Cambria" w:eastAsia="Cambria" w:hAnsi="Cambria" w:cs="Cambria"/>
          <w:sz w:val="20"/>
          <w:szCs w:val="20"/>
          <w:lang w:val="en-US"/>
        </w:rPr>
        <w:t>. Other laws establish that emergency or preventive orders can be granted immediately or indicate timeframes ranging from six to 24 hours, or even five days in the case of preventive orders in</w:t>
      </w:r>
      <w:r w:rsidR="7EB4A142" w:rsidRPr="00CC562A">
        <w:rPr>
          <w:rFonts w:ascii="Cambria" w:eastAsia="Cambria" w:hAnsi="Cambria" w:cs="Cambria"/>
          <w:sz w:val="20"/>
          <w:szCs w:val="20"/>
          <w:lang w:val="en-US"/>
        </w:rPr>
        <w:t xml:space="preserve"> Tabasco. </w:t>
      </w:r>
      <w:r w:rsidR="00FD3A13" w:rsidRPr="00CC562A">
        <w:rPr>
          <w:rFonts w:ascii="Cambria" w:eastAsia="Cambria" w:hAnsi="Cambria" w:cs="Cambria"/>
          <w:sz w:val="20"/>
          <w:szCs w:val="20"/>
          <w:lang w:val="en-US"/>
        </w:rPr>
        <w:t xml:space="preserve">There is also a punitive view of such orders, as on many occasions they are granted to women where the act of violence may constitute a crime and, consequently, they are not autonomous as the granting thereof is contingent upon a prior complaint on the part of the victim. In addition, such orders are not granted based on a risk analysis. The civil society organization </w:t>
      </w:r>
      <w:r w:rsidR="00FD3A13" w:rsidRPr="00CC562A">
        <w:rPr>
          <w:rFonts w:ascii="Cambria" w:eastAsia="Cambria" w:hAnsi="Cambria" w:cs="Cambria"/>
          <w:sz w:val="20"/>
          <w:szCs w:val="20"/>
          <w:lang w:val="en-US"/>
        </w:rPr>
        <w:lastRenderedPageBreak/>
        <w:t xml:space="preserve">stated that the design of the mechanism also lacks an intercultural perspective, as none of these laws considers the usage and customs of indigenous peoples </w:t>
      </w:r>
      <w:r w:rsidR="00CB137E" w:rsidRPr="00CC562A">
        <w:rPr>
          <w:rFonts w:ascii="Cambria" w:eastAsia="Cambria" w:hAnsi="Cambria" w:cs="Cambria"/>
          <w:sz w:val="20"/>
          <w:szCs w:val="20"/>
          <w:lang w:val="en-US"/>
        </w:rPr>
        <w:t>nor their right to choose the system of justice they want to use and thus the power that community or indigenous authorities should have to issue protective orders for women victims of violence</w:t>
      </w:r>
      <w:r w:rsidR="7EB4A142" w:rsidRPr="00CC562A">
        <w:rPr>
          <w:rFonts w:ascii="Cambria" w:eastAsia="Cambria" w:hAnsi="Cambria" w:cs="Cambria"/>
          <w:sz w:val="20"/>
          <w:szCs w:val="20"/>
          <w:lang w:val="en-US"/>
        </w:rPr>
        <w:t>.</w:t>
      </w:r>
    </w:p>
    <w:p w14:paraId="01182818" w14:textId="77777777" w:rsidR="00BE66B0" w:rsidRPr="00CC562A" w:rsidRDefault="00CB137E" w:rsidP="00BE66B0">
      <w:pPr>
        <w:numPr>
          <w:ilvl w:val="0"/>
          <w:numId w:val="2"/>
        </w:numPr>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In addition, </w:t>
      </w:r>
      <w:r w:rsidR="7EB4A142" w:rsidRPr="00CC562A">
        <w:rPr>
          <w:rFonts w:ascii="Cambria" w:eastAsia="Cambria" w:hAnsi="Cambria" w:cs="Cambria"/>
          <w:sz w:val="20"/>
          <w:szCs w:val="20"/>
          <w:lang w:val="en-US"/>
        </w:rPr>
        <w:t>EQUIS</w:t>
      </w:r>
      <w:r w:rsidRPr="00CC562A">
        <w:rPr>
          <w:rFonts w:ascii="Cambria" w:eastAsia="Cambria" w:hAnsi="Cambria" w:cs="Cambria"/>
          <w:sz w:val="20"/>
          <w:szCs w:val="20"/>
          <w:lang w:val="en-US"/>
        </w:rPr>
        <w:t xml:space="preserve"> states that, contrary to what happens in the federal jurisdiction, where the National System for</w:t>
      </w:r>
      <w:r w:rsidR="00DD79F0" w:rsidRPr="00CC562A">
        <w:rPr>
          <w:rFonts w:ascii="Cambria" w:eastAsia="Cambria" w:hAnsi="Cambria" w:cs="Cambria"/>
          <w:sz w:val="20"/>
          <w:szCs w:val="20"/>
          <w:lang w:val="en-US"/>
        </w:rPr>
        <w:t xml:space="preserve"> Prevention, Attention, Punishment, and Eradication of Violence against Women consists of executive branch divisions and entities, in addition to mechanisms for the advancement of women in the </w:t>
      </w:r>
      <w:r w:rsidR="00365543" w:rsidRPr="00CC562A">
        <w:rPr>
          <w:rFonts w:ascii="Cambria" w:eastAsia="Cambria" w:hAnsi="Cambria" w:cs="Cambria"/>
          <w:sz w:val="20"/>
          <w:szCs w:val="20"/>
          <w:lang w:val="en-US"/>
        </w:rPr>
        <w:t>states</w:t>
      </w:r>
      <w:r w:rsidR="007220A5" w:rsidRPr="00CC562A">
        <w:rPr>
          <w:rFonts w:ascii="Cambria" w:eastAsia="Cambria" w:hAnsi="Cambria" w:cs="Cambria"/>
          <w:sz w:val="20"/>
          <w:szCs w:val="20"/>
          <w:lang w:val="en-US"/>
        </w:rPr>
        <w:t xml:space="preserve">, at the </w:t>
      </w:r>
      <w:r w:rsidR="00DD79F0" w:rsidRPr="00CC562A">
        <w:rPr>
          <w:rFonts w:ascii="Cambria" w:eastAsia="Cambria" w:hAnsi="Cambria" w:cs="Cambria"/>
          <w:sz w:val="20"/>
          <w:szCs w:val="20"/>
          <w:lang w:val="en-US"/>
        </w:rPr>
        <w:t>local level, systems provide for the participation of the three branches of government in various ways</w:t>
      </w:r>
      <w:r w:rsidR="7EB4A142" w:rsidRPr="00CC562A">
        <w:rPr>
          <w:rFonts w:ascii="Cambria" w:eastAsia="Cambria" w:hAnsi="Cambria" w:cs="Cambria"/>
          <w:sz w:val="20"/>
          <w:szCs w:val="20"/>
          <w:lang w:val="en-US"/>
        </w:rPr>
        <w:t>: (</w:t>
      </w:r>
      <w:proofErr w:type="spellStart"/>
      <w:r w:rsidR="7EB4A142" w:rsidRPr="00CC562A">
        <w:rPr>
          <w:rFonts w:ascii="Cambria" w:eastAsia="Cambria" w:hAnsi="Cambria" w:cs="Cambria"/>
          <w:sz w:val="20"/>
          <w:szCs w:val="20"/>
          <w:lang w:val="en-US"/>
        </w:rPr>
        <w:t>i</w:t>
      </w:r>
      <w:proofErr w:type="spellEnd"/>
      <w:r w:rsidR="7EB4A142" w:rsidRPr="00CC562A">
        <w:rPr>
          <w:rFonts w:ascii="Cambria" w:eastAsia="Cambria" w:hAnsi="Cambria" w:cs="Cambria"/>
          <w:sz w:val="20"/>
          <w:szCs w:val="20"/>
          <w:lang w:val="en-US"/>
        </w:rPr>
        <w:t xml:space="preserve">) </w:t>
      </w:r>
      <w:r w:rsidR="00DD79F0" w:rsidRPr="00CC562A">
        <w:rPr>
          <w:rFonts w:ascii="Cambria" w:eastAsia="Cambria" w:hAnsi="Cambria" w:cs="Cambria"/>
          <w:sz w:val="20"/>
          <w:szCs w:val="20"/>
          <w:lang w:val="en-US"/>
        </w:rPr>
        <w:t>entities that legislate only on the integration of executive and legislative branch powers</w:t>
      </w:r>
      <w:r w:rsidR="7EB4A142" w:rsidRPr="00CC562A">
        <w:rPr>
          <w:rFonts w:ascii="Cambria" w:eastAsia="Cambria" w:hAnsi="Cambria" w:cs="Cambria"/>
          <w:sz w:val="20"/>
          <w:szCs w:val="20"/>
          <w:lang w:val="en-US"/>
        </w:rPr>
        <w:t xml:space="preserve">, (ii) </w:t>
      </w:r>
      <w:r w:rsidR="00DD79F0" w:rsidRPr="00CC562A">
        <w:rPr>
          <w:rFonts w:ascii="Cambria" w:eastAsia="Cambria" w:hAnsi="Cambria" w:cs="Cambria"/>
          <w:sz w:val="20"/>
          <w:szCs w:val="20"/>
          <w:lang w:val="en-US"/>
        </w:rPr>
        <w:t>state</w:t>
      </w:r>
      <w:r w:rsidR="007220A5" w:rsidRPr="00CC562A">
        <w:rPr>
          <w:rFonts w:ascii="Cambria" w:eastAsia="Cambria" w:hAnsi="Cambria" w:cs="Cambria"/>
          <w:sz w:val="20"/>
          <w:szCs w:val="20"/>
          <w:lang w:val="en-US"/>
        </w:rPr>
        <w:t>s</w:t>
      </w:r>
      <w:r w:rsidR="00DD79F0" w:rsidRPr="00CC562A">
        <w:rPr>
          <w:rFonts w:ascii="Cambria" w:eastAsia="Cambria" w:hAnsi="Cambria" w:cs="Cambria"/>
          <w:sz w:val="20"/>
          <w:szCs w:val="20"/>
          <w:lang w:val="en-US"/>
        </w:rPr>
        <w:t xml:space="preserve"> where there is collaboration between the executive and the judicial branches, and</w:t>
      </w:r>
      <w:r w:rsidR="7EB4A142" w:rsidRPr="00CC562A">
        <w:rPr>
          <w:rFonts w:ascii="Cambria" w:eastAsia="Cambria" w:hAnsi="Cambria" w:cs="Cambria"/>
          <w:sz w:val="20"/>
          <w:szCs w:val="20"/>
          <w:lang w:val="en-US"/>
        </w:rPr>
        <w:t xml:space="preserve"> (iii) </w:t>
      </w:r>
      <w:r w:rsidR="00DD79F0" w:rsidRPr="00CC562A">
        <w:rPr>
          <w:rFonts w:ascii="Cambria" w:eastAsia="Cambria" w:hAnsi="Cambria" w:cs="Cambria"/>
          <w:sz w:val="20"/>
          <w:szCs w:val="20"/>
          <w:lang w:val="en-US"/>
        </w:rPr>
        <w:t>laws that establish the joint participation of the three branches of government.</w:t>
      </w:r>
      <w:r w:rsidR="7EB4A142"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7EB4A142" w:rsidRPr="00CC562A">
        <w:rPr>
          <w:rFonts w:ascii="Cambria" w:eastAsia="Cambria" w:hAnsi="Cambria" w:cs="Cambria"/>
          <w:sz w:val="20"/>
          <w:szCs w:val="20"/>
          <w:lang w:val="en-US"/>
        </w:rPr>
        <w:t xml:space="preserve"> </w:t>
      </w:r>
      <w:r w:rsidR="00DD79F0" w:rsidRPr="00CC562A">
        <w:rPr>
          <w:rFonts w:ascii="Cambria" w:eastAsia="Cambria" w:hAnsi="Cambria" w:cs="Cambria"/>
          <w:sz w:val="20"/>
          <w:szCs w:val="20"/>
          <w:lang w:val="en-US"/>
        </w:rPr>
        <w:t xml:space="preserve">while the national system does not consider the participation of civil society organization, most state laws consider the participation of municipalities, autonomous bodies, and organizations </w:t>
      </w:r>
      <w:proofErr w:type="gramStart"/>
      <w:r w:rsidR="00DD79F0" w:rsidRPr="00CC562A">
        <w:rPr>
          <w:rFonts w:ascii="Cambria" w:eastAsia="Cambria" w:hAnsi="Cambria" w:cs="Cambria"/>
          <w:sz w:val="20"/>
          <w:szCs w:val="20"/>
          <w:lang w:val="en-US"/>
        </w:rPr>
        <w:t>and also</w:t>
      </w:r>
      <w:proofErr w:type="gramEnd"/>
      <w:r w:rsidR="00DD79F0" w:rsidRPr="00CC562A">
        <w:rPr>
          <w:rFonts w:ascii="Cambria" w:eastAsia="Cambria" w:hAnsi="Cambria" w:cs="Cambria"/>
          <w:sz w:val="20"/>
          <w:szCs w:val="20"/>
          <w:lang w:val="en-US"/>
        </w:rPr>
        <w:t xml:space="preserve"> allow for academics or researchers who </w:t>
      </w:r>
      <w:r w:rsidR="007220A5" w:rsidRPr="00CC562A">
        <w:rPr>
          <w:rFonts w:ascii="Cambria" w:eastAsia="Cambria" w:hAnsi="Cambria" w:cs="Cambria"/>
          <w:sz w:val="20"/>
          <w:szCs w:val="20"/>
          <w:lang w:val="en-US"/>
        </w:rPr>
        <w:t>are</w:t>
      </w:r>
      <w:r w:rsidR="00DD79F0" w:rsidRPr="00CC562A">
        <w:rPr>
          <w:rFonts w:ascii="Cambria" w:eastAsia="Cambria" w:hAnsi="Cambria" w:cs="Cambria"/>
          <w:sz w:val="20"/>
          <w:szCs w:val="20"/>
          <w:lang w:val="en-US"/>
        </w:rPr>
        <w:t xml:space="preserve"> specialists in this area</w:t>
      </w:r>
      <w:r w:rsidR="7EB4A142" w:rsidRPr="00CC562A">
        <w:rPr>
          <w:rFonts w:ascii="Cambria" w:eastAsia="Cambria" w:hAnsi="Cambria" w:cs="Cambria"/>
          <w:sz w:val="20"/>
          <w:szCs w:val="20"/>
          <w:lang w:val="en-US"/>
        </w:rPr>
        <w:t xml:space="preserve">. </w:t>
      </w:r>
    </w:p>
    <w:p w14:paraId="6F4CC309" w14:textId="77777777" w:rsidR="00BE66B0" w:rsidRPr="00CC562A" w:rsidRDefault="00DD79F0" w:rsidP="00BE66B0">
      <w:pPr>
        <w:numPr>
          <w:ilvl w:val="0"/>
          <w:numId w:val="2"/>
        </w:numPr>
        <w:spacing w:before="240" w:line="240" w:lineRule="auto"/>
        <w:ind w:left="0" w:firstLine="720"/>
        <w:jc w:val="both"/>
        <w:rPr>
          <w:rFonts w:ascii="Cambria" w:hAnsi="Cambria"/>
          <w:sz w:val="20"/>
          <w:szCs w:val="20"/>
          <w:lang w:val="en-US"/>
        </w:rPr>
      </w:pPr>
      <w:r w:rsidRPr="00CC562A">
        <w:rPr>
          <w:rFonts w:ascii="Cambria" w:eastAsia="Cambria" w:hAnsi="Cambria" w:cs="Cambria"/>
          <w:color w:val="000000" w:themeColor="text1"/>
          <w:sz w:val="20"/>
          <w:szCs w:val="20"/>
          <w:lang w:val="en-US"/>
        </w:rPr>
        <w:t>The</w:t>
      </w:r>
      <w:r w:rsidR="014F1F8C" w:rsidRPr="00CC562A">
        <w:rPr>
          <w:rFonts w:ascii="Cambria" w:eastAsia="Cambria" w:hAnsi="Cambria" w:cs="Cambria"/>
          <w:color w:val="000000" w:themeColor="text1"/>
          <w:sz w:val="20"/>
          <w:szCs w:val="20"/>
          <w:lang w:val="en-US"/>
        </w:rPr>
        <w:t xml:space="preserve"> CNDH </w:t>
      </w:r>
      <w:r w:rsidR="00900ED4" w:rsidRPr="00CC562A">
        <w:rPr>
          <w:rFonts w:ascii="Cambria" w:eastAsia="Cambria" w:hAnsi="Cambria" w:cs="Cambria"/>
          <w:color w:val="000000" w:themeColor="text1"/>
          <w:sz w:val="20"/>
          <w:szCs w:val="20"/>
          <w:lang w:val="en-US"/>
        </w:rPr>
        <w:t>reported that</w:t>
      </w:r>
      <w:r w:rsidR="004C0790" w:rsidRPr="00CC562A">
        <w:rPr>
          <w:rFonts w:ascii="Cambria" w:eastAsia="Cambria" w:hAnsi="Cambria" w:cs="Cambria"/>
          <w:color w:val="000000" w:themeColor="text1"/>
          <w:sz w:val="20"/>
          <w:szCs w:val="20"/>
          <w:lang w:val="en-US"/>
        </w:rPr>
        <w:t xml:space="preserve"> within the context of its power</w:t>
      </w:r>
      <w:r w:rsidR="007220A5" w:rsidRPr="00CC562A">
        <w:rPr>
          <w:rFonts w:ascii="Cambria" w:eastAsia="Cambria" w:hAnsi="Cambria" w:cs="Cambria"/>
          <w:color w:val="000000" w:themeColor="text1"/>
          <w:sz w:val="20"/>
          <w:szCs w:val="20"/>
          <w:lang w:val="en-US"/>
        </w:rPr>
        <w:t>s</w:t>
      </w:r>
      <w:r w:rsidR="004C0790" w:rsidRPr="00CC562A">
        <w:rPr>
          <w:rFonts w:ascii="Cambria" w:eastAsia="Cambria" w:hAnsi="Cambria" w:cs="Cambria"/>
          <w:color w:val="000000" w:themeColor="text1"/>
          <w:sz w:val="20"/>
          <w:szCs w:val="20"/>
          <w:lang w:val="en-US"/>
        </w:rPr>
        <w:t xml:space="preserve">, the program on Women’s Affairs and Equality between Women and Men (hereinafter </w:t>
      </w:r>
      <w:r w:rsidR="014F1F8C" w:rsidRPr="00CC562A">
        <w:rPr>
          <w:rFonts w:ascii="Cambria" w:eastAsia="Cambria" w:hAnsi="Cambria" w:cs="Cambria"/>
          <w:color w:val="000000" w:themeColor="text1"/>
          <w:sz w:val="20"/>
          <w:szCs w:val="20"/>
          <w:lang w:val="en-US"/>
        </w:rPr>
        <w:t>“PAMIMH”)</w:t>
      </w:r>
      <w:r w:rsidR="004C0790" w:rsidRPr="00CC562A">
        <w:rPr>
          <w:rFonts w:ascii="Cambria" w:eastAsia="Cambria" w:hAnsi="Cambria" w:cs="Cambria"/>
          <w:color w:val="000000" w:themeColor="text1"/>
          <w:sz w:val="20"/>
          <w:szCs w:val="20"/>
          <w:lang w:val="en-US"/>
        </w:rPr>
        <w:t xml:space="preserve"> is the area responsible for ensuring follow-up, evaluation, and monitoring of the national police </w:t>
      </w:r>
      <w:proofErr w:type="gramStart"/>
      <w:r w:rsidR="004C0790" w:rsidRPr="00CC562A">
        <w:rPr>
          <w:rFonts w:ascii="Cambria" w:eastAsia="Cambria" w:hAnsi="Cambria" w:cs="Cambria"/>
          <w:color w:val="000000" w:themeColor="text1"/>
          <w:sz w:val="20"/>
          <w:szCs w:val="20"/>
          <w:lang w:val="en-US"/>
        </w:rPr>
        <w:t>in the area of</w:t>
      </w:r>
      <w:proofErr w:type="gramEnd"/>
      <w:r w:rsidR="004C0790" w:rsidRPr="00CC562A">
        <w:rPr>
          <w:rFonts w:ascii="Cambria" w:eastAsia="Cambria" w:hAnsi="Cambria" w:cs="Cambria"/>
          <w:color w:val="000000" w:themeColor="text1"/>
          <w:sz w:val="20"/>
          <w:szCs w:val="20"/>
          <w:lang w:val="en-US"/>
        </w:rPr>
        <w:t xml:space="preserve"> equality between women and men</w:t>
      </w:r>
      <w:r w:rsidR="014F1F8C" w:rsidRPr="00CC562A">
        <w:rPr>
          <w:rFonts w:ascii="Cambria" w:eastAsia="Cambria" w:hAnsi="Cambria" w:cs="Cambria"/>
          <w:color w:val="000000" w:themeColor="text1"/>
          <w:sz w:val="20"/>
          <w:szCs w:val="20"/>
          <w:lang w:val="en-US"/>
        </w:rPr>
        <w:t xml:space="preserve">. </w:t>
      </w:r>
      <w:r w:rsidR="004C0790" w:rsidRPr="00CC562A">
        <w:rPr>
          <w:rFonts w:ascii="Cambria" w:eastAsia="Cambria" w:hAnsi="Cambria" w:cs="Cambria"/>
          <w:color w:val="000000" w:themeColor="text1"/>
          <w:sz w:val="20"/>
          <w:szCs w:val="20"/>
          <w:lang w:val="en-US"/>
        </w:rPr>
        <w:t>In addition to its required information system, the</w:t>
      </w:r>
      <w:r w:rsidR="014F1F8C" w:rsidRPr="00CC562A">
        <w:rPr>
          <w:rFonts w:ascii="Cambria" w:eastAsia="Cambria" w:hAnsi="Cambria" w:cs="Cambria"/>
          <w:color w:val="000000" w:themeColor="text1"/>
          <w:sz w:val="20"/>
          <w:szCs w:val="20"/>
          <w:lang w:val="en-US"/>
        </w:rPr>
        <w:t xml:space="preserve"> CNDH </w:t>
      </w:r>
      <w:r w:rsidR="004C0790" w:rsidRPr="00CC562A">
        <w:rPr>
          <w:rFonts w:ascii="Cambria" w:eastAsia="Cambria" w:hAnsi="Cambria" w:cs="Cambria"/>
          <w:color w:val="000000" w:themeColor="text1"/>
          <w:sz w:val="20"/>
          <w:szCs w:val="20"/>
          <w:lang w:val="en-US"/>
        </w:rPr>
        <w:t>stated that in 2021 the</w:t>
      </w:r>
      <w:r w:rsidR="014F1F8C" w:rsidRPr="00CC562A">
        <w:rPr>
          <w:rFonts w:ascii="Cambria" w:eastAsia="Cambria" w:hAnsi="Cambria" w:cs="Cambria"/>
          <w:color w:val="000000" w:themeColor="text1"/>
          <w:sz w:val="20"/>
          <w:szCs w:val="20"/>
          <w:lang w:val="en-US"/>
        </w:rPr>
        <w:t xml:space="preserve"> PAMIMH </w:t>
      </w:r>
      <w:r w:rsidR="004C0790" w:rsidRPr="00CC562A">
        <w:rPr>
          <w:rFonts w:ascii="Cambria" w:eastAsia="Cambria" w:hAnsi="Cambria" w:cs="Cambria"/>
          <w:color w:val="000000" w:themeColor="text1"/>
          <w:sz w:val="20"/>
          <w:szCs w:val="20"/>
          <w:lang w:val="en-US"/>
        </w:rPr>
        <w:t>developed the Toolkit, which is an instrument used by deputy visiting officials to incorporate the gender perspective in handling complaints. Similarly, since</w:t>
      </w:r>
      <w:r w:rsidR="014F1F8C" w:rsidRPr="00CC562A">
        <w:rPr>
          <w:rFonts w:ascii="Cambria" w:eastAsia="Cambria" w:hAnsi="Cambria" w:cs="Cambria"/>
          <w:color w:val="000000" w:themeColor="text1"/>
          <w:sz w:val="20"/>
          <w:szCs w:val="20"/>
          <w:lang w:val="en-US"/>
        </w:rPr>
        <w:t xml:space="preserve"> 2021 </w:t>
      </w:r>
      <w:r w:rsidR="003529D6" w:rsidRPr="00CC562A">
        <w:rPr>
          <w:rFonts w:ascii="Cambria" w:eastAsia="Cambria" w:hAnsi="Cambria" w:cs="Cambria"/>
          <w:color w:val="000000" w:themeColor="text1"/>
          <w:sz w:val="20"/>
          <w:szCs w:val="20"/>
          <w:lang w:val="en-US"/>
        </w:rPr>
        <w:t xml:space="preserve">the </w:t>
      </w:r>
      <w:r w:rsidR="014F1F8C" w:rsidRPr="00CC562A">
        <w:rPr>
          <w:rFonts w:ascii="Cambria" w:eastAsia="Cambria" w:hAnsi="Cambria" w:cs="Cambria"/>
          <w:color w:val="000000" w:themeColor="text1"/>
          <w:sz w:val="20"/>
          <w:szCs w:val="20"/>
          <w:lang w:val="en-US"/>
        </w:rPr>
        <w:t xml:space="preserve">CNDH </w:t>
      </w:r>
      <w:r w:rsidR="003529D6" w:rsidRPr="00CC562A">
        <w:rPr>
          <w:rFonts w:ascii="Cambria" w:eastAsia="Cambria" w:hAnsi="Cambria" w:cs="Cambria"/>
          <w:color w:val="000000" w:themeColor="text1"/>
          <w:sz w:val="20"/>
          <w:szCs w:val="20"/>
          <w:lang w:val="en-US"/>
        </w:rPr>
        <w:t>has been promoting the enforcement course for civil servants in entities responsible for enforcement who are interested in standardizing concepts and methodologies.</w:t>
      </w:r>
      <w:r w:rsidR="00540016" w:rsidRPr="00CC562A">
        <w:rPr>
          <w:rStyle w:val="FootnoteReference"/>
          <w:rFonts w:ascii="Cambria" w:eastAsia="Cambria" w:hAnsi="Cambria" w:cs="Cambria"/>
          <w:color w:val="000000" w:themeColor="text1"/>
          <w:sz w:val="20"/>
          <w:szCs w:val="20"/>
          <w:lang w:val="en-US"/>
        </w:rPr>
        <w:footnoteReference w:id="207"/>
      </w:r>
    </w:p>
    <w:p w14:paraId="008877CA" w14:textId="1B7E5A6F" w:rsidR="00B83F29" w:rsidRPr="00CC562A" w:rsidRDefault="003529D6" w:rsidP="00E529E8">
      <w:pPr>
        <w:numPr>
          <w:ilvl w:val="0"/>
          <w:numId w:val="2"/>
        </w:numPr>
        <w:spacing w:before="240" w:line="240" w:lineRule="auto"/>
        <w:ind w:left="0" w:firstLine="720"/>
        <w:jc w:val="both"/>
        <w:rPr>
          <w:rFonts w:ascii="Cambria" w:hAnsi="Cambria"/>
          <w:sz w:val="20"/>
          <w:szCs w:val="20"/>
          <w:lang w:val="en-US"/>
        </w:rPr>
      </w:pPr>
      <w:r w:rsidRPr="00CC562A">
        <w:rPr>
          <w:rFonts w:ascii="Cambria" w:eastAsia="Cambria" w:hAnsi="Cambria"/>
          <w:sz w:val="20"/>
          <w:szCs w:val="20"/>
          <w:lang w:val="en-US"/>
        </w:rPr>
        <w:t xml:space="preserve">The Commission notes with concern the increasing numbers </w:t>
      </w:r>
      <w:proofErr w:type="gramStart"/>
      <w:r w:rsidRPr="00CC562A">
        <w:rPr>
          <w:rFonts w:ascii="Cambria" w:eastAsia="Cambria" w:hAnsi="Cambria"/>
          <w:sz w:val="20"/>
          <w:szCs w:val="20"/>
          <w:lang w:val="en-US"/>
        </w:rPr>
        <w:t>in the area of</w:t>
      </w:r>
      <w:proofErr w:type="gramEnd"/>
      <w:r w:rsidRPr="00CC562A">
        <w:rPr>
          <w:rFonts w:ascii="Cambria" w:eastAsia="Cambria" w:hAnsi="Cambria"/>
          <w:sz w:val="20"/>
          <w:szCs w:val="20"/>
          <w:lang w:val="en-US"/>
        </w:rPr>
        <w:t xml:space="preserve"> violence against women. Thus, according to information from</w:t>
      </w:r>
      <w:r w:rsidR="6258511C" w:rsidRPr="00CC562A">
        <w:rPr>
          <w:rFonts w:ascii="Cambria" w:eastAsia="Cambria" w:hAnsi="Cambria"/>
          <w:sz w:val="20"/>
          <w:szCs w:val="20"/>
          <w:lang w:val="en-US"/>
        </w:rPr>
        <w:t xml:space="preserve"> CONAVIM, </w:t>
      </w:r>
      <w:r w:rsidRPr="00CC562A">
        <w:rPr>
          <w:rFonts w:ascii="Cambria" w:eastAsia="Cambria" w:hAnsi="Cambria"/>
          <w:sz w:val="20"/>
          <w:szCs w:val="20"/>
          <w:lang w:val="en-US"/>
        </w:rPr>
        <w:t>63 femicides were recorded i</w:t>
      </w:r>
      <w:r w:rsidR="6258511C" w:rsidRPr="00CC562A">
        <w:rPr>
          <w:rFonts w:ascii="Cambria" w:eastAsia="Cambria" w:hAnsi="Cambria"/>
          <w:sz w:val="20"/>
          <w:szCs w:val="20"/>
          <w:lang w:val="en-US"/>
        </w:rPr>
        <w:t>n 2015</w:t>
      </w:r>
      <w:r w:rsidRPr="00CC562A">
        <w:rPr>
          <w:rFonts w:ascii="Cambria" w:eastAsia="Cambria" w:hAnsi="Cambria"/>
          <w:sz w:val="20"/>
          <w:szCs w:val="20"/>
          <w:lang w:val="en-US"/>
        </w:rPr>
        <w:t>; in</w:t>
      </w:r>
      <w:r w:rsidR="6258511C" w:rsidRPr="00CC562A">
        <w:rPr>
          <w:rFonts w:ascii="Cambria" w:eastAsia="Cambria" w:hAnsi="Cambria"/>
          <w:sz w:val="20"/>
          <w:szCs w:val="20"/>
          <w:lang w:val="en-US"/>
        </w:rPr>
        <w:t xml:space="preserve"> 2016 </w:t>
      </w:r>
      <w:r w:rsidRPr="00CC562A">
        <w:rPr>
          <w:rFonts w:ascii="Cambria" w:eastAsia="Cambria" w:hAnsi="Cambria"/>
          <w:sz w:val="20"/>
          <w:szCs w:val="20"/>
          <w:lang w:val="en-US"/>
        </w:rPr>
        <w:t>there were</w:t>
      </w:r>
      <w:r w:rsidR="6258511C" w:rsidRPr="00CC562A">
        <w:rPr>
          <w:rFonts w:ascii="Cambria" w:eastAsia="Cambria" w:hAnsi="Cambria"/>
          <w:sz w:val="20"/>
          <w:szCs w:val="20"/>
          <w:lang w:val="en-US"/>
        </w:rPr>
        <w:t xml:space="preserve"> 95; </w:t>
      </w:r>
      <w:r w:rsidRPr="00CC562A">
        <w:rPr>
          <w:rFonts w:ascii="Cambria" w:eastAsia="Cambria" w:hAnsi="Cambria"/>
          <w:sz w:val="20"/>
          <w:szCs w:val="20"/>
          <w:lang w:val="en-US"/>
        </w:rPr>
        <w:t>i</w:t>
      </w:r>
      <w:r w:rsidR="6258511C" w:rsidRPr="00CC562A">
        <w:rPr>
          <w:rFonts w:ascii="Cambria" w:eastAsia="Cambria" w:hAnsi="Cambria"/>
          <w:sz w:val="20"/>
          <w:szCs w:val="20"/>
          <w:lang w:val="en-US"/>
        </w:rPr>
        <w:t xml:space="preserve">n 2017 </w:t>
      </w:r>
      <w:r w:rsidRPr="00CC562A">
        <w:rPr>
          <w:rFonts w:ascii="Cambria" w:eastAsia="Cambria" w:hAnsi="Cambria"/>
          <w:sz w:val="20"/>
          <w:szCs w:val="20"/>
          <w:lang w:val="en-US"/>
        </w:rPr>
        <w:t>there were</w:t>
      </w:r>
      <w:r w:rsidR="6258511C" w:rsidRPr="00CC562A">
        <w:rPr>
          <w:rFonts w:ascii="Cambria" w:eastAsia="Cambria" w:hAnsi="Cambria"/>
          <w:sz w:val="20"/>
          <w:szCs w:val="20"/>
          <w:lang w:val="en-US"/>
        </w:rPr>
        <w:t xml:space="preserve"> 120; </w:t>
      </w:r>
      <w:r w:rsidRPr="00CC562A">
        <w:rPr>
          <w:rFonts w:ascii="Cambria" w:eastAsia="Cambria" w:hAnsi="Cambria"/>
          <w:sz w:val="20"/>
          <w:szCs w:val="20"/>
          <w:lang w:val="en-US"/>
        </w:rPr>
        <w:t xml:space="preserve">139 were recorded in </w:t>
      </w:r>
      <w:r w:rsidR="6258511C" w:rsidRPr="00CC562A">
        <w:rPr>
          <w:rFonts w:ascii="Cambria" w:eastAsia="Cambria" w:hAnsi="Cambria"/>
          <w:sz w:val="20"/>
          <w:szCs w:val="20"/>
          <w:lang w:val="en-US"/>
        </w:rPr>
        <w:t xml:space="preserve">2018; </w:t>
      </w:r>
      <w:r w:rsidRPr="00CC562A">
        <w:rPr>
          <w:rFonts w:ascii="Cambria" w:eastAsia="Cambria" w:hAnsi="Cambria"/>
          <w:sz w:val="20"/>
          <w:szCs w:val="20"/>
          <w:lang w:val="en-US"/>
        </w:rPr>
        <w:t xml:space="preserve">142 were reported in </w:t>
      </w:r>
      <w:r w:rsidR="6258511C" w:rsidRPr="00CC562A">
        <w:rPr>
          <w:rFonts w:ascii="Cambria" w:eastAsia="Cambria" w:hAnsi="Cambria"/>
          <w:sz w:val="20"/>
          <w:szCs w:val="20"/>
          <w:lang w:val="en-US"/>
        </w:rPr>
        <w:t xml:space="preserve">2019; </w:t>
      </w:r>
      <w:r w:rsidRPr="00CC562A">
        <w:rPr>
          <w:rFonts w:ascii="Cambria" w:eastAsia="Cambria" w:hAnsi="Cambria"/>
          <w:sz w:val="20"/>
          <w:szCs w:val="20"/>
          <w:lang w:val="en-US"/>
        </w:rPr>
        <w:t xml:space="preserve">167 were reported in </w:t>
      </w:r>
      <w:r w:rsidR="6258511C" w:rsidRPr="00CC562A">
        <w:rPr>
          <w:rFonts w:ascii="Cambria" w:eastAsia="Cambria" w:hAnsi="Cambria"/>
          <w:sz w:val="20"/>
          <w:szCs w:val="20"/>
          <w:lang w:val="en-US"/>
        </w:rPr>
        <w:t xml:space="preserve">2020; </w:t>
      </w:r>
      <w:r w:rsidRPr="00CC562A">
        <w:rPr>
          <w:rFonts w:ascii="Cambria" w:eastAsia="Cambria" w:hAnsi="Cambria"/>
          <w:sz w:val="20"/>
          <w:szCs w:val="20"/>
          <w:lang w:val="en-US"/>
        </w:rPr>
        <w:t xml:space="preserve">the total was 154 in </w:t>
      </w:r>
      <w:r w:rsidR="6258511C" w:rsidRPr="00CC562A">
        <w:rPr>
          <w:rFonts w:ascii="Cambria" w:eastAsia="Cambria" w:hAnsi="Cambria"/>
          <w:sz w:val="20"/>
          <w:szCs w:val="20"/>
          <w:lang w:val="en-US"/>
        </w:rPr>
        <w:t>2021</w:t>
      </w:r>
      <w:r w:rsidRPr="00CC562A">
        <w:rPr>
          <w:rFonts w:ascii="Cambria" w:eastAsia="Cambria" w:hAnsi="Cambria"/>
          <w:sz w:val="20"/>
          <w:szCs w:val="20"/>
          <w:lang w:val="en-US"/>
        </w:rPr>
        <w:t xml:space="preserve">; and from January to April 2022 </w:t>
      </w:r>
      <w:r w:rsidR="007220A5" w:rsidRPr="00CC562A">
        <w:rPr>
          <w:rFonts w:ascii="Cambria" w:eastAsia="Cambria" w:hAnsi="Cambria"/>
          <w:sz w:val="20"/>
          <w:szCs w:val="20"/>
          <w:lang w:val="en-US"/>
        </w:rPr>
        <w:t xml:space="preserve">alone </w:t>
      </w:r>
      <w:r w:rsidRPr="00CC562A">
        <w:rPr>
          <w:rFonts w:ascii="Cambria" w:eastAsia="Cambria" w:hAnsi="Cambria"/>
          <w:sz w:val="20"/>
          <w:szCs w:val="20"/>
          <w:lang w:val="en-US"/>
        </w:rPr>
        <w:t>the total was already</w:t>
      </w:r>
      <w:r w:rsidR="6258511C" w:rsidRPr="00CC562A">
        <w:rPr>
          <w:rFonts w:ascii="Cambria" w:eastAsia="Cambria" w:hAnsi="Cambria"/>
          <w:sz w:val="20"/>
          <w:szCs w:val="20"/>
          <w:lang w:val="en-US"/>
        </w:rPr>
        <w:t xml:space="preserve"> 157</w:t>
      </w:r>
      <w:r w:rsidRPr="00CC562A">
        <w:rPr>
          <w:rFonts w:ascii="Cambria" w:eastAsia="Cambria" w:hAnsi="Cambria"/>
          <w:sz w:val="20"/>
          <w:szCs w:val="20"/>
          <w:lang w:val="en-US"/>
        </w:rPr>
        <w:t>.</w:t>
      </w:r>
      <w:r w:rsidR="00C95C02" w:rsidRPr="00CC562A">
        <w:rPr>
          <w:rStyle w:val="FootnoteReference"/>
          <w:rFonts w:ascii="Cambria" w:eastAsia="Cambria" w:hAnsi="Cambria"/>
          <w:sz w:val="20"/>
          <w:szCs w:val="20"/>
          <w:lang w:val="en-US"/>
        </w:rPr>
        <w:footnoteReference w:id="208"/>
      </w:r>
      <w:r w:rsidRPr="00CC562A">
        <w:rPr>
          <w:rFonts w:ascii="Cambria" w:eastAsia="Cambria" w:hAnsi="Cambria"/>
          <w:sz w:val="20"/>
          <w:szCs w:val="20"/>
          <w:lang w:val="en-US"/>
        </w:rPr>
        <w:t xml:space="preserve"> This demonstrates the existence of challenges and obsta</w:t>
      </w:r>
      <w:r w:rsidR="00B608A0" w:rsidRPr="00CC562A">
        <w:rPr>
          <w:rFonts w:ascii="Cambria" w:eastAsia="Cambria" w:hAnsi="Cambria"/>
          <w:sz w:val="20"/>
          <w:szCs w:val="20"/>
          <w:lang w:val="en-US"/>
        </w:rPr>
        <w:t>cles to ensuring access to a life free of violence and discrimination against women. In this regard, the recommendation is pending compliance</w:t>
      </w:r>
      <w:r w:rsidR="1BECD8BB" w:rsidRPr="00CC562A">
        <w:rPr>
          <w:rFonts w:ascii="Cambria" w:hAnsi="Cambria"/>
          <w:sz w:val="20"/>
          <w:szCs w:val="20"/>
          <w:lang w:val="en-US"/>
        </w:rPr>
        <w:t>.</w:t>
      </w:r>
    </w:p>
    <w:p w14:paraId="5EBC6697" w14:textId="5ECF4943" w:rsidR="00B83F29" w:rsidRPr="00CC562A" w:rsidRDefault="00F108AA" w:rsidP="00E529E8">
      <w:pPr>
        <w:pStyle w:val="Heading3"/>
        <w:spacing w:before="0" w:line="240" w:lineRule="auto"/>
        <w:ind w:left="0" w:firstLine="720"/>
        <w:rPr>
          <w:b w:val="0"/>
          <w:bCs w:val="0"/>
          <w:sz w:val="20"/>
          <w:szCs w:val="20"/>
          <w:lang w:val="en-US"/>
        </w:rPr>
      </w:pPr>
      <w:r w:rsidRPr="00CC562A">
        <w:rPr>
          <w:b w:val="0"/>
          <w:bCs w:val="0"/>
          <w:sz w:val="20"/>
          <w:szCs w:val="20"/>
          <w:lang w:val="en-US"/>
        </w:rPr>
        <w:t>To guide the implementation of this recommendation</w:t>
      </w:r>
      <w:r w:rsidR="00B83F29" w:rsidRPr="00CC562A">
        <w:rPr>
          <w:b w:val="0"/>
          <w:bCs w:val="0"/>
          <w:sz w:val="20"/>
          <w:szCs w:val="20"/>
          <w:lang w:val="en-US"/>
        </w:rPr>
        <w:t xml:space="preserve">, </w:t>
      </w:r>
      <w:r w:rsidR="00276638" w:rsidRPr="00CC562A">
        <w:rPr>
          <w:b w:val="0"/>
          <w:bCs w:val="0"/>
          <w:sz w:val="20"/>
          <w:szCs w:val="20"/>
          <w:lang w:val="en-US"/>
        </w:rPr>
        <w:t>the IACHR</w:t>
      </w:r>
      <w:r w:rsidR="00B83F29" w:rsidRPr="00CC562A">
        <w:rPr>
          <w:b w:val="0"/>
          <w:bCs w:val="0"/>
          <w:sz w:val="20"/>
          <w:szCs w:val="20"/>
          <w:lang w:val="en-US"/>
        </w:rPr>
        <w:t xml:space="preserve"> </w:t>
      </w:r>
      <w:r w:rsidR="00B608A0" w:rsidRPr="00CC562A">
        <w:rPr>
          <w:b w:val="0"/>
          <w:bCs w:val="0"/>
          <w:sz w:val="20"/>
          <w:szCs w:val="20"/>
          <w:lang w:val="en-US"/>
        </w:rPr>
        <w:t>asks the State to adopt the measures necessary, including public policies, institutional strengthening actions, and investigative activities addressing the principle of due diligence with respect to violence and discrimination against women</w:t>
      </w:r>
      <w:r w:rsidR="00B83F29" w:rsidRPr="00CC562A">
        <w:rPr>
          <w:b w:val="0"/>
          <w:bCs w:val="0"/>
          <w:sz w:val="20"/>
          <w:szCs w:val="20"/>
          <w:lang w:val="en-US"/>
        </w:rPr>
        <w:t xml:space="preserve">. </w:t>
      </w:r>
      <w:r w:rsidR="00B608A0" w:rsidRPr="00CC562A">
        <w:rPr>
          <w:b w:val="0"/>
          <w:bCs w:val="0"/>
          <w:sz w:val="20"/>
          <w:szCs w:val="20"/>
          <w:lang w:val="en-US"/>
        </w:rPr>
        <w:t>These actions should also include specific training and monitoring activities for authorities responsible for investigation, including the topics of healthcare and justice</w:t>
      </w:r>
      <w:r w:rsidR="00B83F29" w:rsidRPr="00CC562A">
        <w:rPr>
          <w:b w:val="0"/>
          <w:bCs w:val="0"/>
          <w:sz w:val="20"/>
          <w:szCs w:val="20"/>
          <w:lang w:val="en-US"/>
        </w:rPr>
        <w:t>.</w:t>
      </w:r>
    </w:p>
    <w:p w14:paraId="01012B3F" w14:textId="43A8AF56"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547C3A25" w14:textId="0A39E297" w:rsidR="00BB147B" w:rsidRDefault="00B608A0" w:rsidP="00BB147B">
      <w:pPr>
        <w:pStyle w:val="Heading3"/>
        <w:spacing w:before="0" w:after="0" w:line="240" w:lineRule="auto"/>
        <w:ind w:left="0" w:firstLine="720"/>
        <w:rPr>
          <w:b w:val="0"/>
          <w:bCs w:val="0"/>
          <w:sz w:val="20"/>
          <w:lang w:val="en-US"/>
        </w:rPr>
      </w:pPr>
      <w:r w:rsidRPr="00CC562A">
        <w:rPr>
          <w:rFonts w:eastAsia="Cambria" w:cs="Cambria"/>
          <w:b w:val="0"/>
          <w:bCs w:val="0"/>
          <w:sz w:val="20"/>
          <w:szCs w:val="20"/>
          <w:lang w:val="en-US"/>
        </w:rPr>
        <w:t xml:space="preserve">Regarding the recommendation on </w:t>
      </w:r>
      <w:r w:rsidRPr="00CC562A">
        <w:rPr>
          <w:sz w:val="20"/>
          <w:szCs w:val="20"/>
          <w:lang w:val="en-US"/>
        </w:rPr>
        <w:t xml:space="preserve">adopting </w:t>
      </w:r>
      <w:r w:rsidRPr="00CC562A">
        <w:rPr>
          <w:rFonts w:eastAsia="Cambria" w:cs="Cambria"/>
          <w:sz w:val="20"/>
          <w:szCs w:val="20"/>
          <w:lang w:val="en-US"/>
        </w:rPr>
        <w:t>measures necessary to prevent, punish, and eradicate acts of sexual violence and other forms of violence, torture, and cruel, inhuman, or degrading treatment by security forces against women, especially those deprived of their liberty</w:t>
      </w:r>
      <w:r w:rsidR="1B11D768"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43892CCE"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indicated that since </w:t>
      </w:r>
      <w:r w:rsidR="209EC17C" w:rsidRPr="00CC562A">
        <w:rPr>
          <w:rFonts w:eastAsia="Cambria" w:cs="Cambria"/>
          <w:b w:val="0"/>
          <w:bCs w:val="0"/>
          <w:sz w:val="20"/>
          <w:szCs w:val="20"/>
          <w:lang w:val="en-US"/>
        </w:rPr>
        <w:t xml:space="preserve">2015 </w:t>
      </w:r>
      <w:r w:rsidRPr="00CC562A">
        <w:rPr>
          <w:rFonts w:eastAsia="Cambria" w:cs="Cambria"/>
          <w:b w:val="0"/>
          <w:bCs w:val="0"/>
          <w:sz w:val="20"/>
          <w:szCs w:val="20"/>
          <w:lang w:val="en-US"/>
        </w:rPr>
        <w:t xml:space="preserve">it has been operating the </w:t>
      </w:r>
      <w:r w:rsidR="150B8F44" w:rsidRPr="00CC562A">
        <w:rPr>
          <w:rFonts w:eastAsia="Cambria" w:cs="Cambria"/>
          <w:b w:val="0"/>
          <w:bCs w:val="0"/>
          <w:sz w:val="20"/>
          <w:szCs w:val="20"/>
          <w:lang w:val="en-US"/>
        </w:rPr>
        <w:t>“</w:t>
      </w:r>
      <w:r w:rsidR="005B3A23" w:rsidRPr="00CC562A">
        <w:rPr>
          <w:rFonts w:eastAsia="Cambria" w:cs="Cambria"/>
          <w:b w:val="0"/>
          <w:bCs w:val="0"/>
          <w:sz w:val="20"/>
          <w:szCs w:val="20"/>
          <w:lang w:val="en-US"/>
        </w:rPr>
        <w:t xml:space="preserve">Follow-up Mechanism on Cases of Sexual Torture Committed against Women,” which is coordinated by </w:t>
      </w:r>
      <w:r w:rsidR="150B8F44" w:rsidRPr="00CC562A">
        <w:rPr>
          <w:rFonts w:eastAsia="Cambria" w:cs="Cambria"/>
          <w:b w:val="0"/>
          <w:bCs w:val="0"/>
          <w:sz w:val="20"/>
          <w:szCs w:val="20"/>
          <w:lang w:val="en-US"/>
        </w:rPr>
        <w:t>CONAVIM</w:t>
      </w:r>
      <w:r w:rsidR="007B5CB8" w:rsidRPr="00CC562A">
        <w:rPr>
          <w:rFonts w:eastAsia="Cambria" w:cs="Cambria"/>
          <w:b w:val="0"/>
          <w:bCs w:val="0"/>
          <w:sz w:val="20"/>
          <w:szCs w:val="20"/>
          <w:lang w:val="en-US"/>
        </w:rPr>
        <w:t>.</w:t>
      </w:r>
      <w:r w:rsidR="00E529E8" w:rsidRPr="00CC562A">
        <w:rPr>
          <w:rStyle w:val="FootnoteReference"/>
          <w:b w:val="0"/>
          <w:bCs w:val="0"/>
          <w:sz w:val="20"/>
          <w:lang w:val="en-US"/>
        </w:rPr>
        <w:footnoteReference w:id="209"/>
      </w:r>
      <w:r w:rsidR="00E529E8" w:rsidRPr="00CC562A">
        <w:rPr>
          <w:rFonts w:eastAsia="Cambria" w:cs="Cambria"/>
          <w:b w:val="0"/>
          <w:bCs w:val="0"/>
          <w:sz w:val="20"/>
          <w:szCs w:val="20"/>
          <w:lang w:val="en-US"/>
        </w:rPr>
        <w:t xml:space="preserve"> </w:t>
      </w:r>
      <w:r w:rsidR="009A4ED0" w:rsidRPr="00CC562A">
        <w:rPr>
          <w:b w:val="0"/>
          <w:bCs w:val="0"/>
          <w:sz w:val="20"/>
          <w:lang w:val="en-US"/>
        </w:rPr>
        <w:t xml:space="preserve">For its part, </w:t>
      </w:r>
      <w:r w:rsidR="00E529E8" w:rsidRPr="00CC562A">
        <w:rPr>
          <w:b w:val="0"/>
          <w:bCs w:val="0"/>
          <w:sz w:val="20"/>
          <w:lang w:val="en-US"/>
        </w:rPr>
        <w:t xml:space="preserve">FEVIMTRA </w:t>
      </w:r>
      <w:r w:rsidR="009A4ED0" w:rsidRPr="00CC562A">
        <w:rPr>
          <w:b w:val="0"/>
          <w:bCs w:val="0"/>
          <w:sz w:val="20"/>
          <w:lang w:val="en-US"/>
        </w:rPr>
        <w:t>also</w:t>
      </w:r>
      <w:r w:rsidR="00E529E8" w:rsidRPr="00CC562A">
        <w:rPr>
          <w:b w:val="0"/>
          <w:bCs w:val="0"/>
          <w:sz w:val="20"/>
          <w:lang w:val="en-US"/>
        </w:rPr>
        <w:t xml:space="preserve"> </w:t>
      </w:r>
      <w:r w:rsidR="009A4ED0" w:rsidRPr="00CC562A">
        <w:rPr>
          <w:b w:val="0"/>
          <w:bCs w:val="0"/>
          <w:sz w:val="20"/>
          <w:lang w:val="en-US"/>
        </w:rPr>
        <w:t xml:space="preserve">signed up for a </w:t>
      </w:r>
      <w:r w:rsidR="009A4ED0" w:rsidRPr="00CC562A">
        <w:rPr>
          <w:b w:val="0"/>
          <w:bCs w:val="0"/>
          <w:sz w:val="20"/>
          <w:lang w:val="en-US"/>
        </w:rPr>
        <w:lastRenderedPageBreak/>
        <w:t xml:space="preserve">series of training sessions on the subject, in addition to conducting research with a gender perspective and </w:t>
      </w:r>
      <w:r w:rsidR="000B2379" w:rsidRPr="00CC562A">
        <w:rPr>
          <w:b w:val="0"/>
          <w:bCs w:val="0"/>
          <w:sz w:val="20"/>
          <w:lang w:val="en-US"/>
        </w:rPr>
        <w:t xml:space="preserve">a </w:t>
      </w:r>
      <w:r w:rsidR="009A4ED0" w:rsidRPr="00CC562A">
        <w:rPr>
          <w:b w:val="0"/>
          <w:bCs w:val="0"/>
          <w:sz w:val="20"/>
          <w:lang w:val="en-US"/>
        </w:rPr>
        <w:t>differentiated approach according to the various protocols developed in this area.</w:t>
      </w:r>
      <w:r w:rsidR="00E529E8" w:rsidRPr="00CC562A">
        <w:rPr>
          <w:rStyle w:val="FootnoteReference"/>
          <w:b w:val="0"/>
          <w:bCs w:val="0"/>
          <w:sz w:val="20"/>
          <w:lang w:val="en-US"/>
        </w:rPr>
        <w:footnoteReference w:id="210"/>
      </w:r>
      <w:r w:rsidR="00E529E8" w:rsidRPr="00CC562A">
        <w:rPr>
          <w:b w:val="0"/>
          <w:bCs w:val="0"/>
          <w:sz w:val="20"/>
          <w:lang w:val="en-US"/>
        </w:rPr>
        <w:t>.</w:t>
      </w:r>
    </w:p>
    <w:p w14:paraId="722A8328" w14:textId="77777777" w:rsidR="00E04564" w:rsidRDefault="00E04564" w:rsidP="00E04564">
      <w:pPr>
        <w:pStyle w:val="Heading3"/>
        <w:numPr>
          <w:ilvl w:val="0"/>
          <w:numId w:val="0"/>
        </w:numPr>
        <w:spacing w:before="0" w:after="0" w:line="240" w:lineRule="auto"/>
        <w:ind w:left="360"/>
        <w:rPr>
          <w:b w:val="0"/>
          <w:bCs w:val="0"/>
          <w:sz w:val="20"/>
          <w:lang w:val="en-US"/>
        </w:rPr>
      </w:pPr>
    </w:p>
    <w:p w14:paraId="2F8173F1" w14:textId="0F3DB1F4" w:rsidR="00EC5C63" w:rsidRDefault="009A4ED0" w:rsidP="00E04564">
      <w:pPr>
        <w:pStyle w:val="Heading3"/>
        <w:spacing w:before="0" w:after="0" w:line="240" w:lineRule="auto"/>
        <w:ind w:left="0" w:firstLine="720"/>
        <w:rPr>
          <w:b w:val="0"/>
          <w:bCs w:val="0"/>
          <w:sz w:val="20"/>
          <w:lang w:val="en-US"/>
        </w:rPr>
      </w:pPr>
      <w:r w:rsidRPr="00CC562A">
        <w:rPr>
          <w:b w:val="0"/>
          <w:bCs w:val="0"/>
          <w:sz w:val="20"/>
          <w:lang w:val="en-US"/>
        </w:rPr>
        <w:t>In this regard, the State pointed out that o</w:t>
      </w:r>
      <w:r w:rsidR="005B3A23" w:rsidRPr="00CC562A">
        <w:rPr>
          <w:rFonts w:eastAsia="Cambria" w:cs="Cambria"/>
          <w:b w:val="0"/>
          <w:bCs w:val="0"/>
          <w:sz w:val="20"/>
          <w:szCs w:val="20"/>
          <w:lang w:val="en-US"/>
        </w:rPr>
        <w:t xml:space="preserve">perative paragraph </w:t>
      </w:r>
      <w:r w:rsidR="150B8F44" w:rsidRPr="00CC562A">
        <w:rPr>
          <w:rFonts w:eastAsia="Cambria" w:cs="Cambria"/>
          <w:b w:val="0"/>
          <w:bCs w:val="0"/>
          <w:sz w:val="20"/>
          <w:szCs w:val="20"/>
          <w:lang w:val="en-US"/>
        </w:rPr>
        <w:t xml:space="preserve">15 </w:t>
      </w:r>
      <w:r w:rsidR="005B3A23" w:rsidRPr="00CC562A">
        <w:rPr>
          <w:rFonts w:eastAsia="Cambria" w:cs="Cambria"/>
          <w:b w:val="0"/>
          <w:bCs w:val="0"/>
          <w:sz w:val="20"/>
          <w:szCs w:val="20"/>
          <w:lang w:val="en-US"/>
        </w:rPr>
        <w:t xml:space="preserve">of the judgment in the </w:t>
      </w:r>
      <w:proofErr w:type="spellStart"/>
      <w:r w:rsidR="209EC17C" w:rsidRPr="00CC562A">
        <w:rPr>
          <w:rFonts w:eastAsia="Cambria" w:cs="Cambria"/>
          <w:b w:val="0"/>
          <w:bCs w:val="0"/>
          <w:i/>
          <w:iCs/>
          <w:sz w:val="20"/>
          <w:szCs w:val="20"/>
          <w:lang w:val="en-US"/>
        </w:rPr>
        <w:t>Atenco</w:t>
      </w:r>
      <w:proofErr w:type="spellEnd"/>
      <w:r w:rsidR="150B8F44" w:rsidRPr="00CC562A">
        <w:rPr>
          <w:rFonts w:eastAsia="Cambria" w:cs="Cambria"/>
          <w:b w:val="0"/>
          <w:bCs w:val="0"/>
          <w:sz w:val="20"/>
          <w:szCs w:val="20"/>
          <w:lang w:val="en-US"/>
        </w:rPr>
        <w:t xml:space="preserve"> </w:t>
      </w:r>
      <w:r w:rsidR="005B3A23" w:rsidRPr="00CC562A">
        <w:rPr>
          <w:rFonts w:eastAsia="Cambria" w:cs="Cambria"/>
          <w:b w:val="0"/>
          <w:bCs w:val="0"/>
          <w:sz w:val="20"/>
          <w:szCs w:val="20"/>
          <w:lang w:val="en-US"/>
        </w:rPr>
        <w:t>case orders the development of a</w:t>
      </w:r>
      <w:r w:rsidR="150B8F44" w:rsidRPr="00CC562A">
        <w:rPr>
          <w:rFonts w:eastAsia="Cambria" w:cs="Cambria"/>
          <w:b w:val="0"/>
          <w:bCs w:val="0"/>
          <w:sz w:val="20"/>
          <w:szCs w:val="20"/>
          <w:lang w:val="en-US"/>
        </w:rPr>
        <w:t xml:space="preserve"> </w:t>
      </w:r>
      <w:r w:rsidR="005B3A23" w:rsidRPr="00CC562A">
        <w:rPr>
          <w:rFonts w:eastAsia="Cambria" w:cs="Cambria"/>
          <w:b w:val="0"/>
          <w:bCs w:val="0"/>
          <w:sz w:val="20"/>
          <w:szCs w:val="20"/>
          <w:lang w:val="en-US"/>
        </w:rPr>
        <w:t xml:space="preserve">scheduled strengthening </w:t>
      </w:r>
      <w:r w:rsidR="007220A5" w:rsidRPr="00CC562A">
        <w:rPr>
          <w:rFonts w:eastAsia="Cambria" w:cs="Cambria"/>
          <w:b w:val="0"/>
          <w:bCs w:val="0"/>
          <w:sz w:val="20"/>
          <w:szCs w:val="20"/>
          <w:lang w:val="en-US"/>
        </w:rPr>
        <w:t xml:space="preserve">plan for the Mechanism </w:t>
      </w:r>
      <w:r w:rsidR="005B3A23" w:rsidRPr="00CC562A">
        <w:rPr>
          <w:rFonts w:eastAsia="Cambria" w:cs="Cambria"/>
          <w:b w:val="0"/>
          <w:bCs w:val="0"/>
          <w:sz w:val="20"/>
          <w:szCs w:val="20"/>
          <w:lang w:val="en-US"/>
        </w:rPr>
        <w:t>to ensure that resources are allocated to</w:t>
      </w:r>
      <w:r w:rsidR="007220A5" w:rsidRPr="00CC562A">
        <w:rPr>
          <w:rFonts w:eastAsia="Cambria" w:cs="Cambria"/>
          <w:b w:val="0"/>
          <w:bCs w:val="0"/>
          <w:sz w:val="20"/>
          <w:szCs w:val="20"/>
          <w:lang w:val="en-US"/>
        </w:rPr>
        <w:t xml:space="preserve"> allow it to</w:t>
      </w:r>
      <w:r w:rsidR="005B3A23" w:rsidRPr="00CC562A">
        <w:rPr>
          <w:rFonts w:eastAsia="Cambria" w:cs="Cambria"/>
          <w:b w:val="0"/>
          <w:bCs w:val="0"/>
          <w:sz w:val="20"/>
          <w:szCs w:val="20"/>
          <w:lang w:val="en-US"/>
        </w:rPr>
        <w:t xml:space="preserve"> fulfill its function in national territory.</w:t>
      </w:r>
      <w:r w:rsidR="150B8F44"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150B8F44" w:rsidRPr="00CC562A">
        <w:rPr>
          <w:rFonts w:eastAsia="Cambria" w:cs="Cambria"/>
          <w:b w:val="0"/>
          <w:bCs w:val="0"/>
          <w:sz w:val="20"/>
          <w:szCs w:val="20"/>
          <w:lang w:val="en-US"/>
        </w:rPr>
        <w:t xml:space="preserve"> </w:t>
      </w:r>
      <w:r w:rsidR="005B3A23" w:rsidRPr="00CC562A">
        <w:rPr>
          <w:rFonts w:eastAsia="Cambria" w:cs="Cambria"/>
          <w:b w:val="0"/>
          <w:bCs w:val="0"/>
          <w:sz w:val="20"/>
          <w:szCs w:val="20"/>
          <w:lang w:val="en-US"/>
        </w:rPr>
        <w:t>it indicates that annual deadline</w:t>
      </w:r>
      <w:r w:rsidR="007220A5" w:rsidRPr="00CC562A">
        <w:rPr>
          <w:rFonts w:eastAsia="Cambria" w:cs="Cambria"/>
          <w:b w:val="0"/>
          <w:bCs w:val="0"/>
          <w:sz w:val="20"/>
          <w:szCs w:val="20"/>
          <w:lang w:val="en-US"/>
        </w:rPr>
        <w:t>s</w:t>
      </w:r>
      <w:r w:rsidR="005B3A23" w:rsidRPr="00CC562A">
        <w:rPr>
          <w:rFonts w:eastAsia="Cambria" w:cs="Cambria"/>
          <w:b w:val="0"/>
          <w:bCs w:val="0"/>
          <w:sz w:val="20"/>
          <w:szCs w:val="20"/>
          <w:lang w:val="en-US"/>
        </w:rPr>
        <w:t xml:space="preserve"> must be set for the submission of reports, as well as for conducting a diagnosis on the phenomenon of sexual </w:t>
      </w:r>
      <w:r w:rsidR="00DB6824" w:rsidRPr="00CC562A">
        <w:rPr>
          <w:rFonts w:eastAsia="Cambria" w:cs="Cambria"/>
          <w:b w:val="0"/>
          <w:bCs w:val="0"/>
          <w:sz w:val="20"/>
          <w:szCs w:val="20"/>
          <w:lang w:val="en-US"/>
        </w:rPr>
        <w:t>t</w:t>
      </w:r>
      <w:r w:rsidR="005B3A23" w:rsidRPr="00CC562A">
        <w:rPr>
          <w:rFonts w:eastAsia="Cambria" w:cs="Cambria"/>
          <w:b w:val="0"/>
          <w:bCs w:val="0"/>
          <w:sz w:val="20"/>
          <w:szCs w:val="20"/>
          <w:lang w:val="en-US"/>
        </w:rPr>
        <w:t>orture of women in the country and the formulation of public policy proposals. In this regard,</w:t>
      </w:r>
      <w:r w:rsidR="150B8F44" w:rsidRPr="00CC562A">
        <w:rPr>
          <w:rFonts w:eastAsia="Cambria" w:cs="Cambria"/>
          <w:b w:val="0"/>
          <w:bCs w:val="0"/>
          <w:sz w:val="20"/>
          <w:szCs w:val="20"/>
          <w:lang w:val="en-US"/>
        </w:rPr>
        <w:t xml:space="preserve"> CONAVIM</w:t>
      </w:r>
      <w:r w:rsidR="005B3A23" w:rsidRPr="00CC562A">
        <w:rPr>
          <w:rFonts w:eastAsia="Cambria" w:cs="Cambria"/>
          <w:b w:val="0"/>
          <w:bCs w:val="0"/>
          <w:sz w:val="20"/>
          <w:szCs w:val="20"/>
          <w:lang w:val="en-US"/>
        </w:rPr>
        <w:t>, in coordination with the SEGOB General Directorate of Strategies for Addressing Human Rights, has been promoting actions to adjust the Mechanism as ordered by the I/A Court H.R. Thus, on February 25,</w:t>
      </w:r>
      <w:r w:rsidR="150B8F44" w:rsidRPr="00CC562A">
        <w:rPr>
          <w:rFonts w:eastAsia="Cambria" w:cs="Cambria"/>
          <w:b w:val="0"/>
          <w:bCs w:val="0"/>
          <w:sz w:val="20"/>
          <w:szCs w:val="20"/>
          <w:lang w:val="en-US"/>
        </w:rPr>
        <w:t xml:space="preserve"> 202</w:t>
      </w:r>
      <w:r w:rsidR="209EC17C" w:rsidRPr="00CC562A">
        <w:rPr>
          <w:rFonts w:eastAsia="Cambria" w:cs="Cambria"/>
          <w:b w:val="0"/>
          <w:bCs w:val="0"/>
          <w:sz w:val="20"/>
          <w:szCs w:val="20"/>
          <w:lang w:val="en-US"/>
        </w:rPr>
        <w:t>2,</w:t>
      </w:r>
      <w:r w:rsidR="150B8F44" w:rsidRPr="00CC562A">
        <w:rPr>
          <w:rFonts w:eastAsia="Cambria" w:cs="Cambria"/>
          <w:b w:val="0"/>
          <w:bCs w:val="0"/>
          <w:sz w:val="20"/>
          <w:szCs w:val="20"/>
          <w:lang w:val="en-US"/>
        </w:rPr>
        <w:t xml:space="preserve"> </w:t>
      </w:r>
      <w:r w:rsidR="00DB6824" w:rsidRPr="00CC562A">
        <w:rPr>
          <w:rFonts w:eastAsia="Cambria" w:cs="Cambria"/>
          <w:b w:val="0"/>
          <w:bCs w:val="0"/>
          <w:sz w:val="20"/>
          <w:szCs w:val="20"/>
          <w:lang w:val="en-US"/>
        </w:rPr>
        <w:t xml:space="preserve">the guidelines for the operation and organization of the Mechanism’s technical support group were submitted to the institutions that make up the Mechanism </w:t>
      </w:r>
      <w:r w:rsidR="007220A5" w:rsidRPr="00CC562A">
        <w:rPr>
          <w:rFonts w:eastAsia="Cambria" w:cs="Cambria"/>
          <w:b w:val="0"/>
          <w:bCs w:val="0"/>
          <w:sz w:val="20"/>
          <w:szCs w:val="20"/>
          <w:lang w:val="en-US"/>
        </w:rPr>
        <w:t>for</w:t>
      </w:r>
      <w:r w:rsidR="00DB6824" w:rsidRPr="00CC562A">
        <w:rPr>
          <w:rFonts w:eastAsia="Cambria" w:cs="Cambria"/>
          <w:b w:val="0"/>
          <w:bCs w:val="0"/>
          <w:sz w:val="20"/>
          <w:szCs w:val="20"/>
          <w:lang w:val="en-US"/>
        </w:rPr>
        <w:t xml:space="preserve"> approval by the Mechanism’s institutions, </w:t>
      </w:r>
      <w:r w:rsidR="007220A5" w:rsidRPr="00CC562A">
        <w:rPr>
          <w:rFonts w:eastAsia="Cambria" w:cs="Cambria"/>
          <w:b w:val="0"/>
          <w:bCs w:val="0"/>
          <w:sz w:val="20"/>
          <w:szCs w:val="20"/>
          <w:lang w:val="en-US"/>
        </w:rPr>
        <w:t>along with</w:t>
      </w:r>
      <w:r w:rsidR="00DB6824" w:rsidRPr="00CC562A">
        <w:rPr>
          <w:rFonts w:eastAsia="Cambria" w:cs="Cambria"/>
          <w:b w:val="0"/>
          <w:bCs w:val="0"/>
          <w:sz w:val="20"/>
          <w:szCs w:val="20"/>
          <w:lang w:val="en-US"/>
        </w:rPr>
        <w:t xml:space="preserve"> the respective budget. In</w:t>
      </w:r>
      <w:r w:rsidR="00F108AA" w:rsidRPr="00CC562A">
        <w:rPr>
          <w:rFonts w:eastAsia="Cambria" w:cs="Cambria"/>
          <w:b w:val="0"/>
          <w:bCs w:val="0"/>
          <w:sz w:val="20"/>
          <w:szCs w:val="20"/>
          <w:lang w:val="en-US"/>
        </w:rPr>
        <w:t xml:space="preserve"> addition,</w:t>
      </w:r>
      <w:r w:rsidR="5B92690F" w:rsidRPr="00CC562A">
        <w:rPr>
          <w:rFonts w:eastAsia="Cambria" w:cs="Cambria"/>
          <w:b w:val="0"/>
          <w:bCs w:val="0"/>
          <w:sz w:val="20"/>
          <w:szCs w:val="20"/>
          <w:lang w:val="en-US"/>
        </w:rPr>
        <w:t xml:space="preserve"> </w:t>
      </w:r>
      <w:r w:rsidR="00DB6824" w:rsidRPr="00CC562A">
        <w:rPr>
          <w:rFonts w:eastAsia="Cambria" w:cs="Cambria"/>
          <w:b w:val="0"/>
          <w:bCs w:val="0"/>
          <w:sz w:val="20"/>
          <w:szCs w:val="20"/>
          <w:lang w:val="en-US"/>
        </w:rPr>
        <w:t>on June 27,</w:t>
      </w:r>
      <w:r w:rsidR="150B8F44" w:rsidRPr="00CC562A">
        <w:rPr>
          <w:rFonts w:eastAsia="Cambria" w:cs="Cambria"/>
          <w:b w:val="0"/>
          <w:bCs w:val="0"/>
          <w:sz w:val="20"/>
          <w:szCs w:val="20"/>
          <w:lang w:val="en-US"/>
        </w:rPr>
        <w:t xml:space="preserve"> 2022, </w:t>
      </w:r>
      <w:r w:rsidR="00DB6824" w:rsidRPr="00CC562A">
        <w:rPr>
          <w:rFonts w:eastAsia="Cambria" w:cs="Cambria"/>
          <w:b w:val="0"/>
          <w:bCs w:val="0"/>
          <w:sz w:val="20"/>
          <w:szCs w:val="20"/>
          <w:lang w:val="en-US"/>
        </w:rPr>
        <w:t>the General Directorate of Strategies for Addressing Human Rights of the Interior Ministry presented the National Diagnosis on Sextual Torture Committed against Women Deprived of Liberty in Mexico</w:t>
      </w:r>
      <w:r w:rsidRPr="00CC562A">
        <w:rPr>
          <w:rFonts w:eastAsia="Cambria" w:cs="Cambria"/>
          <w:b w:val="0"/>
          <w:bCs w:val="0"/>
          <w:sz w:val="20"/>
          <w:szCs w:val="20"/>
          <w:lang w:val="en-US"/>
        </w:rPr>
        <w:t xml:space="preserve">, </w:t>
      </w:r>
      <w:r w:rsidRPr="00CC562A">
        <w:rPr>
          <w:b w:val="0"/>
          <w:bCs w:val="0"/>
          <w:sz w:val="20"/>
          <w:lang w:val="en-US"/>
        </w:rPr>
        <w:t xml:space="preserve">in which 67 recommendations were made to various federal and </w:t>
      </w:r>
      <w:r w:rsidR="000B2379" w:rsidRPr="00CC562A">
        <w:rPr>
          <w:b w:val="0"/>
          <w:bCs w:val="0"/>
          <w:sz w:val="20"/>
          <w:lang w:val="en-US"/>
        </w:rPr>
        <w:t>state</w:t>
      </w:r>
      <w:r w:rsidRPr="00CC562A">
        <w:rPr>
          <w:b w:val="0"/>
          <w:bCs w:val="0"/>
          <w:sz w:val="20"/>
          <w:lang w:val="en-US"/>
        </w:rPr>
        <w:t xml:space="preserve"> authorities responsible for care, protection, truth, and justice for women survivors of sexual torture.</w:t>
      </w:r>
      <w:r w:rsidR="00E529E8" w:rsidRPr="00CC562A">
        <w:rPr>
          <w:rStyle w:val="FootnoteReference"/>
          <w:rFonts w:eastAsia="Cambria" w:cs="Cambria"/>
          <w:b w:val="0"/>
          <w:bCs w:val="0"/>
          <w:sz w:val="20"/>
          <w:szCs w:val="20"/>
          <w:lang w:val="en-US"/>
        </w:rPr>
        <w:footnoteReference w:id="211"/>
      </w:r>
    </w:p>
    <w:p w14:paraId="3A7A11A0" w14:textId="77777777" w:rsidR="00E04564" w:rsidRDefault="00E04564" w:rsidP="00D41276">
      <w:pPr>
        <w:pStyle w:val="Heading3"/>
        <w:numPr>
          <w:ilvl w:val="0"/>
          <w:numId w:val="0"/>
        </w:numPr>
        <w:spacing w:before="0" w:after="0" w:line="240" w:lineRule="auto"/>
        <w:ind w:left="720"/>
        <w:rPr>
          <w:rFonts w:eastAsia="Cambria" w:cs="Cambria"/>
          <w:b w:val="0"/>
          <w:bCs w:val="0"/>
          <w:sz w:val="20"/>
          <w:szCs w:val="20"/>
          <w:lang w:val="en-US"/>
        </w:rPr>
      </w:pPr>
    </w:p>
    <w:p w14:paraId="20B78881" w14:textId="461F512D" w:rsidR="00FB4641" w:rsidRPr="00CC562A" w:rsidRDefault="00DB6824" w:rsidP="00E04564">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The PRODH Center reported to the </w:t>
      </w:r>
      <w:r w:rsidR="00276638" w:rsidRPr="00CC562A">
        <w:rPr>
          <w:rFonts w:eastAsia="Cambria" w:cs="Cambria"/>
          <w:b w:val="0"/>
          <w:bCs w:val="0"/>
          <w:sz w:val="20"/>
          <w:szCs w:val="20"/>
          <w:lang w:val="en-US"/>
        </w:rPr>
        <w:t>IACHR</w:t>
      </w:r>
      <w:r w:rsidR="151E4339"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on progress made in complying with the judgment in the </w:t>
      </w:r>
      <w:proofErr w:type="spellStart"/>
      <w:r w:rsidR="151E4339" w:rsidRPr="00CC562A">
        <w:rPr>
          <w:rFonts w:eastAsia="Cambria" w:cs="Cambria"/>
          <w:b w:val="0"/>
          <w:bCs w:val="0"/>
          <w:i/>
          <w:iCs/>
          <w:sz w:val="20"/>
          <w:szCs w:val="20"/>
          <w:lang w:val="en-US"/>
        </w:rPr>
        <w:t>Atenco</w:t>
      </w:r>
      <w:proofErr w:type="spellEnd"/>
      <w:r w:rsidRPr="00CC562A">
        <w:rPr>
          <w:rFonts w:eastAsia="Cambria" w:cs="Cambria"/>
          <w:b w:val="0"/>
          <w:bCs w:val="0"/>
          <w:sz w:val="20"/>
          <w:szCs w:val="20"/>
          <w:lang w:val="en-US"/>
        </w:rPr>
        <w:t xml:space="preserve"> case. In this regard, reference was made to approval of the National Diagnosis on Sexual Torture Committed Against Women Deprived of Liberty in Mexico already mentioned in this report. </w:t>
      </w:r>
      <w:r w:rsidR="008F0DF1" w:rsidRPr="00CC562A">
        <w:rPr>
          <w:rFonts w:eastAsia="Cambria" w:cs="Cambria"/>
          <w:b w:val="0"/>
          <w:bCs w:val="0"/>
          <w:sz w:val="20"/>
          <w:szCs w:val="20"/>
          <w:lang w:val="en-US"/>
        </w:rPr>
        <w:t>The most important  findings of the Diagnosis, based on the more than</w:t>
      </w:r>
      <w:r w:rsidR="7B40F0B0" w:rsidRPr="00CC562A">
        <w:rPr>
          <w:rFonts w:eastAsia="Cambria" w:cs="Cambria"/>
          <w:b w:val="0"/>
          <w:bCs w:val="0"/>
          <w:sz w:val="20"/>
          <w:szCs w:val="20"/>
          <w:lang w:val="en-US"/>
        </w:rPr>
        <w:t xml:space="preserve"> </w:t>
      </w:r>
      <w:r w:rsidR="151E4339" w:rsidRPr="00CC562A">
        <w:rPr>
          <w:rFonts w:eastAsia="Cambria" w:cs="Cambria"/>
          <w:b w:val="0"/>
          <w:bCs w:val="0"/>
          <w:sz w:val="20"/>
          <w:szCs w:val="20"/>
          <w:lang w:val="en-US"/>
        </w:rPr>
        <w:t>1</w:t>
      </w:r>
      <w:r w:rsidR="008F0DF1" w:rsidRPr="00CC562A">
        <w:rPr>
          <w:rFonts w:eastAsia="Cambria" w:cs="Cambria"/>
          <w:b w:val="0"/>
          <w:bCs w:val="0"/>
          <w:sz w:val="20"/>
          <w:szCs w:val="20"/>
          <w:lang w:val="en-US"/>
        </w:rPr>
        <w:t>,</w:t>
      </w:r>
      <w:r w:rsidR="151E4339" w:rsidRPr="00CC562A">
        <w:rPr>
          <w:rFonts w:eastAsia="Cambria" w:cs="Cambria"/>
          <w:b w:val="0"/>
          <w:bCs w:val="0"/>
          <w:sz w:val="20"/>
          <w:szCs w:val="20"/>
          <w:lang w:val="en-US"/>
        </w:rPr>
        <w:t>280</w:t>
      </w:r>
      <w:r w:rsidR="7B40F0B0" w:rsidRPr="00CC562A">
        <w:rPr>
          <w:rFonts w:eastAsia="Cambria" w:cs="Cambria"/>
          <w:b w:val="0"/>
          <w:bCs w:val="0"/>
          <w:sz w:val="20"/>
          <w:szCs w:val="20"/>
          <w:lang w:val="en-US"/>
        </w:rPr>
        <w:t xml:space="preserve"> </w:t>
      </w:r>
      <w:r w:rsidR="008F0DF1" w:rsidRPr="00CC562A">
        <w:rPr>
          <w:rFonts w:eastAsia="Cambria" w:cs="Cambria"/>
          <w:b w:val="0"/>
          <w:bCs w:val="0"/>
          <w:sz w:val="20"/>
          <w:szCs w:val="20"/>
          <w:lang w:val="en-US"/>
        </w:rPr>
        <w:t>interviews of women deprived of liberty in different detention centers in the country, notably include that</w:t>
      </w:r>
      <w:r w:rsidR="7B40F0B0" w:rsidRPr="00CC562A">
        <w:rPr>
          <w:rFonts w:eastAsia="Cambria" w:cs="Cambria"/>
          <w:b w:val="0"/>
          <w:bCs w:val="0"/>
          <w:sz w:val="20"/>
          <w:szCs w:val="20"/>
          <w:lang w:val="en-US"/>
        </w:rPr>
        <w:t xml:space="preserve"> 79.3% </w:t>
      </w:r>
      <w:r w:rsidR="008F0DF1" w:rsidRPr="00CC562A">
        <w:rPr>
          <w:rFonts w:eastAsia="Cambria" w:cs="Cambria"/>
          <w:b w:val="0"/>
          <w:bCs w:val="0"/>
          <w:sz w:val="20"/>
          <w:szCs w:val="20"/>
          <w:lang w:val="en-US"/>
        </w:rPr>
        <w:t xml:space="preserve">of the women said they had experienced torture and other cruel, inhuman, or degrading treatment or punishment during their arrest, transfer, or time spent with the prosecution or in prison facilities; </w:t>
      </w:r>
      <w:r w:rsidR="7B40F0B0" w:rsidRPr="00CC562A">
        <w:rPr>
          <w:rFonts w:eastAsia="Cambria" w:cs="Cambria"/>
          <w:b w:val="0"/>
          <w:bCs w:val="0"/>
          <w:sz w:val="20"/>
          <w:szCs w:val="20"/>
          <w:lang w:val="en-US"/>
        </w:rPr>
        <w:t xml:space="preserve">32.19% </w:t>
      </w:r>
      <w:r w:rsidR="008F0DF1" w:rsidRPr="00CC562A">
        <w:rPr>
          <w:rFonts w:eastAsia="Cambria" w:cs="Cambria"/>
          <w:b w:val="0"/>
          <w:bCs w:val="0"/>
          <w:sz w:val="20"/>
          <w:szCs w:val="20"/>
          <w:lang w:val="en-US"/>
        </w:rPr>
        <w:t xml:space="preserve">explicitly stated that they had suffered sexual torturer, while </w:t>
      </w:r>
      <w:r w:rsidR="003106CB" w:rsidRPr="00CC562A">
        <w:rPr>
          <w:rFonts w:eastAsia="Cambria" w:cs="Cambria"/>
          <w:b w:val="0"/>
          <w:bCs w:val="0"/>
          <w:sz w:val="20"/>
          <w:szCs w:val="20"/>
          <w:lang w:val="en-US"/>
        </w:rPr>
        <w:t xml:space="preserve">for </w:t>
      </w:r>
      <w:r w:rsidR="7B40F0B0" w:rsidRPr="00CC562A">
        <w:rPr>
          <w:rFonts w:eastAsia="Cambria" w:cs="Cambria"/>
          <w:b w:val="0"/>
          <w:bCs w:val="0"/>
          <w:sz w:val="20"/>
          <w:szCs w:val="20"/>
          <w:lang w:val="en-US"/>
        </w:rPr>
        <w:t xml:space="preserve">11.64% </w:t>
      </w:r>
      <w:r w:rsidR="003106CB" w:rsidRPr="00CC562A">
        <w:rPr>
          <w:rFonts w:eastAsia="Cambria" w:cs="Cambria"/>
          <w:b w:val="0"/>
          <w:bCs w:val="0"/>
          <w:sz w:val="20"/>
          <w:szCs w:val="20"/>
          <w:lang w:val="en-US"/>
        </w:rPr>
        <w:t>it is presumed (based on their statements</w:t>
      </w:r>
      <w:r w:rsidR="7B40F0B0" w:rsidRPr="00CC562A">
        <w:rPr>
          <w:rFonts w:eastAsia="Cambria" w:cs="Cambria"/>
          <w:b w:val="0"/>
          <w:bCs w:val="0"/>
          <w:sz w:val="20"/>
          <w:szCs w:val="20"/>
          <w:lang w:val="en-US"/>
        </w:rPr>
        <w:t xml:space="preserve">) </w:t>
      </w:r>
      <w:r w:rsidR="003106CB" w:rsidRPr="00CC562A">
        <w:rPr>
          <w:rFonts w:eastAsia="Cambria" w:cs="Cambria"/>
          <w:b w:val="0"/>
          <w:bCs w:val="0"/>
          <w:sz w:val="20"/>
          <w:szCs w:val="20"/>
          <w:lang w:val="en-US"/>
        </w:rPr>
        <w:t>that they endured acts of sexual torture without having recognized it as such. This means that</w:t>
      </w:r>
      <w:r w:rsidR="7B40F0B0" w:rsidRPr="00CC562A">
        <w:rPr>
          <w:rFonts w:eastAsia="Cambria" w:cs="Cambria"/>
          <w:b w:val="0"/>
          <w:bCs w:val="0"/>
          <w:sz w:val="20"/>
          <w:szCs w:val="20"/>
          <w:lang w:val="en-US"/>
        </w:rPr>
        <w:t xml:space="preserve"> 43.82% </w:t>
      </w:r>
      <w:r w:rsidR="003106CB" w:rsidRPr="00CC562A">
        <w:rPr>
          <w:rFonts w:eastAsia="Cambria" w:cs="Cambria"/>
          <w:b w:val="0"/>
          <w:bCs w:val="0"/>
          <w:sz w:val="20"/>
          <w:szCs w:val="20"/>
          <w:lang w:val="en-US"/>
        </w:rPr>
        <w:t>of the women who were subjected to acts of torture faced acts with connotations of a sexual nature. In addition, it is indicated that while most acts of torture</w:t>
      </w:r>
      <w:r w:rsidR="7B40F0B0" w:rsidRPr="00CC562A">
        <w:rPr>
          <w:rFonts w:eastAsia="Cambria" w:cs="Cambria"/>
          <w:b w:val="0"/>
          <w:bCs w:val="0"/>
          <w:sz w:val="20"/>
          <w:szCs w:val="20"/>
          <w:lang w:val="en-US"/>
        </w:rPr>
        <w:t xml:space="preserve"> (39.68%) </w:t>
      </w:r>
      <w:r w:rsidR="003106CB" w:rsidRPr="00CC562A">
        <w:rPr>
          <w:rFonts w:eastAsia="Cambria" w:cs="Cambria"/>
          <w:b w:val="0"/>
          <w:bCs w:val="0"/>
          <w:sz w:val="20"/>
          <w:szCs w:val="20"/>
          <w:lang w:val="en-US"/>
        </w:rPr>
        <w:t xml:space="preserve">are committed by </w:t>
      </w:r>
      <w:r w:rsidR="00CE5271" w:rsidRPr="00CC562A">
        <w:rPr>
          <w:rFonts w:eastAsia="Cambria" w:cs="Cambria"/>
          <w:b w:val="0"/>
          <w:bCs w:val="0"/>
          <w:sz w:val="20"/>
          <w:szCs w:val="20"/>
          <w:lang w:val="en-US"/>
        </w:rPr>
        <w:t>prosecutorial</w:t>
      </w:r>
      <w:r w:rsidR="003106CB" w:rsidRPr="00CC562A">
        <w:rPr>
          <w:rFonts w:eastAsia="Cambria" w:cs="Cambria"/>
          <w:b w:val="0"/>
          <w:bCs w:val="0"/>
          <w:sz w:val="20"/>
          <w:szCs w:val="20"/>
          <w:lang w:val="en-US"/>
        </w:rPr>
        <w:t xml:space="preserve"> police and by municipal police units </w:t>
      </w:r>
      <w:r w:rsidR="7B40F0B0" w:rsidRPr="00CC562A">
        <w:rPr>
          <w:rFonts w:eastAsia="Cambria" w:cs="Cambria"/>
          <w:b w:val="0"/>
          <w:bCs w:val="0"/>
          <w:sz w:val="20"/>
          <w:szCs w:val="20"/>
          <w:lang w:val="en-US"/>
        </w:rPr>
        <w:t xml:space="preserve">(20.62%), </w:t>
      </w:r>
      <w:r w:rsidR="003106CB" w:rsidRPr="00CC562A">
        <w:rPr>
          <w:rFonts w:eastAsia="Cambria" w:cs="Cambria"/>
          <w:b w:val="0"/>
          <w:bCs w:val="0"/>
          <w:sz w:val="20"/>
          <w:szCs w:val="20"/>
          <w:lang w:val="en-US"/>
        </w:rPr>
        <w:t xml:space="preserve">it is also admitted that at least </w:t>
      </w:r>
      <w:r w:rsidR="7B40F0B0" w:rsidRPr="00CC562A">
        <w:rPr>
          <w:rFonts w:eastAsia="Cambria" w:cs="Cambria"/>
          <w:b w:val="0"/>
          <w:bCs w:val="0"/>
          <w:sz w:val="20"/>
          <w:szCs w:val="20"/>
          <w:lang w:val="en-US"/>
        </w:rPr>
        <w:t xml:space="preserve">5.7% </w:t>
      </w:r>
      <w:r w:rsidR="003106CB" w:rsidRPr="00CC562A">
        <w:rPr>
          <w:rFonts w:eastAsia="Cambria" w:cs="Cambria"/>
          <w:b w:val="0"/>
          <w:bCs w:val="0"/>
          <w:sz w:val="20"/>
          <w:szCs w:val="20"/>
          <w:lang w:val="en-US"/>
        </w:rPr>
        <w:t xml:space="preserve">were committed by federal police officers and, more recently, </w:t>
      </w:r>
      <w:r w:rsidR="7B40F0B0" w:rsidRPr="00CC562A">
        <w:rPr>
          <w:rFonts w:eastAsia="Cambria" w:cs="Cambria"/>
          <w:b w:val="0"/>
          <w:bCs w:val="0"/>
          <w:sz w:val="20"/>
          <w:szCs w:val="20"/>
          <w:lang w:val="en-US"/>
        </w:rPr>
        <w:t>2.18%,</w:t>
      </w:r>
      <w:r w:rsidR="003106CB" w:rsidRPr="00CC562A">
        <w:rPr>
          <w:rFonts w:eastAsia="Cambria" w:cs="Cambria"/>
          <w:b w:val="0"/>
          <w:bCs w:val="0"/>
          <w:sz w:val="20"/>
          <w:szCs w:val="20"/>
          <w:lang w:val="en-US"/>
        </w:rPr>
        <w:t xml:space="preserve"> were committed by the National Guard. The organization notes that this reality should not be minimized at a time when discussions are under way of the need to revise and point out the lack of controls and transparency in this institution whose nature and composition is predominantly military. </w:t>
      </w:r>
      <w:proofErr w:type="gramStart"/>
      <w:r w:rsidR="003106CB" w:rsidRPr="00CC562A">
        <w:rPr>
          <w:rFonts w:eastAsia="Cambria" w:cs="Cambria"/>
          <w:b w:val="0"/>
          <w:bCs w:val="0"/>
          <w:sz w:val="20"/>
          <w:szCs w:val="20"/>
          <w:lang w:val="en-US"/>
        </w:rPr>
        <w:t>All the more</w:t>
      </w:r>
      <w:proofErr w:type="gramEnd"/>
      <w:r w:rsidR="003106CB" w:rsidRPr="00CC562A">
        <w:rPr>
          <w:rFonts w:eastAsia="Cambria" w:cs="Cambria"/>
          <w:b w:val="0"/>
          <w:bCs w:val="0"/>
          <w:sz w:val="20"/>
          <w:szCs w:val="20"/>
          <w:lang w:val="en-US"/>
        </w:rPr>
        <w:t xml:space="preserve"> so when there is still no compliance </w:t>
      </w:r>
      <w:r w:rsidR="00C80FE5" w:rsidRPr="00CC562A">
        <w:rPr>
          <w:rFonts w:eastAsia="Cambria" w:cs="Cambria"/>
          <w:b w:val="0"/>
          <w:bCs w:val="0"/>
          <w:sz w:val="20"/>
          <w:szCs w:val="20"/>
          <w:lang w:val="en-US"/>
        </w:rPr>
        <w:t>with a</w:t>
      </w:r>
      <w:r w:rsidR="003106CB" w:rsidRPr="00CC562A">
        <w:rPr>
          <w:rFonts w:eastAsia="Cambria" w:cs="Cambria"/>
          <w:b w:val="0"/>
          <w:bCs w:val="0"/>
          <w:sz w:val="20"/>
          <w:szCs w:val="20"/>
          <w:lang w:val="en-US"/>
        </w:rPr>
        <w:t xml:space="preserve"> crucial measure under the judgment handed down by the Inter-American Court that requires the creation of an independent observatory </w:t>
      </w:r>
      <w:r w:rsidR="00C868C0" w:rsidRPr="00CC562A">
        <w:rPr>
          <w:rFonts w:eastAsia="Cambria" w:cs="Cambria"/>
          <w:b w:val="0"/>
          <w:bCs w:val="0"/>
          <w:sz w:val="20"/>
          <w:szCs w:val="20"/>
          <w:lang w:val="en-US"/>
        </w:rPr>
        <w:t>on</w:t>
      </w:r>
      <w:r w:rsidR="003106CB" w:rsidRPr="00CC562A">
        <w:rPr>
          <w:rFonts w:eastAsia="Cambria" w:cs="Cambria"/>
          <w:b w:val="0"/>
          <w:bCs w:val="0"/>
          <w:sz w:val="20"/>
          <w:szCs w:val="20"/>
          <w:lang w:val="en-US"/>
        </w:rPr>
        <w:t xml:space="preserve"> the</w:t>
      </w:r>
      <w:r w:rsidR="00C868C0" w:rsidRPr="00CC562A">
        <w:rPr>
          <w:rFonts w:eastAsia="Cambria" w:cs="Cambria"/>
          <w:b w:val="0"/>
          <w:bCs w:val="0"/>
          <w:sz w:val="20"/>
          <w:szCs w:val="20"/>
          <w:lang w:val="en-US"/>
        </w:rPr>
        <w:t xml:space="preserve"> activities of the</w:t>
      </w:r>
      <w:r w:rsidR="003106CB" w:rsidRPr="00CC562A">
        <w:rPr>
          <w:rFonts w:eastAsia="Cambria" w:cs="Cambria"/>
          <w:b w:val="0"/>
          <w:bCs w:val="0"/>
          <w:sz w:val="20"/>
          <w:szCs w:val="20"/>
          <w:lang w:val="en-US"/>
        </w:rPr>
        <w:t xml:space="preserve"> National Guard.</w:t>
      </w:r>
      <w:r w:rsidR="0E51F24E" w:rsidRPr="00CC562A">
        <w:rPr>
          <w:rFonts w:eastAsia="Cambria" w:cs="Cambria"/>
          <w:b w:val="0"/>
          <w:bCs w:val="0"/>
          <w:sz w:val="20"/>
          <w:szCs w:val="20"/>
          <w:vertAlign w:val="superscript"/>
          <w:lang w:val="en-US"/>
        </w:rPr>
        <w:t xml:space="preserve"> </w:t>
      </w:r>
      <w:r w:rsidR="00CE1328" w:rsidRPr="00CC562A">
        <w:rPr>
          <w:rFonts w:eastAsia="Cambria" w:cs="Cambria"/>
          <w:b w:val="0"/>
          <w:bCs w:val="0"/>
          <w:sz w:val="20"/>
          <w:szCs w:val="20"/>
          <w:vertAlign w:val="superscript"/>
          <w:lang w:val="en-US"/>
        </w:rPr>
        <w:footnoteReference w:id="212"/>
      </w:r>
    </w:p>
    <w:p w14:paraId="4EF9AC54" w14:textId="479C83E1"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7136FC73" w14:textId="2675EF96" w:rsidR="0015296F" w:rsidRPr="00CC562A" w:rsidRDefault="00F108AA"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In addition,</w:t>
      </w:r>
      <w:r w:rsidR="0E51F24E" w:rsidRPr="00CC562A">
        <w:rPr>
          <w:rFonts w:eastAsia="Cambria" w:cs="Cambria"/>
          <w:b w:val="0"/>
          <w:bCs w:val="0"/>
          <w:sz w:val="20"/>
          <w:szCs w:val="20"/>
          <w:lang w:val="en-US"/>
        </w:rPr>
        <w:t xml:space="preserve"> i</w:t>
      </w:r>
      <w:r w:rsidR="00C868C0" w:rsidRPr="00CC562A">
        <w:rPr>
          <w:rFonts w:eastAsia="Cambria" w:cs="Cambria"/>
          <w:b w:val="0"/>
          <w:bCs w:val="0"/>
          <w:sz w:val="20"/>
          <w:szCs w:val="20"/>
          <w:lang w:val="en-US"/>
        </w:rPr>
        <w:t xml:space="preserve">t indicated that in September </w:t>
      </w:r>
      <w:r w:rsidR="32B5240F" w:rsidRPr="00CC562A">
        <w:rPr>
          <w:rFonts w:eastAsia="Cambria" w:cs="Cambria"/>
          <w:b w:val="0"/>
          <w:bCs w:val="0"/>
          <w:sz w:val="20"/>
          <w:szCs w:val="20"/>
          <w:lang w:val="en-US"/>
        </w:rPr>
        <w:t xml:space="preserve">2022, </w:t>
      </w:r>
      <w:r w:rsidR="00C868C0" w:rsidRPr="00CC562A">
        <w:rPr>
          <w:rFonts w:eastAsia="Cambria" w:cs="Cambria"/>
          <w:b w:val="0"/>
          <w:bCs w:val="0"/>
          <w:sz w:val="20"/>
          <w:szCs w:val="20"/>
          <w:lang w:val="en-US"/>
        </w:rPr>
        <w:t xml:space="preserve">the Seventh District Judge on </w:t>
      </w:r>
      <w:r w:rsidR="00CE5271" w:rsidRPr="00CC562A">
        <w:rPr>
          <w:rFonts w:eastAsia="Cambria" w:cs="Cambria"/>
          <w:b w:val="0"/>
          <w:bCs w:val="0"/>
          <w:i/>
          <w:iCs/>
          <w:sz w:val="20"/>
          <w:szCs w:val="20"/>
          <w:lang w:val="en-US"/>
        </w:rPr>
        <w:t>Amparo</w:t>
      </w:r>
      <w:r w:rsidR="00CE5271" w:rsidRPr="00CC562A">
        <w:rPr>
          <w:rFonts w:eastAsia="Cambria" w:cs="Cambria"/>
          <w:b w:val="0"/>
          <w:bCs w:val="0"/>
          <w:sz w:val="20"/>
          <w:szCs w:val="20"/>
          <w:lang w:val="en-US"/>
        </w:rPr>
        <w:t xml:space="preserve"> </w:t>
      </w:r>
      <w:r w:rsidR="00C868C0" w:rsidRPr="00CC562A">
        <w:rPr>
          <w:rFonts w:eastAsia="Cambria" w:cs="Cambria"/>
          <w:b w:val="0"/>
          <w:bCs w:val="0"/>
          <w:sz w:val="20"/>
          <w:szCs w:val="20"/>
          <w:lang w:val="en-US"/>
        </w:rPr>
        <w:t xml:space="preserve">Matters and Federal Trials in the </w:t>
      </w:r>
      <w:r w:rsidR="00CF7759" w:rsidRPr="00CC562A">
        <w:rPr>
          <w:rFonts w:eastAsia="Cambria" w:cs="Cambria"/>
          <w:b w:val="0"/>
          <w:bCs w:val="0"/>
          <w:sz w:val="20"/>
          <w:szCs w:val="20"/>
          <w:lang w:val="en-US"/>
        </w:rPr>
        <w:t>s</w:t>
      </w:r>
      <w:r w:rsidR="00C868C0" w:rsidRPr="00CC562A">
        <w:rPr>
          <w:rFonts w:eastAsia="Cambria" w:cs="Cambria"/>
          <w:b w:val="0"/>
          <w:bCs w:val="0"/>
          <w:sz w:val="20"/>
          <w:szCs w:val="20"/>
          <w:lang w:val="en-US"/>
        </w:rPr>
        <w:t>tate of Mexico issued a judgment granting the amparo relief promoted by the women victims of sexual torture in the case and ordering</w:t>
      </w:r>
      <w:r w:rsidR="32B5240F" w:rsidRPr="00CC562A">
        <w:rPr>
          <w:rFonts w:eastAsia="Cambria" w:cs="Cambria"/>
          <w:b w:val="0"/>
          <w:bCs w:val="0"/>
          <w:sz w:val="20"/>
          <w:szCs w:val="20"/>
          <w:lang w:val="en-US"/>
        </w:rPr>
        <w:t xml:space="preserve"> </w:t>
      </w:r>
      <w:r w:rsidR="00C868C0" w:rsidRPr="00CC562A">
        <w:rPr>
          <w:rFonts w:eastAsia="Cambria" w:cs="Cambria"/>
          <w:b w:val="0"/>
          <w:bCs w:val="0"/>
          <w:sz w:val="20"/>
          <w:szCs w:val="20"/>
          <w:lang w:val="en-US"/>
        </w:rPr>
        <w:t>the Attorney General’s Office of the State of Mexico to refer to the FGR’s Office of the Special Prosecutor for Crimes of Violence against Women and Trafficking</w:t>
      </w:r>
      <w:r w:rsidR="0E51F24E" w:rsidRPr="00CC562A">
        <w:rPr>
          <w:rFonts w:eastAsia="Cambria" w:cs="Cambria"/>
          <w:b w:val="0"/>
          <w:bCs w:val="0"/>
          <w:sz w:val="20"/>
          <w:szCs w:val="20"/>
          <w:lang w:val="en-US"/>
        </w:rPr>
        <w:t xml:space="preserve"> (FEVIMTRA)</w:t>
      </w:r>
      <w:r w:rsidR="32B5240F" w:rsidRPr="00CC562A">
        <w:rPr>
          <w:rFonts w:eastAsia="Cambria" w:cs="Cambria"/>
          <w:b w:val="0"/>
          <w:bCs w:val="0"/>
          <w:sz w:val="20"/>
          <w:szCs w:val="20"/>
          <w:lang w:val="en-US"/>
        </w:rPr>
        <w:t xml:space="preserve"> </w:t>
      </w:r>
      <w:r w:rsidR="00C868C0" w:rsidRPr="00CC562A">
        <w:rPr>
          <w:rFonts w:eastAsia="Cambria" w:cs="Cambria"/>
          <w:b w:val="0"/>
          <w:bCs w:val="0"/>
          <w:sz w:val="20"/>
          <w:szCs w:val="20"/>
          <w:lang w:val="en-US"/>
        </w:rPr>
        <w:t>the investigation of state authorities involved in the case</w:t>
      </w:r>
      <w:r w:rsidR="32B5240F" w:rsidRPr="00CC562A">
        <w:rPr>
          <w:rFonts w:eastAsia="Cambria" w:cs="Cambria"/>
          <w:b w:val="0"/>
          <w:bCs w:val="0"/>
          <w:sz w:val="20"/>
          <w:szCs w:val="20"/>
          <w:lang w:val="en-US"/>
        </w:rPr>
        <w:t xml:space="preserve">, </w:t>
      </w:r>
      <w:r w:rsidR="00C868C0" w:rsidRPr="00CC562A">
        <w:rPr>
          <w:rFonts w:eastAsia="Cambria" w:cs="Cambria"/>
          <w:b w:val="0"/>
          <w:bCs w:val="0"/>
          <w:sz w:val="20"/>
          <w:szCs w:val="20"/>
          <w:lang w:val="en-US"/>
        </w:rPr>
        <w:t>so that said entity could investigate the totality of the facts and determine the responsibilities arising from the sexual torture and other serious human rights violations committed against eleven women.</w:t>
      </w:r>
      <w:r w:rsidR="00CA0705" w:rsidRPr="00CC562A">
        <w:rPr>
          <w:rFonts w:eastAsia="Cambria" w:cs="Cambria"/>
          <w:b w:val="0"/>
          <w:bCs w:val="0"/>
          <w:sz w:val="20"/>
          <w:szCs w:val="20"/>
          <w:vertAlign w:val="superscript"/>
          <w:lang w:val="en-US"/>
        </w:rPr>
        <w:footnoteReference w:id="213"/>
      </w:r>
      <w:r w:rsidR="32B5240F"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Nonetheless,</w:t>
      </w:r>
      <w:r w:rsidR="32B5240F" w:rsidRPr="00CC562A">
        <w:rPr>
          <w:rFonts w:eastAsia="Cambria" w:cs="Cambria"/>
          <w:b w:val="0"/>
          <w:bCs w:val="0"/>
          <w:sz w:val="20"/>
          <w:szCs w:val="20"/>
          <w:lang w:val="en-US"/>
        </w:rPr>
        <w:t xml:space="preserve"> </w:t>
      </w:r>
      <w:r w:rsidR="00C868C0" w:rsidRPr="00CC562A">
        <w:rPr>
          <w:rFonts w:eastAsia="Cambria" w:cs="Cambria"/>
          <w:b w:val="0"/>
          <w:bCs w:val="0"/>
          <w:sz w:val="20"/>
          <w:szCs w:val="20"/>
          <w:lang w:val="en-US"/>
        </w:rPr>
        <w:t xml:space="preserve">the organization reported that the Prosecutor’s Office of the State of Mexico filed an appeal on the amparo ruling alleging procedural questions, thus continuing </w:t>
      </w:r>
      <w:r w:rsidR="00C868C0" w:rsidRPr="00CC562A">
        <w:rPr>
          <w:rFonts w:eastAsia="Cambria" w:cs="Cambria"/>
          <w:b w:val="0"/>
          <w:bCs w:val="0"/>
          <w:sz w:val="20"/>
          <w:szCs w:val="20"/>
          <w:lang w:val="en-US"/>
        </w:rPr>
        <w:lastRenderedPageBreak/>
        <w:t>to obstruct the investigation, disregarding what the I/A Court H.R. had ordered.</w:t>
      </w:r>
      <w:r w:rsidR="00CE1328" w:rsidRPr="00CC562A">
        <w:rPr>
          <w:rStyle w:val="FootnoteReference"/>
          <w:b w:val="0"/>
          <w:bCs w:val="0"/>
          <w:sz w:val="20"/>
          <w:szCs w:val="20"/>
          <w:lang w:val="en-US"/>
        </w:rPr>
        <w:footnoteReference w:id="214"/>
      </w:r>
      <w:r w:rsidR="00C868C0" w:rsidRPr="00CC562A">
        <w:rPr>
          <w:rFonts w:eastAsia="Cambria" w:cs="Cambria"/>
          <w:b w:val="0"/>
          <w:bCs w:val="0"/>
          <w:sz w:val="20"/>
          <w:szCs w:val="20"/>
          <w:lang w:val="en-US"/>
        </w:rPr>
        <w:t xml:space="preserve"> In this regard, the amparo decision is not yet final and the investigation has still not been referred to the federal</w:t>
      </w:r>
      <w:r w:rsidR="000C0DD0" w:rsidRPr="00CC562A">
        <w:rPr>
          <w:rFonts w:eastAsia="Cambria" w:cs="Cambria"/>
          <w:b w:val="0"/>
          <w:bCs w:val="0"/>
          <w:sz w:val="20"/>
          <w:szCs w:val="20"/>
          <w:lang w:val="en-US"/>
        </w:rPr>
        <w:t xml:space="preserve"> body.</w:t>
      </w:r>
      <w:r w:rsidR="006D0B21" w:rsidRPr="00CC562A">
        <w:rPr>
          <w:rFonts w:eastAsia="Cambria" w:cs="Cambria"/>
          <w:b w:val="0"/>
          <w:bCs w:val="0"/>
          <w:sz w:val="20"/>
          <w:szCs w:val="20"/>
          <w:vertAlign w:val="superscript"/>
          <w:lang w:val="en-US"/>
        </w:rPr>
        <w:footnoteReference w:id="215"/>
      </w:r>
      <w:r w:rsidR="7B40F0B0" w:rsidRPr="00CC562A">
        <w:rPr>
          <w:rFonts w:eastAsia="Cambria" w:cs="Cambria"/>
          <w:b w:val="0"/>
          <w:bCs w:val="0"/>
          <w:sz w:val="20"/>
          <w:szCs w:val="20"/>
          <w:lang w:val="en-US"/>
        </w:rPr>
        <w:t>.</w:t>
      </w:r>
    </w:p>
    <w:p w14:paraId="19A2AD26" w14:textId="08309D3C" w:rsidR="7ED16BE6" w:rsidRPr="00CC562A" w:rsidRDefault="7ED16BE6" w:rsidP="00E529E8">
      <w:pPr>
        <w:pStyle w:val="Heading3"/>
        <w:numPr>
          <w:ilvl w:val="0"/>
          <w:numId w:val="0"/>
        </w:numPr>
        <w:spacing w:before="240" w:after="200" w:line="240" w:lineRule="auto"/>
        <w:ind w:firstLine="720"/>
        <w:rPr>
          <w:sz w:val="20"/>
          <w:szCs w:val="20"/>
          <w:lang w:val="en-US"/>
        </w:rPr>
      </w:pPr>
    </w:p>
    <w:p w14:paraId="78E2081E" w14:textId="7F69EFFB" w:rsidR="00EC5C63" w:rsidRPr="00CC562A" w:rsidRDefault="00276638" w:rsidP="00E529E8">
      <w:pPr>
        <w:pStyle w:val="Heading3"/>
        <w:spacing w:before="240" w:after="0" w:line="240" w:lineRule="auto"/>
        <w:ind w:left="0" w:firstLine="720"/>
        <w:rPr>
          <w:sz w:val="20"/>
          <w:szCs w:val="20"/>
          <w:lang w:val="en-US"/>
        </w:rPr>
      </w:pPr>
      <w:r w:rsidRPr="00CC562A">
        <w:rPr>
          <w:b w:val="0"/>
          <w:bCs w:val="0"/>
          <w:sz w:val="20"/>
          <w:szCs w:val="20"/>
          <w:lang w:val="en-US"/>
        </w:rPr>
        <w:t>The IACHR</w:t>
      </w:r>
      <w:r w:rsidR="0FDAE1FB" w:rsidRPr="00CC562A">
        <w:rPr>
          <w:b w:val="0"/>
          <w:bCs w:val="0"/>
          <w:sz w:val="20"/>
          <w:szCs w:val="20"/>
          <w:lang w:val="en-US"/>
        </w:rPr>
        <w:t xml:space="preserve"> </w:t>
      </w:r>
      <w:r w:rsidR="002E6275" w:rsidRPr="00CC562A">
        <w:rPr>
          <w:b w:val="0"/>
          <w:bCs w:val="0"/>
          <w:sz w:val="20"/>
          <w:szCs w:val="20"/>
          <w:lang w:val="en-US"/>
        </w:rPr>
        <w:t>welcomes the publication of the referenced</w:t>
      </w:r>
      <w:r w:rsidR="00CE5271" w:rsidRPr="00CC562A">
        <w:rPr>
          <w:b w:val="0"/>
          <w:bCs w:val="0"/>
          <w:sz w:val="20"/>
          <w:szCs w:val="20"/>
          <w:lang w:val="en-US"/>
        </w:rPr>
        <w:t xml:space="preserve"> </w:t>
      </w:r>
      <w:r w:rsidR="002E6275" w:rsidRPr="00CC562A">
        <w:rPr>
          <w:b w:val="0"/>
          <w:bCs w:val="0"/>
          <w:sz w:val="20"/>
          <w:szCs w:val="20"/>
          <w:lang w:val="en-US"/>
        </w:rPr>
        <w:t>Diagnostic and notes that the information provide</w:t>
      </w:r>
      <w:r w:rsidR="00CE5271" w:rsidRPr="00CC562A">
        <w:rPr>
          <w:b w:val="0"/>
          <w:bCs w:val="0"/>
          <w:sz w:val="20"/>
          <w:szCs w:val="20"/>
          <w:lang w:val="en-US"/>
        </w:rPr>
        <w:t>d</w:t>
      </w:r>
      <w:r w:rsidR="002E6275" w:rsidRPr="00CC562A">
        <w:rPr>
          <w:b w:val="0"/>
          <w:bCs w:val="0"/>
          <w:sz w:val="20"/>
          <w:szCs w:val="20"/>
          <w:lang w:val="en-US"/>
        </w:rPr>
        <w:t xml:space="preserve"> will allow the State to adopt preventive measures to prevent acts of torture in the dete</w:t>
      </w:r>
      <w:r w:rsidR="00CE5271" w:rsidRPr="00CC562A">
        <w:rPr>
          <w:b w:val="0"/>
          <w:bCs w:val="0"/>
          <w:sz w:val="20"/>
          <w:szCs w:val="20"/>
          <w:lang w:val="en-US"/>
        </w:rPr>
        <w:t>n</w:t>
      </w:r>
      <w:r w:rsidR="002E6275" w:rsidRPr="00CC562A">
        <w:rPr>
          <w:b w:val="0"/>
          <w:bCs w:val="0"/>
          <w:sz w:val="20"/>
          <w:szCs w:val="20"/>
          <w:lang w:val="en-US"/>
        </w:rPr>
        <w:t xml:space="preserve">tion of women. However, the information submitted by the State does not allow for evaluating the other components of the recommendation related to the punishment and eradication of torture and other cruel, inhuman, and degrading treatment and punishment against women, particularly when they are </w:t>
      </w:r>
      <w:r w:rsidR="00CE5271" w:rsidRPr="00CC562A">
        <w:rPr>
          <w:b w:val="0"/>
          <w:bCs w:val="0"/>
          <w:sz w:val="20"/>
          <w:szCs w:val="20"/>
          <w:lang w:val="en-US"/>
        </w:rPr>
        <w:t>in</w:t>
      </w:r>
      <w:r w:rsidR="002E6275" w:rsidRPr="00CC562A">
        <w:rPr>
          <w:b w:val="0"/>
          <w:bCs w:val="0"/>
          <w:sz w:val="20"/>
          <w:szCs w:val="20"/>
          <w:lang w:val="en-US"/>
        </w:rPr>
        <w:t xml:space="preserve"> State custody. </w:t>
      </w:r>
      <w:r w:rsidR="00CE5271" w:rsidRPr="00CC562A">
        <w:rPr>
          <w:b w:val="0"/>
          <w:bCs w:val="0"/>
          <w:sz w:val="20"/>
          <w:szCs w:val="20"/>
          <w:lang w:val="en-US"/>
        </w:rPr>
        <w:t>Accordingly,</w:t>
      </w:r>
      <w:r w:rsidR="002E6275" w:rsidRPr="00CC562A">
        <w:rPr>
          <w:b w:val="0"/>
          <w:bCs w:val="0"/>
          <w:sz w:val="20"/>
          <w:szCs w:val="20"/>
          <w:lang w:val="en-US"/>
        </w:rPr>
        <w:t xml:space="preserve"> the Commission determines that the recommendation is </w:t>
      </w:r>
      <w:r w:rsidR="002E6275" w:rsidRPr="00CC562A">
        <w:rPr>
          <w:sz w:val="20"/>
          <w:szCs w:val="20"/>
          <w:lang w:val="en-US"/>
        </w:rPr>
        <w:t>pending compliance</w:t>
      </w:r>
      <w:r w:rsidR="4FC81B7A" w:rsidRPr="00CC562A">
        <w:rPr>
          <w:sz w:val="20"/>
          <w:szCs w:val="20"/>
          <w:lang w:val="en-US"/>
        </w:rPr>
        <w:t>.</w:t>
      </w:r>
    </w:p>
    <w:p w14:paraId="0A39BFAC" w14:textId="77777777" w:rsidR="00995A24" w:rsidRPr="00CC562A" w:rsidRDefault="00995A24" w:rsidP="00E529E8">
      <w:pPr>
        <w:spacing w:after="0" w:line="240" w:lineRule="auto"/>
        <w:ind w:firstLine="720"/>
        <w:rPr>
          <w:sz w:val="20"/>
          <w:szCs w:val="20"/>
          <w:lang w:val="en-US"/>
        </w:rPr>
      </w:pPr>
    </w:p>
    <w:p w14:paraId="7E1988C1" w14:textId="15128F53" w:rsidR="0015296F" w:rsidRPr="00CC562A" w:rsidRDefault="002E6275" w:rsidP="00E529E8">
      <w:pPr>
        <w:pStyle w:val="Heading3"/>
        <w:spacing w:before="0" w:after="200" w:line="240" w:lineRule="auto"/>
        <w:ind w:left="0" w:firstLine="720"/>
        <w:rPr>
          <w:b w:val="0"/>
          <w:bCs w:val="0"/>
          <w:sz w:val="20"/>
          <w:szCs w:val="20"/>
          <w:lang w:val="en-US"/>
        </w:rPr>
      </w:pPr>
      <w:r w:rsidRPr="00CC562A">
        <w:rPr>
          <w:rStyle w:val="normaltextrun"/>
          <w:rFonts w:eastAsiaTheme="majorEastAsia" w:cs="Segoe UI"/>
          <w:b w:val="0"/>
          <w:bCs w:val="0"/>
          <w:color w:val="000000" w:themeColor="text1"/>
          <w:sz w:val="20"/>
          <w:szCs w:val="20"/>
          <w:lang w:val="en-US"/>
        </w:rPr>
        <w:t>To guide the implementation of this recommendation, the Commission sees fit to ask the State to submit evidence of the adoption of measures to strengthen the prevention, punishment, and eradication of torture and other cruel, inhuman, and degrading treatment and punishment against women, particularly when they are in State custody.</w:t>
      </w:r>
    </w:p>
    <w:p w14:paraId="1EBDAB83" w14:textId="40E5CE67"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51D31A6F" w14:textId="017A2769" w:rsidR="00E529E8" w:rsidRPr="00CC562A" w:rsidRDefault="002E6275" w:rsidP="00E529E8">
      <w:pPr>
        <w:pStyle w:val="Heading3"/>
        <w:spacing w:before="240" w:after="200" w:line="240" w:lineRule="auto"/>
        <w:ind w:left="0" w:firstLine="720"/>
        <w:rPr>
          <w:b w:val="0"/>
          <w:sz w:val="20"/>
          <w:lang w:val="en-US"/>
        </w:rPr>
      </w:pPr>
      <w:r w:rsidRPr="00CC562A">
        <w:rPr>
          <w:rFonts w:eastAsia="Cambria" w:cs="Cambria"/>
          <w:b w:val="0"/>
          <w:bCs w:val="0"/>
          <w:sz w:val="20"/>
          <w:szCs w:val="20"/>
          <w:lang w:val="en-US"/>
        </w:rPr>
        <w:t xml:space="preserve">Regarding the </w:t>
      </w:r>
      <w:r w:rsidRPr="00CC562A">
        <w:rPr>
          <w:rFonts w:eastAsia="Cambria" w:cs="Cambria"/>
          <w:sz w:val="20"/>
          <w:szCs w:val="20"/>
          <w:lang w:val="en-US"/>
        </w:rPr>
        <w:t>recommendation to implement protocols standardized by law enforcement authorities for crimes related to violence against women, as well as proper supervision of their implementation</w:t>
      </w:r>
      <w:r w:rsidR="1B11D768" w:rsidRPr="00CC562A">
        <w:rPr>
          <w:sz w:val="20"/>
          <w:szCs w:val="20"/>
          <w:lang w:val="en-US"/>
        </w:rPr>
        <w:t xml:space="preserve">, </w:t>
      </w:r>
      <w:r w:rsidR="00752FED" w:rsidRPr="00CC562A">
        <w:rPr>
          <w:rFonts w:eastAsia="Cambria" w:cs="Cambria"/>
          <w:b w:val="0"/>
          <w:bCs w:val="0"/>
          <w:sz w:val="20"/>
          <w:szCs w:val="20"/>
          <w:lang w:val="en-US"/>
        </w:rPr>
        <w:t>the State</w:t>
      </w:r>
      <w:r w:rsidR="0FD80940"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Pr="00CC562A">
        <w:rPr>
          <w:rFonts w:eastAsia="Cambria" w:cs="Cambria"/>
          <w:b w:val="0"/>
          <w:bCs w:val="0"/>
          <w:sz w:val="20"/>
          <w:szCs w:val="20"/>
          <w:lang w:val="en-US"/>
        </w:rPr>
        <w:t xml:space="preserve"> in September </w:t>
      </w:r>
      <w:r w:rsidR="150B8F44" w:rsidRPr="00CC562A">
        <w:rPr>
          <w:rFonts w:eastAsia="Cambria" w:cs="Cambria"/>
          <w:b w:val="0"/>
          <w:bCs w:val="0"/>
          <w:sz w:val="20"/>
          <w:szCs w:val="20"/>
          <w:lang w:val="en-US"/>
        </w:rPr>
        <w:t>2022</w:t>
      </w:r>
      <w:r w:rsidRPr="00CC562A">
        <w:rPr>
          <w:rFonts w:eastAsia="Cambria" w:cs="Cambria"/>
          <w:b w:val="0"/>
          <w:bCs w:val="0"/>
          <w:sz w:val="20"/>
          <w:szCs w:val="20"/>
          <w:lang w:val="en-US"/>
        </w:rPr>
        <w:t xml:space="preserve"> the </w:t>
      </w:r>
      <w:r w:rsidR="04061BE6" w:rsidRPr="00CC562A">
        <w:rPr>
          <w:rFonts w:eastAsia="Cambria" w:cs="Cambria"/>
          <w:b w:val="0"/>
          <w:bCs w:val="0"/>
          <w:sz w:val="20"/>
          <w:szCs w:val="20"/>
          <w:lang w:val="en-US"/>
        </w:rPr>
        <w:t>SCJN</w:t>
      </w:r>
      <w:r w:rsidR="150B8F44" w:rsidRPr="00CC562A">
        <w:rPr>
          <w:rFonts w:eastAsia="Cambria" w:cs="Cambria"/>
          <w:b w:val="0"/>
          <w:bCs w:val="0"/>
          <w:sz w:val="20"/>
          <w:szCs w:val="20"/>
          <w:lang w:val="en-US"/>
        </w:rPr>
        <w:t xml:space="preserve"> publi</w:t>
      </w:r>
      <w:r w:rsidRPr="00CC562A">
        <w:rPr>
          <w:rFonts w:eastAsia="Cambria" w:cs="Cambria"/>
          <w:b w:val="0"/>
          <w:bCs w:val="0"/>
          <w:sz w:val="20"/>
          <w:szCs w:val="20"/>
          <w:lang w:val="en-US"/>
        </w:rPr>
        <w:t xml:space="preserve">shed the Guide on </w:t>
      </w:r>
      <w:r w:rsidR="007B6AAD" w:rsidRPr="00CC562A">
        <w:rPr>
          <w:rFonts w:eastAsia="Cambria" w:cs="Cambria"/>
          <w:b w:val="0"/>
          <w:bCs w:val="0"/>
          <w:sz w:val="20"/>
          <w:szCs w:val="20"/>
          <w:lang w:val="en-US"/>
        </w:rPr>
        <w:t xml:space="preserve">Constitutional and Conventional Standards for the Investigation of Violent Deaths of Women </w:t>
      </w:r>
      <w:proofErr w:type="gramStart"/>
      <w:r w:rsidR="007B6AAD" w:rsidRPr="00CC562A">
        <w:rPr>
          <w:rFonts w:eastAsia="Cambria" w:cs="Cambria"/>
          <w:b w:val="0"/>
          <w:bCs w:val="0"/>
          <w:sz w:val="20"/>
          <w:szCs w:val="20"/>
          <w:lang w:val="en-US"/>
        </w:rPr>
        <w:t>on the Basis of</w:t>
      </w:r>
      <w:proofErr w:type="gramEnd"/>
      <w:r w:rsidR="007B6AAD" w:rsidRPr="00CC562A">
        <w:rPr>
          <w:rFonts w:eastAsia="Cambria" w:cs="Cambria"/>
          <w:b w:val="0"/>
          <w:bCs w:val="0"/>
          <w:sz w:val="20"/>
          <w:szCs w:val="20"/>
          <w:lang w:val="en-US"/>
        </w:rPr>
        <w:t xml:space="preserve"> Gender. The objective of the Guide is that it can be used by investigative and judicial authorities handling cases of violent deaths of women, as well as individuals and civil society organizations that are dealing with or monitoring cases of this kind, so that they have concrete references on the authorities’ obligations and the rights of victims and indirect victims during the investigative stage.</w:t>
      </w:r>
      <w:r w:rsidR="00E529E8" w:rsidRPr="00CC562A">
        <w:rPr>
          <w:rFonts w:eastAsia="Cambria" w:cs="Cambria"/>
          <w:b w:val="0"/>
          <w:bCs w:val="0"/>
          <w:sz w:val="20"/>
          <w:szCs w:val="20"/>
          <w:lang w:val="en-US"/>
        </w:rPr>
        <w:t xml:space="preserve"> </w:t>
      </w:r>
      <w:r w:rsidR="00525A15" w:rsidRPr="00CC562A">
        <w:rPr>
          <w:rFonts w:eastAsia="Cambria" w:cs="Cambria"/>
          <w:b w:val="0"/>
          <w:bCs w:val="0"/>
          <w:color w:val="000000" w:themeColor="text1"/>
          <w:sz w:val="20"/>
          <w:szCs w:val="20"/>
          <w:lang w:val="en-US"/>
        </w:rPr>
        <w:t>For its part, the</w:t>
      </w:r>
      <w:r w:rsidR="00E529E8" w:rsidRPr="00CC562A">
        <w:rPr>
          <w:rFonts w:eastAsia="Cambria" w:cs="Cambria"/>
          <w:b w:val="0"/>
          <w:bCs w:val="0"/>
          <w:color w:val="000000" w:themeColor="text1"/>
          <w:sz w:val="20"/>
          <w:szCs w:val="20"/>
          <w:lang w:val="en-US"/>
        </w:rPr>
        <w:t xml:space="preserve"> FGR </w:t>
      </w:r>
      <w:r w:rsidR="00525A15" w:rsidRPr="00CC562A">
        <w:rPr>
          <w:rFonts w:eastAsia="Cambria" w:cs="Cambria"/>
          <w:b w:val="0"/>
          <w:bCs w:val="0"/>
          <w:color w:val="000000" w:themeColor="text1"/>
          <w:sz w:val="20"/>
          <w:szCs w:val="20"/>
          <w:lang w:val="en-US"/>
        </w:rPr>
        <w:t xml:space="preserve">reported that it issued the Protocol for Prosecutorial, Forensic, and Police Investigation with a Gender Perspective for the Crime of Femicide and the Protocol for Prosecutorial, Forensic, and Police Investigation with the Gender Perspective on Sexual Violence, which are intended to establish operational guidelines for incorporating the gender perspective and promoting the application of international human rights law for women and girls in the prosecutorial, forensic, and police investigation of these crimes. In this regard, it pointed out that these protocols are being aligned with the 2021 </w:t>
      </w:r>
      <w:r w:rsidR="00030392" w:rsidRPr="00CC562A">
        <w:rPr>
          <w:rFonts w:eastAsia="Cambria" w:cs="Cambria"/>
          <w:b w:val="0"/>
          <w:bCs w:val="0"/>
          <w:color w:val="000000" w:themeColor="text1"/>
          <w:sz w:val="20"/>
          <w:szCs w:val="20"/>
          <w:lang w:val="en-US"/>
        </w:rPr>
        <w:t xml:space="preserve">FGR </w:t>
      </w:r>
      <w:r w:rsidR="00525A15" w:rsidRPr="00CC562A">
        <w:rPr>
          <w:rFonts w:eastAsia="Cambria" w:cs="Cambria"/>
          <w:b w:val="0"/>
          <w:bCs w:val="0"/>
          <w:color w:val="000000" w:themeColor="text1"/>
          <w:sz w:val="20"/>
          <w:szCs w:val="20"/>
          <w:lang w:val="en-US"/>
        </w:rPr>
        <w:t>Law. In addition,</w:t>
      </w:r>
      <w:r w:rsidR="00E529E8" w:rsidRPr="00CC562A">
        <w:rPr>
          <w:rFonts w:eastAsia="Cambria" w:cs="Cambria"/>
          <w:b w:val="0"/>
          <w:bCs w:val="0"/>
          <w:color w:val="000000" w:themeColor="text1"/>
          <w:sz w:val="20"/>
          <w:szCs w:val="20"/>
          <w:lang w:val="en-US"/>
        </w:rPr>
        <w:t xml:space="preserve"> </w:t>
      </w:r>
      <w:r w:rsidR="00030392" w:rsidRPr="00CC562A">
        <w:rPr>
          <w:rFonts w:eastAsia="Cambria" w:cs="Cambria"/>
          <w:b w:val="0"/>
          <w:bCs w:val="0"/>
          <w:color w:val="000000" w:themeColor="text1"/>
          <w:sz w:val="20"/>
          <w:szCs w:val="20"/>
          <w:lang w:val="en-US"/>
        </w:rPr>
        <w:t>the Office of the Special Prosecutor on the Investigation of the Crimes of Forced Disappearance again referred to the PHI.</w:t>
      </w:r>
      <w:r w:rsidR="00E529E8" w:rsidRPr="00CC562A">
        <w:rPr>
          <w:rStyle w:val="FootnoteReference"/>
          <w:rFonts w:eastAsia="Cambria" w:cs="Cambria"/>
          <w:b w:val="0"/>
          <w:bCs w:val="0"/>
          <w:color w:val="000000" w:themeColor="text1"/>
          <w:sz w:val="20"/>
          <w:szCs w:val="20"/>
          <w:lang w:val="en-US"/>
        </w:rPr>
        <w:footnoteReference w:id="216"/>
      </w:r>
    </w:p>
    <w:p w14:paraId="55A0D56C" w14:textId="0C635052" w:rsidR="7ED16BE6" w:rsidRPr="00D41276" w:rsidRDefault="00E529E8" w:rsidP="00D41276">
      <w:pPr>
        <w:pStyle w:val="Heading3"/>
        <w:numPr>
          <w:ilvl w:val="0"/>
          <w:numId w:val="0"/>
        </w:numPr>
        <w:spacing w:before="100" w:beforeAutospacing="1" w:after="100" w:afterAutospacing="1" w:line="240" w:lineRule="auto"/>
        <w:ind w:left="810"/>
        <w:rPr>
          <w:b w:val="0"/>
          <w:sz w:val="20"/>
          <w:lang w:val="en-US"/>
        </w:rPr>
      </w:pPr>
      <w:r w:rsidRPr="00CC562A">
        <w:rPr>
          <w:rFonts w:eastAsia="Cambria" w:cs="Cambria"/>
          <w:color w:val="000000" w:themeColor="text1"/>
          <w:sz w:val="20"/>
          <w:szCs w:val="20"/>
          <w:lang w:val="en-US"/>
        </w:rPr>
        <w:t xml:space="preserve"> </w:t>
      </w:r>
      <w:r w:rsidRPr="00CC562A">
        <w:rPr>
          <w:rFonts w:eastAsia="Cambria" w:cs="Cambria"/>
          <w:color w:val="000000" w:themeColor="text1"/>
          <w:sz w:val="20"/>
          <w:szCs w:val="20"/>
          <w:lang w:val="en-US"/>
        </w:rPr>
        <w:tab/>
      </w:r>
    </w:p>
    <w:p w14:paraId="556302FF" w14:textId="19DBA1DE" w:rsidR="00522749" w:rsidRPr="00CC562A" w:rsidRDefault="007B6AAD" w:rsidP="00E529E8">
      <w:pPr>
        <w:pStyle w:val="Heading3"/>
        <w:spacing w:before="240" w:after="200" w:line="240" w:lineRule="auto"/>
        <w:ind w:left="0" w:firstLine="720"/>
        <w:rPr>
          <w:rFonts w:eastAsia="Cambria" w:cs="Cambria"/>
          <w:sz w:val="20"/>
          <w:szCs w:val="20"/>
          <w:lang w:val="en-US"/>
        </w:rPr>
      </w:pPr>
      <w:r w:rsidRPr="00CC562A">
        <w:rPr>
          <w:rFonts w:eastAsia="Cambria" w:cs="Cambria"/>
          <w:b w:val="0"/>
          <w:bCs w:val="0"/>
          <w:sz w:val="20"/>
          <w:szCs w:val="20"/>
          <w:lang w:val="en-US"/>
        </w:rPr>
        <w:t>The Commission notes that it did not receive information related to the implementation of existing protocols and supervision mechanisms.</w:t>
      </w:r>
      <w:r w:rsidR="007A6F11" w:rsidRPr="00CC562A">
        <w:rPr>
          <w:rStyle w:val="FootnoteReference"/>
          <w:rFonts w:eastAsia="Cambria" w:cs="Cambria"/>
          <w:b w:val="0"/>
          <w:bCs w:val="0"/>
          <w:sz w:val="20"/>
          <w:szCs w:val="20"/>
          <w:lang w:val="en-US"/>
        </w:rPr>
        <w:footnoteReference w:id="217"/>
      </w:r>
      <w:r w:rsidR="74E3E66A"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07D29BA2"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the Commission notes an absence of information on mechanisms for supervising the implementation of protocols. Based on the foregoing, the Commission finds that the </w:t>
      </w:r>
      <w:r w:rsidR="00EE580B" w:rsidRPr="00CC562A">
        <w:rPr>
          <w:rFonts w:eastAsia="Cambria" w:cs="Cambria"/>
          <w:b w:val="0"/>
          <w:bCs w:val="0"/>
          <w:sz w:val="20"/>
          <w:szCs w:val="20"/>
          <w:lang w:val="en-US"/>
        </w:rPr>
        <w:t xml:space="preserve">status of the </w:t>
      </w:r>
      <w:r w:rsidRPr="00CC562A">
        <w:rPr>
          <w:rFonts w:eastAsia="Cambria" w:cs="Cambria"/>
          <w:b w:val="0"/>
          <w:bCs w:val="0"/>
          <w:sz w:val="20"/>
          <w:szCs w:val="20"/>
          <w:lang w:val="en-US"/>
        </w:rPr>
        <w:t xml:space="preserve">recommendation is </w:t>
      </w:r>
      <w:r w:rsidR="00EE580B" w:rsidRPr="00CC562A">
        <w:rPr>
          <w:rFonts w:eastAsia="Cambria" w:cs="Cambria"/>
          <w:b w:val="0"/>
          <w:bCs w:val="0"/>
          <w:sz w:val="20"/>
          <w:szCs w:val="20"/>
          <w:lang w:val="en-US"/>
        </w:rPr>
        <w:t>one of</w:t>
      </w:r>
      <w:r w:rsidRPr="00CC562A">
        <w:rPr>
          <w:rFonts w:eastAsia="Cambria" w:cs="Cambria"/>
          <w:b w:val="0"/>
          <w:bCs w:val="0"/>
          <w:sz w:val="20"/>
          <w:szCs w:val="20"/>
          <w:lang w:val="en-US"/>
        </w:rPr>
        <w:t xml:space="preserve"> </w:t>
      </w:r>
      <w:r w:rsidRPr="00CC562A">
        <w:rPr>
          <w:rFonts w:eastAsia="Cambria" w:cs="Cambria"/>
          <w:sz w:val="20"/>
          <w:szCs w:val="20"/>
          <w:lang w:val="en-US"/>
        </w:rPr>
        <w:t>partial compliance</w:t>
      </w:r>
      <w:r w:rsidR="4FC81B7A" w:rsidRPr="00CC562A">
        <w:rPr>
          <w:rFonts w:eastAsia="Cambria" w:cs="Cambria"/>
          <w:sz w:val="20"/>
          <w:szCs w:val="20"/>
          <w:lang w:val="en-US"/>
        </w:rPr>
        <w:t>.</w:t>
      </w:r>
    </w:p>
    <w:p w14:paraId="6B2B92F5" w14:textId="7743CCF5"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4662B268" w14:textId="45DA16F6" w:rsidR="00A92391" w:rsidRPr="00CC562A" w:rsidRDefault="00F108AA" w:rsidP="00A92391">
      <w:pPr>
        <w:pStyle w:val="Heading3"/>
        <w:spacing w:before="40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In addition,</w:t>
      </w:r>
      <w:r w:rsidR="004E6B50" w:rsidRPr="00CC562A">
        <w:rPr>
          <w:rFonts w:eastAsia="Cambria" w:cs="Cambria"/>
          <w:b w:val="0"/>
          <w:bCs w:val="0"/>
          <w:sz w:val="20"/>
          <w:szCs w:val="20"/>
          <w:lang w:val="en-US"/>
        </w:rPr>
        <w:t xml:space="preserve"> </w:t>
      </w:r>
      <w:proofErr w:type="gramStart"/>
      <w:r w:rsidR="007B6AAD" w:rsidRPr="00CC562A">
        <w:rPr>
          <w:rFonts w:eastAsia="Cambria" w:cs="Cambria"/>
          <w:b w:val="0"/>
          <w:bCs w:val="0"/>
          <w:sz w:val="20"/>
          <w:szCs w:val="20"/>
          <w:lang w:val="en-US"/>
        </w:rPr>
        <w:t>in order to</w:t>
      </w:r>
      <w:proofErr w:type="gramEnd"/>
      <w:r w:rsidR="007B6AAD" w:rsidRPr="00CC562A">
        <w:rPr>
          <w:rFonts w:eastAsia="Cambria" w:cs="Cambria"/>
          <w:b w:val="0"/>
          <w:bCs w:val="0"/>
          <w:sz w:val="20"/>
          <w:szCs w:val="20"/>
          <w:lang w:val="en-US"/>
        </w:rPr>
        <w:t xml:space="preserve"> guide the implementation of this recommendation, the Commission invites the State to adopt measures to ensure the effective implementation of protocols by law </w:t>
      </w:r>
      <w:r w:rsidR="00C80FE5" w:rsidRPr="00CC562A">
        <w:rPr>
          <w:rFonts w:eastAsia="Cambria" w:cs="Cambria"/>
          <w:b w:val="0"/>
          <w:bCs w:val="0"/>
          <w:sz w:val="20"/>
          <w:szCs w:val="20"/>
          <w:lang w:val="en-US"/>
        </w:rPr>
        <w:t>enforcement,</w:t>
      </w:r>
      <w:r w:rsidR="001554F2" w:rsidRPr="00CC562A">
        <w:rPr>
          <w:rFonts w:eastAsia="Cambria" w:cs="Cambria"/>
          <w:b w:val="0"/>
          <w:bCs w:val="0"/>
          <w:sz w:val="20"/>
          <w:szCs w:val="20"/>
          <w:lang w:val="en-US"/>
        </w:rPr>
        <w:t xml:space="preserve"> as well as to compile related information such as, for example, results indicators</w:t>
      </w:r>
      <w:r w:rsidR="4EAED99C" w:rsidRPr="00CC562A">
        <w:rPr>
          <w:rFonts w:eastAsia="Cambria" w:cs="Cambria"/>
          <w:b w:val="0"/>
          <w:bCs w:val="0"/>
          <w:sz w:val="20"/>
          <w:szCs w:val="20"/>
          <w:lang w:val="en-US"/>
        </w:rPr>
        <w:t>.</w:t>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p>
    <w:p w14:paraId="7D160D61" w14:textId="7816E339" w:rsidR="00A92391" w:rsidRPr="00CC562A" w:rsidRDefault="1B11D768" w:rsidP="00A92391">
      <w:pPr>
        <w:pStyle w:val="Heading3"/>
        <w:spacing w:before="400" w:after="200" w:line="240" w:lineRule="auto"/>
        <w:ind w:left="0" w:firstLine="720"/>
        <w:rPr>
          <w:rFonts w:eastAsia="Cambria" w:cs="Cambria"/>
          <w:b w:val="0"/>
          <w:bCs w:val="0"/>
          <w:sz w:val="20"/>
          <w:szCs w:val="20"/>
          <w:lang w:val="en-US"/>
        </w:rPr>
      </w:pPr>
      <w:r w:rsidRPr="00CC562A">
        <w:rPr>
          <w:b w:val="0"/>
          <w:bCs w:val="0"/>
          <w:sz w:val="20"/>
          <w:szCs w:val="20"/>
          <w:lang w:val="en-US"/>
        </w:rPr>
        <w:lastRenderedPageBreak/>
        <w:t>Re</w:t>
      </w:r>
      <w:r w:rsidR="001554F2" w:rsidRPr="00CC562A">
        <w:rPr>
          <w:b w:val="0"/>
          <w:bCs w:val="0"/>
          <w:sz w:val="20"/>
          <w:szCs w:val="20"/>
          <w:lang w:val="en-US"/>
        </w:rPr>
        <w:t xml:space="preserve">garding the recommendation to </w:t>
      </w:r>
      <w:r w:rsidRPr="00CC562A">
        <w:rPr>
          <w:sz w:val="20"/>
          <w:szCs w:val="20"/>
          <w:lang w:val="en-US"/>
        </w:rPr>
        <w:t>adopt</w:t>
      </w:r>
      <w:r w:rsidR="001554F2" w:rsidRPr="00CC562A">
        <w:rPr>
          <w:sz w:val="20"/>
          <w:szCs w:val="20"/>
          <w:lang w:val="en-US"/>
        </w:rPr>
        <w:t xml:space="preserve"> public policies aimed at restructuring stereotypes about the role of women in society and promoting the eradication of discriminatory sociocultural patterns that impede their access to justice</w:t>
      </w:r>
      <w:r w:rsidRPr="00CC562A">
        <w:rPr>
          <w:sz w:val="20"/>
          <w:szCs w:val="20"/>
          <w:lang w:val="en-US"/>
        </w:rPr>
        <w:t xml:space="preserve">, </w:t>
      </w:r>
      <w:r w:rsidR="00752FED" w:rsidRPr="00CC562A">
        <w:rPr>
          <w:rFonts w:eastAsia="Cambria" w:cs="Cambria"/>
          <w:b w:val="0"/>
          <w:bCs w:val="0"/>
          <w:sz w:val="20"/>
          <w:szCs w:val="20"/>
          <w:lang w:val="en-US"/>
        </w:rPr>
        <w:t>the State</w:t>
      </w:r>
      <w:r w:rsidR="0FD80940"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0FD80940" w:rsidRPr="00CC562A">
        <w:rPr>
          <w:rFonts w:eastAsia="Cambria" w:cs="Cambria"/>
          <w:b w:val="0"/>
          <w:bCs w:val="0"/>
          <w:sz w:val="20"/>
          <w:szCs w:val="20"/>
          <w:lang w:val="en-US"/>
        </w:rPr>
        <w:t xml:space="preserve"> </w:t>
      </w:r>
      <w:r w:rsidR="5E88AA60" w:rsidRPr="00CC562A">
        <w:rPr>
          <w:rFonts w:eastAsia="Cambria" w:cs="Cambria"/>
          <w:b w:val="0"/>
          <w:bCs w:val="0"/>
          <w:sz w:val="20"/>
          <w:szCs w:val="20"/>
          <w:lang w:val="en-US"/>
        </w:rPr>
        <w:t>CONAVIM</w:t>
      </w:r>
      <w:r w:rsidR="150B8F44" w:rsidRPr="00CC562A">
        <w:rPr>
          <w:rFonts w:eastAsia="Cambria" w:cs="Cambria"/>
          <w:b w:val="0"/>
          <w:bCs w:val="0"/>
          <w:sz w:val="20"/>
          <w:szCs w:val="20"/>
          <w:lang w:val="en-US"/>
        </w:rPr>
        <w:t xml:space="preserve"> </w:t>
      </w:r>
      <w:r w:rsidR="001554F2" w:rsidRPr="00CC562A">
        <w:rPr>
          <w:rFonts w:eastAsia="Cambria" w:cs="Cambria"/>
          <w:b w:val="0"/>
          <w:bCs w:val="0"/>
          <w:sz w:val="20"/>
          <w:szCs w:val="20"/>
          <w:lang w:val="en-US"/>
        </w:rPr>
        <w:t>is responsible for the operation of the Program to Support State Women’s Institutes (hereinafter</w:t>
      </w:r>
      <w:r w:rsidR="0FD80940" w:rsidRPr="00CC562A">
        <w:rPr>
          <w:rFonts w:eastAsia="Cambria" w:cs="Cambria"/>
          <w:b w:val="0"/>
          <w:bCs w:val="0"/>
          <w:sz w:val="20"/>
          <w:szCs w:val="20"/>
          <w:lang w:val="en-US"/>
        </w:rPr>
        <w:t xml:space="preserve"> “</w:t>
      </w:r>
      <w:r w:rsidR="150B8F44" w:rsidRPr="00CC562A">
        <w:rPr>
          <w:rFonts w:eastAsia="Cambria" w:cs="Cambria"/>
          <w:b w:val="0"/>
          <w:bCs w:val="0"/>
          <w:sz w:val="20"/>
          <w:szCs w:val="20"/>
          <w:lang w:val="en-US"/>
        </w:rPr>
        <w:t>PAIMEF</w:t>
      </w:r>
      <w:r w:rsidR="0FD80940" w:rsidRPr="00CC562A">
        <w:rPr>
          <w:rFonts w:eastAsia="Cambria" w:cs="Cambria"/>
          <w:b w:val="0"/>
          <w:bCs w:val="0"/>
          <w:sz w:val="20"/>
          <w:szCs w:val="20"/>
          <w:lang w:val="en-US"/>
        </w:rPr>
        <w:t>”)</w:t>
      </w:r>
      <w:r w:rsidR="150B8F44" w:rsidRPr="00CC562A">
        <w:rPr>
          <w:rFonts w:eastAsia="Cambria" w:cs="Cambria"/>
          <w:b w:val="0"/>
          <w:bCs w:val="0"/>
          <w:sz w:val="20"/>
          <w:szCs w:val="20"/>
          <w:lang w:val="en-US"/>
        </w:rPr>
        <w:t xml:space="preserve">, </w:t>
      </w:r>
      <w:r w:rsidR="001554F2" w:rsidRPr="00CC562A">
        <w:rPr>
          <w:rFonts w:eastAsia="Cambria" w:cs="Cambria"/>
          <w:b w:val="0"/>
          <w:bCs w:val="0"/>
          <w:sz w:val="20"/>
          <w:szCs w:val="20"/>
          <w:lang w:val="en-US"/>
        </w:rPr>
        <w:t xml:space="preserve">which is executed by Women’s Institutions in the </w:t>
      </w:r>
      <w:r w:rsidR="00365543" w:rsidRPr="00CC562A">
        <w:rPr>
          <w:rFonts w:eastAsia="Cambria" w:cs="Cambria"/>
          <w:b w:val="0"/>
          <w:bCs w:val="0"/>
          <w:sz w:val="20"/>
          <w:szCs w:val="20"/>
          <w:lang w:val="en-US"/>
        </w:rPr>
        <w:t>states</w:t>
      </w:r>
      <w:r w:rsidR="001554F2" w:rsidRPr="00CC562A">
        <w:rPr>
          <w:rFonts w:eastAsia="Cambria" w:cs="Cambria"/>
          <w:b w:val="0"/>
          <w:bCs w:val="0"/>
          <w:sz w:val="20"/>
          <w:szCs w:val="20"/>
          <w:lang w:val="en-US"/>
        </w:rPr>
        <w:t xml:space="preserve">, through 32 annual programs. To achieve its objectives, the </w:t>
      </w:r>
      <w:r w:rsidR="150B8F44" w:rsidRPr="00CC562A">
        <w:rPr>
          <w:rFonts w:eastAsia="Cambria" w:cs="Cambria"/>
          <w:b w:val="0"/>
          <w:bCs w:val="0"/>
          <w:sz w:val="20"/>
          <w:szCs w:val="20"/>
          <w:lang w:val="en-US"/>
        </w:rPr>
        <w:t>PAIMEF</w:t>
      </w:r>
      <w:r w:rsidR="001554F2" w:rsidRPr="00CC562A">
        <w:rPr>
          <w:rFonts w:eastAsia="Cambria" w:cs="Cambria"/>
          <w:b w:val="0"/>
          <w:bCs w:val="0"/>
          <w:sz w:val="20"/>
          <w:szCs w:val="20"/>
          <w:lang w:val="en-US"/>
        </w:rPr>
        <w:t xml:space="preserve"> plans, promotes, and implements actions in coordination with various public entities </w:t>
      </w:r>
      <w:r w:rsidR="00385543" w:rsidRPr="00CC562A">
        <w:rPr>
          <w:rFonts w:eastAsia="Cambria" w:cs="Cambria"/>
          <w:b w:val="0"/>
          <w:bCs w:val="0"/>
          <w:sz w:val="20"/>
          <w:szCs w:val="20"/>
          <w:lang w:val="en-US"/>
        </w:rPr>
        <w:t xml:space="preserve">to provide a </w:t>
      </w:r>
      <w:r w:rsidR="001554F2" w:rsidRPr="00CC562A">
        <w:rPr>
          <w:rFonts w:eastAsia="Cambria" w:cs="Cambria"/>
          <w:b w:val="0"/>
          <w:bCs w:val="0"/>
          <w:sz w:val="20"/>
          <w:szCs w:val="20"/>
          <w:lang w:val="en-US"/>
        </w:rPr>
        <w:t>comprehensive approach</w:t>
      </w:r>
      <w:r w:rsidR="00385543" w:rsidRPr="00CC562A">
        <w:rPr>
          <w:rFonts w:eastAsia="Cambria" w:cs="Cambria"/>
          <w:b w:val="0"/>
          <w:bCs w:val="0"/>
          <w:sz w:val="20"/>
          <w:szCs w:val="20"/>
          <w:lang w:val="en-US"/>
        </w:rPr>
        <w:t xml:space="preserve"> to this set of problems and </w:t>
      </w:r>
      <w:r w:rsidR="00CE5271" w:rsidRPr="00CC562A">
        <w:rPr>
          <w:rFonts w:eastAsia="Cambria" w:cs="Cambria"/>
          <w:b w:val="0"/>
          <w:bCs w:val="0"/>
          <w:sz w:val="20"/>
          <w:szCs w:val="20"/>
          <w:lang w:val="en-US"/>
        </w:rPr>
        <w:t>to</w:t>
      </w:r>
      <w:r w:rsidR="00385543" w:rsidRPr="00CC562A">
        <w:rPr>
          <w:rFonts w:eastAsia="Cambria" w:cs="Cambria"/>
          <w:b w:val="0"/>
          <w:bCs w:val="0"/>
          <w:sz w:val="20"/>
          <w:szCs w:val="20"/>
          <w:lang w:val="en-US"/>
        </w:rPr>
        <w:t xml:space="preserve"> construct a culture free of violence for girls, adolescents, and women in the context of human rights, intersectionality, and interculturality, giving priority to bring</w:t>
      </w:r>
      <w:r w:rsidR="00CE5271" w:rsidRPr="00CC562A">
        <w:rPr>
          <w:rFonts w:eastAsia="Cambria" w:cs="Cambria"/>
          <w:b w:val="0"/>
          <w:bCs w:val="0"/>
          <w:sz w:val="20"/>
          <w:szCs w:val="20"/>
          <w:lang w:val="en-US"/>
        </w:rPr>
        <w:t>ing</w:t>
      </w:r>
      <w:r w:rsidR="00385543" w:rsidRPr="00CC562A">
        <w:rPr>
          <w:rFonts w:eastAsia="Cambria" w:cs="Cambria"/>
          <w:b w:val="0"/>
          <w:bCs w:val="0"/>
          <w:sz w:val="20"/>
          <w:szCs w:val="20"/>
          <w:lang w:val="en-US"/>
        </w:rPr>
        <w:t xml:space="preserve"> services closer to women in violent situation in areas with a high or very high degree of marginalization or areas with high rates of violence</w:t>
      </w:r>
      <w:r w:rsidR="150B8F44" w:rsidRPr="00CC562A">
        <w:rPr>
          <w:rFonts w:eastAsia="Cambria" w:cs="Cambria"/>
          <w:b w:val="0"/>
          <w:bCs w:val="0"/>
          <w:sz w:val="20"/>
          <w:szCs w:val="20"/>
          <w:lang w:val="en-US"/>
        </w:rPr>
        <w:t>.</w:t>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p>
    <w:p w14:paraId="6B2B8682" w14:textId="5A5CF2CC" w:rsidR="00D41276" w:rsidRDefault="00F108AA" w:rsidP="00D41276">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In addition,</w:t>
      </w:r>
      <w:r w:rsidR="150B8F44"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0FD80940" w:rsidRPr="00CC562A">
        <w:rPr>
          <w:rFonts w:eastAsia="Cambria" w:cs="Cambria"/>
          <w:b w:val="0"/>
          <w:bCs w:val="0"/>
          <w:sz w:val="20"/>
          <w:szCs w:val="20"/>
          <w:lang w:val="en-US"/>
        </w:rPr>
        <w:t xml:space="preserve"> </w:t>
      </w:r>
      <w:r w:rsidR="00385543" w:rsidRPr="00CC562A">
        <w:rPr>
          <w:rFonts w:eastAsia="Cambria" w:cs="Cambria"/>
          <w:b w:val="0"/>
          <w:bCs w:val="0"/>
          <w:sz w:val="20"/>
          <w:szCs w:val="20"/>
          <w:lang w:val="en-US"/>
        </w:rPr>
        <w:t xml:space="preserve">emphasized that </w:t>
      </w:r>
      <w:proofErr w:type="gramStart"/>
      <w:r w:rsidR="00385543" w:rsidRPr="00CC562A">
        <w:rPr>
          <w:rFonts w:eastAsia="Cambria" w:cs="Cambria"/>
          <w:b w:val="0"/>
          <w:bCs w:val="0"/>
          <w:sz w:val="20"/>
          <w:szCs w:val="20"/>
          <w:lang w:val="en-US"/>
        </w:rPr>
        <w:t>in order to</w:t>
      </w:r>
      <w:proofErr w:type="gramEnd"/>
      <w:r w:rsidR="00385543" w:rsidRPr="00CC562A">
        <w:rPr>
          <w:rFonts w:eastAsia="Cambria" w:cs="Cambria"/>
          <w:b w:val="0"/>
          <w:bCs w:val="0"/>
          <w:sz w:val="20"/>
          <w:szCs w:val="20"/>
          <w:lang w:val="en-US"/>
        </w:rPr>
        <w:t xml:space="preserve"> eradicate violent sociocultural patterns against women in their places of employment, on July 6, </w:t>
      </w:r>
      <w:r w:rsidR="00C80FE5" w:rsidRPr="00CC562A">
        <w:rPr>
          <w:rFonts w:eastAsia="Cambria" w:cs="Cambria"/>
          <w:b w:val="0"/>
          <w:bCs w:val="0"/>
          <w:sz w:val="20"/>
          <w:szCs w:val="20"/>
          <w:lang w:val="en-US"/>
        </w:rPr>
        <w:t>2022,</w:t>
      </w:r>
      <w:r w:rsidR="150B8F44" w:rsidRPr="00CC562A">
        <w:rPr>
          <w:rFonts w:eastAsia="Cambria" w:cs="Cambria"/>
          <w:b w:val="0"/>
          <w:bCs w:val="0"/>
          <w:sz w:val="20"/>
          <w:szCs w:val="20"/>
          <w:lang w:val="en-US"/>
        </w:rPr>
        <w:t xml:space="preserve"> M</w:t>
      </w:r>
      <w:r w:rsidR="00385543" w:rsidRPr="00CC562A">
        <w:rPr>
          <w:rFonts w:eastAsia="Cambria" w:cs="Cambria"/>
          <w:b w:val="0"/>
          <w:bCs w:val="0"/>
          <w:sz w:val="20"/>
          <w:szCs w:val="20"/>
          <w:lang w:val="en-US"/>
        </w:rPr>
        <w:t>e</w:t>
      </w:r>
      <w:r w:rsidR="150B8F44" w:rsidRPr="00CC562A">
        <w:rPr>
          <w:rFonts w:eastAsia="Cambria" w:cs="Cambria"/>
          <w:b w:val="0"/>
          <w:bCs w:val="0"/>
          <w:sz w:val="20"/>
          <w:szCs w:val="20"/>
          <w:lang w:val="en-US"/>
        </w:rPr>
        <w:t>xico ratifi</w:t>
      </w:r>
      <w:r w:rsidR="00385543" w:rsidRPr="00CC562A">
        <w:rPr>
          <w:rFonts w:eastAsia="Cambria" w:cs="Cambria"/>
          <w:b w:val="0"/>
          <w:bCs w:val="0"/>
          <w:sz w:val="20"/>
          <w:szCs w:val="20"/>
          <w:lang w:val="en-US"/>
        </w:rPr>
        <w:t xml:space="preserve">ed Convention 190 on Violence and Harassment of the International </w:t>
      </w:r>
      <w:r w:rsidR="00C80FE5" w:rsidRPr="00CC562A">
        <w:rPr>
          <w:rFonts w:eastAsia="Cambria" w:cs="Cambria"/>
          <w:b w:val="0"/>
          <w:bCs w:val="0"/>
          <w:sz w:val="20"/>
          <w:szCs w:val="20"/>
          <w:lang w:val="en-US"/>
        </w:rPr>
        <w:t>Labor</w:t>
      </w:r>
      <w:r w:rsidR="00385543" w:rsidRPr="00CC562A">
        <w:rPr>
          <w:rFonts w:eastAsia="Cambria" w:cs="Cambria"/>
          <w:b w:val="0"/>
          <w:bCs w:val="0"/>
          <w:sz w:val="20"/>
          <w:szCs w:val="20"/>
          <w:lang w:val="en-US"/>
        </w:rPr>
        <w:t xml:space="preserve"> Organization (hereinafter “ILO”). In addition to this, in June</w:t>
      </w:r>
      <w:r w:rsidR="150B8F44" w:rsidRPr="00CC562A">
        <w:rPr>
          <w:rFonts w:eastAsia="Cambria" w:cs="Cambria"/>
          <w:b w:val="0"/>
          <w:bCs w:val="0"/>
          <w:sz w:val="20"/>
          <w:szCs w:val="20"/>
          <w:lang w:val="en-US"/>
        </w:rPr>
        <w:t xml:space="preserve"> 2022</w:t>
      </w:r>
      <w:r w:rsidR="00385543" w:rsidRPr="00CC562A">
        <w:rPr>
          <w:rFonts w:eastAsia="Cambria" w:cs="Cambria"/>
          <w:b w:val="0"/>
          <w:bCs w:val="0"/>
          <w:sz w:val="20"/>
          <w:szCs w:val="20"/>
          <w:lang w:val="en-US"/>
        </w:rPr>
        <w:t>,</w:t>
      </w:r>
      <w:r w:rsidR="150B8F44" w:rsidRPr="00CC562A">
        <w:rPr>
          <w:rFonts w:eastAsia="Cambria" w:cs="Cambria"/>
          <w:b w:val="0"/>
          <w:bCs w:val="0"/>
          <w:sz w:val="20"/>
          <w:szCs w:val="20"/>
          <w:lang w:val="en-US"/>
        </w:rPr>
        <w:t xml:space="preserve"> INMUJERES </w:t>
      </w:r>
      <w:r w:rsidR="00385543" w:rsidRPr="00CC562A">
        <w:rPr>
          <w:rFonts w:eastAsia="Cambria" w:cs="Cambria"/>
          <w:b w:val="0"/>
          <w:bCs w:val="0"/>
          <w:sz w:val="20"/>
          <w:szCs w:val="20"/>
          <w:lang w:val="en-US"/>
        </w:rPr>
        <w:t xml:space="preserve">and the Federal Court of Conciliation and Arbitration (hereinafter </w:t>
      </w:r>
      <w:r w:rsidR="0FD80940" w:rsidRPr="00CC562A">
        <w:rPr>
          <w:rFonts w:eastAsia="Cambria" w:cs="Cambria"/>
          <w:b w:val="0"/>
          <w:bCs w:val="0"/>
          <w:sz w:val="20"/>
          <w:szCs w:val="20"/>
          <w:lang w:val="en-US"/>
        </w:rPr>
        <w:t>“</w:t>
      </w:r>
      <w:r w:rsidR="150B8F44" w:rsidRPr="00CC562A">
        <w:rPr>
          <w:rFonts w:eastAsia="Cambria" w:cs="Cambria"/>
          <w:b w:val="0"/>
          <w:bCs w:val="0"/>
          <w:sz w:val="20"/>
          <w:szCs w:val="20"/>
          <w:lang w:val="en-US"/>
        </w:rPr>
        <w:t>TFCA</w:t>
      </w:r>
      <w:r w:rsidR="0FD80940" w:rsidRPr="00CC562A">
        <w:rPr>
          <w:rFonts w:eastAsia="Cambria" w:cs="Cambria"/>
          <w:b w:val="0"/>
          <w:bCs w:val="0"/>
          <w:sz w:val="20"/>
          <w:szCs w:val="20"/>
          <w:lang w:val="en-US"/>
        </w:rPr>
        <w:t>”</w:t>
      </w:r>
      <w:r w:rsidR="150B8F44" w:rsidRPr="00CC562A">
        <w:rPr>
          <w:rFonts w:eastAsia="Cambria" w:cs="Cambria"/>
          <w:b w:val="0"/>
          <w:bCs w:val="0"/>
          <w:sz w:val="20"/>
          <w:szCs w:val="20"/>
          <w:lang w:val="en-US"/>
        </w:rPr>
        <w:t xml:space="preserve">) </w:t>
      </w:r>
      <w:r w:rsidR="000A0DF8" w:rsidRPr="00CC562A">
        <w:rPr>
          <w:rFonts w:eastAsia="Cambria" w:cs="Cambria"/>
          <w:b w:val="0"/>
          <w:bCs w:val="0"/>
          <w:sz w:val="20"/>
          <w:szCs w:val="20"/>
          <w:lang w:val="en-US"/>
        </w:rPr>
        <w:t>signed a Collaboration Agreement to carry out actions, projects, and/or agreement</w:t>
      </w:r>
      <w:r w:rsidR="00CE5271" w:rsidRPr="00CC562A">
        <w:rPr>
          <w:rFonts w:eastAsia="Cambria" w:cs="Cambria"/>
          <w:b w:val="0"/>
          <w:bCs w:val="0"/>
          <w:sz w:val="20"/>
          <w:szCs w:val="20"/>
          <w:lang w:val="en-US"/>
        </w:rPr>
        <w:t>s</w:t>
      </w:r>
      <w:r w:rsidR="000A0DF8" w:rsidRPr="00CC562A">
        <w:rPr>
          <w:rFonts w:eastAsia="Cambria" w:cs="Cambria"/>
          <w:b w:val="0"/>
          <w:bCs w:val="0"/>
          <w:sz w:val="20"/>
          <w:szCs w:val="20"/>
          <w:lang w:val="en-US"/>
        </w:rPr>
        <w:t xml:space="preserve"> </w:t>
      </w:r>
      <w:proofErr w:type="gramStart"/>
      <w:r w:rsidR="000A0DF8" w:rsidRPr="00CC562A">
        <w:rPr>
          <w:rFonts w:eastAsia="Cambria" w:cs="Cambria"/>
          <w:b w:val="0"/>
          <w:bCs w:val="0"/>
          <w:sz w:val="20"/>
          <w:szCs w:val="20"/>
          <w:lang w:val="en-US"/>
        </w:rPr>
        <w:t>on the subject of substantive</w:t>
      </w:r>
      <w:proofErr w:type="gramEnd"/>
      <w:r w:rsidR="000A0DF8" w:rsidRPr="00CC562A">
        <w:rPr>
          <w:rFonts w:eastAsia="Cambria" w:cs="Cambria"/>
          <w:b w:val="0"/>
          <w:bCs w:val="0"/>
          <w:sz w:val="20"/>
          <w:szCs w:val="20"/>
          <w:lang w:val="en-US"/>
        </w:rPr>
        <w:t xml:space="preserve"> equality between women and men; human </w:t>
      </w:r>
      <w:r w:rsidR="00C80FE5" w:rsidRPr="00CC562A">
        <w:rPr>
          <w:rFonts w:eastAsia="Cambria" w:cs="Cambria"/>
          <w:b w:val="0"/>
          <w:bCs w:val="0"/>
          <w:sz w:val="20"/>
          <w:szCs w:val="20"/>
          <w:lang w:val="en-US"/>
        </w:rPr>
        <w:t>rights, mainstreaming</w:t>
      </w:r>
      <w:r w:rsidR="000A0DF8" w:rsidRPr="00CC562A">
        <w:rPr>
          <w:rFonts w:eastAsia="Cambria" w:cs="Cambria"/>
          <w:b w:val="0"/>
          <w:bCs w:val="0"/>
          <w:sz w:val="20"/>
          <w:szCs w:val="20"/>
          <w:lang w:val="en-US"/>
        </w:rPr>
        <w:t xml:space="preserve"> </w:t>
      </w:r>
      <w:r w:rsidR="00D77397" w:rsidRPr="00CC562A">
        <w:rPr>
          <w:rFonts w:eastAsia="Cambria" w:cs="Cambria"/>
          <w:b w:val="0"/>
          <w:bCs w:val="0"/>
          <w:sz w:val="20"/>
          <w:szCs w:val="20"/>
          <w:lang w:val="en-US"/>
        </w:rPr>
        <w:t>of the</w:t>
      </w:r>
      <w:r w:rsidR="000A0DF8" w:rsidRPr="00CC562A">
        <w:rPr>
          <w:rFonts w:eastAsia="Cambria" w:cs="Cambria"/>
          <w:b w:val="0"/>
          <w:bCs w:val="0"/>
          <w:sz w:val="20"/>
          <w:szCs w:val="20"/>
          <w:lang w:val="en-US"/>
        </w:rPr>
        <w:t xml:space="preserve"> gender equality perspective; elimination of discrimination; prevention of violence against women, adolescents, and girls; and any other related subject. This is intended to make progress in equal employment and non-discrimination, as the body for imparting labor justice. In addition, the “Guidelines for developing and implementing mechanisms for prevention, care, and punishment of sexual harassment and sexual assault in institutions of higher </w:t>
      </w:r>
      <w:r w:rsidR="00CE5271" w:rsidRPr="00CC562A">
        <w:rPr>
          <w:rFonts w:eastAsia="Cambria" w:cs="Cambria"/>
          <w:b w:val="0"/>
          <w:bCs w:val="0"/>
          <w:sz w:val="20"/>
          <w:szCs w:val="20"/>
          <w:lang w:val="en-US"/>
        </w:rPr>
        <w:t>learning</w:t>
      </w:r>
      <w:r w:rsidR="000A0DF8" w:rsidRPr="00CC562A">
        <w:rPr>
          <w:rFonts w:eastAsia="Cambria" w:cs="Cambria"/>
          <w:b w:val="0"/>
          <w:bCs w:val="0"/>
          <w:sz w:val="20"/>
          <w:szCs w:val="20"/>
          <w:lang w:val="en-US"/>
        </w:rPr>
        <w:t xml:space="preserve"> (hereinafter</w:t>
      </w:r>
      <w:r w:rsidR="51384776" w:rsidRPr="00CC562A">
        <w:rPr>
          <w:rFonts w:eastAsia="Cambria" w:cs="Cambria"/>
          <w:b w:val="0"/>
          <w:bCs w:val="0"/>
          <w:sz w:val="20"/>
          <w:szCs w:val="20"/>
          <w:lang w:val="en-US"/>
        </w:rPr>
        <w:t xml:space="preserve"> ‘</w:t>
      </w:r>
      <w:r w:rsidR="150B8F44" w:rsidRPr="00CC562A">
        <w:rPr>
          <w:rFonts w:eastAsia="Cambria" w:cs="Cambria"/>
          <w:b w:val="0"/>
          <w:bCs w:val="0"/>
          <w:sz w:val="20"/>
          <w:szCs w:val="20"/>
          <w:lang w:val="en-US"/>
        </w:rPr>
        <w:t>IES</w:t>
      </w:r>
      <w:r w:rsidR="000A0DF8" w:rsidRPr="00CC562A">
        <w:rPr>
          <w:rFonts w:eastAsia="Cambria" w:cs="Cambria"/>
          <w:b w:val="0"/>
          <w:bCs w:val="0"/>
          <w:sz w:val="20"/>
          <w:szCs w:val="20"/>
          <w:lang w:val="en-US"/>
        </w:rPr>
        <w:t xml:space="preserve">”), with the participation of the IES and mechanisms for the prevention, care, and punishment of harassment and sexual assault in the </w:t>
      </w:r>
      <w:r w:rsidR="00365543" w:rsidRPr="00CC562A">
        <w:rPr>
          <w:rFonts w:eastAsia="Cambria" w:cs="Cambria"/>
          <w:b w:val="0"/>
          <w:bCs w:val="0"/>
          <w:sz w:val="20"/>
          <w:szCs w:val="20"/>
          <w:lang w:val="en-US"/>
        </w:rPr>
        <w:t>states</w:t>
      </w:r>
      <w:r w:rsidR="150B8F44" w:rsidRPr="00CC562A">
        <w:rPr>
          <w:rFonts w:eastAsia="Cambria" w:cs="Cambria"/>
          <w:b w:val="0"/>
          <w:bCs w:val="0"/>
          <w:sz w:val="20"/>
          <w:szCs w:val="20"/>
          <w:lang w:val="en-US"/>
        </w:rPr>
        <w:t>.</w:t>
      </w:r>
    </w:p>
    <w:p w14:paraId="0B495F48" w14:textId="77777777" w:rsidR="00D41276" w:rsidRPr="00D41276" w:rsidRDefault="00D41276" w:rsidP="00D41276">
      <w:pPr>
        <w:spacing w:after="0"/>
        <w:rPr>
          <w:lang w:val="en-US"/>
        </w:rPr>
      </w:pPr>
    </w:p>
    <w:p w14:paraId="797620CF" w14:textId="51C29DCF" w:rsidR="00E529E8" w:rsidRDefault="000A0DF8" w:rsidP="00E529E8">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In the area of training, the State reported that</w:t>
      </w:r>
      <w:r w:rsidR="0624EF2C" w:rsidRPr="00CC562A">
        <w:rPr>
          <w:rFonts w:eastAsia="Cambria" w:cs="Cambria"/>
          <w:b w:val="0"/>
          <w:bCs w:val="0"/>
          <w:sz w:val="20"/>
          <w:szCs w:val="20"/>
          <w:lang w:val="en-US"/>
        </w:rPr>
        <w:t xml:space="preserve"> </w:t>
      </w:r>
      <w:r w:rsidR="6CC0C439" w:rsidRPr="00CC562A">
        <w:rPr>
          <w:rFonts w:eastAsia="Cambria" w:cs="Cambria"/>
          <w:b w:val="0"/>
          <w:bCs w:val="0"/>
          <w:sz w:val="20"/>
          <w:szCs w:val="20"/>
          <w:lang w:val="en-US"/>
        </w:rPr>
        <w:t xml:space="preserve">INMUJERES </w:t>
      </w:r>
      <w:r w:rsidRPr="00CC562A">
        <w:rPr>
          <w:rFonts w:eastAsia="Cambria" w:cs="Cambria"/>
          <w:b w:val="0"/>
          <w:bCs w:val="0"/>
          <w:sz w:val="20"/>
          <w:szCs w:val="20"/>
          <w:lang w:val="en-US"/>
        </w:rPr>
        <w:t xml:space="preserve">offers on-line and in-person courses as well as standards and skills for certification </w:t>
      </w:r>
      <w:proofErr w:type="gramStart"/>
      <w:r w:rsidRPr="00CC562A">
        <w:rPr>
          <w:rFonts w:eastAsia="Cambria" w:cs="Cambria"/>
          <w:b w:val="0"/>
          <w:bCs w:val="0"/>
          <w:sz w:val="20"/>
          <w:szCs w:val="20"/>
          <w:lang w:val="en-US"/>
        </w:rPr>
        <w:t>in the area of</w:t>
      </w:r>
      <w:proofErr w:type="gramEnd"/>
      <w:r w:rsidRPr="00CC562A">
        <w:rPr>
          <w:rFonts w:eastAsia="Cambria" w:cs="Cambria"/>
          <w:b w:val="0"/>
          <w:bCs w:val="0"/>
          <w:sz w:val="20"/>
          <w:szCs w:val="20"/>
          <w:lang w:val="en-US"/>
        </w:rPr>
        <w:t xml:space="preserve"> equality, non-discrimination, and addressing violence against women. According to the information provided, the website for equality training reached nearly</w:t>
      </w:r>
      <w:r w:rsidR="0624EF2C" w:rsidRPr="00CC562A">
        <w:rPr>
          <w:rFonts w:eastAsia="Cambria" w:cs="Cambria"/>
          <w:b w:val="0"/>
          <w:bCs w:val="0"/>
          <w:sz w:val="20"/>
          <w:szCs w:val="20"/>
          <w:lang w:val="en-US"/>
        </w:rPr>
        <w:t xml:space="preserve"> 800</w:t>
      </w:r>
      <w:r w:rsidRPr="00CC562A">
        <w:rPr>
          <w:rFonts w:eastAsia="Cambria" w:cs="Cambria"/>
          <w:b w:val="0"/>
          <w:bCs w:val="0"/>
          <w:sz w:val="20"/>
          <w:szCs w:val="20"/>
          <w:lang w:val="en-US"/>
        </w:rPr>
        <w:t>,000 visits and about 34,000 persons trained</w:t>
      </w:r>
      <w:r w:rsidR="0624EF2C" w:rsidRPr="00CC562A">
        <w:rPr>
          <w:rFonts w:eastAsia="Cambria" w:cs="Cambria"/>
          <w:b w:val="0"/>
          <w:bCs w:val="0"/>
          <w:sz w:val="20"/>
          <w:szCs w:val="20"/>
          <w:lang w:val="en-US"/>
        </w:rPr>
        <w:t>.</w:t>
      </w:r>
      <w:r w:rsidR="6CC0C439" w:rsidRPr="00CC562A">
        <w:rPr>
          <w:rFonts w:eastAsia="Cambria" w:cs="Cambria"/>
          <w:b w:val="0"/>
          <w:bCs w:val="0"/>
          <w:sz w:val="20"/>
          <w:szCs w:val="20"/>
          <w:lang w:val="en-US"/>
        </w:rPr>
        <w:t xml:space="preserve"> </w:t>
      </w:r>
      <w:r w:rsidRPr="00CC562A">
        <w:rPr>
          <w:rFonts w:eastAsia="Cambria" w:cs="Cambria"/>
          <w:b w:val="0"/>
          <w:bCs w:val="0"/>
          <w:sz w:val="20"/>
          <w:szCs w:val="20"/>
          <w:lang w:val="en-US"/>
        </w:rPr>
        <w:t>Said courses are intended for federal civil servan</w:t>
      </w:r>
      <w:r w:rsidR="00D33CA0" w:rsidRPr="00CC562A">
        <w:rPr>
          <w:rFonts w:eastAsia="Cambria" w:cs="Cambria"/>
          <w:b w:val="0"/>
          <w:bCs w:val="0"/>
          <w:sz w:val="20"/>
          <w:szCs w:val="20"/>
          <w:lang w:val="en-US"/>
        </w:rPr>
        <w:t>t</w:t>
      </w:r>
      <w:r w:rsidRPr="00CC562A">
        <w:rPr>
          <w:rFonts w:eastAsia="Cambria" w:cs="Cambria"/>
          <w:b w:val="0"/>
          <w:bCs w:val="0"/>
          <w:sz w:val="20"/>
          <w:szCs w:val="20"/>
          <w:lang w:val="en-US"/>
        </w:rPr>
        <w:t xml:space="preserve">s, in the federative and municipal entities, as well as citizens in general. </w:t>
      </w:r>
      <w:r w:rsidR="00D33CA0" w:rsidRPr="00CC562A">
        <w:rPr>
          <w:rFonts w:eastAsia="Cambria" w:cs="Cambria"/>
          <w:b w:val="0"/>
          <w:bCs w:val="0"/>
          <w:sz w:val="20"/>
          <w:szCs w:val="20"/>
          <w:lang w:val="en-US"/>
        </w:rPr>
        <w:t xml:space="preserve">These courses </w:t>
      </w:r>
      <w:r w:rsidR="00C80FE5" w:rsidRPr="00CC562A">
        <w:rPr>
          <w:rFonts w:eastAsia="Cambria" w:cs="Cambria"/>
          <w:b w:val="0"/>
          <w:bCs w:val="0"/>
          <w:sz w:val="20"/>
          <w:szCs w:val="20"/>
          <w:lang w:val="en-US"/>
        </w:rPr>
        <w:t>seek</w:t>
      </w:r>
      <w:r w:rsidR="00D33CA0" w:rsidRPr="00CC562A">
        <w:rPr>
          <w:rFonts w:eastAsia="Cambria" w:cs="Cambria"/>
          <w:b w:val="0"/>
          <w:bCs w:val="0"/>
          <w:sz w:val="20"/>
          <w:szCs w:val="20"/>
          <w:lang w:val="en-US"/>
        </w:rPr>
        <w:t xml:space="preserve"> to provide an understanding of basic ideas on the gender equality perspective, its incorporation in public policies, a review of the role of masculinity, and promotion of inclusive language. </w:t>
      </w:r>
      <w:r w:rsidR="6CC0C439" w:rsidRPr="00CC562A">
        <w:rPr>
          <w:rFonts w:eastAsia="Cambria" w:cs="Cambria"/>
          <w:b w:val="0"/>
          <w:bCs w:val="0"/>
          <w:sz w:val="20"/>
          <w:szCs w:val="20"/>
          <w:lang w:val="en-US"/>
        </w:rPr>
        <w:t xml:space="preserve"> </w:t>
      </w:r>
      <w:r w:rsidR="00D33CA0" w:rsidRPr="00CC562A">
        <w:rPr>
          <w:rFonts w:eastAsia="Cambria" w:cs="Cambria"/>
          <w:b w:val="0"/>
          <w:bCs w:val="0"/>
          <w:sz w:val="20"/>
          <w:szCs w:val="20"/>
          <w:lang w:val="en-US"/>
        </w:rPr>
        <w:t>Their educational scope embraces comprehension and sensitization regarding the consequences of inequities between women and men and other gender identi</w:t>
      </w:r>
      <w:r w:rsidR="00D8519F" w:rsidRPr="00CC562A">
        <w:rPr>
          <w:rFonts w:eastAsia="Cambria" w:cs="Cambria"/>
          <w:b w:val="0"/>
          <w:bCs w:val="0"/>
          <w:sz w:val="20"/>
          <w:szCs w:val="20"/>
          <w:lang w:val="en-US"/>
        </w:rPr>
        <w:t>t</w:t>
      </w:r>
      <w:r w:rsidR="00D33CA0" w:rsidRPr="00CC562A">
        <w:rPr>
          <w:rFonts w:eastAsia="Cambria" w:cs="Cambria"/>
          <w:b w:val="0"/>
          <w:bCs w:val="0"/>
          <w:sz w:val="20"/>
          <w:szCs w:val="20"/>
          <w:lang w:val="en-US"/>
        </w:rPr>
        <w:t xml:space="preserve">ies, and discrimination leading to impacts on </w:t>
      </w:r>
      <w:r w:rsidR="00D8519F" w:rsidRPr="00CC562A">
        <w:rPr>
          <w:rFonts w:eastAsia="Cambria" w:cs="Cambria"/>
          <w:b w:val="0"/>
          <w:bCs w:val="0"/>
          <w:sz w:val="20"/>
          <w:szCs w:val="20"/>
          <w:lang w:val="en-US"/>
        </w:rPr>
        <w:t xml:space="preserve">the </w:t>
      </w:r>
      <w:r w:rsidR="00D33CA0" w:rsidRPr="00CC562A">
        <w:rPr>
          <w:rFonts w:eastAsia="Cambria" w:cs="Cambria"/>
          <w:b w:val="0"/>
          <w:bCs w:val="0"/>
          <w:sz w:val="20"/>
          <w:szCs w:val="20"/>
          <w:lang w:val="en-US"/>
        </w:rPr>
        <w:t>exercise of human rights.</w:t>
      </w:r>
      <w:r w:rsidR="00946551" w:rsidRPr="00CC562A">
        <w:rPr>
          <w:rStyle w:val="FootnoteReference"/>
          <w:rFonts w:eastAsia="Cambria" w:cs="Cambria"/>
          <w:b w:val="0"/>
          <w:bCs w:val="0"/>
          <w:sz w:val="20"/>
          <w:szCs w:val="20"/>
          <w:lang w:val="en-US"/>
        </w:rPr>
        <w:footnoteReference w:id="218"/>
      </w:r>
    </w:p>
    <w:p w14:paraId="03BF8BEA" w14:textId="77777777" w:rsidR="00D41276" w:rsidRPr="00D41276" w:rsidRDefault="00D41276" w:rsidP="00D41276">
      <w:pPr>
        <w:spacing w:after="0"/>
        <w:rPr>
          <w:lang w:val="en-US"/>
        </w:rPr>
      </w:pPr>
    </w:p>
    <w:p w14:paraId="3DAD1190" w14:textId="4FDCD354" w:rsidR="00EC5C63" w:rsidRPr="00CC562A" w:rsidRDefault="00BD3B87" w:rsidP="00D41276">
      <w:pPr>
        <w:pStyle w:val="Heading3"/>
        <w:spacing w:before="0" w:after="0" w:line="240" w:lineRule="auto"/>
        <w:ind w:left="0" w:firstLine="720"/>
        <w:rPr>
          <w:b w:val="0"/>
          <w:bCs w:val="0"/>
          <w:sz w:val="20"/>
          <w:szCs w:val="20"/>
          <w:lang w:val="en-US"/>
        </w:rPr>
      </w:pPr>
      <w:r w:rsidRPr="00CC562A">
        <w:rPr>
          <w:b w:val="0"/>
          <w:bCs w:val="0"/>
          <w:sz w:val="20"/>
          <w:lang w:val="en-US"/>
        </w:rPr>
        <w:t xml:space="preserve">In addition, the State indicated that the </w:t>
      </w:r>
      <w:r w:rsidR="00E529E8" w:rsidRPr="00CC562A">
        <w:rPr>
          <w:b w:val="0"/>
          <w:bCs w:val="0"/>
          <w:sz w:val="20"/>
          <w:szCs w:val="20"/>
          <w:lang w:val="en-US"/>
        </w:rPr>
        <w:t>INAI ha</w:t>
      </w:r>
      <w:r w:rsidRPr="00CC562A">
        <w:rPr>
          <w:b w:val="0"/>
          <w:bCs w:val="0"/>
          <w:sz w:val="20"/>
          <w:szCs w:val="20"/>
          <w:lang w:val="en-US"/>
        </w:rPr>
        <w:t>s undertaken various efforts to strengthen the gender perspective in the institution’s work and to eliminate inequality gaps</w:t>
      </w:r>
      <w:r w:rsidR="00E529E8" w:rsidRPr="00CC562A">
        <w:rPr>
          <w:b w:val="0"/>
          <w:bCs w:val="0"/>
          <w:sz w:val="20"/>
          <w:szCs w:val="20"/>
          <w:lang w:val="en-US"/>
        </w:rPr>
        <w:t xml:space="preserve">. </w:t>
      </w:r>
      <w:r w:rsidRPr="00CC562A">
        <w:rPr>
          <w:b w:val="0"/>
          <w:bCs w:val="0"/>
          <w:sz w:val="20"/>
          <w:szCs w:val="20"/>
          <w:lang w:val="en-US"/>
        </w:rPr>
        <w:t xml:space="preserve">These actions range from the issuance of regulatory instruments to training and awareness activities </w:t>
      </w:r>
      <w:r w:rsidR="000B2379" w:rsidRPr="00CC562A">
        <w:rPr>
          <w:b w:val="0"/>
          <w:bCs w:val="0"/>
          <w:sz w:val="20"/>
          <w:szCs w:val="20"/>
          <w:lang w:val="en-US"/>
        </w:rPr>
        <w:t>to</w:t>
      </w:r>
      <w:r w:rsidRPr="00CC562A">
        <w:rPr>
          <w:b w:val="0"/>
          <w:bCs w:val="0"/>
          <w:sz w:val="20"/>
          <w:szCs w:val="20"/>
          <w:lang w:val="en-US"/>
        </w:rPr>
        <w:t xml:space="preserve"> various inter-institutional activities. In this regard, the</w:t>
      </w:r>
      <w:r w:rsidR="00E529E8" w:rsidRPr="00CC562A">
        <w:rPr>
          <w:b w:val="0"/>
          <w:bCs w:val="0"/>
          <w:sz w:val="20"/>
          <w:szCs w:val="20"/>
          <w:lang w:val="en-US"/>
        </w:rPr>
        <w:t xml:space="preserve"> INAI </w:t>
      </w:r>
      <w:r w:rsidRPr="00CC562A">
        <w:rPr>
          <w:b w:val="0"/>
          <w:bCs w:val="0"/>
          <w:sz w:val="20"/>
          <w:szCs w:val="20"/>
          <w:lang w:val="en-US"/>
        </w:rPr>
        <w:t>emphasized, for example, the INAI’s Policy on Equality and Non-discrimination approved in</w:t>
      </w:r>
      <w:r w:rsidR="00E529E8" w:rsidRPr="00CC562A">
        <w:rPr>
          <w:b w:val="0"/>
          <w:bCs w:val="0"/>
          <w:sz w:val="20"/>
          <w:szCs w:val="20"/>
          <w:lang w:val="en-US"/>
        </w:rPr>
        <w:t xml:space="preserve"> 2021; </w:t>
      </w:r>
      <w:r w:rsidRPr="00CC562A">
        <w:rPr>
          <w:b w:val="0"/>
          <w:bCs w:val="0"/>
          <w:sz w:val="20"/>
          <w:szCs w:val="20"/>
          <w:lang w:val="en-US"/>
        </w:rPr>
        <w:t>the INAI’s 2021 Guide on Inclusive and Non-sexist Communication</w:t>
      </w:r>
      <w:r w:rsidR="00E529E8" w:rsidRPr="00CC562A">
        <w:rPr>
          <w:b w:val="0"/>
          <w:bCs w:val="0"/>
          <w:sz w:val="20"/>
          <w:szCs w:val="20"/>
          <w:lang w:val="en-US"/>
        </w:rPr>
        <w:t xml:space="preserve">; </w:t>
      </w:r>
      <w:r w:rsidRPr="00CC562A">
        <w:rPr>
          <w:b w:val="0"/>
          <w:bCs w:val="0"/>
          <w:sz w:val="20"/>
          <w:szCs w:val="20"/>
          <w:lang w:val="en-US"/>
        </w:rPr>
        <w:t xml:space="preserve">participation in the 2021-2024 </w:t>
      </w:r>
      <w:r w:rsidR="00E529E8" w:rsidRPr="00CC562A">
        <w:rPr>
          <w:b w:val="0"/>
          <w:bCs w:val="0"/>
          <w:sz w:val="20"/>
          <w:szCs w:val="20"/>
          <w:lang w:val="en-US"/>
        </w:rPr>
        <w:t>PROIGUALDAD</w:t>
      </w:r>
      <w:r w:rsidRPr="00CC562A">
        <w:rPr>
          <w:b w:val="0"/>
          <w:bCs w:val="0"/>
          <w:sz w:val="20"/>
          <w:szCs w:val="20"/>
          <w:lang w:val="en-US"/>
        </w:rPr>
        <w:t xml:space="preserve"> program; the Observatory</w:t>
      </w:r>
      <w:r w:rsidR="00E529E8" w:rsidRPr="00CC562A">
        <w:rPr>
          <w:b w:val="0"/>
          <w:bCs w:val="0"/>
          <w:sz w:val="20"/>
          <w:szCs w:val="20"/>
          <w:lang w:val="en-US"/>
        </w:rPr>
        <w:t xml:space="preserve"> </w:t>
      </w:r>
      <w:r w:rsidRPr="00CC562A">
        <w:rPr>
          <w:b w:val="0"/>
          <w:bCs w:val="0"/>
          <w:sz w:val="20"/>
          <w:szCs w:val="20"/>
          <w:lang w:val="en-US"/>
        </w:rPr>
        <w:t>on resolutions with a gender perspective, among other efforts.</w:t>
      </w:r>
      <w:r w:rsidR="00E529E8" w:rsidRPr="00CC562A">
        <w:rPr>
          <w:rStyle w:val="FootnoteReference"/>
          <w:b w:val="0"/>
          <w:bCs w:val="0"/>
          <w:sz w:val="20"/>
          <w:szCs w:val="20"/>
          <w:lang w:val="en-US"/>
        </w:rPr>
        <w:footnoteReference w:id="219"/>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r w:rsidR="00E529E8" w:rsidRPr="00CC562A">
        <w:rPr>
          <w:b w:val="0"/>
          <w:bCs w:val="0"/>
          <w:sz w:val="20"/>
          <w:szCs w:val="20"/>
          <w:lang w:val="en-US"/>
        </w:rPr>
        <w:tab/>
      </w:r>
    </w:p>
    <w:p w14:paraId="678865FB" w14:textId="5C723415" w:rsidR="00DB71FA" w:rsidRPr="00CC562A" w:rsidRDefault="00D33CA0" w:rsidP="00E529E8">
      <w:pPr>
        <w:pStyle w:val="Heading3"/>
        <w:spacing w:before="0" w:after="0" w:line="240" w:lineRule="auto"/>
        <w:ind w:left="0" w:firstLine="720"/>
        <w:rPr>
          <w:rFonts w:ascii="Libre Baskerville" w:hAnsi="Libre Baskerville"/>
          <w:sz w:val="20"/>
          <w:szCs w:val="20"/>
          <w:lang w:val="en-US"/>
        </w:rPr>
      </w:pPr>
      <w:r w:rsidRPr="00CC562A">
        <w:rPr>
          <w:rFonts w:eastAsia="Cambria" w:cs="Cambria"/>
          <w:b w:val="0"/>
          <w:bCs w:val="0"/>
          <w:sz w:val="20"/>
          <w:szCs w:val="20"/>
          <w:lang w:val="en-US"/>
        </w:rPr>
        <w:t xml:space="preserve">For its part, the EQUIS organization </w:t>
      </w:r>
      <w:r w:rsidR="00CF48C6" w:rsidRPr="00CC562A">
        <w:rPr>
          <w:rFonts w:eastAsia="Cambria" w:cs="Cambria"/>
          <w:b w:val="0"/>
          <w:bCs w:val="0"/>
          <w:sz w:val="20"/>
          <w:szCs w:val="20"/>
          <w:lang w:val="en-US"/>
        </w:rPr>
        <w:t>emphasized</w:t>
      </w:r>
      <w:r w:rsidRPr="00CC562A">
        <w:rPr>
          <w:rFonts w:eastAsia="Cambria" w:cs="Cambria"/>
          <w:b w:val="0"/>
          <w:bCs w:val="0"/>
          <w:sz w:val="20"/>
          <w:szCs w:val="20"/>
          <w:lang w:val="en-US"/>
        </w:rPr>
        <w:t>, according to the joint report “</w:t>
      </w:r>
      <w:r w:rsidR="00CF48C6" w:rsidRPr="00CC562A">
        <w:rPr>
          <w:rFonts w:eastAsia="Cambria" w:cs="Cambria"/>
          <w:b w:val="0"/>
          <w:bCs w:val="0"/>
          <w:sz w:val="20"/>
          <w:szCs w:val="20"/>
          <w:lang w:val="en-US"/>
        </w:rPr>
        <w:t>It is not Justice. An analysis of the country’s judiciary sentences and resolutions,” that</w:t>
      </w:r>
      <w:r w:rsidR="090E8F4C" w:rsidRPr="00CC562A">
        <w:rPr>
          <w:rFonts w:eastAsia="Cambria" w:cs="Cambria"/>
          <w:b w:val="0"/>
          <w:bCs w:val="0"/>
          <w:sz w:val="20"/>
          <w:szCs w:val="20"/>
          <w:lang w:val="en-US"/>
        </w:rPr>
        <w:t xml:space="preserve"> 85% </w:t>
      </w:r>
      <w:r w:rsidR="00CF48C6" w:rsidRPr="00CC562A">
        <w:rPr>
          <w:rFonts w:eastAsia="Cambria" w:cs="Cambria"/>
          <w:b w:val="0"/>
          <w:bCs w:val="0"/>
          <w:sz w:val="20"/>
          <w:szCs w:val="20"/>
          <w:lang w:val="en-US"/>
        </w:rPr>
        <w:t xml:space="preserve">of the sentences analyzed do not </w:t>
      </w:r>
      <w:r w:rsidR="00CF48C6" w:rsidRPr="00CC562A">
        <w:rPr>
          <w:rFonts w:eastAsia="Cambria" w:cs="Cambria"/>
          <w:b w:val="0"/>
          <w:bCs w:val="0"/>
          <w:sz w:val="20"/>
          <w:szCs w:val="20"/>
          <w:lang w:val="en-US"/>
        </w:rPr>
        <w:lastRenderedPageBreak/>
        <w:t xml:space="preserve">consider how gender stereotypes or the identity characteristics of the persons involved in the case influenced either the facts </w:t>
      </w:r>
      <w:r w:rsidR="00C80FE5" w:rsidRPr="00CC562A">
        <w:rPr>
          <w:rFonts w:eastAsia="Cambria" w:cs="Cambria"/>
          <w:b w:val="0"/>
          <w:bCs w:val="0"/>
          <w:sz w:val="20"/>
          <w:szCs w:val="20"/>
          <w:lang w:val="en-US"/>
        </w:rPr>
        <w:t>or the</w:t>
      </w:r>
      <w:r w:rsidR="00CF48C6" w:rsidRPr="00CC562A">
        <w:rPr>
          <w:rFonts w:eastAsia="Cambria" w:cs="Cambria"/>
          <w:b w:val="0"/>
          <w:bCs w:val="0"/>
          <w:sz w:val="20"/>
          <w:szCs w:val="20"/>
          <w:lang w:val="en-US"/>
        </w:rPr>
        <w:t xml:space="preserve"> conflicts that arose. In addition, it found that</w:t>
      </w:r>
      <w:r w:rsidR="090E8F4C" w:rsidRPr="00CC562A">
        <w:rPr>
          <w:rFonts w:eastAsia="Cambria" w:cs="Cambria"/>
          <w:b w:val="0"/>
          <w:bCs w:val="0"/>
          <w:sz w:val="20"/>
          <w:szCs w:val="20"/>
          <w:lang w:val="en-US"/>
        </w:rPr>
        <w:t xml:space="preserve"> </w:t>
      </w:r>
      <w:r w:rsidR="00CF48C6" w:rsidRPr="00CC562A">
        <w:rPr>
          <w:rFonts w:eastAsia="Cambria" w:cs="Cambria"/>
          <w:b w:val="0"/>
          <w:bCs w:val="0"/>
          <w:sz w:val="20"/>
          <w:szCs w:val="20"/>
          <w:lang w:val="en-US"/>
        </w:rPr>
        <w:t xml:space="preserve">in </w:t>
      </w:r>
      <w:r w:rsidR="090E8F4C" w:rsidRPr="00CC562A">
        <w:rPr>
          <w:rFonts w:eastAsia="Cambria" w:cs="Cambria"/>
          <w:b w:val="0"/>
          <w:bCs w:val="0"/>
          <w:sz w:val="20"/>
          <w:szCs w:val="20"/>
          <w:lang w:val="en-US"/>
        </w:rPr>
        <w:t xml:space="preserve">47% </w:t>
      </w:r>
      <w:r w:rsidR="00CF48C6" w:rsidRPr="00CC562A">
        <w:rPr>
          <w:rFonts w:eastAsia="Cambria" w:cs="Cambria"/>
          <w:b w:val="0"/>
          <w:bCs w:val="0"/>
          <w:sz w:val="20"/>
          <w:szCs w:val="20"/>
          <w:lang w:val="en-US"/>
        </w:rPr>
        <w:t xml:space="preserve">of the cases judges did not evaluate the situations of </w:t>
      </w:r>
      <w:r w:rsidR="00C80FE5" w:rsidRPr="00CC562A">
        <w:rPr>
          <w:rFonts w:eastAsia="Cambria" w:cs="Cambria"/>
          <w:b w:val="0"/>
          <w:bCs w:val="0"/>
          <w:sz w:val="20"/>
          <w:szCs w:val="20"/>
          <w:lang w:val="en-US"/>
        </w:rPr>
        <w:t>violence that</w:t>
      </w:r>
      <w:r w:rsidR="00CF48C6" w:rsidRPr="00CC562A">
        <w:rPr>
          <w:rFonts w:eastAsia="Cambria" w:cs="Cambria"/>
          <w:b w:val="0"/>
          <w:bCs w:val="0"/>
          <w:sz w:val="20"/>
          <w:szCs w:val="20"/>
          <w:lang w:val="en-US"/>
        </w:rPr>
        <w:t xml:space="preserve"> were explicitly noted in the women’s reports, and </w:t>
      </w:r>
      <w:r w:rsidR="090E8F4C" w:rsidRPr="00CC562A">
        <w:rPr>
          <w:rFonts w:eastAsia="Cambria" w:cs="Cambria"/>
          <w:b w:val="0"/>
          <w:bCs w:val="0"/>
          <w:sz w:val="20"/>
          <w:szCs w:val="20"/>
          <w:lang w:val="en-US"/>
        </w:rPr>
        <w:t xml:space="preserve">69% </w:t>
      </w:r>
      <w:r w:rsidR="00CF48C6" w:rsidRPr="00CC562A">
        <w:rPr>
          <w:rFonts w:eastAsia="Cambria" w:cs="Cambria"/>
          <w:b w:val="0"/>
          <w:bCs w:val="0"/>
          <w:sz w:val="20"/>
          <w:szCs w:val="20"/>
          <w:lang w:val="en-US"/>
        </w:rPr>
        <w:t>failed to identify possible situation</w:t>
      </w:r>
      <w:r w:rsidR="00D8519F" w:rsidRPr="00CC562A">
        <w:rPr>
          <w:rFonts w:eastAsia="Cambria" w:cs="Cambria"/>
          <w:b w:val="0"/>
          <w:bCs w:val="0"/>
          <w:sz w:val="20"/>
          <w:szCs w:val="20"/>
          <w:lang w:val="en-US"/>
        </w:rPr>
        <w:t>s</w:t>
      </w:r>
      <w:r w:rsidR="00CF48C6" w:rsidRPr="00CC562A">
        <w:rPr>
          <w:rFonts w:eastAsia="Cambria" w:cs="Cambria"/>
          <w:b w:val="0"/>
          <w:bCs w:val="0"/>
          <w:sz w:val="20"/>
          <w:szCs w:val="20"/>
          <w:lang w:val="en-US"/>
        </w:rPr>
        <w:t xml:space="preserve"> or conduct that put them at risk</w:t>
      </w:r>
      <w:r w:rsidR="00D8519F" w:rsidRPr="00CC562A">
        <w:rPr>
          <w:rFonts w:eastAsia="Cambria" w:cs="Cambria"/>
          <w:b w:val="0"/>
          <w:bCs w:val="0"/>
          <w:sz w:val="20"/>
          <w:szCs w:val="20"/>
          <w:lang w:val="en-US"/>
        </w:rPr>
        <w:t xml:space="preserve"> and </w:t>
      </w:r>
      <w:r w:rsidR="00CF48C6" w:rsidRPr="00CC562A">
        <w:rPr>
          <w:rFonts w:eastAsia="Cambria" w:cs="Cambria"/>
          <w:b w:val="0"/>
          <w:bCs w:val="0"/>
          <w:sz w:val="20"/>
          <w:szCs w:val="20"/>
          <w:lang w:val="en-US"/>
        </w:rPr>
        <w:t>even argu</w:t>
      </w:r>
      <w:r w:rsidR="00D8519F" w:rsidRPr="00CC562A">
        <w:rPr>
          <w:rFonts w:eastAsia="Cambria" w:cs="Cambria"/>
          <w:b w:val="0"/>
          <w:bCs w:val="0"/>
          <w:sz w:val="20"/>
          <w:szCs w:val="20"/>
          <w:lang w:val="en-US"/>
        </w:rPr>
        <w:t>ed</w:t>
      </w:r>
      <w:r w:rsidR="00CF48C6" w:rsidRPr="00CC562A">
        <w:rPr>
          <w:rFonts w:eastAsia="Cambria" w:cs="Cambria"/>
          <w:b w:val="0"/>
          <w:bCs w:val="0"/>
          <w:sz w:val="20"/>
          <w:szCs w:val="20"/>
          <w:lang w:val="en-US"/>
        </w:rPr>
        <w:t xml:space="preserve"> that what happened to them was their responsibility, independent of the context or </w:t>
      </w:r>
      <w:proofErr w:type="gramStart"/>
      <w:r w:rsidR="00CF48C6" w:rsidRPr="00CC562A">
        <w:rPr>
          <w:rFonts w:eastAsia="Cambria" w:cs="Cambria"/>
          <w:b w:val="0"/>
          <w:bCs w:val="0"/>
          <w:sz w:val="20"/>
          <w:szCs w:val="20"/>
          <w:lang w:val="en-US"/>
        </w:rPr>
        <w:t>particular situation</w:t>
      </w:r>
      <w:proofErr w:type="gramEnd"/>
      <w:r w:rsidR="00CF48C6" w:rsidRPr="00CC562A">
        <w:rPr>
          <w:rFonts w:eastAsia="Cambria" w:cs="Cambria"/>
          <w:b w:val="0"/>
          <w:bCs w:val="0"/>
          <w:sz w:val="20"/>
          <w:szCs w:val="20"/>
          <w:lang w:val="en-US"/>
        </w:rPr>
        <w:t xml:space="preserve"> they were facing</w:t>
      </w:r>
      <w:r w:rsidR="090E8F4C" w:rsidRPr="00CC562A">
        <w:rPr>
          <w:rFonts w:eastAsia="Cambria" w:cs="Cambria"/>
          <w:b w:val="0"/>
          <w:bCs w:val="0"/>
          <w:sz w:val="20"/>
          <w:szCs w:val="20"/>
          <w:lang w:val="en-US"/>
        </w:rPr>
        <w:t>.</w:t>
      </w:r>
      <w:r w:rsidR="090E8F4C" w:rsidRPr="00CC562A">
        <w:rPr>
          <w:rFonts w:ascii="Libre Baskerville" w:hAnsi="Libre Baskerville"/>
          <w:sz w:val="20"/>
          <w:szCs w:val="20"/>
          <w:lang w:val="en-US"/>
        </w:rPr>
        <w:t xml:space="preserve"> </w:t>
      </w:r>
    </w:p>
    <w:p w14:paraId="7027C803" w14:textId="77777777" w:rsidR="00EC5C63" w:rsidRPr="00CC562A" w:rsidRDefault="00EC5C63" w:rsidP="00E529E8">
      <w:pPr>
        <w:spacing w:after="0" w:line="240" w:lineRule="auto"/>
        <w:ind w:firstLine="720"/>
        <w:rPr>
          <w:sz w:val="20"/>
          <w:szCs w:val="20"/>
          <w:lang w:val="en-US"/>
        </w:rPr>
      </w:pPr>
    </w:p>
    <w:p w14:paraId="650DC54C" w14:textId="6F9B02A1" w:rsidR="00EC5C63" w:rsidRPr="00CC562A" w:rsidRDefault="38D0A847" w:rsidP="00E529E8">
      <w:pPr>
        <w:pStyle w:val="Heading3"/>
        <w:spacing w:before="0" w:after="0" w:line="240" w:lineRule="auto"/>
        <w:ind w:left="0" w:firstLine="720"/>
        <w:rPr>
          <w:sz w:val="20"/>
          <w:szCs w:val="20"/>
          <w:lang w:val="en-US"/>
        </w:rPr>
      </w:pPr>
      <w:r w:rsidRPr="00CC562A">
        <w:rPr>
          <w:rFonts w:eastAsia="Cambria" w:cs="Cambria"/>
          <w:b w:val="0"/>
          <w:bCs w:val="0"/>
          <w:sz w:val="20"/>
          <w:szCs w:val="20"/>
          <w:lang w:val="en-US"/>
        </w:rPr>
        <w:t xml:space="preserve"> </w:t>
      </w:r>
      <w:r w:rsidR="00276638" w:rsidRPr="00CC562A">
        <w:rPr>
          <w:b w:val="0"/>
          <w:bCs w:val="0"/>
          <w:sz w:val="20"/>
          <w:szCs w:val="20"/>
          <w:lang w:val="en-US"/>
        </w:rPr>
        <w:t>The IACHR</w:t>
      </w:r>
      <w:r w:rsidR="42066706" w:rsidRPr="00CC562A">
        <w:rPr>
          <w:b w:val="0"/>
          <w:bCs w:val="0"/>
          <w:sz w:val="20"/>
          <w:szCs w:val="20"/>
          <w:lang w:val="en-US"/>
        </w:rPr>
        <w:t xml:space="preserve"> reco</w:t>
      </w:r>
      <w:r w:rsidR="00CF48C6" w:rsidRPr="00CC562A">
        <w:rPr>
          <w:b w:val="0"/>
          <w:bCs w:val="0"/>
          <w:sz w:val="20"/>
          <w:szCs w:val="20"/>
          <w:lang w:val="en-US"/>
        </w:rPr>
        <w:t>gnizes the efforts made by the State to comply with this recommendation.</w:t>
      </w:r>
      <w:r w:rsidR="0025A7F0" w:rsidRPr="00CC562A">
        <w:rPr>
          <w:b w:val="0"/>
          <w:bCs w:val="0"/>
          <w:sz w:val="20"/>
          <w:szCs w:val="20"/>
          <w:lang w:val="en-US"/>
        </w:rPr>
        <w:t xml:space="preserve"> </w:t>
      </w:r>
      <w:r w:rsidR="00752FED" w:rsidRPr="00CC562A">
        <w:rPr>
          <w:b w:val="0"/>
          <w:bCs w:val="0"/>
          <w:sz w:val="20"/>
          <w:szCs w:val="20"/>
          <w:lang w:val="en-US"/>
        </w:rPr>
        <w:t>Nonetheless,</w:t>
      </w:r>
      <w:r w:rsidR="7EB4A142" w:rsidRPr="00CC562A">
        <w:rPr>
          <w:b w:val="0"/>
          <w:bCs w:val="0"/>
          <w:sz w:val="20"/>
          <w:szCs w:val="20"/>
          <w:lang w:val="en-US"/>
        </w:rPr>
        <w:t xml:space="preserve"> </w:t>
      </w:r>
      <w:r w:rsidR="00CF48C6" w:rsidRPr="00CC562A">
        <w:rPr>
          <w:b w:val="0"/>
          <w:bCs w:val="0"/>
          <w:sz w:val="20"/>
          <w:szCs w:val="20"/>
          <w:lang w:val="en-US"/>
        </w:rPr>
        <w:t>it notes with extreme concern the prevalence of high rates of feminicide</w:t>
      </w:r>
      <w:r w:rsidR="00D41842" w:rsidRPr="00CC562A">
        <w:rPr>
          <w:b w:val="0"/>
          <w:bCs w:val="0"/>
          <w:sz w:val="20"/>
          <w:szCs w:val="20"/>
          <w:lang w:val="en-US"/>
        </w:rPr>
        <w:t>, sexual</w:t>
      </w:r>
      <w:r w:rsidR="00D8519F" w:rsidRPr="00CC562A">
        <w:rPr>
          <w:b w:val="0"/>
          <w:bCs w:val="0"/>
          <w:sz w:val="20"/>
          <w:szCs w:val="20"/>
          <w:lang w:val="en-US"/>
        </w:rPr>
        <w:t xml:space="preserve"> violence, </w:t>
      </w:r>
      <w:r w:rsidR="00D41842" w:rsidRPr="00CC562A">
        <w:rPr>
          <w:b w:val="0"/>
          <w:bCs w:val="0"/>
          <w:sz w:val="20"/>
          <w:szCs w:val="20"/>
          <w:lang w:val="en-US"/>
        </w:rPr>
        <w:t xml:space="preserve">and domestic </w:t>
      </w:r>
      <w:r w:rsidR="00CF48C6" w:rsidRPr="00CC562A">
        <w:rPr>
          <w:b w:val="0"/>
          <w:bCs w:val="0"/>
          <w:sz w:val="20"/>
          <w:szCs w:val="20"/>
          <w:lang w:val="en-US"/>
        </w:rPr>
        <w:t>violence</w:t>
      </w:r>
      <w:r w:rsidR="00D41842" w:rsidRPr="00CC562A">
        <w:rPr>
          <w:b w:val="0"/>
          <w:bCs w:val="0"/>
          <w:sz w:val="20"/>
          <w:szCs w:val="20"/>
          <w:lang w:val="en-US"/>
        </w:rPr>
        <w:t xml:space="preserve"> against women, which reflects normalization and social tolerance thereof. </w:t>
      </w:r>
      <w:r w:rsidR="7EB4A142" w:rsidRPr="00CC562A">
        <w:rPr>
          <w:b w:val="0"/>
          <w:bCs w:val="0"/>
          <w:sz w:val="20"/>
          <w:szCs w:val="20"/>
          <w:lang w:val="en-US"/>
        </w:rPr>
        <w:t xml:space="preserve"> </w:t>
      </w:r>
      <w:r w:rsidR="00D41842" w:rsidRPr="00CC562A">
        <w:rPr>
          <w:b w:val="0"/>
          <w:bCs w:val="0"/>
          <w:sz w:val="20"/>
          <w:szCs w:val="20"/>
          <w:lang w:val="en-US"/>
        </w:rPr>
        <w:t>In addition, the Commission notes that part of the information provided by the State is outdated, is local in scope, or does no</w:t>
      </w:r>
      <w:r w:rsidR="00D8519F" w:rsidRPr="00CC562A">
        <w:rPr>
          <w:b w:val="0"/>
          <w:bCs w:val="0"/>
          <w:sz w:val="20"/>
          <w:szCs w:val="20"/>
          <w:lang w:val="en-US"/>
        </w:rPr>
        <w:t>t</w:t>
      </w:r>
      <w:r w:rsidR="00D41842" w:rsidRPr="00CC562A">
        <w:rPr>
          <w:b w:val="0"/>
          <w:bCs w:val="0"/>
          <w:sz w:val="20"/>
          <w:szCs w:val="20"/>
          <w:lang w:val="en-US"/>
        </w:rPr>
        <w:t xml:space="preserve"> allow for evaluating how </w:t>
      </w:r>
      <w:r w:rsidR="00D8519F" w:rsidRPr="00CC562A">
        <w:rPr>
          <w:b w:val="0"/>
          <w:bCs w:val="0"/>
          <w:sz w:val="20"/>
          <w:szCs w:val="20"/>
          <w:lang w:val="en-US"/>
        </w:rPr>
        <w:t>such</w:t>
      </w:r>
      <w:r w:rsidR="00D41842" w:rsidRPr="00CC562A">
        <w:rPr>
          <w:b w:val="0"/>
          <w:bCs w:val="0"/>
          <w:sz w:val="20"/>
          <w:szCs w:val="20"/>
          <w:lang w:val="en-US"/>
        </w:rPr>
        <w:t xml:space="preserve"> measures helps to modify sociocultural patterns of discrimination against women. Based on the foregoing, the Commission notes that the status of this recommendation is</w:t>
      </w:r>
      <w:r w:rsidR="7EB4A142" w:rsidRPr="00CC562A">
        <w:rPr>
          <w:sz w:val="20"/>
          <w:szCs w:val="20"/>
          <w:lang w:val="en-US"/>
        </w:rPr>
        <w:t xml:space="preserve"> par</w:t>
      </w:r>
      <w:r w:rsidR="00D41842" w:rsidRPr="00CC562A">
        <w:rPr>
          <w:sz w:val="20"/>
          <w:szCs w:val="20"/>
          <w:lang w:val="en-US"/>
        </w:rPr>
        <w:t>t</w:t>
      </w:r>
      <w:r w:rsidR="7EB4A142" w:rsidRPr="00CC562A">
        <w:rPr>
          <w:sz w:val="20"/>
          <w:szCs w:val="20"/>
          <w:lang w:val="en-US"/>
        </w:rPr>
        <w:t>ial</w:t>
      </w:r>
      <w:r w:rsidR="00D41842" w:rsidRPr="00CC562A">
        <w:rPr>
          <w:sz w:val="20"/>
          <w:szCs w:val="20"/>
          <w:lang w:val="en-US"/>
        </w:rPr>
        <w:t xml:space="preserve"> compliance.</w:t>
      </w:r>
      <w:r w:rsidR="7EB4A142" w:rsidRPr="00CC562A">
        <w:rPr>
          <w:sz w:val="20"/>
          <w:szCs w:val="20"/>
          <w:lang w:val="en-US"/>
        </w:rPr>
        <w:t xml:space="preserve"> </w:t>
      </w:r>
    </w:p>
    <w:p w14:paraId="15A30C4F" w14:textId="77777777" w:rsidR="00EC5C63" w:rsidRPr="00CC562A" w:rsidRDefault="00EC5C63" w:rsidP="00E529E8">
      <w:pPr>
        <w:spacing w:after="0" w:line="240" w:lineRule="auto"/>
        <w:ind w:firstLine="720"/>
        <w:rPr>
          <w:sz w:val="20"/>
          <w:szCs w:val="20"/>
          <w:lang w:val="en-US"/>
        </w:rPr>
      </w:pPr>
    </w:p>
    <w:p w14:paraId="194FF17D" w14:textId="527F575B" w:rsidR="00DB71FA" w:rsidRPr="00CC562A" w:rsidRDefault="00D41842" w:rsidP="00E529E8">
      <w:pPr>
        <w:pStyle w:val="Heading3"/>
        <w:spacing w:before="0" w:after="0" w:line="240" w:lineRule="auto"/>
        <w:ind w:left="0" w:firstLine="720"/>
        <w:rPr>
          <w:b w:val="0"/>
          <w:bCs w:val="0"/>
          <w:sz w:val="20"/>
          <w:szCs w:val="20"/>
          <w:lang w:val="en-US"/>
        </w:rPr>
      </w:pPr>
      <w:r w:rsidRPr="00CC562A">
        <w:rPr>
          <w:b w:val="0"/>
          <w:bCs w:val="0"/>
          <w:sz w:val="20"/>
          <w:szCs w:val="20"/>
          <w:lang w:val="en-US"/>
        </w:rPr>
        <w:t>To guide compliance with this recommendation, the</w:t>
      </w:r>
      <w:r w:rsidR="00276638" w:rsidRPr="00CC562A">
        <w:rPr>
          <w:b w:val="0"/>
          <w:bCs w:val="0"/>
          <w:sz w:val="20"/>
          <w:szCs w:val="20"/>
          <w:lang w:val="en-US"/>
        </w:rPr>
        <w:t xml:space="preserve"> IACHR</w:t>
      </w:r>
      <w:r w:rsidR="71ACC342" w:rsidRPr="00CC562A">
        <w:rPr>
          <w:b w:val="0"/>
          <w:bCs w:val="0"/>
          <w:sz w:val="20"/>
          <w:szCs w:val="20"/>
          <w:lang w:val="en-US"/>
        </w:rPr>
        <w:t xml:space="preserve"> re</w:t>
      </w:r>
      <w:r w:rsidRPr="00CC562A">
        <w:rPr>
          <w:b w:val="0"/>
          <w:bCs w:val="0"/>
          <w:sz w:val="20"/>
          <w:szCs w:val="20"/>
          <w:lang w:val="en-US"/>
        </w:rPr>
        <w:t>calls that the adoption of public policies to restructure stereotypes on the role of women cannot consist of isolated actions, but should rather be incorporated as part of a comprehensive strategy that encompasses all persons and addresses on a differentiated basis the diversity of the public to which they are directed, as well as the multiplicity of problems that women face in different regions of the country.</w:t>
      </w:r>
      <w:r w:rsidR="001E195F" w:rsidRPr="00CC562A">
        <w:rPr>
          <w:rStyle w:val="FootnoteReference"/>
          <w:b w:val="0"/>
          <w:bCs w:val="0"/>
          <w:sz w:val="20"/>
          <w:szCs w:val="20"/>
          <w:lang w:val="en-US"/>
        </w:rPr>
        <w:footnoteReference w:id="220"/>
      </w:r>
      <w:r w:rsidRPr="00CC562A">
        <w:rPr>
          <w:b w:val="0"/>
          <w:bCs w:val="0"/>
          <w:sz w:val="20"/>
          <w:szCs w:val="20"/>
          <w:lang w:val="en-US"/>
        </w:rPr>
        <w:t xml:space="preserve"> In this sense, the Commission invites the State to</w:t>
      </w:r>
      <w:r w:rsidR="00CA41ED" w:rsidRPr="00CC562A">
        <w:rPr>
          <w:b w:val="0"/>
          <w:bCs w:val="0"/>
          <w:sz w:val="20"/>
          <w:szCs w:val="20"/>
          <w:lang w:val="en-US"/>
        </w:rPr>
        <w:t xml:space="preserve"> consider</w:t>
      </w:r>
      <w:r w:rsidRPr="00CC562A">
        <w:rPr>
          <w:b w:val="0"/>
          <w:bCs w:val="0"/>
          <w:sz w:val="20"/>
          <w:szCs w:val="20"/>
          <w:lang w:val="en-US"/>
        </w:rPr>
        <w:t xml:space="preserve"> that the implementation of public policies </w:t>
      </w:r>
      <w:r w:rsidR="00D8519F" w:rsidRPr="00CC562A">
        <w:rPr>
          <w:b w:val="0"/>
          <w:bCs w:val="0"/>
          <w:sz w:val="20"/>
          <w:szCs w:val="20"/>
          <w:lang w:val="en-US"/>
        </w:rPr>
        <w:t>should be</w:t>
      </w:r>
      <w:r w:rsidRPr="00CC562A">
        <w:rPr>
          <w:b w:val="0"/>
          <w:bCs w:val="0"/>
          <w:sz w:val="20"/>
          <w:szCs w:val="20"/>
          <w:lang w:val="en-US"/>
        </w:rPr>
        <w:t xml:space="preserve"> accompanied by participatory processes on the part of civil society, as well as evaluation indicators that make it possible to measure objectives that provide an accounting of the effectiveness of said policies.</w:t>
      </w:r>
    </w:p>
    <w:p w14:paraId="0CB3C70F" w14:textId="77777777" w:rsidR="00EC5C63" w:rsidRPr="00CC562A" w:rsidRDefault="00EC5C63" w:rsidP="00E529E8">
      <w:pPr>
        <w:spacing w:after="0" w:line="240" w:lineRule="auto"/>
        <w:ind w:firstLine="720"/>
        <w:rPr>
          <w:sz w:val="20"/>
          <w:szCs w:val="20"/>
          <w:lang w:val="en-US"/>
        </w:rPr>
      </w:pPr>
    </w:p>
    <w:p w14:paraId="3793C47D" w14:textId="1A4842C6" w:rsidR="00DB71FA" w:rsidRPr="00CC562A" w:rsidRDefault="008D3F24" w:rsidP="00E529E8">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With respect to the recommendation to </w:t>
      </w:r>
      <w:r w:rsidR="1B11D768" w:rsidRPr="00CC562A">
        <w:rPr>
          <w:rFonts w:eastAsia="Cambria" w:cs="Cambria"/>
          <w:sz w:val="20"/>
          <w:szCs w:val="20"/>
          <w:lang w:val="en-US"/>
        </w:rPr>
        <w:t>d</w:t>
      </w:r>
      <w:r w:rsidRPr="00CC562A">
        <w:rPr>
          <w:rFonts w:eastAsia="Cambria" w:cs="Cambria"/>
          <w:sz w:val="20"/>
          <w:szCs w:val="20"/>
          <w:lang w:val="en-US"/>
        </w:rPr>
        <w:t>esign and implement culturally appropriate policies, with the participation of indigenous women</w:t>
      </w:r>
      <w:r w:rsidR="1B11D768" w:rsidRPr="00CC562A">
        <w:rPr>
          <w:rFonts w:eastAsia="Cambria" w:cs="Cambria"/>
          <w:sz w:val="20"/>
          <w:szCs w:val="20"/>
          <w:lang w:val="en-US"/>
        </w:rPr>
        <w:t>,</w:t>
      </w:r>
      <w:r w:rsidR="1B11D768"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46BE1CE9"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said that the </w:t>
      </w:r>
      <w:r w:rsidR="46BE1CE9" w:rsidRPr="00CC562A">
        <w:rPr>
          <w:rFonts w:eastAsia="Cambria" w:cs="Cambria"/>
          <w:b w:val="0"/>
          <w:bCs w:val="0"/>
          <w:sz w:val="20"/>
          <w:szCs w:val="20"/>
          <w:lang w:val="en-US"/>
        </w:rPr>
        <w:t xml:space="preserve">CEAV, </w:t>
      </w:r>
      <w:r w:rsidRPr="00CC562A">
        <w:rPr>
          <w:rFonts w:eastAsia="Cambria" w:cs="Cambria"/>
          <w:b w:val="0"/>
          <w:bCs w:val="0"/>
          <w:sz w:val="20"/>
          <w:szCs w:val="20"/>
          <w:lang w:val="en-US"/>
        </w:rPr>
        <w:t>through the</w:t>
      </w:r>
      <w:r w:rsidR="150B8F44" w:rsidRPr="00CC562A">
        <w:rPr>
          <w:rFonts w:eastAsia="Cambria" w:cs="Cambria"/>
          <w:b w:val="0"/>
          <w:bCs w:val="0"/>
          <w:sz w:val="20"/>
          <w:szCs w:val="20"/>
          <w:lang w:val="en-US"/>
        </w:rPr>
        <w:t xml:space="preserve"> </w:t>
      </w:r>
      <w:r w:rsidR="00EE0204" w:rsidRPr="00CC562A">
        <w:rPr>
          <w:rFonts w:eastAsia="Cambria" w:cs="Cambria"/>
          <w:b w:val="0"/>
          <w:bCs w:val="0"/>
          <w:sz w:val="20"/>
          <w:szCs w:val="20"/>
          <w:lang w:val="en-US"/>
        </w:rPr>
        <w:t>General Coordinati</w:t>
      </w:r>
      <w:r w:rsidR="008A784B" w:rsidRPr="00CC562A">
        <w:rPr>
          <w:rFonts w:eastAsia="Cambria" w:cs="Cambria"/>
          <w:b w:val="0"/>
          <w:bCs w:val="0"/>
          <w:sz w:val="20"/>
          <w:szCs w:val="20"/>
          <w:lang w:val="en-US"/>
        </w:rPr>
        <w:t>ng Office for</w:t>
      </w:r>
      <w:r w:rsidR="00EE0204" w:rsidRPr="00CC562A">
        <w:rPr>
          <w:rFonts w:eastAsia="Cambria" w:cs="Cambria"/>
          <w:b w:val="0"/>
          <w:bCs w:val="0"/>
          <w:sz w:val="20"/>
          <w:szCs w:val="20"/>
          <w:lang w:val="en-US"/>
        </w:rPr>
        <w:t xml:space="preserve"> Comprehensive Care Centers, provides special care to indigenous women, with a culturally appropriate perspective, in accordance with the Comprehensive Victims’ Care Model, and the gender-based, differentiated, and specialized focus on victims to ensure non-repetition or revictimization. In the year</w:t>
      </w:r>
      <w:r w:rsidR="150B8F44" w:rsidRPr="00CC562A">
        <w:rPr>
          <w:rFonts w:eastAsia="Cambria" w:cs="Cambria"/>
          <w:b w:val="0"/>
          <w:bCs w:val="0"/>
          <w:sz w:val="20"/>
          <w:szCs w:val="20"/>
          <w:lang w:val="en-US"/>
        </w:rPr>
        <w:t xml:space="preserve"> 2021 </w:t>
      </w:r>
      <w:r w:rsidR="00EE0204" w:rsidRPr="00CC562A">
        <w:rPr>
          <w:rFonts w:eastAsia="Cambria" w:cs="Cambria"/>
          <w:b w:val="0"/>
          <w:bCs w:val="0"/>
          <w:sz w:val="20"/>
          <w:szCs w:val="20"/>
          <w:lang w:val="en-US"/>
        </w:rPr>
        <w:t>the General and Specific Agreements were signed on collaboration between the Executive Committee for Victims’ Care and the National Institute of Indigenous Languages (hereinafter “INALI”), as well as with the</w:t>
      </w:r>
      <w:r w:rsidR="008B436A" w:rsidRPr="00CC562A">
        <w:rPr>
          <w:rFonts w:eastAsia="Cambria" w:cs="Cambria"/>
          <w:b w:val="0"/>
          <w:bCs w:val="0"/>
          <w:sz w:val="20"/>
          <w:szCs w:val="20"/>
          <w:lang w:val="en-US"/>
        </w:rPr>
        <w:t xml:space="preserve"> College for Intercultural Comprehensive Education of </w:t>
      </w:r>
      <w:r w:rsidR="150B8F44" w:rsidRPr="00CC562A">
        <w:rPr>
          <w:rFonts w:eastAsia="Cambria" w:cs="Cambria"/>
          <w:b w:val="0"/>
          <w:bCs w:val="0"/>
          <w:sz w:val="20"/>
          <w:szCs w:val="20"/>
          <w:lang w:val="en-US"/>
        </w:rPr>
        <w:t>Oaxaca (</w:t>
      </w:r>
      <w:r w:rsidR="008B436A" w:rsidRPr="00CC562A">
        <w:rPr>
          <w:rFonts w:eastAsia="Cambria" w:cs="Cambria"/>
          <w:b w:val="0"/>
          <w:bCs w:val="0"/>
          <w:sz w:val="20"/>
          <w:szCs w:val="20"/>
          <w:lang w:val="en-US"/>
        </w:rPr>
        <w:t>hereinafter</w:t>
      </w:r>
      <w:r w:rsidR="544C20A9" w:rsidRPr="00CC562A">
        <w:rPr>
          <w:rFonts w:eastAsia="Cambria" w:cs="Cambria"/>
          <w:b w:val="0"/>
          <w:bCs w:val="0"/>
          <w:sz w:val="20"/>
          <w:szCs w:val="20"/>
          <w:lang w:val="en-US"/>
        </w:rPr>
        <w:t xml:space="preserve"> “</w:t>
      </w:r>
      <w:r w:rsidR="150B8F44" w:rsidRPr="00CC562A">
        <w:rPr>
          <w:rFonts w:eastAsia="Cambria" w:cs="Cambria"/>
          <w:b w:val="0"/>
          <w:bCs w:val="0"/>
          <w:sz w:val="20"/>
          <w:szCs w:val="20"/>
          <w:lang w:val="en-US"/>
        </w:rPr>
        <w:t>CSEIIO</w:t>
      </w:r>
      <w:r w:rsidR="544C20A9" w:rsidRPr="00CC562A">
        <w:rPr>
          <w:rFonts w:eastAsia="Cambria" w:cs="Cambria"/>
          <w:b w:val="0"/>
          <w:bCs w:val="0"/>
          <w:sz w:val="20"/>
          <w:szCs w:val="20"/>
          <w:lang w:val="en-US"/>
        </w:rPr>
        <w:t>”</w:t>
      </w:r>
      <w:r w:rsidR="150B8F44" w:rsidRPr="00CC562A">
        <w:rPr>
          <w:rFonts w:eastAsia="Cambria" w:cs="Cambria"/>
          <w:b w:val="0"/>
          <w:bCs w:val="0"/>
          <w:sz w:val="20"/>
          <w:szCs w:val="20"/>
          <w:lang w:val="en-US"/>
        </w:rPr>
        <w:t xml:space="preserve">) </w:t>
      </w:r>
      <w:r w:rsidR="008B436A" w:rsidRPr="00CC562A">
        <w:rPr>
          <w:rFonts w:eastAsia="Cambria" w:cs="Cambria"/>
          <w:b w:val="0"/>
          <w:bCs w:val="0"/>
          <w:sz w:val="20"/>
          <w:szCs w:val="20"/>
          <w:lang w:val="en-US"/>
        </w:rPr>
        <w:t xml:space="preserve">to implement a process for the certification of five speakers of the </w:t>
      </w:r>
      <w:proofErr w:type="spellStart"/>
      <w:r w:rsidR="008B436A" w:rsidRPr="00CC562A">
        <w:rPr>
          <w:rFonts w:eastAsia="Cambria" w:cs="Cambria"/>
          <w:b w:val="0"/>
          <w:bCs w:val="0"/>
          <w:sz w:val="20"/>
          <w:szCs w:val="20"/>
          <w:lang w:val="en-US"/>
        </w:rPr>
        <w:t>Triqui</w:t>
      </w:r>
      <w:proofErr w:type="spellEnd"/>
      <w:r w:rsidR="008B436A" w:rsidRPr="00CC562A">
        <w:rPr>
          <w:rFonts w:eastAsia="Cambria" w:cs="Cambria"/>
          <w:b w:val="0"/>
          <w:bCs w:val="0"/>
          <w:sz w:val="20"/>
          <w:szCs w:val="20"/>
          <w:lang w:val="en-US"/>
        </w:rPr>
        <w:t xml:space="preserve"> language as spoken in </w:t>
      </w:r>
      <w:r w:rsidR="150B8F44" w:rsidRPr="00CC562A">
        <w:rPr>
          <w:rFonts w:eastAsia="Cambria" w:cs="Cambria"/>
          <w:b w:val="0"/>
          <w:bCs w:val="0"/>
          <w:sz w:val="20"/>
          <w:szCs w:val="20"/>
          <w:lang w:val="en-US"/>
        </w:rPr>
        <w:t xml:space="preserve">San Juan </w:t>
      </w:r>
      <w:proofErr w:type="spellStart"/>
      <w:r w:rsidR="150B8F44" w:rsidRPr="00CC562A">
        <w:rPr>
          <w:rFonts w:eastAsia="Cambria" w:cs="Cambria"/>
          <w:b w:val="0"/>
          <w:bCs w:val="0"/>
          <w:sz w:val="20"/>
          <w:szCs w:val="20"/>
          <w:lang w:val="en-US"/>
        </w:rPr>
        <w:t>Copala</w:t>
      </w:r>
      <w:proofErr w:type="spellEnd"/>
      <w:r w:rsidR="150B8F44" w:rsidRPr="00CC562A">
        <w:rPr>
          <w:rFonts w:eastAsia="Cambria" w:cs="Cambria"/>
          <w:b w:val="0"/>
          <w:bCs w:val="0"/>
          <w:sz w:val="20"/>
          <w:szCs w:val="20"/>
          <w:lang w:val="en-US"/>
        </w:rPr>
        <w:t xml:space="preserve">, </w:t>
      </w:r>
      <w:r w:rsidR="008B436A" w:rsidRPr="00CC562A">
        <w:rPr>
          <w:rFonts w:eastAsia="Cambria" w:cs="Cambria"/>
          <w:b w:val="0"/>
          <w:bCs w:val="0"/>
          <w:sz w:val="20"/>
          <w:szCs w:val="20"/>
          <w:lang w:val="en-US"/>
        </w:rPr>
        <w:t xml:space="preserve">in order to strengthen </w:t>
      </w:r>
      <w:r w:rsidR="150B8F44" w:rsidRPr="00CC562A">
        <w:rPr>
          <w:rFonts w:eastAsia="Cambria" w:cs="Cambria"/>
          <w:b w:val="0"/>
          <w:bCs w:val="0"/>
          <w:sz w:val="20"/>
          <w:szCs w:val="20"/>
          <w:lang w:val="en-US"/>
        </w:rPr>
        <w:t xml:space="preserve"> </w:t>
      </w:r>
      <w:r w:rsidR="008B436A" w:rsidRPr="00CC562A">
        <w:rPr>
          <w:rFonts w:eastAsia="Cambria" w:cs="Cambria"/>
          <w:b w:val="0"/>
          <w:bCs w:val="0"/>
          <w:sz w:val="20"/>
          <w:szCs w:val="20"/>
          <w:lang w:val="en-US"/>
        </w:rPr>
        <w:t xml:space="preserve">the care provided to the community of </w:t>
      </w:r>
      <w:r w:rsidR="150B8F44" w:rsidRPr="00CC562A">
        <w:rPr>
          <w:rFonts w:eastAsia="Cambria" w:cs="Cambria"/>
          <w:b w:val="0"/>
          <w:bCs w:val="0"/>
          <w:sz w:val="20"/>
          <w:szCs w:val="20"/>
          <w:lang w:val="en-US"/>
        </w:rPr>
        <w:t>Tierra Blanca, Municip</w:t>
      </w:r>
      <w:r w:rsidR="008B436A" w:rsidRPr="00CC562A">
        <w:rPr>
          <w:rFonts w:eastAsia="Cambria" w:cs="Cambria"/>
          <w:b w:val="0"/>
          <w:bCs w:val="0"/>
          <w:sz w:val="20"/>
          <w:szCs w:val="20"/>
          <w:lang w:val="en-US"/>
        </w:rPr>
        <w:t xml:space="preserve">ality of </w:t>
      </w:r>
      <w:proofErr w:type="spellStart"/>
      <w:r w:rsidR="150B8F44" w:rsidRPr="00CC562A">
        <w:rPr>
          <w:rFonts w:eastAsia="Cambria" w:cs="Cambria"/>
          <w:b w:val="0"/>
          <w:bCs w:val="0"/>
          <w:sz w:val="20"/>
          <w:szCs w:val="20"/>
          <w:lang w:val="en-US"/>
        </w:rPr>
        <w:t>Juxtlahuaca</w:t>
      </w:r>
      <w:proofErr w:type="spellEnd"/>
      <w:r w:rsidR="008B436A" w:rsidRPr="00CC562A">
        <w:rPr>
          <w:rFonts w:eastAsia="Cambria" w:cs="Cambria"/>
          <w:b w:val="0"/>
          <w:bCs w:val="0"/>
          <w:sz w:val="20"/>
          <w:szCs w:val="20"/>
          <w:lang w:val="en-US"/>
        </w:rPr>
        <w:t xml:space="preserve"> of the State of </w:t>
      </w:r>
      <w:r w:rsidR="150B8F44" w:rsidRPr="00CC562A">
        <w:rPr>
          <w:rFonts w:eastAsia="Cambria" w:cs="Cambria"/>
          <w:b w:val="0"/>
          <w:bCs w:val="0"/>
          <w:sz w:val="20"/>
          <w:szCs w:val="20"/>
          <w:lang w:val="en-US"/>
        </w:rPr>
        <w:t>Oaxaca.</w:t>
      </w:r>
      <w:r w:rsidR="544C20A9" w:rsidRPr="00CC562A">
        <w:rPr>
          <w:rFonts w:eastAsia="Cambria" w:cs="Cambria"/>
          <w:b w:val="0"/>
          <w:bCs w:val="0"/>
          <w:sz w:val="20"/>
          <w:szCs w:val="20"/>
          <w:lang w:val="en-US"/>
        </w:rPr>
        <w:t xml:space="preserve"> </w:t>
      </w:r>
      <w:r w:rsidR="008B436A" w:rsidRPr="00CC562A">
        <w:rPr>
          <w:rFonts w:eastAsia="Cambria" w:cs="Cambria"/>
          <w:b w:val="0"/>
          <w:bCs w:val="0"/>
          <w:sz w:val="20"/>
          <w:szCs w:val="20"/>
          <w:lang w:val="en-US"/>
        </w:rPr>
        <w:t>In addition, it reported that with the support of INMUJERES, in collaboration with the Secretariat of Women of Chiapas, the number of Women’s Development Centers (hereinafter “CDM”) increase</w:t>
      </w:r>
      <w:r w:rsidR="00D8519F" w:rsidRPr="00CC562A">
        <w:rPr>
          <w:rFonts w:eastAsia="Cambria" w:cs="Cambria"/>
          <w:b w:val="0"/>
          <w:bCs w:val="0"/>
          <w:sz w:val="20"/>
          <w:szCs w:val="20"/>
          <w:lang w:val="en-US"/>
        </w:rPr>
        <w:t>d</w:t>
      </w:r>
      <w:r w:rsidR="008B436A" w:rsidRPr="00CC562A">
        <w:rPr>
          <w:rFonts w:eastAsia="Cambria" w:cs="Cambria"/>
          <w:b w:val="0"/>
          <w:bCs w:val="0"/>
          <w:sz w:val="20"/>
          <w:szCs w:val="20"/>
          <w:lang w:val="en-US"/>
        </w:rPr>
        <w:t xml:space="preserve"> from</w:t>
      </w:r>
      <w:r w:rsidR="150B8F44" w:rsidRPr="00CC562A">
        <w:rPr>
          <w:rFonts w:eastAsia="Cambria" w:cs="Cambria"/>
          <w:b w:val="0"/>
          <w:bCs w:val="0"/>
          <w:sz w:val="20"/>
          <w:szCs w:val="20"/>
          <w:lang w:val="en-US"/>
        </w:rPr>
        <w:t xml:space="preserve"> 15 </w:t>
      </w:r>
      <w:r w:rsidR="008B436A" w:rsidRPr="00CC562A">
        <w:rPr>
          <w:rFonts w:eastAsia="Cambria" w:cs="Cambria"/>
          <w:b w:val="0"/>
          <w:bCs w:val="0"/>
          <w:sz w:val="20"/>
          <w:szCs w:val="20"/>
          <w:lang w:val="en-US"/>
        </w:rPr>
        <w:t>to</w:t>
      </w:r>
      <w:r w:rsidR="150B8F44" w:rsidRPr="00CC562A">
        <w:rPr>
          <w:rFonts w:eastAsia="Cambria" w:cs="Cambria"/>
          <w:b w:val="0"/>
          <w:bCs w:val="0"/>
          <w:sz w:val="20"/>
          <w:szCs w:val="20"/>
          <w:lang w:val="en-US"/>
        </w:rPr>
        <w:t xml:space="preserve"> 35 municip</w:t>
      </w:r>
      <w:r w:rsidR="008B436A" w:rsidRPr="00CC562A">
        <w:rPr>
          <w:rFonts w:eastAsia="Cambria" w:cs="Cambria"/>
          <w:b w:val="0"/>
          <w:bCs w:val="0"/>
          <w:sz w:val="20"/>
          <w:szCs w:val="20"/>
          <w:lang w:val="en-US"/>
        </w:rPr>
        <w:t xml:space="preserve">alities </w:t>
      </w:r>
      <w:r w:rsidR="00D8519F" w:rsidRPr="00CC562A">
        <w:rPr>
          <w:rFonts w:eastAsia="Cambria" w:cs="Cambria"/>
          <w:b w:val="0"/>
          <w:bCs w:val="0"/>
          <w:sz w:val="20"/>
          <w:szCs w:val="20"/>
          <w:lang w:val="en-US"/>
        </w:rPr>
        <w:t>and will form the basis for</w:t>
      </w:r>
      <w:r w:rsidR="008B436A" w:rsidRPr="00CC562A">
        <w:rPr>
          <w:rFonts w:eastAsia="Cambria" w:cs="Cambria"/>
          <w:b w:val="0"/>
          <w:bCs w:val="0"/>
          <w:sz w:val="20"/>
          <w:szCs w:val="20"/>
          <w:lang w:val="en-US"/>
        </w:rPr>
        <w:t xml:space="preserve"> </w:t>
      </w:r>
      <w:r w:rsidR="150B8F44" w:rsidRPr="00CC562A">
        <w:rPr>
          <w:rFonts w:eastAsia="Cambria" w:cs="Cambria"/>
          <w:b w:val="0"/>
          <w:bCs w:val="0"/>
          <w:sz w:val="20"/>
          <w:szCs w:val="20"/>
          <w:lang w:val="en-US"/>
        </w:rPr>
        <w:t xml:space="preserve">300 </w:t>
      </w:r>
      <w:r w:rsidR="008B436A" w:rsidRPr="00CC562A">
        <w:rPr>
          <w:rFonts w:eastAsia="Cambria" w:cs="Cambria"/>
          <w:b w:val="0"/>
          <w:bCs w:val="0"/>
          <w:sz w:val="20"/>
          <w:szCs w:val="20"/>
          <w:lang w:val="en-US"/>
        </w:rPr>
        <w:t>women’s peace-building networks that will strengthen territorial work to prevent violence</w:t>
      </w:r>
      <w:r w:rsidR="150B8F44" w:rsidRPr="00CC562A">
        <w:rPr>
          <w:rFonts w:eastAsia="Cambria" w:cs="Cambria"/>
          <w:b w:val="0"/>
          <w:bCs w:val="0"/>
          <w:sz w:val="20"/>
          <w:szCs w:val="20"/>
          <w:lang w:val="en-US"/>
        </w:rPr>
        <w:t xml:space="preserve">. </w:t>
      </w:r>
    </w:p>
    <w:p w14:paraId="7AE61ED6" w14:textId="77777777" w:rsidR="00EC5C63" w:rsidRPr="00CC562A" w:rsidRDefault="00EC5C63" w:rsidP="00E529E8">
      <w:pPr>
        <w:spacing w:after="0" w:line="240" w:lineRule="auto"/>
        <w:ind w:firstLine="720"/>
        <w:rPr>
          <w:sz w:val="20"/>
          <w:szCs w:val="20"/>
          <w:lang w:val="en-US"/>
        </w:rPr>
      </w:pPr>
    </w:p>
    <w:p w14:paraId="137D717D" w14:textId="5AF4326C" w:rsidR="00A92391" w:rsidRPr="00CC562A" w:rsidRDefault="00752FED" w:rsidP="00A92391">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State</w:t>
      </w:r>
      <w:r w:rsidR="14DBFDBC" w:rsidRPr="00CC562A">
        <w:rPr>
          <w:rFonts w:eastAsia="Cambria" w:cs="Cambria"/>
          <w:b w:val="0"/>
          <w:bCs w:val="0"/>
          <w:sz w:val="20"/>
          <w:szCs w:val="20"/>
          <w:lang w:val="en-US"/>
        </w:rPr>
        <w:t xml:space="preserve"> </w:t>
      </w:r>
      <w:r w:rsidR="008B436A" w:rsidRPr="00CC562A">
        <w:rPr>
          <w:rFonts w:eastAsia="Cambria" w:cs="Cambria"/>
          <w:b w:val="0"/>
          <w:bCs w:val="0"/>
          <w:sz w:val="20"/>
          <w:szCs w:val="20"/>
          <w:lang w:val="en-US"/>
        </w:rPr>
        <w:t>also</w:t>
      </w:r>
      <w:r w:rsidR="04F5AFBA"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04F5AFBA" w:rsidRPr="00CC562A">
        <w:rPr>
          <w:rFonts w:eastAsia="Cambria" w:cs="Cambria"/>
          <w:b w:val="0"/>
          <w:bCs w:val="0"/>
          <w:sz w:val="20"/>
          <w:szCs w:val="20"/>
          <w:lang w:val="en-US"/>
        </w:rPr>
        <w:t xml:space="preserve">, </w:t>
      </w:r>
      <w:r w:rsidR="00801EF5" w:rsidRPr="00CC562A">
        <w:rPr>
          <w:rFonts w:eastAsia="Cambria" w:cs="Cambria"/>
          <w:b w:val="0"/>
          <w:bCs w:val="0"/>
          <w:sz w:val="20"/>
          <w:szCs w:val="20"/>
          <w:lang w:val="en-US"/>
        </w:rPr>
        <w:t>based on the INMUJERES Prevention Agenda and the Minimum Agenda of the Ministry of Security and Citizen Protection, it constructed the</w:t>
      </w:r>
      <w:r w:rsidR="6CC0C439" w:rsidRPr="00CC562A">
        <w:rPr>
          <w:rFonts w:eastAsia="Cambria" w:cs="Cambria"/>
          <w:b w:val="0"/>
          <w:bCs w:val="0"/>
          <w:sz w:val="20"/>
          <w:szCs w:val="20"/>
          <w:lang w:val="en-US"/>
        </w:rPr>
        <w:t xml:space="preserve"> 25 x 25</w:t>
      </w:r>
      <w:r w:rsidR="00801EF5" w:rsidRPr="00CC562A">
        <w:rPr>
          <w:rFonts w:eastAsia="Cambria" w:cs="Cambria"/>
          <w:b w:val="0"/>
          <w:bCs w:val="0"/>
          <w:sz w:val="20"/>
          <w:szCs w:val="20"/>
          <w:lang w:val="en-US"/>
        </w:rPr>
        <w:t xml:space="preserve"> Strategy that seeks to increase the participation of municipalities in women’s preventive, care, and protection tasks as has occurred in the communities of </w:t>
      </w:r>
      <w:proofErr w:type="spellStart"/>
      <w:r w:rsidR="6CC0C439" w:rsidRPr="00CC562A">
        <w:rPr>
          <w:rFonts w:eastAsia="Cambria" w:cs="Cambria"/>
          <w:b w:val="0"/>
          <w:bCs w:val="0"/>
          <w:sz w:val="20"/>
          <w:szCs w:val="20"/>
          <w:lang w:val="en-US"/>
        </w:rPr>
        <w:t>Chuchiltón</w:t>
      </w:r>
      <w:proofErr w:type="spellEnd"/>
      <w:r w:rsidR="6CC0C439" w:rsidRPr="00CC562A">
        <w:rPr>
          <w:rFonts w:eastAsia="Cambria" w:cs="Cambria"/>
          <w:b w:val="0"/>
          <w:bCs w:val="0"/>
          <w:sz w:val="20"/>
          <w:szCs w:val="20"/>
          <w:lang w:val="en-US"/>
        </w:rPr>
        <w:t xml:space="preserve"> </w:t>
      </w:r>
      <w:r w:rsidR="00801EF5" w:rsidRPr="00CC562A">
        <w:rPr>
          <w:rFonts w:eastAsia="Cambria" w:cs="Cambria"/>
          <w:b w:val="0"/>
          <w:bCs w:val="0"/>
          <w:sz w:val="20"/>
          <w:szCs w:val="20"/>
          <w:lang w:val="en-US"/>
        </w:rPr>
        <w:t>and</w:t>
      </w:r>
      <w:r w:rsidR="6CC0C439" w:rsidRPr="00CC562A">
        <w:rPr>
          <w:rFonts w:eastAsia="Cambria" w:cs="Cambria"/>
          <w:b w:val="0"/>
          <w:bCs w:val="0"/>
          <w:sz w:val="20"/>
          <w:szCs w:val="20"/>
          <w:lang w:val="en-US"/>
        </w:rPr>
        <w:t xml:space="preserve"> </w:t>
      </w:r>
      <w:proofErr w:type="spellStart"/>
      <w:r w:rsidR="6CC0C439" w:rsidRPr="00CC562A">
        <w:rPr>
          <w:rFonts w:eastAsia="Cambria" w:cs="Cambria"/>
          <w:b w:val="0"/>
          <w:bCs w:val="0"/>
          <w:sz w:val="20"/>
          <w:szCs w:val="20"/>
          <w:lang w:val="en-US"/>
        </w:rPr>
        <w:t>Majoval</w:t>
      </w:r>
      <w:proofErr w:type="spellEnd"/>
      <w:r w:rsidR="6CC0C439" w:rsidRPr="00CC562A">
        <w:rPr>
          <w:rFonts w:eastAsia="Cambria" w:cs="Cambria"/>
          <w:b w:val="0"/>
          <w:bCs w:val="0"/>
          <w:sz w:val="20"/>
          <w:szCs w:val="20"/>
          <w:lang w:val="en-US"/>
        </w:rPr>
        <w:t xml:space="preserve">, </w:t>
      </w:r>
      <w:r w:rsidR="00801EF5" w:rsidRPr="00CC562A">
        <w:rPr>
          <w:rFonts w:eastAsia="Cambria" w:cs="Cambria"/>
          <w:b w:val="0"/>
          <w:bCs w:val="0"/>
          <w:sz w:val="20"/>
          <w:szCs w:val="20"/>
          <w:lang w:val="en-US"/>
        </w:rPr>
        <w:t xml:space="preserve">in the municipality of </w:t>
      </w:r>
      <w:proofErr w:type="spellStart"/>
      <w:r w:rsidR="6CC0C439" w:rsidRPr="00CC562A">
        <w:rPr>
          <w:rFonts w:eastAsia="Cambria" w:cs="Cambria"/>
          <w:b w:val="0"/>
          <w:bCs w:val="0"/>
          <w:sz w:val="20"/>
          <w:szCs w:val="20"/>
          <w:lang w:val="en-US"/>
        </w:rPr>
        <w:t>Larráinzar</w:t>
      </w:r>
      <w:proofErr w:type="spellEnd"/>
      <w:r w:rsidR="6CC0C439" w:rsidRPr="00CC562A">
        <w:rPr>
          <w:rFonts w:eastAsia="Cambria" w:cs="Cambria"/>
          <w:b w:val="0"/>
          <w:bCs w:val="0"/>
          <w:sz w:val="20"/>
          <w:szCs w:val="20"/>
          <w:lang w:val="en-US"/>
        </w:rPr>
        <w:t xml:space="preserve">. </w:t>
      </w:r>
      <w:r w:rsidR="004632B4" w:rsidRPr="00CC562A">
        <w:rPr>
          <w:rFonts w:eastAsia="Cambria" w:cs="Cambria"/>
          <w:b w:val="0"/>
          <w:bCs w:val="0"/>
          <w:sz w:val="20"/>
          <w:szCs w:val="20"/>
          <w:lang w:val="en-US"/>
        </w:rPr>
        <w:t>Both communities, through a uses and customs assembly, were able to reach a community agreement to eradicate violence against women.</w:t>
      </w:r>
      <w:r w:rsidR="6CC0C439" w:rsidRPr="00CC562A">
        <w:rPr>
          <w:rFonts w:eastAsia="Cambria" w:cs="Cambria"/>
          <w:b w:val="0"/>
          <w:bCs w:val="0"/>
          <w:sz w:val="20"/>
          <w:szCs w:val="20"/>
          <w:lang w:val="en-US"/>
        </w:rPr>
        <w:t> </w:t>
      </w:r>
      <w:r w:rsidR="14DBFDBC"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6CC0C439" w:rsidRPr="00CC562A">
        <w:rPr>
          <w:rFonts w:eastAsia="Cambria" w:cs="Cambria"/>
          <w:b w:val="0"/>
          <w:bCs w:val="0"/>
          <w:sz w:val="20"/>
          <w:szCs w:val="20"/>
          <w:lang w:val="en-US"/>
        </w:rPr>
        <w:t xml:space="preserve"> </w:t>
      </w:r>
      <w:r w:rsidR="004632B4" w:rsidRPr="00CC562A">
        <w:rPr>
          <w:rFonts w:eastAsia="Cambria" w:cs="Cambria"/>
          <w:b w:val="0"/>
          <w:bCs w:val="0"/>
          <w:sz w:val="20"/>
          <w:szCs w:val="20"/>
          <w:lang w:val="en-US"/>
        </w:rPr>
        <w:t>in May</w:t>
      </w:r>
      <w:r w:rsidR="6CC0C439" w:rsidRPr="00CC562A">
        <w:rPr>
          <w:rFonts w:eastAsia="Cambria" w:cs="Cambria"/>
          <w:b w:val="0"/>
          <w:bCs w:val="0"/>
          <w:sz w:val="20"/>
          <w:szCs w:val="20"/>
          <w:lang w:val="en-US"/>
        </w:rPr>
        <w:t xml:space="preserve"> 2022, </w:t>
      </w:r>
      <w:r w:rsidR="004632B4" w:rsidRPr="00CC562A">
        <w:rPr>
          <w:rFonts w:eastAsia="Cambria" w:cs="Cambria"/>
          <w:b w:val="0"/>
          <w:bCs w:val="0"/>
          <w:sz w:val="20"/>
          <w:szCs w:val="20"/>
          <w:lang w:val="en-US"/>
        </w:rPr>
        <w:t xml:space="preserve">through the </w:t>
      </w:r>
      <w:r w:rsidR="6CC0C439" w:rsidRPr="00CC562A">
        <w:rPr>
          <w:rFonts w:eastAsia="Cambria" w:cs="Cambria"/>
          <w:b w:val="0"/>
          <w:bCs w:val="0"/>
          <w:sz w:val="20"/>
          <w:szCs w:val="20"/>
          <w:lang w:val="en-US"/>
        </w:rPr>
        <w:t>INPI</w:t>
      </w:r>
      <w:r w:rsidR="00B27DF3" w:rsidRPr="00CC562A">
        <w:rPr>
          <w:rFonts w:eastAsia="Cambria" w:cs="Cambria"/>
          <w:b w:val="0"/>
          <w:bCs w:val="0"/>
          <w:sz w:val="20"/>
          <w:szCs w:val="20"/>
          <w:lang w:val="en-US"/>
        </w:rPr>
        <w:t xml:space="preserve"> (National Institute of Indigenous Peoples)</w:t>
      </w:r>
      <w:r w:rsidR="04F5AFBA" w:rsidRPr="00CC562A">
        <w:rPr>
          <w:rFonts w:eastAsia="Cambria" w:cs="Cambria"/>
          <w:b w:val="0"/>
          <w:bCs w:val="0"/>
          <w:sz w:val="20"/>
          <w:szCs w:val="20"/>
          <w:lang w:val="en-US"/>
        </w:rPr>
        <w:t xml:space="preserve"> </w:t>
      </w:r>
      <w:r w:rsidR="004632B4" w:rsidRPr="00CC562A">
        <w:rPr>
          <w:rFonts w:eastAsia="Cambria" w:cs="Cambria"/>
          <w:b w:val="0"/>
          <w:bCs w:val="0"/>
          <w:sz w:val="20"/>
          <w:szCs w:val="20"/>
          <w:lang w:val="en-US"/>
        </w:rPr>
        <w:t>and</w:t>
      </w:r>
      <w:r w:rsidR="6CC0C439" w:rsidRPr="00CC562A">
        <w:rPr>
          <w:rFonts w:eastAsia="Cambria" w:cs="Cambria"/>
          <w:b w:val="0"/>
          <w:bCs w:val="0"/>
          <w:sz w:val="20"/>
          <w:szCs w:val="20"/>
          <w:lang w:val="en-US"/>
        </w:rPr>
        <w:t xml:space="preserve"> INMUJERES, </w:t>
      </w:r>
      <w:r w:rsidRPr="00CC562A">
        <w:rPr>
          <w:rFonts w:eastAsia="Cambria" w:cs="Cambria"/>
          <w:b w:val="0"/>
          <w:bCs w:val="0"/>
          <w:sz w:val="20"/>
          <w:szCs w:val="20"/>
          <w:lang w:val="en-US"/>
        </w:rPr>
        <w:t>the State</w:t>
      </w:r>
      <w:r w:rsidR="04F5AFBA" w:rsidRPr="00CC562A">
        <w:rPr>
          <w:rFonts w:eastAsia="Cambria" w:cs="Cambria"/>
          <w:b w:val="0"/>
          <w:bCs w:val="0"/>
          <w:sz w:val="20"/>
          <w:szCs w:val="20"/>
          <w:lang w:val="en-US"/>
        </w:rPr>
        <w:t xml:space="preserve"> conv</w:t>
      </w:r>
      <w:r w:rsidR="004632B4" w:rsidRPr="00CC562A">
        <w:rPr>
          <w:rFonts w:eastAsia="Cambria" w:cs="Cambria"/>
          <w:b w:val="0"/>
          <w:bCs w:val="0"/>
          <w:sz w:val="20"/>
          <w:szCs w:val="20"/>
          <w:lang w:val="en-US"/>
        </w:rPr>
        <w:t>ened the</w:t>
      </w:r>
      <w:r w:rsidR="6CC0C439" w:rsidRPr="00CC562A">
        <w:rPr>
          <w:rFonts w:eastAsia="Cambria" w:cs="Cambria"/>
          <w:b w:val="0"/>
          <w:bCs w:val="0"/>
          <w:sz w:val="20"/>
          <w:szCs w:val="20"/>
          <w:lang w:val="en-US"/>
        </w:rPr>
        <w:t xml:space="preserve"> “</w:t>
      </w:r>
      <w:r w:rsidR="004632B4" w:rsidRPr="00CC562A">
        <w:rPr>
          <w:rFonts w:eastAsia="Cambria" w:cs="Cambria"/>
          <w:b w:val="0"/>
          <w:bCs w:val="0"/>
          <w:sz w:val="20"/>
          <w:szCs w:val="20"/>
          <w:lang w:val="en-US"/>
        </w:rPr>
        <w:t xml:space="preserve">National Dialogue on the draft of the CEDAW Committee’s General Recommendation </w:t>
      </w:r>
      <w:r w:rsidR="6CC0C439" w:rsidRPr="00CC562A">
        <w:rPr>
          <w:rFonts w:eastAsia="Cambria" w:cs="Cambria"/>
          <w:b w:val="0"/>
          <w:bCs w:val="0"/>
          <w:sz w:val="20"/>
          <w:szCs w:val="20"/>
          <w:lang w:val="en-US"/>
        </w:rPr>
        <w:t>39</w:t>
      </w:r>
      <w:r w:rsidR="004632B4" w:rsidRPr="00CC562A">
        <w:rPr>
          <w:rFonts w:eastAsia="Cambria" w:cs="Cambria"/>
          <w:b w:val="0"/>
          <w:bCs w:val="0"/>
          <w:sz w:val="20"/>
          <w:szCs w:val="20"/>
          <w:lang w:val="en-US"/>
        </w:rPr>
        <w:t xml:space="preserve">: Indigenous Women and Girls.” Based on dialogue, the women developed concrete proposals on amending </w:t>
      </w:r>
      <w:r w:rsidR="004632B4" w:rsidRPr="00CC562A">
        <w:rPr>
          <w:rFonts w:eastAsia="Cambria" w:cs="Cambria"/>
          <w:b w:val="0"/>
          <w:bCs w:val="0"/>
          <w:sz w:val="20"/>
          <w:szCs w:val="20"/>
          <w:lang w:val="en-US"/>
        </w:rPr>
        <w:lastRenderedPageBreak/>
        <w:t>General Recommendation</w:t>
      </w:r>
      <w:r w:rsidR="6CC0C439" w:rsidRPr="00CC562A">
        <w:rPr>
          <w:rFonts w:eastAsia="Cambria" w:cs="Cambria"/>
          <w:b w:val="0"/>
          <w:bCs w:val="0"/>
          <w:sz w:val="20"/>
          <w:szCs w:val="20"/>
          <w:lang w:val="en-US"/>
        </w:rPr>
        <w:t xml:space="preserve"> 39</w:t>
      </w:r>
      <w:r w:rsidR="004632B4" w:rsidRPr="00CC562A">
        <w:rPr>
          <w:rFonts w:eastAsia="Cambria" w:cs="Cambria"/>
          <w:b w:val="0"/>
          <w:bCs w:val="0"/>
          <w:sz w:val="20"/>
          <w:szCs w:val="20"/>
          <w:lang w:val="en-US"/>
        </w:rPr>
        <w:t xml:space="preserve"> </w:t>
      </w:r>
      <w:proofErr w:type="gramStart"/>
      <w:r w:rsidR="004632B4" w:rsidRPr="00CC562A">
        <w:rPr>
          <w:rFonts w:eastAsia="Cambria" w:cs="Cambria"/>
          <w:b w:val="0"/>
          <w:bCs w:val="0"/>
          <w:sz w:val="20"/>
          <w:szCs w:val="20"/>
          <w:lang w:val="en-US"/>
        </w:rPr>
        <w:t>so as to</w:t>
      </w:r>
      <w:proofErr w:type="gramEnd"/>
      <w:r w:rsidR="004632B4" w:rsidRPr="00CC562A">
        <w:rPr>
          <w:rFonts w:eastAsia="Cambria" w:cs="Cambria"/>
          <w:b w:val="0"/>
          <w:bCs w:val="0"/>
          <w:sz w:val="20"/>
          <w:szCs w:val="20"/>
          <w:lang w:val="en-US"/>
        </w:rPr>
        <w:t xml:space="preserve"> embody their visions and needs.</w:t>
      </w:r>
      <w:r w:rsidR="00070DA2" w:rsidRPr="00CC562A">
        <w:rPr>
          <w:rFonts w:eastAsia="Cambria" w:cs="Cambria"/>
          <w:b w:val="0"/>
          <w:bCs w:val="0"/>
          <w:sz w:val="20"/>
          <w:szCs w:val="20"/>
          <w:lang w:val="en-US"/>
        </w:rPr>
        <w:t xml:space="preserve"> They helped to strengthen the international instrument that advocates for indigenous girls and women to have greater access to justice, culture, accessible health services and facilities, the use and collective enjoyment of their lands, equitable employment, and the right to a life free of discrimination, prejudices, stereotypes, and violence. The Mexican State indicated that </w:t>
      </w:r>
      <w:r w:rsidR="00D8519F" w:rsidRPr="00CC562A">
        <w:rPr>
          <w:rFonts w:eastAsia="Cambria" w:cs="Cambria"/>
          <w:b w:val="0"/>
          <w:bCs w:val="0"/>
          <w:sz w:val="20"/>
          <w:szCs w:val="20"/>
          <w:lang w:val="en-US"/>
        </w:rPr>
        <w:t>the</w:t>
      </w:r>
      <w:r w:rsidR="00070DA2" w:rsidRPr="00CC562A">
        <w:rPr>
          <w:rFonts w:eastAsia="Cambria" w:cs="Cambria"/>
          <w:b w:val="0"/>
          <w:bCs w:val="0"/>
          <w:sz w:val="20"/>
          <w:szCs w:val="20"/>
          <w:lang w:val="en-US"/>
        </w:rPr>
        <w:t xml:space="preserve"> </w:t>
      </w:r>
      <w:r w:rsidR="6CC0C439" w:rsidRPr="00CC562A">
        <w:rPr>
          <w:rFonts w:eastAsia="Cambria" w:cs="Cambria"/>
          <w:b w:val="0"/>
          <w:bCs w:val="0"/>
          <w:sz w:val="20"/>
          <w:szCs w:val="20"/>
          <w:lang w:val="en-US"/>
        </w:rPr>
        <w:t>F</w:t>
      </w:r>
      <w:r w:rsidR="04F5AFBA" w:rsidRPr="00CC562A">
        <w:rPr>
          <w:rFonts w:eastAsia="Cambria" w:cs="Cambria"/>
          <w:b w:val="0"/>
          <w:bCs w:val="0"/>
          <w:sz w:val="20"/>
          <w:szCs w:val="20"/>
          <w:lang w:val="en-US"/>
        </w:rPr>
        <w:t>GR</w:t>
      </w:r>
      <w:r w:rsidR="6CC0C439" w:rsidRPr="00CC562A">
        <w:rPr>
          <w:rFonts w:eastAsia="Cambria" w:cs="Cambria"/>
          <w:b w:val="0"/>
          <w:bCs w:val="0"/>
          <w:sz w:val="20"/>
          <w:szCs w:val="20"/>
          <w:lang w:val="en-US"/>
        </w:rPr>
        <w:t xml:space="preserve"> ha</w:t>
      </w:r>
      <w:r w:rsidR="00070DA2" w:rsidRPr="00CC562A">
        <w:rPr>
          <w:rFonts w:eastAsia="Cambria" w:cs="Cambria"/>
          <w:b w:val="0"/>
          <w:bCs w:val="0"/>
          <w:sz w:val="20"/>
          <w:szCs w:val="20"/>
          <w:lang w:val="en-US"/>
        </w:rPr>
        <w:t>s incorporated the measures needed to comply with the action protocols to ensure the prevention, investigation, punishment, and redress of acts of violence and discrimination committed against indigenous women with the implementation of various training courses.</w:t>
      </w:r>
      <w:r w:rsidR="00946551" w:rsidRPr="00CC562A">
        <w:rPr>
          <w:rStyle w:val="FootnoteReference"/>
          <w:rFonts w:eastAsia="Cambria" w:cs="Cambria"/>
          <w:b w:val="0"/>
          <w:bCs w:val="0"/>
          <w:sz w:val="20"/>
          <w:szCs w:val="20"/>
          <w:lang w:val="en-US"/>
        </w:rPr>
        <w:footnoteReference w:id="221"/>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p>
    <w:p w14:paraId="1C23A8AC" w14:textId="57F8C532" w:rsidR="00E529E8" w:rsidRPr="00CC562A" w:rsidRDefault="00BD3B87" w:rsidP="00E529E8">
      <w:pPr>
        <w:pStyle w:val="Heading3"/>
        <w:spacing w:before="0" w:after="0" w:line="240" w:lineRule="auto"/>
        <w:ind w:left="0" w:firstLine="810"/>
        <w:rPr>
          <w:b w:val="0"/>
          <w:sz w:val="20"/>
          <w:lang w:val="en-US"/>
        </w:rPr>
      </w:pPr>
      <w:r w:rsidRPr="00CC562A">
        <w:rPr>
          <w:b w:val="0"/>
          <w:sz w:val="20"/>
          <w:lang w:val="en-US"/>
        </w:rPr>
        <w:t xml:space="preserve">The State also indicated that the </w:t>
      </w:r>
      <w:r w:rsidR="008822BE" w:rsidRPr="00CC562A">
        <w:rPr>
          <w:b w:val="0"/>
          <w:sz w:val="20"/>
          <w:lang w:val="en-US"/>
        </w:rPr>
        <w:t xml:space="preserve">FGR’s </w:t>
      </w:r>
      <w:r w:rsidRPr="00CC562A">
        <w:rPr>
          <w:b w:val="0"/>
          <w:sz w:val="20"/>
          <w:lang w:val="en-US"/>
        </w:rPr>
        <w:t xml:space="preserve">Specialized Unit </w:t>
      </w:r>
      <w:r w:rsidR="008822BE" w:rsidRPr="00CC562A">
        <w:rPr>
          <w:b w:val="0"/>
          <w:sz w:val="20"/>
          <w:lang w:val="en-US"/>
        </w:rPr>
        <w:t xml:space="preserve">for Attention to Indigenous Affairs reported that various courses on the subject were attended by indigenous and Afro-Mexican populations specifically between October </w:t>
      </w:r>
      <w:r w:rsidR="00E529E8" w:rsidRPr="00CC562A">
        <w:rPr>
          <w:b w:val="0"/>
          <w:sz w:val="20"/>
          <w:lang w:val="en-US"/>
        </w:rPr>
        <w:t xml:space="preserve">2022 </w:t>
      </w:r>
      <w:r w:rsidR="008822BE" w:rsidRPr="00CC562A">
        <w:rPr>
          <w:b w:val="0"/>
          <w:sz w:val="20"/>
          <w:lang w:val="en-US"/>
        </w:rPr>
        <w:t>and January</w:t>
      </w:r>
      <w:r w:rsidR="00E529E8" w:rsidRPr="00CC562A">
        <w:rPr>
          <w:b w:val="0"/>
          <w:sz w:val="20"/>
          <w:lang w:val="en-US"/>
        </w:rPr>
        <w:t xml:space="preserve"> 2023</w:t>
      </w:r>
      <w:r w:rsidR="008822BE" w:rsidRPr="00CC562A">
        <w:rPr>
          <w:b w:val="0"/>
          <w:sz w:val="20"/>
          <w:lang w:val="en-US"/>
        </w:rPr>
        <w:t>.</w:t>
      </w:r>
      <w:r w:rsidR="00E529E8" w:rsidRPr="00CC562A">
        <w:rPr>
          <w:rStyle w:val="FootnoteReference"/>
          <w:b w:val="0"/>
          <w:sz w:val="20"/>
          <w:lang w:val="en-US"/>
        </w:rPr>
        <w:footnoteReference w:id="222"/>
      </w:r>
    </w:p>
    <w:p w14:paraId="268B714B" w14:textId="77777777" w:rsidR="00EC5C63" w:rsidRPr="00CC562A" w:rsidRDefault="00EC5C63" w:rsidP="00E529E8">
      <w:pPr>
        <w:spacing w:after="0" w:line="240" w:lineRule="auto"/>
        <w:jc w:val="both"/>
        <w:rPr>
          <w:sz w:val="20"/>
          <w:szCs w:val="20"/>
          <w:lang w:val="en-US"/>
        </w:rPr>
      </w:pPr>
    </w:p>
    <w:p w14:paraId="0D9AE065" w14:textId="04106AAA" w:rsidR="00DB71FA" w:rsidRPr="00CC562A" w:rsidRDefault="38D0A847" w:rsidP="00E529E8">
      <w:pPr>
        <w:pStyle w:val="Heading3"/>
        <w:spacing w:before="0" w:after="0" w:line="240" w:lineRule="auto"/>
        <w:ind w:left="0" w:firstLine="720"/>
        <w:rPr>
          <w:sz w:val="20"/>
          <w:szCs w:val="20"/>
          <w:lang w:val="en-US"/>
        </w:rPr>
      </w:pPr>
      <w:r w:rsidRPr="00CC562A">
        <w:rPr>
          <w:rFonts w:eastAsia="Cambria" w:cs="Cambria"/>
          <w:b w:val="0"/>
          <w:bCs w:val="0"/>
          <w:sz w:val="20"/>
          <w:szCs w:val="20"/>
          <w:lang w:val="en-US"/>
        </w:rPr>
        <w:t xml:space="preserve"> </w:t>
      </w:r>
      <w:r w:rsidR="00173559" w:rsidRPr="00CC562A">
        <w:rPr>
          <w:rFonts w:eastAsia="Cambria" w:cs="Cambria"/>
          <w:b w:val="0"/>
          <w:bCs w:val="0"/>
          <w:sz w:val="20"/>
          <w:szCs w:val="20"/>
          <w:lang w:val="en-US"/>
        </w:rPr>
        <w:t>According to the available information, the Commission notes that there is still no structured and coordinated strategy on the design and implementation of culturally appropriate policies to prevent, investigate, punish, and redress acts of violence and discrimination against indigenous women and emphasizes the lack of information with which to evaluate the application of a comprehensive and holistic approach as well as the level of indigenous women’s participation in the design and implementation of such policies</w:t>
      </w:r>
      <w:r w:rsidR="0025A7F0" w:rsidRPr="00CC562A">
        <w:rPr>
          <w:b w:val="0"/>
          <w:bCs w:val="0"/>
          <w:sz w:val="20"/>
          <w:szCs w:val="20"/>
          <w:lang w:val="en-US"/>
        </w:rPr>
        <w:t xml:space="preserve">. </w:t>
      </w:r>
      <w:r w:rsidR="00F108AA" w:rsidRPr="00CC562A">
        <w:rPr>
          <w:b w:val="0"/>
          <w:bCs w:val="0"/>
          <w:sz w:val="20"/>
          <w:szCs w:val="20"/>
          <w:lang w:val="en-US"/>
        </w:rPr>
        <w:t>In addition,</w:t>
      </w:r>
      <w:r w:rsidR="0025A7F0" w:rsidRPr="00CC562A">
        <w:rPr>
          <w:b w:val="0"/>
          <w:bCs w:val="0"/>
          <w:sz w:val="20"/>
          <w:szCs w:val="20"/>
          <w:lang w:val="en-US"/>
        </w:rPr>
        <w:t xml:space="preserve"> </w:t>
      </w:r>
      <w:r w:rsidR="00173559" w:rsidRPr="00CC562A">
        <w:rPr>
          <w:b w:val="0"/>
          <w:bCs w:val="0"/>
          <w:sz w:val="20"/>
          <w:szCs w:val="20"/>
          <w:lang w:val="en-US"/>
        </w:rPr>
        <w:t xml:space="preserve">it notes the lack of disaggregated data regarding the actual situation </w:t>
      </w:r>
      <w:proofErr w:type="gramStart"/>
      <w:r w:rsidR="00173559" w:rsidRPr="00CC562A">
        <w:rPr>
          <w:b w:val="0"/>
          <w:bCs w:val="0"/>
          <w:sz w:val="20"/>
          <w:szCs w:val="20"/>
          <w:lang w:val="en-US"/>
        </w:rPr>
        <w:t xml:space="preserve">with regard </w:t>
      </w:r>
      <w:r w:rsidR="00C80FE5" w:rsidRPr="00CC562A">
        <w:rPr>
          <w:b w:val="0"/>
          <w:bCs w:val="0"/>
          <w:sz w:val="20"/>
          <w:szCs w:val="20"/>
          <w:lang w:val="en-US"/>
        </w:rPr>
        <w:t>to</w:t>
      </w:r>
      <w:proofErr w:type="gramEnd"/>
      <w:r w:rsidR="00C80FE5" w:rsidRPr="00CC562A">
        <w:rPr>
          <w:b w:val="0"/>
          <w:bCs w:val="0"/>
          <w:sz w:val="20"/>
          <w:szCs w:val="20"/>
          <w:lang w:val="en-US"/>
        </w:rPr>
        <w:t xml:space="preserve"> discrimination</w:t>
      </w:r>
      <w:r w:rsidR="00173559" w:rsidRPr="00CC562A">
        <w:rPr>
          <w:b w:val="0"/>
          <w:bCs w:val="0"/>
          <w:sz w:val="20"/>
          <w:szCs w:val="20"/>
          <w:lang w:val="en-US"/>
        </w:rPr>
        <w:t xml:space="preserve"> and violence and access to justice</w:t>
      </w:r>
      <w:r w:rsidR="0025A7F0" w:rsidRPr="00CC562A">
        <w:rPr>
          <w:b w:val="0"/>
          <w:bCs w:val="0"/>
          <w:sz w:val="20"/>
          <w:szCs w:val="20"/>
          <w:lang w:val="en-US"/>
        </w:rPr>
        <w:t xml:space="preserve"> </w:t>
      </w:r>
      <w:r w:rsidR="00173559" w:rsidRPr="00CC562A">
        <w:rPr>
          <w:b w:val="0"/>
          <w:bCs w:val="0"/>
          <w:sz w:val="20"/>
          <w:szCs w:val="20"/>
          <w:lang w:val="en-US"/>
        </w:rPr>
        <w:t>for women, girls, and adolescent women. In this regard, the</w:t>
      </w:r>
      <w:r w:rsidR="00276638" w:rsidRPr="00CC562A">
        <w:rPr>
          <w:b w:val="0"/>
          <w:bCs w:val="0"/>
          <w:sz w:val="20"/>
          <w:szCs w:val="20"/>
          <w:lang w:val="en-US"/>
        </w:rPr>
        <w:t xml:space="preserve"> IACHR</w:t>
      </w:r>
      <w:r w:rsidR="00173559" w:rsidRPr="00CC562A">
        <w:rPr>
          <w:b w:val="0"/>
          <w:bCs w:val="0"/>
          <w:sz w:val="20"/>
          <w:szCs w:val="20"/>
          <w:lang w:val="en-US"/>
        </w:rPr>
        <w:t xml:space="preserve"> finds that the recommendation is still </w:t>
      </w:r>
      <w:r w:rsidR="00173559" w:rsidRPr="00CC562A">
        <w:rPr>
          <w:sz w:val="20"/>
          <w:szCs w:val="20"/>
          <w:lang w:val="en-US"/>
        </w:rPr>
        <w:t>pending compliance</w:t>
      </w:r>
      <w:r w:rsidR="7397B52E" w:rsidRPr="00CC562A">
        <w:rPr>
          <w:sz w:val="20"/>
          <w:szCs w:val="20"/>
          <w:lang w:val="en-US"/>
        </w:rPr>
        <w:t>.</w:t>
      </w:r>
    </w:p>
    <w:p w14:paraId="5A670529" w14:textId="77777777" w:rsidR="00EC5C63" w:rsidRPr="00CC562A" w:rsidRDefault="00EC5C63" w:rsidP="00E529E8">
      <w:pPr>
        <w:spacing w:after="0" w:line="240" w:lineRule="auto"/>
        <w:ind w:firstLine="720"/>
        <w:rPr>
          <w:sz w:val="20"/>
          <w:szCs w:val="20"/>
          <w:lang w:val="en-US"/>
        </w:rPr>
      </w:pPr>
    </w:p>
    <w:p w14:paraId="5AD6F9A3" w14:textId="06297518" w:rsidR="005A7383" w:rsidRPr="00CC562A" w:rsidRDefault="00173559" w:rsidP="00E529E8">
      <w:pPr>
        <w:pStyle w:val="Heading3"/>
        <w:spacing w:before="0" w:after="0" w:line="240" w:lineRule="auto"/>
        <w:ind w:left="0" w:firstLine="720"/>
        <w:rPr>
          <w:b w:val="0"/>
          <w:bCs w:val="0"/>
          <w:sz w:val="20"/>
          <w:szCs w:val="20"/>
          <w:lang w:val="en-US"/>
        </w:rPr>
      </w:pPr>
      <w:proofErr w:type="gramStart"/>
      <w:r w:rsidRPr="00CC562A">
        <w:rPr>
          <w:rFonts w:eastAsia="Cambria" w:cs="Cambria"/>
          <w:b w:val="0"/>
          <w:bCs w:val="0"/>
          <w:sz w:val="20"/>
          <w:szCs w:val="20"/>
          <w:lang w:val="en-US"/>
        </w:rPr>
        <w:t>In order to</w:t>
      </w:r>
      <w:proofErr w:type="gramEnd"/>
      <w:r w:rsidRPr="00CC562A">
        <w:rPr>
          <w:rFonts w:eastAsia="Cambria" w:cs="Cambria"/>
          <w:b w:val="0"/>
          <w:bCs w:val="0"/>
          <w:sz w:val="20"/>
          <w:szCs w:val="20"/>
          <w:lang w:val="en-US"/>
        </w:rPr>
        <w:t xml:space="preserve"> guide </w:t>
      </w:r>
      <w:r w:rsidR="00DA4843" w:rsidRPr="00CC562A">
        <w:rPr>
          <w:rFonts w:eastAsia="Cambria" w:cs="Cambria"/>
          <w:b w:val="0"/>
          <w:bCs w:val="0"/>
          <w:sz w:val="20"/>
          <w:szCs w:val="20"/>
          <w:lang w:val="en-US"/>
        </w:rPr>
        <w:t>compliance with this recommendation, the Commission urges the State to redouble its efforts to adopt measures to ensure the right of indigenous women to lives free of all forms of violence and discrimination, through the implementation of specialized public policies that include evaluation indicators for monitoring their implementation.</w:t>
      </w:r>
      <w:r w:rsidR="7EB4A142" w:rsidRPr="00CC562A">
        <w:rPr>
          <w:b w:val="0"/>
          <w:bCs w:val="0"/>
          <w:sz w:val="20"/>
          <w:szCs w:val="20"/>
          <w:lang w:val="en-US"/>
        </w:rPr>
        <w:t xml:space="preserve"> </w:t>
      </w:r>
      <w:r w:rsidR="00F108AA" w:rsidRPr="00CC562A">
        <w:rPr>
          <w:b w:val="0"/>
          <w:bCs w:val="0"/>
          <w:sz w:val="20"/>
          <w:szCs w:val="20"/>
          <w:lang w:val="en-US"/>
        </w:rPr>
        <w:t>In addition,</w:t>
      </w:r>
      <w:r w:rsidR="7EB4A142" w:rsidRPr="00CC562A">
        <w:rPr>
          <w:b w:val="0"/>
          <w:bCs w:val="0"/>
          <w:sz w:val="20"/>
          <w:szCs w:val="20"/>
          <w:lang w:val="en-US"/>
        </w:rPr>
        <w:t xml:space="preserve"> </w:t>
      </w:r>
      <w:r w:rsidR="00DA4843" w:rsidRPr="00CC562A">
        <w:rPr>
          <w:b w:val="0"/>
          <w:bCs w:val="0"/>
          <w:sz w:val="20"/>
          <w:szCs w:val="20"/>
          <w:lang w:val="en-US"/>
        </w:rPr>
        <w:t xml:space="preserve">the Commission suggests that the State identify and submit concrete information </w:t>
      </w:r>
      <w:proofErr w:type="gramStart"/>
      <w:r w:rsidR="00DA4843" w:rsidRPr="00CC562A">
        <w:rPr>
          <w:b w:val="0"/>
          <w:bCs w:val="0"/>
          <w:sz w:val="20"/>
          <w:szCs w:val="20"/>
          <w:lang w:val="en-US"/>
        </w:rPr>
        <w:t>on the situation of</w:t>
      </w:r>
      <w:proofErr w:type="gramEnd"/>
      <w:r w:rsidR="00DA4843" w:rsidRPr="00CC562A">
        <w:rPr>
          <w:b w:val="0"/>
          <w:bCs w:val="0"/>
          <w:sz w:val="20"/>
          <w:szCs w:val="20"/>
          <w:lang w:val="en-US"/>
        </w:rPr>
        <w:t xml:space="preserve"> violence and discrimination against </w:t>
      </w:r>
      <w:r w:rsidR="00C80FE5" w:rsidRPr="00CC562A">
        <w:rPr>
          <w:b w:val="0"/>
          <w:bCs w:val="0"/>
          <w:sz w:val="20"/>
          <w:szCs w:val="20"/>
          <w:lang w:val="en-US"/>
        </w:rPr>
        <w:t>indigenous women</w:t>
      </w:r>
      <w:r w:rsidR="00DA4843" w:rsidRPr="00CC562A">
        <w:rPr>
          <w:b w:val="0"/>
          <w:bCs w:val="0"/>
          <w:sz w:val="20"/>
          <w:szCs w:val="20"/>
          <w:lang w:val="en-US"/>
        </w:rPr>
        <w:t>, and specific policies intended to prevent such violence. It should also indicate how such measures incorporate a comprehensive and holistic approach and whether indigenous women participated in their development</w:t>
      </w:r>
      <w:r w:rsidR="7EB4A142" w:rsidRPr="00CC562A">
        <w:rPr>
          <w:b w:val="0"/>
          <w:bCs w:val="0"/>
          <w:sz w:val="20"/>
          <w:szCs w:val="20"/>
          <w:lang w:val="en-US"/>
        </w:rPr>
        <w:t>.</w:t>
      </w:r>
    </w:p>
    <w:p w14:paraId="174E2BE4" w14:textId="77777777" w:rsidR="005A7383" w:rsidRPr="00CC562A" w:rsidRDefault="005A7383" w:rsidP="005A7383">
      <w:pPr>
        <w:spacing w:after="0"/>
        <w:rPr>
          <w:lang w:val="en-US"/>
        </w:rPr>
      </w:pPr>
    </w:p>
    <w:p w14:paraId="6C371F5E" w14:textId="4898DFC7" w:rsidR="00A4198F" w:rsidRPr="00CC562A" w:rsidRDefault="00DA4843" w:rsidP="00D41276">
      <w:pPr>
        <w:pStyle w:val="Heading3"/>
        <w:numPr>
          <w:ilvl w:val="0"/>
          <w:numId w:val="31"/>
        </w:numPr>
        <w:spacing w:before="0" w:after="0" w:line="240" w:lineRule="auto"/>
        <w:ind w:left="1440"/>
        <w:rPr>
          <w:sz w:val="20"/>
          <w:szCs w:val="20"/>
          <w:lang w:val="en-US"/>
        </w:rPr>
      </w:pPr>
      <w:r w:rsidRPr="00CC562A">
        <w:rPr>
          <w:sz w:val="20"/>
          <w:szCs w:val="20"/>
          <w:lang w:val="en-US"/>
        </w:rPr>
        <w:t>Children and Adolescents</w:t>
      </w:r>
    </w:p>
    <w:p w14:paraId="1D6AAFA9" w14:textId="77777777" w:rsidR="005A7383" w:rsidRPr="00CC562A" w:rsidRDefault="005A7383" w:rsidP="005D591D">
      <w:pPr>
        <w:spacing w:after="0"/>
        <w:rPr>
          <w:lang w:val="en-US"/>
        </w:rPr>
      </w:pPr>
    </w:p>
    <w:p w14:paraId="21D1C7B4" w14:textId="11982F41" w:rsidR="00C83114" w:rsidRPr="00CC562A" w:rsidRDefault="006B4398" w:rsidP="00D41276">
      <w:pPr>
        <w:numPr>
          <w:ilvl w:val="0"/>
          <w:numId w:val="13"/>
        </w:numPr>
        <w:pBdr>
          <w:top w:val="nil"/>
          <w:left w:val="nil"/>
          <w:bottom w:val="nil"/>
          <w:right w:val="nil"/>
          <w:between w:val="nil"/>
        </w:pBdr>
        <w:shd w:val="clear" w:color="auto" w:fill="D9D9D9" w:themeFill="background1" w:themeFillShade="D9"/>
        <w:tabs>
          <w:tab w:val="left" w:pos="1440"/>
        </w:tabs>
        <w:spacing w:before="240" w:line="240" w:lineRule="auto"/>
        <w:ind w:left="1440"/>
        <w:jc w:val="both"/>
        <w:rPr>
          <w:rFonts w:ascii="Cambria" w:hAnsi="Cambria"/>
          <w:lang w:val="en-US"/>
        </w:rPr>
      </w:pPr>
      <w:r w:rsidRPr="00CC562A">
        <w:rPr>
          <w:rFonts w:ascii="Cambria" w:eastAsia="Cambria" w:hAnsi="Cambria" w:cs="Cambria"/>
          <w:sz w:val="20"/>
          <w:szCs w:val="20"/>
          <w:lang w:val="en-US"/>
        </w:rPr>
        <w:t xml:space="preserve">Develop protocols for police activities with respect to children and adolescents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ensure the protection of their rights</w:t>
      </w:r>
      <w:r w:rsidR="00A4198F" w:rsidRPr="00CC562A">
        <w:rPr>
          <w:rFonts w:ascii="Cambria" w:eastAsia="Cambria" w:hAnsi="Cambria" w:cs="Cambria"/>
          <w:sz w:val="20"/>
          <w:szCs w:val="20"/>
          <w:lang w:val="en-US"/>
        </w:rPr>
        <w:t>.</w:t>
      </w:r>
    </w:p>
    <w:p w14:paraId="223AA429" w14:textId="56EC1028" w:rsidR="00A4198F" w:rsidRPr="00CC562A" w:rsidRDefault="00C83114" w:rsidP="00D41276">
      <w:pPr>
        <w:numPr>
          <w:ilvl w:val="0"/>
          <w:numId w:val="13"/>
        </w:numPr>
        <w:pBdr>
          <w:top w:val="nil"/>
          <w:left w:val="nil"/>
          <w:bottom w:val="nil"/>
          <w:right w:val="nil"/>
          <w:between w:val="nil"/>
        </w:pBdr>
        <w:shd w:val="clear" w:color="auto" w:fill="D9D9D9" w:themeFill="background1" w:themeFillShade="D9"/>
        <w:tabs>
          <w:tab w:val="left" w:pos="1440"/>
        </w:tabs>
        <w:spacing w:before="240" w:line="240" w:lineRule="auto"/>
        <w:ind w:left="1440"/>
        <w:jc w:val="both"/>
        <w:rPr>
          <w:rFonts w:ascii="Cambria" w:hAnsi="Cambria"/>
          <w:lang w:val="en-US"/>
        </w:rPr>
      </w:pPr>
      <w:r w:rsidRPr="00CC562A">
        <w:rPr>
          <w:rFonts w:ascii="Cambria" w:hAnsi="Cambria"/>
          <w:sz w:val="20"/>
          <w:szCs w:val="20"/>
          <w:lang w:val="en-US"/>
        </w:rPr>
        <w:t>Implement</w:t>
      </w:r>
      <w:r w:rsidR="006B4398" w:rsidRPr="00CC562A">
        <w:rPr>
          <w:rFonts w:ascii="Cambria" w:hAnsi="Cambria"/>
          <w:sz w:val="20"/>
          <w:szCs w:val="20"/>
          <w:lang w:val="en-US"/>
        </w:rPr>
        <w:t xml:space="preserve"> and strengthen measures to comply with the duty to act with due diligence to prevent, punish, and eradicate violence against children and adolescents, including concrete efforts to comply with the obligations to prevent, investigate, punish, and redress human rights violations, and consider the corresponding aggravating factors related to the age of the victim</w:t>
      </w:r>
      <w:r w:rsidRPr="00CC562A">
        <w:rPr>
          <w:rFonts w:ascii="Cambria" w:hAnsi="Cambria"/>
          <w:sz w:val="20"/>
          <w:szCs w:val="20"/>
          <w:lang w:val="en-US"/>
        </w:rPr>
        <w:t xml:space="preserve">. </w:t>
      </w:r>
    </w:p>
    <w:p w14:paraId="3B03E893" w14:textId="5D819468" w:rsidR="0003110A" w:rsidRPr="00CC562A" w:rsidRDefault="006B4398"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With regard to the recommendation on the </w:t>
      </w:r>
      <w:r w:rsidRPr="00CC562A">
        <w:rPr>
          <w:rFonts w:eastAsia="Cambria" w:cs="Cambria"/>
          <w:sz w:val="20"/>
          <w:szCs w:val="20"/>
          <w:lang w:val="en-US"/>
        </w:rPr>
        <w:t>development of protocols for police activities with respect to children and adolescents</w:t>
      </w:r>
      <w:r w:rsidR="1B11D768"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44C20A9" w:rsidRPr="00CC562A">
        <w:rPr>
          <w:rFonts w:eastAsia="Cambria" w:cs="Cambria"/>
          <w:b w:val="0"/>
          <w:bCs w:val="0"/>
          <w:sz w:val="20"/>
          <w:szCs w:val="20"/>
          <w:lang w:val="en-US"/>
        </w:rPr>
        <w:t xml:space="preserve"> </w:t>
      </w:r>
      <w:r w:rsidRPr="00CC562A">
        <w:rPr>
          <w:rFonts w:eastAsia="Cambria" w:cs="Cambria"/>
          <w:b w:val="0"/>
          <w:bCs w:val="0"/>
          <w:sz w:val="20"/>
          <w:szCs w:val="20"/>
          <w:lang w:val="en-US"/>
        </w:rPr>
        <w:t>indicated that</w:t>
      </w:r>
      <w:r w:rsidR="6CCBF99C" w:rsidRPr="00CC562A">
        <w:rPr>
          <w:rFonts w:eastAsia="Cambria" w:cs="Cambria"/>
          <w:b w:val="0"/>
          <w:bCs w:val="0"/>
          <w:sz w:val="20"/>
          <w:szCs w:val="20"/>
          <w:lang w:val="en-US"/>
        </w:rPr>
        <w:t xml:space="preserve"> </w:t>
      </w:r>
      <w:r w:rsidR="00264451" w:rsidRPr="00CC562A">
        <w:rPr>
          <w:rFonts w:eastAsia="Cambria" w:cs="Cambria"/>
          <w:b w:val="0"/>
          <w:bCs w:val="0"/>
          <w:sz w:val="20"/>
          <w:szCs w:val="20"/>
          <w:lang w:val="en-US"/>
        </w:rPr>
        <w:t xml:space="preserve">the National Protocol of Interinstitutional Coordination for the Protection of Children and Adolescent Victims of Violence was developed within the </w:t>
      </w:r>
      <w:r w:rsidR="00264451" w:rsidRPr="00CC562A">
        <w:rPr>
          <w:rFonts w:eastAsia="Cambria" w:cs="Cambria"/>
          <w:b w:val="0"/>
          <w:bCs w:val="0"/>
          <w:sz w:val="20"/>
          <w:szCs w:val="20"/>
          <w:lang w:val="en-US"/>
        </w:rPr>
        <w:lastRenderedPageBreak/>
        <w:t>framework of Mexico’s 2019-2024 Action Plan in the Global Alliance on putting an end to violence against children</w:t>
      </w:r>
      <w:r w:rsidR="150B8F44" w:rsidRPr="00CC562A">
        <w:rPr>
          <w:rFonts w:eastAsia="Cambria" w:cs="Cambria"/>
          <w:b w:val="0"/>
          <w:bCs w:val="0"/>
          <w:sz w:val="20"/>
          <w:szCs w:val="20"/>
          <w:lang w:val="en-US"/>
        </w:rPr>
        <w:t xml:space="preserve">, </w:t>
      </w:r>
      <w:r w:rsidR="00D41B70" w:rsidRPr="00CC562A">
        <w:rPr>
          <w:rFonts w:eastAsia="Cambria" w:cs="Cambria"/>
          <w:b w:val="0"/>
          <w:bCs w:val="0"/>
          <w:sz w:val="20"/>
          <w:szCs w:val="20"/>
          <w:lang w:val="en-US"/>
        </w:rPr>
        <w:t xml:space="preserve">generating Line of Action </w:t>
      </w:r>
      <w:r w:rsidR="150B8F44" w:rsidRPr="00CC562A">
        <w:rPr>
          <w:rFonts w:eastAsia="Cambria" w:cs="Cambria"/>
          <w:b w:val="0"/>
          <w:bCs w:val="0"/>
          <w:sz w:val="20"/>
          <w:szCs w:val="20"/>
          <w:lang w:val="en-US"/>
        </w:rPr>
        <w:t>2.3</w:t>
      </w:r>
      <w:r w:rsidR="00D41B70" w:rsidRPr="00CC562A">
        <w:rPr>
          <w:rFonts w:eastAsia="Cambria" w:cs="Cambria"/>
          <w:b w:val="0"/>
          <w:bCs w:val="0"/>
          <w:sz w:val="20"/>
          <w:szCs w:val="20"/>
          <w:lang w:val="en-US"/>
        </w:rPr>
        <w:t xml:space="preserve"> on </w:t>
      </w:r>
      <w:r w:rsidR="00260182" w:rsidRPr="00CC562A">
        <w:rPr>
          <w:rFonts w:eastAsia="Cambria" w:cs="Cambria"/>
          <w:b w:val="0"/>
          <w:bCs w:val="0"/>
          <w:sz w:val="20"/>
          <w:szCs w:val="20"/>
          <w:lang w:val="en-US"/>
        </w:rPr>
        <w:t>s</w:t>
      </w:r>
      <w:r w:rsidR="00D41B70" w:rsidRPr="00CC562A">
        <w:rPr>
          <w:rFonts w:eastAsia="Cambria" w:cs="Cambria"/>
          <w:b w:val="0"/>
          <w:bCs w:val="0"/>
          <w:sz w:val="20"/>
          <w:szCs w:val="20"/>
          <w:lang w:val="en-US"/>
        </w:rPr>
        <w:t>trengthening the perspective of children’s and adolescents’ rights in the operation of emergency lines and anonymous reporting. One of the specific objectives of the protocol is to use the 911 emergency service as a user-friendly and immediately responsi</w:t>
      </w:r>
      <w:r w:rsidR="00260182" w:rsidRPr="00CC562A">
        <w:rPr>
          <w:rFonts w:eastAsia="Cambria" w:cs="Cambria"/>
          <w:b w:val="0"/>
          <w:bCs w:val="0"/>
          <w:sz w:val="20"/>
          <w:szCs w:val="20"/>
          <w:lang w:val="en-US"/>
        </w:rPr>
        <w:t>ve</w:t>
      </w:r>
      <w:r w:rsidR="00D41B70" w:rsidRPr="00CC562A">
        <w:rPr>
          <w:rFonts w:eastAsia="Cambria" w:cs="Cambria"/>
          <w:b w:val="0"/>
          <w:bCs w:val="0"/>
          <w:sz w:val="20"/>
          <w:szCs w:val="20"/>
          <w:lang w:val="en-US"/>
        </w:rPr>
        <w:t xml:space="preserve"> mechanism to enable children and adolescents who are suffering some form of violence to report incidents and directly ask for help that will be provided immediately. In addition, it describes the inter-institutional coordination procedures to be carried out by federal authorities, </w:t>
      </w:r>
      <w:r w:rsidR="00365543" w:rsidRPr="00CC562A">
        <w:rPr>
          <w:rFonts w:eastAsia="Cambria" w:cs="Cambria"/>
          <w:b w:val="0"/>
          <w:bCs w:val="0"/>
          <w:sz w:val="20"/>
          <w:szCs w:val="20"/>
          <w:lang w:val="en-US"/>
        </w:rPr>
        <w:t>states</w:t>
      </w:r>
      <w:r w:rsidR="00260182" w:rsidRPr="00CC562A">
        <w:rPr>
          <w:rFonts w:eastAsia="Cambria" w:cs="Cambria"/>
          <w:b w:val="0"/>
          <w:bCs w:val="0"/>
          <w:sz w:val="20"/>
          <w:szCs w:val="20"/>
          <w:lang w:val="en-US"/>
        </w:rPr>
        <w:t>,</w:t>
      </w:r>
      <w:r w:rsidR="00D41B70" w:rsidRPr="00CC562A">
        <w:rPr>
          <w:rFonts w:eastAsia="Cambria" w:cs="Cambria"/>
          <w:b w:val="0"/>
          <w:bCs w:val="0"/>
          <w:sz w:val="20"/>
          <w:szCs w:val="20"/>
          <w:lang w:val="en-US"/>
        </w:rPr>
        <w:t xml:space="preserve"> and municipalities, within the framework of their respective powers, for the immediate and emergency protection of children and adolescents, from detecting an act of violence against that population to determining the plan for comprehensive restoration of rights by Prosecutor’s Offices for the Protection of Children and Adolescents.</w:t>
      </w:r>
    </w:p>
    <w:p w14:paraId="655A9691" w14:textId="393B3F7F"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63BC9C4C" w14:textId="2460241D" w:rsidR="000E0B29" w:rsidRDefault="006B008B" w:rsidP="000E0B29">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activities carried out by the Executive Secretariat of the System for the Integral Protection of Children and Adolescents (hereinafter</w:t>
      </w:r>
      <w:r w:rsidR="5D4DBD4A" w:rsidRPr="00CC562A">
        <w:rPr>
          <w:rFonts w:eastAsia="Cambria" w:cs="Cambria"/>
          <w:b w:val="0"/>
          <w:bCs w:val="0"/>
          <w:sz w:val="20"/>
          <w:szCs w:val="20"/>
          <w:lang w:val="en-US"/>
        </w:rPr>
        <w:t xml:space="preserve"> “SIPINNA”)</w:t>
      </w:r>
      <w:r w:rsidRPr="00CC562A">
        <w:rPr>
          <w:rFonts w:eastAsia="Cambria" w:cs="Cambria"/>
          <w:b w:val="0"/>
          <w:bCs w:val="0"/>
          <w:sz w:val="20"/>
          <w:szCs w:val="20"/>
          <w:lang w:val="en-US"/>
        </w:rPr>
        <w:t xml:space="preserve"> included designing the virtual course for implementation of the National Protocol of Interinstitutional Coordination for the Protection of Children and Adolescent Victims of Violence</w:t>
      </w:r>
      <w:r w:rsidR="150B8F44" w:rsidRPr="00CC562A">
        <w:rPr>
          <w:rFonts w:eastAsia="Cambria" w:cs="Cambria"/>
          <w:b w:val="0"/>
          <w:bCs w:val="0"/>
          <w:sz w:val="20"/>
          <w:szCs w:val="20"/>
          <w:lang w:val="en-US"/>
        </w:rPr>
        <w:t xml:space="preserve">, </w:t>
      </w:r>
      <w:r w:rsidRPr="00CC562A">
        <w:rPr>
          <w:rFonts w:eastAsia="Cambria" w:cs="Cambria"/>
          <w:b w:val="0"/>
          <w:bCs w:val="0"/>
          <w:sz w:val="20"/>
          <w:szCs w:val="20"/>
          <w:lang w:val="en-US"/>
        </w:rPr>
        <w:t>to monitor the state application of this instrument. In 2021, pilot implementation was carried out with authorities of the System of Integral Protection of Children and Adolescents to monitor application of the protocol in the state of</w:t>
      </w:r>
      <w:r w:rsidR="150B8F44" w:rsidRPr="00CC562A">
        <w:rPr>
          <w:rFonts w:eastAsia="Cambria" w:cs="Cambria"/>
          <w:b w:val="0"/>
          <w:bCs w:val="0"/>
          <w:sz w:val="20"/>
          <w:szCs w:val="20"/>
          <w:lang w:val="en-US"/>
        </w:rPr>
        <w:t xml:space="preserve"> Hidalgo.</w:t>
      </w:r>
      <w:r w:rsidR="5D4DBD4A"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D4DBD4A"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5D4DBD4A" w:rsidRPr="00CC562A">
        <w:rPr>
          <w:rFonts w:eastAsia="Cambria" w:cs="Cambria"/>
          <w:b w:val="0"/>
          <w:bCs w:val="0"/>
          <w:sz w:val="20"/>
          <w:szCs w:val="20"/>
          <w:lang w:val="en-US"/>
        </w:rPr>
        <w:t xml:space="preserve"> </w:t>
      </w:r>
      <w:r w:rsidR="00922028" w:rsidRPr="00CC562A">
        <w:rPr>
          <w:rFonts w:eastAsia="Cambria" w:cs="Cambria"/>
          <w:b w:val="0"/>
          <w:bCs w:val="0"/>
          <w:sz w:val="20"/>
          <w:szCs w:val="20"/>
          <w:lang w:val="en-US"/>
        </w:rPr>
        <w:t xml:space="preserve">a training process is currently being conducted for civil servants in the </w:t>
      </w:r>
      <w:r w:rsidR="00365543" w:rsidRPr="00CC562A">
        <w:rPr>
          <w:rFonts w:eastAsia="Cambria" w:cs="Cambria"/>
          <w:b w:val="0"/>
          <w:bCs w:val="0"/>
          <w:sz w:val="20"/>
          <w:szCs w:val="20"/>
          <w:lang w:val="en-US"/>
        </w:rPr>
        <w:t>states</w:t>
      </w:r>
      <w:r w:rsidR="00922028" w:rsidRPr="00CC562A">
        <w:rPr>
          <w:rFonts w:eastAsia="Cambria" w:cs="Cambria"/>
          <w:b w:val="0"/>
          <w:bCs w:val="0"/>
          <w:sz w:val="20"/>
          <w:szCs w:val="20"/>
          <w:lang w:val="en-US"/>
        </w:rPr>
        <w:t xml:space="preserve"> and municipalities responsible for the immediate care of children and adolescent, such as personnel in</w:t>
      </w:r>
      <w:r w:rsidR="150B8F44" w:rsidRPr="00CC562A">
        <w:rPr>
          <w:rFonts w:eastAsia="Cambria" w:cs="Cambria"/>
          <w:b w:val="0"/>
          <w:bCs w:val="0"/>
          <w:sz w:val="20"/>
          <w:szCs w:val="20"/>
          <w:lang w:val="en-US"/>
        </w:rPr>
        <w:t xml:space="preserve"> 9-1-1</w:t>
      </w:r>
      <w:r w:rsidR="004E3F33" w:rsidRPr="00CC562A">
        <w:rPr>
          <w:rFonts w:eastAsia="Cambria" w:cs="Cambria"/>
          <w:b w:val="0"/>
          <w:bCs w:val="0"/>
          <w:sz w:val="20"/>
          <w:szCs w:val="20"/>
          <w:lang w:val="en-US"/>
        </w:rPr>
        <w:t xml:space="preserve"> Emergency Services</w:t>
      </w:r>
      <w:r w:rsidR="150B8F44" w:rsidRPr="00CC562A">
        <w:rPr>
          <w:rFonts w:eastAsia="Cambria" w:cs="Cambria"/>
          <w:b w:val="0"/>
          <w:bCs w:val="0"/>
          <w:sz w:val="20"/>
          <w:szCs w:val="20"/>
          <w:lang w:val="en-US"/>
        </w:rPr>
        <w:t xml:space="preserve">, </w:t>
      </w:r>
      <w:r w:rsidR="00BD05E1" w:rsidRPr="00CC562A">
        <w:rPr>
          <w:rFonts w:eastAsia="Cambria" w:cs="Cambria"/>
          <w:b w:val="0"/>
          <w:bCs w:val="0"/>
          <w:sz w:val="20"/>
          <w:szCs w:val="20"/>
          <w:lang w:val="en-US"/>
        </w:rPr>
        <w:t xml:space="preserve">the </w:t>
      </w:r>
      <w:r w:rsidR="004E3F33" w:rsidRPr="00CC562A">
        <w:rPr>
          <w:rFonts w:eastAsia="Cambria" w:cs="Cambria"/>
          <w:b w:val="0"/>
          <w:bCs w:val="0"/>
          <w:sz w:val="20"/>
          <w:szCs w:val="20"/>
          <w:lang w:val="en-US"/>
        </w:rPr>
        <w:t>Prosecutor’s Office for the Protection of Children and Adolescents, state and municipal police forces, cyber police, commissions in the search for people, the health sector, psychological help lines, prosecutor’s offices, and the executive secretariats of the local</w:t>
      </w:r>
      <w:r w:rsidR="150B8F44" w:rsidRPr="00CC562A">
        <w:rPr>
          <w:rFonts w:eastAsia="Cambria" w:cs="Cambria"/>
          <w:b w:val="0"/>
          <w:bCs w:val="0"/>
          <w:sz w:val="20"/>
          <w:szCs w:val="20"/>
          <w:lang w:val="en-US"/>
        </w:rPr>
        <w:t xml:space="preserve"> SIPINNA</w:t>
      </w:r>
      <w:r w:rsidR="004E3F33" w:rsidRPr="00CC562A">
        <w:rPr>
          <w:rFonts w:eastAsia="Cambria" w:cs="Cambria"/>
          <w:b w:val="0"/>
          <w:bCs w:val="0"/>
          <w:sz w:val="20"/>
          <w:szCs w:val="20"/>
          <w:lang w:val="en-US"/>
        </w:rPr>
        <w:t>s</w:t>
      </w:r>
      <w:r w:rsidR="76CEAEA8" w:rsidRPr="00CC562A">
        <w:rPr>
          <w:rFonts w:eastAsia="Cambria" w:cs="Cambria"/>
          <w:b w:val="0"/>
          <w:bCs w:val="0"/>
          <w:sz w:val="20"/>
          <w:szCs w:val="20"/>
          <w:lang w:val="en-US"/>
        </w:rPr>
        <w:t xml:space="preserve">. </w:t>
      </w:r>
      <w:r w:rsidR="004E3F33" w:rsidRPr="00CC562A">
        <w:rPr>
          <w:rFonts w:eastAsia="Cambria" w:cs="Cambria"/>
          <w:b w:val="0"/>
          <w:bCs w:val="0"/>
          <w:sz w:val="20"/>
          <w:szCs w:val="20"/>
          <w:lang w:val="en-US"/>
        </w:rPr>
        <w:t xml:space="preserve">Course participants have included the </w:t>
      </w:r>
      <w:r w:rsidR="00365543" w:rsidRPr="00CC562A">
        <w:rPr>
          <w:rFonts w:eastAsia="Cambria" w:cs="Cambria"/>
          <w:b w:val="0"/>
          <w:bCs w:val="0"/>
          <w:sz w:val="20"/>
          <w:szCs w:val="20"/>
          <w:lang w:val="en-US"/>
        </w:rPr>
        <w:t>states</w:t>
      </w:r>
      <w:r w:rsidR="004E3F33" w:rsidRPr="00CC562A">
        <w:rPr>
          <w:rFonts w:eastAsia="Cambria" w:cs="Cambria"/>
          <w:b w:val="0"/>
          <w:bCs w:val="0"/>
          <w:sz w:val="20"/>
          <w:szCs w:val="20"/>
          <w:lang w:val="en-US"/>
        </w:rPr>
        <w:t>, municipalities, and personnel convened by the System of Integral Protection of Children and Adolescents in different states and divisions, and 526 people have completed the course</w:t>
      </w:r>
      <w:r w:rsidR="150B8F44" w:rsidRPr="00CC562A">
        <w:rPr>
          <w:rFonts w:eastAsia="Cambria" w:cs="Cambria"/>
          <w:b w:val="0"/>
          <w:bCs w:val="0"/>
          <w:sz w:val="20"/>
          <w:szCs w:val="20"/>
          <w:lang w:val="en-US"/>
        </w:rPr>
        <w:t>.</w:t>
      </w:r>
    </w:p>
    <w:p w14:paraId="630A8BBA" w14:textId="77777777" w:rsidR="000E0B29" w:rsidRPr="000E0B29" w:rsidRDefault="000E0B29" w:rsidP="000E0B29">
      <w:pPr>
        <w:spacing w:after="0"/>
        <w:rPr>
          <w:lang w:val="en-US"/>
        </w:rPr>
      </w:pPr>
    </w:p>
    <w:p w14:paraId="00C204F4" w14:textId="1EF8CC67" w:rsidR="00204CAA" w:rsidRPr="00CC562A" w:rsidRDefault="004E3F33" w:rsidP="000E0B29">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For its part, the</w:t>
      </w:r>
      <w:r w:rsidR="6C00B3AC" w:rsidRPr="00CC562A">
        <w:rPr>
          <w:rFonts w:eastAsia="Cambria" w:cs="Cambria"/>
          <w:b w:val="0"/>
          <w:bCs w:val="0"/>
          <w:sz w:val="20"/>
          <w:szCs w:val="20"/>
          <w:lang w:val="en-US"/>
        </w:rPr>
        <w:t xml:space="preserve"> </w:t>
      </w:r>
      <w:r w:rsidR="6CC0C439" w:rsidRPr="00CC562A">
        <w:rPr>
          <w:rFonts w:eastAsia="Cambria" w:cs="Cambria"/>
          <w:b w:val="0"/>
          <w:bCs w:val="0"/>
          <w:sz w:val="20"/>
          <w:szCs w:val="20"/>
          <w:lang w:val="en-US"/>
        </w:rPr>
        <w:t xml:space="preserve">CEAV </w:t>
      </w:r>
      <w:r w:rsidR="00900ED4" w:rsidRPr="00CC562A">
        <w:rPr>
          <w:rFonts w:eastAsia="Cambria" w:cs="Cambria"/>
          <w:b w:val="0"/>
          <w:bCs w:val="0"/>
          <w:sz w:val="20"/>
          <w:szCs w:val="20"/>
          <w:lang w:val="en-US"/>
        </w:rPr>
        <w:t>reported that</w:t>
      </w:r>
      <w:r w:rsidR="6CC0C439"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the initial protocol for the care, assistance, and comprehensive </w:t>
      </w:r>
      <w:r w:rsidR="00BD05E1" w:rsidRPr="00CC562A">
        <w:rPr>
          <w:rFonts w:eastAsia="Cambria" w:cs="Cambria"/>
          <w:b w:val="0"/>
          <w:bCs w:val="0"/>
          <w:sz w:val="20"/>
          <w:szCs w:val="20"/>
          <w:lang w:val="en-US"/>
        </w:rPr>
        <w:t>reparation</w:t>
      </w:r>
      <w:r w:rsidRPr="00CC562A">
        <w:rPr>
          <w:rFonts w:eastAsia="Cambria" w:cs="Cambria"/>
          <w:b w:val="0"/>
          <w:bCs w:val="0"/>
          <w:sz w:val="20"/>
          <w:szCs w:val="20"/>
          <w:lang w:val="en-US"/>
        </w:rPr>
        <w:t xml:space="preserve"> of children and adolescent victims of crimes involving human rights </w:t>
      </w:r>
      <w:r w:rsidR="00C80FE5" w:rsidRPr="00CC562A">
        <w:rPr>
          <w:rFonts w:eastAsia="Cambria" w:cs="Cambria"/>
          <w:b w:val="0"/>
          <w:bCs w:val="0"/>
          <w:sz w:val="20"/>
          <w:szCs w:val="20"/>
          <w:lang w:val="en-US"/>
        </w:rPr>
        <w:t>violations submitted</w:t>
      </w:r>
      <w:r w:rsidRPr="00CC562A">
        <w:rPr>
          <w:rFonts w:eastAsia="Cambria" w:cs="Cambria"/>
          <w:b w:val="0"/>
          <w:bCs w:val="0"/>
          <w:sz w:val="20"/>
          <w:szCs w:val="20"/>
          <w:lang w:val="en-US"/>
        </w:rPr>
        <w:t xml:space="preserve"> in </w:t>
      </w:r>
      <w:r w:rsidR="046688E5" w:rsidRPr="00CC562A">
        <w:rPr>
          <w:rFonts w:eastAsia="Cambria" w:cs="Cambria"/>
          <w:b w:val="0"/>
          <w:bCs w:val="0"/>
          <w:sz w:val="20"/>
          <w:szCs w:val="20"/>
          <w:lang w:val="en-US"/>
        </w:rPr>
        <w:t xml:space="preserve">2021 </w:t>
      </w:r>
      <w:r w:rsidRPr="00CC562A">
        <w:rPr>
          <w:rFonts w:eastAsia="Cambria" w:cs="Cambria"/>
          <w:b w:val="0"/>
          <w:bCs w:val="0"/>
          <w:sz w:val="20"/>
          <w:szCs w:val="20"/>
          <w:lang w:val="en-US"/>
        </w:rPr>
        <w:t>is still going through the process of resolving the comments made for its approval</w:t>
      </w:r>
      <w:r w:rsidR="6CC0C439" w:rsidRPr="00CC562A">
        <w:rPr>
          <w:rFonts w:eastAsia="Cambria" w:cs="Cambria"/>
          <w:b w:val="0"/>
          <w:bCs w:val="0"/>
          <w:sz w:val="20"/>
          <w:szCs w:val="20"/>
          <w:lang w:val="en-US"/>
        </w:rPr>
        <w:t>.</w:t>
      </w:r>
      <w:r w:rsidR="6C00B3AC"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6CC0C439" w:rsidRPr="00CC562A">
        <w:rPr>
          <w:rFonts w:eastAsia="Cambria" w:cs="Cambria"/>
          <w:b w:val="0"/>
          <w:bCs w:val="0"/>
          <w:sz w:val="20"/>
          <w:szCs w:val="20"/>
          <w:lang w:val="en-US"/>
        </w:rPr>
        <w:t xml:space="preserve"> </w:t>
      </w:r>
      <w:r w:rsidR="046688E5" w:rsidRPr="00CC562A">
        <w:rPr>
          <w:rFonts w:eastAsia="Cambria" w:cs="Cambria"/>
          <w:b w:val="0"/>
          <w:bCs w:val="0"/>
          <w:sz w:val="20"/>
          <w:szCs w:val="20"/>
          <w:lang w:val="en-US"/>
        </w:rPr>
        <w:t>i</w:t>
      </w:r>
      <w:r w:rsidRPr="00CC562A">
        <w:rPr>
          <w:rFonts w:eastAsia="Cambria" w:cs="Cambria"/>
          <w:b w:val="0"/>
          <w:bCs w:val="0"/>
          <w:sz w:val="20"/>
          <w:szCs w:val="20"/>
          <w:lang w:val="en-US"/>
        </w:rPr>
        <w:t>t indicated that i</w:t>
      </w:r>
      <w:r w:rsidR="00BD05E1" w:rsidRPr="00CC562A">
        <w:rPr>
          <w:rFonts w:eastAsia="Cambria" w:cs="Cambria"/>
          <w:b w:val="0"/>
          <w:bCs w:val="0"/>
          <w:sz w:val="20"/>
          <w:szCs w:val="20"/>
          <w:lang w:val="en-US"/>
        </w:rPr>
        <w:t>t</w:t>
      </w:r>
      <w:r w:rsidRPr="00CC562A">
        <w:rPr>
          <w:rFonts w:eastAsia="Cambria" w:cs="Cambria"/>
          <w:b w:val="0"/>
          <w:bCs w:val="0"/>
          <w:sz w:val="20"/>
          <w:szCs w:val="20"/>
          <w:lang w:val="en-US"/>
        </w:rPr>
        <w:t xml:space="preserve"> is preparing the national training program on caring for children and adolescents who are the victims of crimes and human rights violations. Finally, it referred to the adoption of the protocol for judging </w:t>
      </w:r>
      <w:r w:rsidR="00B26082" w:rsidRPr="00CC562A">
        <w:rPr>
          <w:rFonts w:eastAsia="Cambria" w:cs="Cambria"/>
          <w:b w:val="0"/>
          <w:bCs w:val="0"/>
          <w:sz w:val="20"/>
          <w:szCs w:val="20"/>
          <w:lang w:val="en-US"/>
        </w:rPr>
        <w:t>from</w:t>
      </w:r>
      <w:r w:rsidRPr="00CC562A">
        <w:rPr>
          <w:rFonts w:eastAsia="Cambria" w:cs="Cambria"/>
          <w:b w:val="0"/>
          <w:bCs w:val="0"/>
          <w:sz w:val="20"/>
          <w:szCs w:val="20"/>
          <w:lang w:val="en-US"/>
        </w:rPr>
        <w:t xml:space="preserve"> a childhood and adolescence perspective, which</w:t>
      </w:r>
      <w:r w:rsidR="00B26082" w:rsidRPr="00CC562A">
        <w:rPr>
          <w:rFonts w:eastAsia="Cambria" w:cs="Cambria"/>
          <w:b w:val="0"/>
          <w:bCs w:val="0"/>
          <w:sz w:val="20"/>
          <w:szCs w:val="20"/>
          <w:lang w:val="en-US"/>
        </w:rPr>
        <w:t xml:space="preserve"> indicates the need to abandon an adult-centric posture regarding the justice system, which means </w:t>
      </w:r>
      <w:r w:rsidR="00C80FE5" w:rsidRPr="00CC562A">
        <w:rPr>
          <w:rFonts w:eastAsia="Cambria" w:cs="Cambria"/>
          <w:b w:val="0"/>
          <w:bCs w:val="0"/>
          <w:sz w:val="20"/>
          <w:szCs w:val="20"/>
          <w:lang w:val="en-US"/>
        </w:rPr>
        <w:t>considering</w:t>
      </w:r>
      <w:r w:rsidR="00B26082" w:rsidRPr="00CC562A">
        <w:rPr>
          <w:rFonts w:eastAsia="Cambria" w:cs="Cambria"/>
          <w:b w:val="0"/>
          <w:bCs w:val="0"/>
          <w:sz w:val="20"/>
          <w:szCs w:val="20"/>
          <w:lang w:val="en-US"/>
        </w:rPr>
        <w:t xml:space="preserve"> the needs of this vulnerable population, although said instrument is dated</w:t>
      </w:r>
      <w:r w:rsidR="046688E5" w:rsidRPr="00CC562A">
        <w:rPr>
          <w:rFonts w:eastAsia="Cambria" w:cs="Cambria"/>
          <w:b w:val="0"/>
          <w:bCs w:val="0"/>
          <w:sz w:val="20"/>
          <w:szCs w:val="20"/>
          <w:lang w:val="en-US"/>
        </w:rPr>
        <w:t xml:space="preserve"> 2021</w:t>
      </w:r>
      <w:r w:rsidR="00B26082" w:rsidRPr="00CC562A">
        <w:rPr>
          <w:rFonts w:eastAsia="Cambria" w:cs="Cambria"/>
          <w:b w:val="0"/>
          <w:bCs w:val="0"/>
          <w:sz w:val="20"/>
          <w:szCs w:val="20"/>
          <w:lang w:val="en-US"/>
        </w:rPr>
        <w:t>.</w:t>
      </w:r>
      <w:r w:rsidR="00946551" w:rsidRPr="00CC562A">
        <w:rPr>
          <w:b w:val="0"/>
          <w:bCs w:val="0"/>
          <w:sz w:val="20"/>
          <w:szCs w:val="20"/>
          <w:vertAlign w:val="superscript"/>
          <w:lang w:val="en-US"/>
        </w:rPr>
        <w:footnoteReference w:id="223"/>
      </w:r>
    </w:p>
    <w:p w14:paraId="402B36B8" w14:textId="02BC887E"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0149C9A0" w14:textId="58E88083" w:rsidR="00522749" w:rsidRPr="00CC562A" w:rsidRDefault="00B26082"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In this regard, </w:t>
      </w:r>
      <w:r w:rsidR="00276638" w:rsidRPr="00CC562A">
        <w:rPr>
          <w:rFonts w:eastAsia="Cambria" w:cs="Cambria"/>
          <w:b w:val="0"/>
          <w:bCs w:val="0"/>
          <w:sz w:val="20"/>
          <w:szCs w:val="20"/>
          <w:lang w:val="en-US"/>
        </w:rPr>
        <w:t>the IACHR</w:t>
      </w:r>
      <w:r w:rsidR="4BFF7D33"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appreciates the programs, protocols, and training sessions reported by the State, although it is not clear from the information how said instruments and training are directed to police </w:t>
      </w:r>
      <w:r w:rsidR="00C80FE5" w:rsidRPr="00CC562A">
        <w:rPr>
          <w:rFonts w:eastAsia="Cambria" w:cs="Cambria"/>
          <w:b w:val="0"/>
          <w:bCs w:val="0"/>
          <w:sz w:val="20"/>
          <w:szCs w:val="20"/>
          <w:lang w:val="en-US"/>
        </w:rPr>
        <w:t>personnel, as</w:t>
      </w:r>
      <w:r w:rsidRPr="00CC562A">
        <w:rPr>
          <w:rFonts w:eastAsia="Cambria" w:cs="Cambria"/>
          <w:b w:val="0"/>
          <w:bCs w:val="0"/>
          <w:sz w:val="20"/>
          <w:szCs w:val="20"/>
          <w:lang w:val="en-US"/>
        </w:rPr>
        <w:t xml:space="preserve"> stipulated in the recommendation. Thus, based on the measures described above,</w:t>
      </w:r>
      <w:r w:rsidR="4BFF7D33" w:rsidRPr="00CC562A">
        <w:rPr>
          <w:rFonts w:eastAsia="Cambria" w:cs="Cambria"/>
          <w:b w:val="0"/>
          <w:bCs w:val="0"/>
          <w:sz w:val="20"/>
          <w:szCs w:val="20"/>
          <w:lang w:val="en-US"/>
        </w:rPr>
        <w:t xml:space="preserve"> </w:t>
      </w:r>
      <w:r w:rsidR="00276638" w:rsidRPr="00CC562A">
        <w:rPr>
          <w:rFonts w:eastAsia="Cambria" w:cs="Cambria"/>
          <w:b w:val="0"/>
          <w:bCs w:val="0"/>
          <w:sz w:val="20"/>
          <w:szCs w:val="20"/>
          <w:lang w:val="en-US"/>
        </w:rPr>
        <w:t>the IACHR</w:t>
      </w:r>
      <w:r w:rsidR="4BFF7D33" w:rsidRPr="00CC562A">
        <w:rPr>
          <w:rFonts w:eastAsia="Cambria" w:cs="Cambria"/>
          <w:b w:val="0"/>
          <w:bCs w:val="0"/>
          <w:sz w:val="20"/>
          <w:szCs w:val="20"/>
          <w:lang w:val="en-US"/>
        </w:rPr>
        <w:t xml:space="preserve"> consider</w:t>
      </w:r>
      <w:r w:rsidRPr="00CC562A">
        <w:rPr>
          <w:rFonts w:eastAsia="Cambria" w:cs="Cambria"/>
          <w:b w:val="0"/>
          <w:bCs w:val="0"/>
          <w:sz w:val="20"/>
          <w:szCs w:val="20"/>
          <w:lang w:val="en-US"/>
        </w:rPr>
        <w:t xml:space="preserve">s that there is </w:t>
      </w:r>
      <w:r w:rsidRPr="00CC562A">
        <w:rPr>
          <w:rFonts w:eastAsia="Cambria" w:cs="Cambria"/>
          <w:sz w:val="20"/>
          <w:szCs w:val="20"/>
          <w:lang w:val="en-US"/>
        </w:rPr>
        <w:t xml:space="preserve">partial compliance </w:t>
      </w:r>
      <w:r w:rsidRPr="00CC562A">
        <w:rPr>
          <w:rFonts w:eastAsia="Cambria" w:cs="Cambria"/>
          <w:b w:val="0"/>
          <w:bCs w:val="0"/>
          <w:sz w:val="20"/>
          <w:szCs w:val="20"/>
          <w:lang w:val="en-US"/>
        </w:rPr>
        <w:t>with the recommendation</w:t>
      </w:r>
      <w:r w:rsidR="0E8ACE67" w:rsidRPr="00CC562A">
        <w:rPr>
          <w:rFonts w:eastAsia="Cambria" w:cs="Cambria"/>
          <w:b w:val="0"/>
          <w:bCs w:val="0"/>
          <w:sz w:val="20"/>
          <w:szCs w:val="20"/>
          <w:lang w:val="en-US"/>
        </w:rPr>
        <w:t>.</w:t>
      </w:r>
    </w:p>
    <w:p w14:paraId="5A43AB79"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43CD1DE5" w14:textId="3357A744" w:rsidR="00A4198F" w:rsidRPr="00CC562A" w:rsidRDefault="00B26082" w:rsidP="00E529E8">
      <w:pPr>
        <w:pStyle w:val="Heading3"/>
        <w:spacing w:before="24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To guide the implementation of this recommendation, the </w:t>
      </w:r>
      <w:r w:rsidR="00276638" w:rsidRPr="00CC562A">
        <w:rPr>
          <w:rFonts w:eastAsia="Cambria" w:cs="Cambria"/>
          <w:b w:val="0"/>
          <w:bCs w:val="0"/>
          <w:sz w:val="20"/>
          <w:szCs w:val="20"/>
          <w:lang w:val="en-US"/>
        </w:rPr>
        <w:t>IACHR</w:t>
      </w:r>
      <w:r w:rsidR="00560DCB" w:rsidRPr="00CC562A">
        <w:rPr>
          <w:rFonts w:eastAsia="Cambria" w:cs="Cambria"/>
          <w:b w:val="0"/>
          <w:bCs w:val="0"/>
          <w:sz w:val="20"/>
          <w:szCs w:val="20"/>
          <w:lang w:val="en-US"/>
        </w:rPr>
        <w:t xml:space="preserve"> </w:t>
      </w:r>
      <w:r w:rsidRPr="00CC562A">
        <w:rPr>
          <w:rFonts w:eastAsia="Cambria" w:cs="Cambria"/>
          <w:b w:val="0"/>
          <w:bCs w:val="0"/>
          <w:sz w:val="20"/>
          <w:szCs w:val="20"/>
          <w:lang w:val="en-US"/>
        </w:rPr>
        <w:t>urges the State to continue implementing the protocols developed based on objective and transparent methodologies that include evaluation indicators able to account for progress and challenges in guaranteeing police actions using a human rights approach</w:t>
      </w:r>
      <w:r w:rsidR="20A358C8" w:rsidRPr="00CC562A">
        <w:rPr>
          <w:rFonts w:eastAsia="Cambria" w:cs="Cambria"/>
          <w:b w:val="0"/>
          <w:bCs w:val="0"/>
          <w:sz w:val="20"/>
          <w:szCs w:val="20"/>
          <w:lang w:val="en-US"/>
        </w:rPr>
        <w:t>.</w:t>
      </w:r>
      <w:r w:rsidR="7EB4A142"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7EB4A142" w:rsidRPr="00CC562A">
        <w:rPr>
          <w:rFonts w:eastAsia="Cambria" w:cs="Cambria"/>
          <w:b w:val="0"/>
          <w:bCs w:val="0"/>
          <w:sz w:val="20"/>
          <w:szCs w:val="20"/>
          <w:lang w:val="en-US"/>
        </w:rPr>
        <w:t xml:space="preserve"> </w:t>
      </w:r>
      <w:r w:rsidRPr="00CC562A">
        <w:rPr>
          <w:rFonts w:eastAsia="Cambria" w:cs="Cambria"/>
          <w:b w:val="0"/>
          <w:bCs w:val="0"/>
          <w:sz w:val="20"/>
          <w:szCs w:val="20"/>
          <w:lang w:val="en-US"/>
        </w:rPr>
        <w:t>to optimize the process of following up this recommendation, the Commission ask</w:t>
      </w:r>
      <w:r w:rsidR="00BD05E1" w:rsidRPr="00CC562A">
        <w:rPr>
          <w:rFonts w:eastAsia="Cambria" w:cs="Cambria"/>
          <w:b w:val="0"/>
          <w:bCs w:val="0"/>
          <w:sz w:val="20"/>
          <w:szCs w:val="20"/>
          <w:lang w:val="en-US"/>
        </w:rPr>
        <w:t xml:space="preserve">s </w:t>
      </w:r>
      <w:r w:rsidRPr="00CC562A">
        <w:rPr>
          <w:rFonts w:eastAsia="Cambria" w:cs="Cambria"/>
          <w:b w:val="0"/>
          <w:bCs w:val="0"/>
          <w:sz w:val="20"/>
          <w:szCs w:val="20"/>
          <w:lang w:val="en-US"/>
        </w:rPr>
        <w:t>the State to provide more information regarding the results obtain</w:t>
      </w:r>
      <w:r w:rsidR="00BD05E1" w:rsidRPr="00CC562A">
        <w:rPr>
          <w:rFonts w:eastAsia="Cambria" w:cs="Cambria"/>
          <w:b w:val="0"/>
          <w:bCs w:val="0"/>
          <w:sz w:val="20"/>
          <w:szCs w:val="20"/>
          <w:lang w:val="en-US"/>
        </w:rPr>
        <w:t>ed</w:t>
      </w:r>
      <w:r w:rsidRPr="00CC562A">
        <w:rPr>
          <w:rFonts w:eastAsia="Cambria" w:cs="Cambria"/>
          <w:b w:val="0"/>
          <w:bCs w:val="0"/>
          <w:sz w:val="20"/>
          <w:szCs w:val="20"/>
          <w:lang w:val="en-US"/>
        </w:rPr>
        <w:t xml:space="preserve"> </w:t>
      </w:r>
      <w:proofErr w:type="gramStart"/>
      <w:r w:rsidRPr="00CC562A">
        <w:rPr>
          <w:rFonts w:eastAsia="Cambria" w:cs="Cambria"/>
          <w:b w:val="0"/>
          <w:bCs w:val="0"/>
          <w:sz w:val="20"/>
          <w:szCs w:val="20"/>
          <w:lang w:val="en-US"/>
        </w:rPr>
        <w:t>in the area of</w:t>
      </w:r>
      <w:proofErr w:type="gramEnd"/>
      <w:r w:rsidRPr="00CC562A">
        <w:rPr>
          <w:rFonts w:eastAsia="Cambria" w:cs="Cambria"/>
          <w:b w:val="0"/>
          <w:bCs w:val="0"/>
          <w:sz w:val="20"/>
          <w:szCs w:val="20"/>
          <w:lang w:val="en-US"/>
        </w:rPr>
        <w:t xml:space="preserve"> policing based on the implementation of the referenced protocols</w:t>
      </w:r>
      <w:r w:rsidR="7EB4A142" w:rsidRPr="00CC562A">
        <w:rPr>
          <w:rFonts w:eastAsia="Cambria" w:cs="Cambria"/>
          <w:b w:val="0"/>
          <w:bCs w:val="0"/>
          <w:sz w:val="20"/>
          <w:szCs w:val="20"/>
          <w:lang w:val="en-US"/>
        </w:rPr>
        <w:t>.</w:t>
      </w:r>
    </w:p>
    <w:p w14:paraId="6616B5C9" w14:textId="77777777" w:rsidR="00560DCB" w:rsidRPr="00CC562A" w:rsidRDefault="00560DCB" w:rsidP="00E529E8">
      <w:pPr>
        <w:spacing w:after="0" w:line="240" w:lineRule="auto"/>
        <w:ind w:firstLine="720"/>
        <w:rPr>
          <w:sz w:val="20"/>
          <w:szCs w:val="20"/>
          <w:lang w:val="en-US"/>
        </w:rPr>
      </w:pPr>
    </w:p>
    <w:p w14:paraId="6DA502E9" w14:textId="1D7B5DF1" w:rsidR="00A92391" w:rsidRPr="00CC562A" w:rsidRDefault="005C52BB" w:rsidP="00A92391">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lastRenderedPageBreak/>
        <w:t xml:space="preserve">Regarding the recommendation aimed at </w:t>
      </w:r>
      <w:r w:rsidR="1B11D768" w:rsidRPr="00CC562A">
        <w:rPr>
          <w:rFonts w:eastAsia="Cambria" w:cs="Cambria"/>
          <w:sz w:val="20"/>
          <w:szCs w:val="20"/>
          <w:lang w:val="en-US"/>
        </w:rPr>
        <w:t>implement</w:t>
      </w:r>
      <w:r w:rsidRPr="00CC562A">
        <w:rPr>
          <w:rFonts w:eastAsia="Cambria" w:cs="Cambria"/>
          <w:sz w:val="20"/>
          <w:szCs w:val="20"/>
          <w:lang w:val="en-US"/>
        </w:rPr>
        <w:t>ing and strengthening measures to comply with the duty to act with due diligence to prevent, punish, and eradicate violence against children and adolescents</w:t>
      </w:r>
      <w:r w:rsidR="1B11D768"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Pr="00CC562A">
        <w:rPr>
          <w:rFonts w:eastAsia="Cambria" w:cs="Cambria"/>
          <w:b w:val="0"/>
          <w:bCs w:val="0"/>
          <w:sz w:val="20"/>
          <w:szCs w:val="20"/>
          <w:lang w:val="en-US"/>
        </w:rPr>
        <w:t xml:space="preserve"> has been reporting that the </w:t>
      </w:r>
      <w:r w:rsidR="5D4DBD4A" w:rsidRPr="00CC562A">
        <w:rPr>
          <w:rFonts w:eastAsia="Cambria" w:cs="Cambria"/>
          <w:b w:val="0"/>
          <w:bCs w:val="0"/>
          <w:sz w:val="20"/>
          <w:szCs w:val="20"/>
          <w:lang w:val="en-US"/>
        </w:rPr>
        <w:t xml:space="preserve">SIPINNA </w:t>
      </w:r>
      <w:r w:rsidRPr="00CC562A">
        <w:rPr>
          <w:rFonts w:eastAsia="Cambria" w:cs="Cambria"/>
          <w:b w:val="0"/>
          <w:bCs w:val="0"/>
          <w:sz w:val="20"/>
          <w:szCs w:val="20"/>
          <w:lang w:val="en-US"/>
        </w:rPr>
        <w:t>is the agency charged with establishing instruments, policies, procedures, and actions to protect the human rights of children and adolescents, in which the Commission to End to All Forms of Violence against Children and Adolescents (hereinafter “COMPREVNNA”) has been operating since</w:t>
      </w:r>
      <w:r w:rsidR="04EF473C" w:rsidRPr="00CC562A">
        <w:rPr>
          <w:rFonts w:eastAsia="Cambria" w:cs="Cambria"/>
          <w:b w:val="0"/>
          <w:bCs w:val="0"/>
          <w:sz w:val="20"/>
          <w:szCs w:val="20"/>
          <w:lang w:val="en-US"/>
        </w:rPr>
        <w:t xml:space="preserve"> 2016</w:t>
      </w:r>
      <w:r w:rsidRPr="00CC562A">
        <w:rPr>
          <w:rFonts w:eastAsia="Cambria" w:cs="Cambria"/>
          <w:b w:val="0"/>
          <w:bCs w:val="0"/>
          <w:sz w:val="20"/>
          <w:szCs w:val="20"/>
          <w:lang w:val="en-US"/>
        </w:rPr>
        <w:t xml:space="preserve">. </w:t>
      </w:r>
      <w:r w:rsidR="150B8F44" w:rsidRPr="00CC562A">
        <w:rPr>
          <w:rFonts w:eastAsia="Cambria" w:cs="Cambria"/>
          <w:b w:val="0"/>
          <w:bCs w:val="0"/>
          <w:sz w:val="20"/>
          <w:szCs w:val="20"/>
          <w:lang w:val="en-US"/>
        </w:rPr>
        <w:t>COMPREVNNA</w:t>
      </w:r>
      <w:r w:rsidRPr="00CC562A">
        <w:rPr>
          <w:rFonts w:eastAsia="Cambria" w:cs="Cambria"/>
          <w:b w:val="0"/>
          <w:bCs w:val="0"/>
          <w:sz w:val="20"/>
          <w:szCs w:val="20"/>
          <w:lang w:val="en-US"/>
        </w:rPr>
        <w:t>’s primary objective is to articula</w:t>
      </w:r>
      <w:r w:rsidR="00BD05E1" w:rsidRPr="00CC562A">
        <w:rPr>
          <w:rFonts w:eastAsia="Cambria" w:cs="Cambria"/>
          <w:b w:val="0"/>
          <w:bCs w:val="0"/>
          <w:sz w:val="20"/>
          <w:szCs w:val="20"/>
          <w:lang w:val="en-US"/>
        </w:rPr>
        <w:t>te</w:t>
      </w:r>
      <w:r w:rsidRPr="00CC562A">
        <w:rPr>
          <w:rFonts w:eastAsia="Cambria" w:cs="Cambria"/>
          <w:b w:val="0"/>
          <w:bCs w:val="0"/>
          <w:sz w:val="20"/>
          <w:szCs w:val="20"/>
          <w:lang w:val="en-US"/>
        </w:rPr>
        <w:t xml:space="preserve"> the principal actions </w:t>
      </w:r>
      <w:proofErr w:type="gramStart"/>
      <w:r w:rsidRPr="00CC562A">
        <w:rPr>
          <w:rFonts w:eastAsia="Cambria" w:cs="Cambria"/>
          <w:b w:val="0"/>
          <w:bCs w:val="0"/>
          <w:sz w:val="20"/>
          <w:szCs w:val="20"/>
          <w:lang w:val="en-US"/>
        </w:rPr>
        <w:t>in the area of</w:t>
      </w:r>
      <w:proofErr w:type="gramEnd"/>
      <w:r w:rsidRPr="00CC562A">
        <w:rPr>
          <w:rFonts w:eastAsia="Cambria" w:cs="Cambria"/>
          <w:b w:val="0"/>
          <w:bCs w:val="0"/>
          <w:sz w:val="20"/>
          <w:szCs w:val="20"/>
          <w:lang w:val="en-US"/>
        </w:rPr>
        <w:t xml:space="preserve"> preventing and responding to violence against children and adolescents and in this way to address the obligations and commitments assumed in this area by the Mexican State at the national and international level. In 2019, the </w:t>
      </w:r>
      <w:r w:rsidR="150B8F44" w:rsidRPr="00CC562A">
        <w:rPr>
          <w:rFonts w:eastAsia="Cambria" w:cs="Cambria"/>
          <w:b w:val="0"/>
          <w:bCs w:val="0"/>
          <w:sz w:val="20"/>
          <w:szCs w:val="20"/>
          <w:lang w:val="en-US"/>
        </w:rPr>
        <w:t>COMPREVNNA</w:t>
      </w:r>
      <w:r w:rsidR="04EF473C" w:rsidRPr="00CC562A">
        <w:rPr>
          <w:rFonts w:eastAsia="Cambria" w:cs="Cambria"/>
          <w:b w:val="0"/>
          <w:bCs w:val="0"/>
          <w:sz w:val="20"/>
          <w:szCs w:val="20"/>
          <w:lang w:val="en-US"/>
        </w:rPr>
        <w:t xml:space="preserve"> adop</w:t>
      </w:r>
      <w:r w:rsidRPr="00CC562A">
        <w:rPr>
          <w:rFonts w:eastAsia="Cambria" w:cs="Cambria"/>
          <w:b w:val="0"/>
          <w:bCs w:val="0"/>
          <w:sz w:val="20"/>
          <w:szCs w:val="20"/>
          <w:lang w:val="en-US"/>
        </w:rPr>
        <w:t>ted Mexico’s 2019</w:t>
      </w:r>
      <w:r w:rsidR="00E44293" w:rsidRPr="00CC562A">
        <w:rPr>
          <w:rFonts w:eastAsia="Cambria" w:cs="Cambria"/>
          <w:b w:val="0"/>
          <w:bCs w:val="0"/>
          <w:sz w:val="20"/>
          <w:szCs w:val="20"/>
          <w:lang w:val="en-US"/>
        </w:rPr>
        <w:t>-2024</w:t>
      </w:r>
      <w:r w:rsidRPr="00CC562A">
        <w:rPr>
          <w:rFonts w:eastAsia="Cambria" w:cs="Cambria"/>
          <w:b w:val="0"/>
          <w:bCs w:val="0"/>
          <w:sz w:val="20"/>
          <w:szCs w:val="20"/>
          <w:lang w:val="en-US"/>
        </w:rPr>
        <w:t xml:space="preserve"> Action Plan in the Global </w:t>
      </w:r>
      <w:r w:rsidR="00C80FE5" w:rsidRPr="00CC562A">
        <w:rPr>
          <w:rFonts w:eastAsia="Cambria" w:cs="Cambria"/>
          <w:b w:val="0"/>
          <w:bCs w:val="0"/>
          <w:sz w:val="20"/>
          <w:szCs w:val="20"/>
          <w:lang w:val="en-US"/>
        </w:rPr>
        <w:t>Alliance to</w:t>
      </w:r>
      <w:r w:rsidR="00E44293" w:rsidRPr="00CC562A">
        <w:rPr>
          <w:rFonts w:eastAsia="Cambria" w:cs="Cambria"/>
          <w:b w:val="0"/>
          <w:bCs w:val="0"/>
          <w:sz w:val="20"/>
          <w:szCs w:val="20"/>
          <w:lang w:val="en-US"/>
        </w:rPr>
        <w:t xml:space="preserve"> put an end to violence against children that established the bases for coordination among the various levels of government in executing and following up actions implemented</w:t>
      </w:r>
      <w:r w:rsidR="71824456" w:rsidRPr="00CC562A">
        <w:rPr>
          <w:rFonts w:eastAsia="Cambria" w:cs="Cambria"/>
          <w:b w:val="0"/>
          <w:bCs w:val="0"/>
          <w:sz w:val="20"/>
          <w:szCs w:val="20"/>
          <w:lang w:val="en-US"/>
        </w:rPr>
        <w:t>.</w:t>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p>
    <w:p w14:paraId="204639D7" w14:textId="31873239" w:rsidR="00E529E8" w:rsidRPr="00CC562A" w:rsidRDefault="008D5508" w:rsidP="00E529E8">
      <w:pPr>
        <w:pStyle w:val="Heading3"/>
        <w:spacing w:before="0" w:after="0" w:line="240" w:lineRule="auto"/>
        <w:ind w:left="0" w:firstLine="720"/>
        <w:rPr>
          <w:rFonts w:eastAsia="Cambria" w:cs="Cambria"/>
          <w:b w:val="0"/>
          <w:bCs w:val="0"/>
          <w:sz w:val="20"/>
          <w:szCs w:val="20"/>
          <w:lang w:val="en-US"/>
        </w:rPr>
      </w:pPr>
      <w:r w:rsidRPr="00CC562A">
        <w:rPr>
          <w:b w:val="0"/>
          <w:bCs w:val="0"/>
          <w:sz w:val="20"/>
          <w:lang w:val="en-US"/>
        </w:rPr>
        <w:t>For its part, the</w:t>
      </w:r>
      <w:r w:rsidR="00E529E8" w:rsidRPr="00CC562A">
        <w:rPr>
          <w:b w:val="0"/>
          <w:bCs w:val="0"/>
          <w:sz w:val="20"/>
          <w:lang w:val="en-US"/>
        </w:rPr>
        <w:t xml:space="preserve"> FGR indic</w:t>
      </w:r>
      <w:r w:rsidRPr="00CC562A">
        <w:rPr>
          <w:b w:val="0"/>
          <w:bCs w:val="0"/>
          <w:sz w:val="20"/>
          <w:lang w:val="en-US"/>
        </w:rPr>
        <w:t xml:space="preserve">ated that it is </w:t>
      </w:r>
      <w:r w:rsidR="005B1980" w:rsidRPr="00CC562A">
        <w:rPr>
          <w:b w:val="0"/>
          <w:bCs w:val="0"/>
          <w:sz w:val="20"/>
          <w:lang w:val="en-US"/>
        </w:rPr>
        <w:t>conducting</w:t>
      </w:r>
      <w:r w:rsidRPr="00CC562A">
        <w:rPr>
          <w:b w:val="0"/>
          <w:bCs w:val="0"/>
          <w:sz w:val="20"/>
          <w:lang w:val="en-US"/>
        </w:rPr>
        <w:t xml:space="preserve"> a curriculum on strengthening Prosecutor’s Offices on the Protection of Children and Adolescents.</w:t>
      </w:r>
      <w:r w:rsidR="00E529E8" w:rsidRPr="00CC562A">
        <w:rPr>
          <w:b w:val="0"/>
          <w:bCs w:val="0"/>
          <w:sz w:val="20"/>
          <w:lang w:val="en-US"/>
        </w:rPr>
        <w:t xml:space="preserve"> </w:t>
      </w:r>
      <w:r w:rsidRPr="00CC562A">
        <w:rPr>
          <w:b w:val="0"/>
          <w:bCs w:val="0"/>
          <w:sz w:val="20"/>
          <w:lang w:val="en-US"/>
        </w:rPr>
        <w:t xml:space="preserve">It also indicated that </w:t>
      </w:r>
      <w:r w:rsidR="00E529E8" w:rsidRPr="00CC562A">
        <w:rPr>
          <w:b w:val="0"/>
          <w:bCs w:val="0"/>
          <w:sz w:val="20"/>
          <w:lang w:val="en-US"/>
        </w:rPr>
        <w:t xml:space="preserve">FEVIMTRA </w:t>
      </w:r>
      <w:r w:rsidRPr="00CC562A">
        <w:rPr>
          <w:b w:val="0"/>
          <w:bCs w:val="0"/>
          <w:sz w:val="20"/>
          <w:lang w:val="en-US"/>
        </w:rPr>
        <w:t>is charged with the investigation and prosecution of crimes committed against boys, girls, and adolescents. In this regard, the State asserted that</w:t>
      </w:r>
      <w:r w:rsidR="00E529E8" w:rsidRPr="00CC562A">
        <w:rPr>
          <w:b w:val="0"/>
          <w:bCs w:val="0"/>
          <w:sz w:val="20"/>
          <w:lang w:val="en-US"/>
        </w:rPr>
        <w:t xml:space="preserve"> FEVIMTRA </w:t>
      </w:r>
      <w:r w:rsidRPr="00CC562A">
        <w:rPr>
          <w:b w:val="0"/>
          <w:bCs w:val="0"/>
          <w:sz w:val="20"/>
          <w:lang w:val="en-US"/>
        </w:rPr>
        <w:t xml:space="preserve">has trained staff, material resources, and optimum facilities for </w:t>
      </w:r>
      <w:r w:rsidR="0034358C" w:rsidRPr="00CC562A">
        <w:rPr>
          <w:b w:val="0"/>
          <w:bCs w:val="0"/>
          <w:sz w:val="20"/>
          <w:lang w:val="en-US"/>
        </w:rPr>
        <w:t>serving children and adolescents in comfortable and safe spaces that protect their identity. The services provided to minor victims are in all cases accompanied by professionals who ensure respect for the human rights of children and adolescents and adherence to applica</w:t>
      </w:r>
      <w:r w:rsidR="005B1980" w:rsidRPr="00CC562A">
        <w:rPr>
          <w:b w:val="0"/>
          <w:bCs w:val="0"/>
          <w:sz w:val="20"/>
          <w:lang w:val="en-US"/>
        </w:rPr>
        <w:t>ble</w:t>
      </w:r>
      <w:r w:rsidR="0034358C" w:rsidRPr="00CC562A">
        <w:rPr>
          <w:b w:val="0"/>
          <w:bCs w:val="0"/>
          <w:sz w:val="20"/>
          <w:lang w:val="en-US"/>
        </w:rPr>
        <w:t xml:space="preserve"> regulations.</w:t>
      </w:r>
      <w:r w:rsidR="00E529E8" w:rsidRPr="00CC562A">
        <w:rPr>
          <w:b w:val="0"/>
          <w:bCs w:val="0"/>
          <w:sz w:val="20"/>
          <w:lang w:val="en-US"/>
        </w:rPr>
        <w:t xml:space="preserve"> </w:t>
      </w:r>
      <w:r w:rsidR="0034358C" w:rsidRPr="00CC562A">
        <w:rPr>
          <w:b w:val="0"/>
          <w:bCs w:val="0"/>
          <w:sz w:val="20"/>
          <w:lang w:val="en-US"/>
        </w:rPr>
        <w:t>It also indicated that the</w:t>
      </w:r>
      <w:r w:rsidR="00E529E8" w:rsidRPr="00CC562A">
        <w:rPr>
          <w:b w:val="0"/>
          <w:bCs w:val="0"/>
          <w:sz w:val="20"/>
          <w:lang w:val="en-US"/>
        </w:rPr>
        <w:t xml:space="preserve"> FEVIMTRA</w:t>
      </w:r>
      <w:r w:rsidR="0034358C" w:rsidRPr="00CC562A">
        <w:rPr>
          <w:b w:val="0"/>
          <w:bCs w:val="0"/>
          <w:sz w:val="20"/>
          <w:lang w:val="en-US"/>
        </w:rPr>
        <w:t>’s Special Refuge has general services (social work, psychology, medicine, nursing, etc.) in addition to</w:t>
      </w:r>
      <w:r w:rsidR="00E529E8" w:rsidRPr="00CC562A">
        <w:rPr>
          <w:b w:val="0"/>
          <w:bCs w:val="0"/>
          <w:sz w:val="20"/>
          <w:lang w:val="en-US"/>
        </w:rPr>
        <w:t xml:space="preserve"> </w:t>
      </w:r>
      <w:r w:rsidR="0034358C" w:rsidRPr="00CC562A">
        <w:rPr>
          <w:b w:val="0"/>
          <w:bCs w:val="0"/>
          <w:sz w:val="20"/>
          <w:lang w:val="en-US"/>
        </w:rPr>
        <w:t>a children’s psycho-educational area, as well as psychologists specializing in children and adolescents</w:t>
      </w:r>
      <w:r w:rsidR="005B1980" w:rsidRPr="00CC562A">
        <w:rPr>
          <w:b w:val="0"/>
          <w:bCs w:val="0"/>
          <w:sz w:val="20"/>
          <w:lang w:val="en-US"/>
        </w:rPr>
        <w:t xml:space="preserve"> </w:t>
      </w:r>
      <w:r w:rsidR="0034358C" w:rsidRPr="00CC562A">
        <w:rPr>
          <w:b w:val="0"/>
          <w:bCs w:val="0"/>
          <w:sz w:val="20"/>
          <w:lang w:val="en-US"/>
        </w:rPr>
        <w:t>who provide a personalized therapeutic setting</w:t>
      </w:r>
      <w:r w:rsidR="005B1980" w:rsidRPr="00CC562A">
        <w:rPr>
          <w:b w:val="0"/>
          <w:bCs w:val="0"/>
          <w:sz w:val="20"/>
          <w:lang w:val="en-US"/>
        </w:rPr>
        <w:t xml:space="preserve"> </w:t>
      </w:r>
      <w:r w:rsidR="0034358C" w:rsidRPr="00CC562A">
        <w:rPr>
          <w:b w:val="0"/>
          <w:bCs w:val="0"/>
          <w:sz w:val="20"/>
          <w:lang w:val="en-US"/>
        </w:rPr>
        <w:t xml:space="preserve">as well as referrals to pediatric medical services, child psychiatrists, rehabilitation, occupational therapy, and language services. Thus, it indicated that from October 1, </w:t>
      </w:r>
      <w:r w:rsidR="00A92391" w:rsidRPr="00CC562A">
        <w:rPr>
          <w:b w:val="0"/>
          <w:bCs w:val="0"/>
          <w:sz w:val="20"/>
          <w:lang w:val="en-US"/>
        </w:rPr>
        <w:t>2021,</w:t>
      </w:r>
      <w:r w:rsidR="0034358C" w:rsidRPr="00CC562A">
        <w:rPr>
          <w:b w:val="0"/>
          <w:bCs w:val="0"/>
          <w:sz w:val="20"/>
          <w:lang w:val="en-US"/>
        </w:rPr>
        <w:t xml:space="preserve"> to January 31, </w:t>
      </w:r>
      <w:r w:rsidR="00E529E8" w:rsidRPr="00CC562A">
        <w:rPr>
          <w:b w:val="0"/>
          <w:bCs w:val="0"/>
          <w:sz w:val="20"/>
          <w:lang w:val="en-US"/>
        </w:rPr>
        <w:t>2023,</w:t>
      </w:r>
      <w:r w:rsidR="0034358C" w:rsidRPr="00CC562A">
        <w:rPr>
          <w:b w:val="0"/>
          <w:bCs w:val="0"/>
          <w:sz w:val="20"/>
          <w:lang w:val="en-US"/>
        </w:rPr>
        <w:t xml:space="preserve"> a total of 56 persons entered the Specialized Refuge, of whom 25 were adult women, 14 </w:t>
      </w:r>
      <w:r w:rsidR="00A92391" w:rsidRPr="00CC562A">
        <w:rPr>
          <w:b w:val="0"/>
          <w:bCs w:val="0"/>
          <w:sz w:val="20"/>
          <w:lang w:val="en-US"/>
        </w:rPr>
        <w:t>were adolescent</w:t>
      </w:r>
      <w:r w:rsidR="0034358C" w:rsidRPr="00CC562A">
        <w:rPr>
          <w:b w:val="0"/>
          <w:bCs w:val="0"/>
          <w:sz w:val="20"/>
          <w:lang w:val="en-US"/>
        </w:rPr>
        <w:t xml:space="preserve"> females</w:t>
      </w:r>
      <w:r w:rsidR="00447811" w:rsidRPr="00CC562A">
        <w:rPr>
          <w:b w:val="0"/>
          <w:bCs w:val="0"/>
          <w:sz w:val="20"/>
          <w:lang w:val="en-US"/>
        </w:rPr>
        <w:t>, one was an adolescent male, 11 were girls, and five were boys. They were provided with</w:t>
      </w:r>
      <w:r w:rsidR="00E529E8" w:rsidRPr="00CC562A">
        <w:rPr>
          <w:b w:val="0"/>
          <w:bCs w:val="0"/>
          <w:sz w:val="20"/>
          <w:lang w:val="en-US"/>
        </w:rPr>
        <w:t xml:space="preserve"> 9,408 </w:t>
      </w:r>
      <w:r w:rsidR="00447811" w:rsidRPr="00CC562A">
        <w:rPr>
          <w:b w:val="0"/>
          <w:bCs w:val="0"/>
          <w:sz w:val="20"/>
          <w:lang w:val="en-US"/>
        </w:rPr>
        <w:t>emergent care service</w:t>
      </w:r>
      <w:r w:rsidR="005B1980" w:rsidRPr="00CC562A">
        <w:rPr>
          <w:b w:val="0"/>
          <w:bCs w:val="0"/>
          <w:sz w:val="20"/>
          <w:lang w:val="en-US"/>
        </w:rPr>
        <w:t>s</w:t>
      </w:r>
      <w:r w:rsidR="00447811" w:rsidRPr="00CC562A">
        <w:rPr>
          <w:b w:val="0"/>
          <w:bCs w:val="0"/>
          <w:sz w:val="20"/>
          <w:lang w:val="en-US"/>
        </w:rPr>
        <w:t xml:space="preserve"> related to law, psychology, social work, </w:t>
      </w:r>
      <w:proofErr w:type="gramStart"/>
      <w:r w:rsidR="00447811" w:rsidRPr="00CC562A">
        <w:rPr>
          <w:b w:val="0"/>
          <w:bCs w:val="0"/>
          <w:sz w:val="20"/>
          <w:lang w:val="en-US"/>
        </w:rPr>
        <w:t>support</w:t>
      </w:r>
      <w:proofErr w:type="gramEnd"/>
      <w:r w:rsidR="00447811" w:rsidRPr="00CC562A">
        <w:rPr>
          <w:b w:val="0"/>
          <w:bCs w:val="0"/>
          <w:sz w:val="20"/>
          <w:lang w:val="en-US"/>
        </w:rPr>
        <w:t xml:space="preserve"> and follow-up of former users. In addition, the State reported that</w:t>
      </w:r>
      <w:r w:rsidR="00E529E8" w:rsidRPr="00CC562A">
        <w:rPr>
          <w:b w:val="0"/>
          <w:bCs w:val="0"/>
          <w:sz w:val="20"/>
          <w:lang w:val="en-US"/>
        </w:rPr>
        <w:t xml:space="preserve"> FEVIMTRA ha</w:t>
      </w:r>
      <w:r w:rsidR="00447811" w:rsidRPr="00CC562A">
        <w:rPr>
          <w:b w:val="0"/>
          <w:bCs w:val="0"/>
          <w:sz w:val="20"/>
          <w:lang w:val="en-US"/>
        </w:rPr>
        <w:t>s developed strategies to promote and facilitate the reporting of crimes against boys, girls, and adolescents.</w:t>
      </w:r>
      <w:r w:rsidR="00E529E8" w:rsidRPr="00CC562A">
        <w:rPr>
          <w:rStyle w:val="FootnoteReference"/>
          <w:b w:val="0"/>
          <w:bCs w:val="0"/>
          <w:sz w:val="20"/>
          <w:lang w:val="en-US"/>
        </w:rPr>
        <w:footnoteReference w:id="224"/>
      </w:r>
    </w:p>
    <w:p w14:paraId="4125ACEF" w14:textId="77777777" w:rsidR="00E529E8" w:rsidRPr="00CC562A" w:rsidRDefault="00E529E8" w:rsidP="00E529E8">
      <w:pPr>
        <w:spacing w:after="0"/>
        <w:rPr>
          <w:lang w:val="en-US"/>
        </w:rPr>
      </w:pPr>
    </w:p>
    <w:p w14:paraId="0B7EF33E" w14:textId="656A1942" w:rsidR="00E529E8" w:rsidRPr="00CC562A" w:rsidRDefault="00E529E8" w:rsidP="00E529E8">
      <w:pPr>
        <w:pStyle w:val="Heading3"/>
        <w:spacing w:before="0" w:after="0" w:line="240" w:lineRule="auto"/>
        <w:ind w:left="0" w:firstLine="810"/>
        <w:rPr>
          <w:b w:val="0"/>
          <w:bCs w:val="0"/>
          <w:sz w:val="20"/>
          <w:lang w:val="en-US"/>
        </w:rPr>
      </w:pPr>
      <w:r w:rsidRPr="00CC562A">
        <w:rPr>
          <w:rFonts w:eastAsia="Cambria" w:cs="Cambria"/>
          <w:b w:val="0"/>
          <w:bCs w:val="0"/>
          <w:sz w:val="20"/>
          <w:szCs w:val="20"/>
          <w:lang w:val="en-US"/>
        </w:rPr>
        <w:t>Final</w:t>
      </w:r>
      <w:r w:rsidR="00447811" w:rsidRPr="00CC562A">
        <w:rPr>
          <w:rFonts w:eastAsia="Cambria" w:cs="Cambria"/>
          <w:b w:val="0"/>
          <w:bCs w:val="0"/>
          <w:sz w:val="20"/>
          <w:szCs w:val="20"/>
          <w:lang w:val="en-US"/>
        </w:rPr>
        <w:t xml:space="preserve">ly, the State indicated that the National Commission against Addictions produced the document titled “Regulatory Framework for Admitting Boys, Girls, and Adolescents to Residential Addiction Treatment Facilities” to prevent this population from being placed in treatment centers that do not have professional staff and to give preference to ambulatory treatment </w:t>
      </w:r>
      <w:proofErr w:type="gramStart"/>
      <w:r w:rsidR="00447811" w:rsidRPr="00CC562A">
        <w:rPr>
          <w:rFonts w:eastAsia="Cambria" w:cs="Cambria"/>
          <w:b w:val="0"/>
          <w:bCs w:val="0"/>
          <w:sz w:val="20"/>
          <w:szCs w:val="20"/>
          <w:lang w:val="en-US"/>
        </w:rPr>
        <w:t>so as to</w:t>
      </w:r>
      <w:proofErr w:type="gramEnd"/>
      <w:r w:rsidR="00447811" w:rsidRPr="00CC562A">
        <w:rPr>
          <w:rFonts w:eastAsia="Cambria" w:cs="Cambria"/>
          <w:b w:val="0"/>
          <w:bCs w:val="0"/>
          <w:sz w:val="20"/>
          <w:szCs w:val="20"/>
          <w:lang w:val="en-US"/>
        </w:rPr>
        <w:t xml:space="preserve"> avoid situations of risk and violence to human rights.</w:t>
      </w:r>
      <w:r w:rsidRPr="00CC562A">
        <w:rPr>
          <w:rStyle w:val="FootnoteReference"/>
          <w:b w:val="0"/>
          <w:bCs w:val="0"/>
          <w:sz w:val="20"/>
          <w:lang w:val="en-US"/>
        </w:rPr>
        <w:footnoteReference w:id="225"/>
      </w:r>
    </w:p>
    <w:p w14:paraId="238A172D"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602297C3" w14:textId="0E41AD75" w:rsidR="00522749" w:rsidRPr="00CC562A" w:rsidRDefault="00276638"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IACHR</w:t>
      </w:r>
      <w:r w:rsidR="08E90E63" w:rsidRPr="00CC562A">
        <w:rPr>
          <w:rFonts w:eastAsia="Cambria" w:cs="Cambria"/>
          <w:b w:val="0"/>
          <w:bCs w:val="0"/>
          <w:sz w:val="20"/>
          <w:szCs w:val="20"/>
          <w:lang w:val="en-US"/>
        </w:rPr>
        <w:t xml:space="preserve"> </w:t>
      </w:r>
      <w:r w:rsidR="00E44293" w:rsidRPr="00CC562A">
        <w:rPr>
          <w:rFonts w:eastAsia="Cambria" w:cs="Cambria"/>
          <w:b w:val="0"/>
          <w:bCs w:val="0"/>
          <w:sz w:val="20"/>
          <w:szCs w:val="20"/>
          <w:lang w:val="en-US"/>
        </w:rPr>
        <w:t xml:space="preserve">emphasized the need to have updated information on the status of progress in the 2019-2014 Action Plan, so that it will be possible to measures compliance with the recommendation and learn details on the actions and instruments intended for the protection of children and adolescents against any form of violence. Added to this, the Commission reiterates that the content of this recommendation focuses on protecting children and adolescents against all forms of violence. On this basis, the Commission notes that information was not provided regarding violence against children and adolescents, sexual violence and/or exploitation, pregnancy in girls and adolescents, homicide rates, </w:t>
      </w:r>
      <w:r w:rsidR="00BD05E1" w:rsidRPr="00CC562A">
        <w:rPr>
          <w:rFonts w:eastAsia="Cambria" w:cs="Cambria"/>
          <w:b w:val="0"/>
          <w:bCs w:val="0"/>
          <w:sz w:val="20"/>
          <w:szCs w:val="20"/>
          <w:lang w:val="en-US"/>
        </w:rPr>
        <w:t>etc</w:t>
      </w:r>
      <w:r w:rsidR="00E44293" w:rsidRPr="00CC562A">
        <w:rPr>
          <w:rFonts w:eastAsia="Cambria" w:cs="Cambria"/>
          <w:b w:val="0"/>
          <w:bCs w:val="0"/>
          <w:sz w:val="20"/>
          <w:szCs w:val="20"/>
          <w:lang w:val="en-US"/>
        </w:rPr>
        <w:t xml:space="preserve">. Based on the information received, the Commission considers that there is </w:t>
      </w:r>
      <w:r w:rsidR="00E44293" w:rsidRPr="00CC562A">
        <w:rPr>
          <w:rFonts w:eastAsia="Cambria" w:cs="Cambria"/>
          <w:sz w:val="20"/>
          <w:szCs w:val="20"/>
          <w:lang w:val="en-US"/>
        </w:rPr>
        <w:t xml:space="preserve">partial compliance </w:t>
      </w:r>
      <w:r w:rsidR="00E44293" w:rsidRPr="00CC562A">
        <w:rPr>
          <w:rFonts w:eastAsia="Cambria" w:cs="Cambria"/>
          <w:b w:val="0"/>
          <w:bCs w:val="0"/>
          <w:sz w:val="20"/>
          <w:szCs w:val="20"/>
          <w:lang w:val="en-US"/>
        </w:rPr>
        <w:t>with the recommendation</w:t>
      </w:r>
      <w:r w:rsidR="04EF473C" w:rsidRPr="00CC562A">
        <w:rPr>
          <w:rFonts w:eastAsia="Cambria" w:cs="Cambria"/>
          <w:b w:val="0"/>
          <w:bCs w:val="0"/>
          <w:sz w:val="20"/>
          <w:szCs w:val="20"/>
          <w:lang w:val="en-US"/>
        </w:rPr>
        <w:t>.</w:t>
      </w:r>
    </w:p>
    <w:p w14:paraId="7183F16D"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0AE4E22E" w14:textId="243F1088" w:rsidR="000B06AA" w:rsidRDefault="00E8033B" w:rsidP="000B06AA">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lastRenderedPageBreak/>
        <w:t>To guide the implementation of this recommendation</w:t>
      </w:r>
      <w:r w:rsidR="0067334C" w:rsidRPr="00CC562A">
        <w:rPr>
          <w:rFonts w:eastAsia="Cambria" w:cs="Cambria"/>
          <w:b w:val="0"/>
          <w:bCs w:val="0"/>
          <w:sz w:val="20"/>
          <w:szCs w:val="20"/>
          <w:lang w:val="en-US"/>
        </w:rPr>
        <w:t xml:space="preserve">, </w:t>
      </w:r>
      <w:r w:rsidR="00E44293" w:rsidRPr="00CC562A">
        <w:rPr>
          <w:rFonts w:eastAsia="Cambria" w:cs="Cambria"/>
          <w:b w:val="0"/>
          <w:bCs w:val="0"/>
          <w:sz w:val="20"/>
          <w:szCs w:val="20"/>
          <w:lang w:val="en-US"/>
        </w:rPr>
        <w:t>the Commission considers it important for the State to adopt measures intended to systematize updated information on rates of violence against children and adolescents and protective mechanisms implemented, in addition to indic</w:t>
      </w:r>
      <w:r w:rsidR="00524652" w:rsidRPr="00CC562A">
        <w:rPr>
          <w:rFonts w:eastAsia="Cambria" w:cs="Cambria"/>
          <w:b w:val="0"/>
          <w:bCs w:val="0"/>
          <w:sz w:val="20"/>
          <w:szCs w:val="20"/>
          <w:lang w:val="en-US"/>
        </w:rPr>
        <w:t>ators allowing for the evaluation of those mechanisms</w:t>
      </w:r>
      <w:r w:rsidR="20A358C8" w:rsidRPr="00CC562A">
        <w:rPr>
          <w:rFonts w:eastAsia="Cambria" w:cs="Cambria"/>
          <w:b w:val="0"/>
          <w:bCs w:val="0"/>
          <w:sz w:val="20"/>
          <w:szCs w:val="20"/>
          <w:lang w:val="en-US"/>
        </w:rPr>
        <w:t xml:space="preserve">. </w:t>
      </w:r>
    </w:p>
    <w:p w14:paraId="16139F75" w14:textId="77777777" w:rsidR="000B06AA" w:rsidRPr="000B06AA" w:rsidRDefault="000B06AA" w:rsidP="000B06AA">
      <w:pPr>
        <w:spacing w:after="0"/>
        <w:rPr>
          <w:lang w:val="en-US"/>
        </w:rPr>
      </w:pPr>
    </w:p>
    <w:p w14:paraId="7F6317D7" w14:textId="27690AF7" w:rsidR="000B06AA" w:rsidRPr="000B06AA" w:rsidRDefault="00524652" w:rsidP="000B06AA">
      <w:pPr>
        <w:pStyle w:val="Heading3"/>
        <w:numPr>
          <w:ilvl w:val="0"/>
          <w:numId w:val="31"/>
        </w:numPr>
        <w:spacing w:before="0" w:after="0" w:line="240" w:lineRule="auto"/>
        <w:ind w:left="1440"/>
        <w:rPr>
          <w:sz w:val="20"/>
          <w:szCs w:val="20"/>
          <w:lang w:val="en-US"/>
        </w:rPr>
      </w:pPr>
      <w:r w:rsidRPr="00CC562A">
        <w:rPr>
          <w:sz w:val="20"/>
          <w:szCs w:val="20"/>
          <w:lang w:val="en-US"/>
        </w:rPr>
        <w:t>Indigenous Peoples</w:t>
      </w:r>
    </w:p>
    <w:p w14:paraId="45267E60" w14:textId="362B8E54" w:rsidR="00C83114" w:rsidRPr="00CC562A" w:rsidRDefault="004D7917" w:rsidP="000B06AA">
      <w:pPr>
        <w:numPr>
          <w:ilvl w:val="0"/>
          <w:numId w:val="14"/>
        </w:numPr>
        <w:pBdr>
          <w:top w:val="nil"/>
          <w:left w:val="nil"/>
          <w:bottom w:val="nil"/>
          <w:right w:val="nil"/>
          <w:between w:val="nil"/>
        </w:pBdr>
        <w:shd w:val="clear" w:color="auto" w:fill="D9D9D9" w:themeFill="background1" w:themeFillShade="D9"/>
        <w:spacing w:before="240" w:line="240" w:lineRule="auto"/>
        <w:ind w:left="1440"/>
        <w:jc w:val="both"/>
        <w:rPr>
          <w:rFonts w:ascii="Cambria" w:hAnsi="Cambria"/>
          <w:lang w:val="en-US"/>
        </w:rPr>
      </w:pPr>
      <w:r w:rsidRPr="00CC562A">
        <w:rPr>
          <w:rFonts w:ascii="Cambria" w:eastAsia="Cambria" w:hAnsi="Cambria" w:cs="Cambria"/>
          <w:sz w:val="20"/>
          <w:szCs w:val="20"/>
          <w:lang w:val="en-US"/>
        </w:rPr>
        <w:t xml:space="preserve">Adopt measures to ensure that a culturally appropriate perspective is adopted and that the collective nature of indigenous communities and peoples is </w:t>
      </w:r>
      <w:proofErr w:type="gramStart"/>
      <w:r w:rsidRPr="00CC562A">
        <w:rPr>
          <w:rFonts w:ascii="Cambria" w:eastAsia="Cambria" w:hAnsi="Cambria" w:cs="Cambria"/>
          <w:sz w:val="20"/>
          <w:szCs w:val="20"/>
          <w:lang w:val="en-US"/>
        </w:rPr>
        <w:t>taken into account</w:t>
      </w:r>
      <w:proofErr w:type="gramEnd"/>
      <w:r w:rsidRPr="00CC562A">
        <w:rPr>
          <w:rFonts w:ascii="Cambria" w:eastAsia="Cambria" w:hAnsi="Cambria" w:cs="Cambria"/>
          <w:sz w:val="20"/>
          <w:szCs w:val="20"/>
          <w:lang w:val="en-US"/>
        </w:rPr>
        <w:t xml:space="preserve"> when they, or their members, are victims of human rights violations</w:t>
      </w:r>
      <w:r w:rsidR="00A4198F" w:rsidRPr="00CC562A">
        <w:rPr>
          <w:rFonts w:ascii="Cambria" w:eastAsia="Cambria" w:hAnsi="Cambria" w:cs="Cambria"/>
          <w:sz w:val="20"/>
          <w:szCs w:val="20"/>
          <w:lang w:val="en-US"/>
        </w:rPr>
        <w:t xml:space="preserve">. </w:t>
      </w:r>
    </w:p>
    <w:p w14:paraId="0944336F" w14:textId="001EBA8F" w:rsidR="00C83114" w:rsidRPr="00CC562A" w:rsidRDefault="00C83114" w:rsidP="000B06AA">
      <w:pPr>
        <w:numPr>
          <w:ilvl w:val="0"/>
          <w:numId w:val="14"/>
        </w:numPr>
        <w:pBdr>
          <w:top w:val="nil"/>
          <w:left w:val="nil"/>
          <w:bottom w:val="nil"/>
          <w:right w:val="nil"/>
          <w:between w:val="nil"/>
        </w:pBdr>
        <w:shd w:val="clear" w:color="auto" w:fill="D9D9D9" w:themeFill="background1" w:themeFillShade="D9"/>
        <w:spacing w:before="240" w:line="240" w:lineRule="auto"/>
        <w:ind w:left="1440"/>
        <w:jc w:val="both"/>
        <w:rPr>
          <w:rFonts w:ascii="Cambria" w:hAnsi="Cambria"/>
          <w:lang w:val="en-US"/>
        </w:rPr>
      </w:pPr>
      <w:r w:rsidRPr="00CC562A">
        <w:rPr>
          <w:rFonts w:ascii="Cambria" w:hAnsi="Cambria"/>
          <w:sz w:val="20"/>
          <w:szCs w:val="20"/>
          <w:lang w:val="en-US"/>
        </w:rPr>
        <w:t>G</w:t>
      </w:r>
      <w:r w:rsidR="004D7917" w:rsidRPr="00CC562A">
        <w:rPr>
          <w:rFonts w:ascii="Cambria" w:hAnsi="Cambria"/>
          <w:sz w:val="20"/>
          <w:szCs w:val="20"/>
          <w:lang w:val="en-US"/>
        </w:rPr>
        <w:t>uarantee the availability of translators throughout the national territory and at all levels of government so that indigenous peoples and their members can have access to justice when they need it</w:t>
      </w:r>
      <w:r w:rsidRPr="00CC562A">
        <w:rPr>
          <w:rFonts w:ascii="Cambria" w:hAnsi="Cambria"/>
          <w:sz w:val="20"/>
          <w:szCs w:val="20"/>
          <w:lang w:val="en-US"/>
        </w:rPr>
        <w:t xml:space="preserve">. </w:t>
      </w:r>
    </w:p>
    <w:p w14:paraId="0640E075" w14:textId="15D3E6EF" w:rsidR="00A4198F" w:rsidRPr="00CC562A" w:rsidRDefault="00C83114" w:rsidP="000B06AA">
      <w:pPr>
        <w:numPr>
          <w:ilvl w:val="0"/>
          <w:numId w:val="14"/>
        </w:numPr>
        <w:pBdr>
          <w:top w:val="nil"/>
          <w:left w:val="nil"/>
          <w:bottom w:val="nil"/>
          <w:right w:val="nil"/>
          <w:between w:val="nil"/>
        </w:pBdr>
        <w:shd w:val="clear" w:color="auto" w:fill="D9D9D9" w:themeFill="background1" w:themeFillShade="D9"/>
        <w:spacing w:before="240" w:line="240" w:lineRule="auto"/>
        <w:ind w:left="1440"/>
        <w:jc w:val="both"/>
        <w:rPr>
          <w:rFonts w:ascii="Cambria" w:hAnsi="Cambria"/>
          <w:lang w:val="en-US"/>
        </w:rPr>
      </w:pPr>
      <w:r w:rsidRPr="00CC562A">
        <w:rPr>
          <w:rFonts w:ascii="Cambria" w:hAnsi="Cambria"/>
          <w:sz w:val="20"/>
          <w:szCs w:val="20"/>
          <w:lang w:val="en-US"/>
        </w:rPr>
        <w:t>Adopt</w:t>
      </w:r>
      <w:r w:rsidR="004D7917" w:rsidRPr="00CC562A">
        <w:rPr>
          <w:rFonts w:ascii="Cambria" w:hAnsi="Cambria"/>
          <w:sz w:val="20"/>
          <w:szCs w:val="20"/>
          <w:lang w:val="en-US"/>
        </w:rPr>
        <w:t xml:space="preserve"> the necessary measures to conduct free, prior, and informed consultations on projects that affect their territories</w:t>
      </w:r>
      <w:r w:rsidRPr="00CC562A">
        <w:rPr>
          <w:rFonts w:ascii="Cambria" w:hAnsi="Cambria"/>
          <w:sz w:val="20"/>
          <w:szCs w:val="20"/>
          <w:lang w:val="en-US"/>
        </w:rPr>
        <w:t xml:space="preserve">. </w:t>
      </w:r>
    </w:p>
    <w:p w14:paraId="1E2EE4F6" w14:textId="7DABD7D4" w:rsidR="00DC5772" w:rsidRPr="00CC562A" w:rsidRDefault="004D7917" w:rsidP="00DC5772">
      <w:pPr>
        <w:pStyle w:val="Heading3"/>
        <w:spacing w:before="0" w:after="0" w:line="240" w:lineRule="auto"/>
        <w:ind w:left="0" w:firstLine="720"/>
        <w:rPr>
          <w:b w:val="0"/>
          <w:sz w:val="20"/>
          <w:lang w:val="en-US"/>
        </w:rPr>
      </w:pPr>
      <w:r w:rsidRPr="00CC562A">
        <w:rPr>
          <w:rFonts w:eastAsia="Cambria" w:cs="Cambria"/>
          <w:b w:val="0"/>
          <w:bCs w:val="0"/>
          <w:sz w:val="20"/>
          <w:szCs w:val="20"/>
          <w:lang w:val="en-US"/>
        </w:rPr>
        <w:t xml:space="preserve">On the recommendation to </w:t>
      </w:r>
      <w:r w:rsidR="1B11D768" w:rsidRPr="00CC562A">
        <w:rPr>
          <w:rFonts w:eastAsia="Cambria" w:cs="Cambria"/>
          <w:sz w:val="20"/>
          <w:szCs w:val="20"/>
          <w:lang w:val="en-US"/>
        </w:rPr>
        <w:t>adopt</w:t>
      </w:r>
      <w:r w:rsidRPr="00CC562A">
        <w:rPr>
          <w:rFonts w:eastAsia="Cambria" w:cs="Cambria"/>
          <w:sz w:val="20"/>
          <w:szCs w:val="20"/>
          <w:lang w:val="en-US"/>
        </w:rPr>
        <w:t xml:space="preserve"> culturally appropriate measures in case</w:t>
      </w:r>
      <w:r w:rsidR="00BD05E1" w:rsidRPr="00CC562A">
        <w:rPr>
          <w:rFonts w:eastAsia="Cambria" w:cs="Cambria"/>
          <w:sz w:val="20"/>
          <w:szCs w:val="20"/>
          <w:lang w:val="en-US"/>
        </w:rPr>
        <w:t>s</w:t>
      </w:r>
      <w:r w:rsidRPr="00CC562A">
        <w:rPr>
          <w:rFonts w:eastAsia="Cambria" w:cs="Cambria"/>
          <w:sz w:val="20"/>
          <w:szCs w:val="20"/>
          <w:lang w:val="en-US"/>
        </w:rPr>
        <w:t xml:space="preserve"> of human rights violations</w:t>
      </w:r>
      <w:r w:rsidR="1B11D768"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D4DBD4A"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reported that the </w:t>
      </w:r>
      <w:r w:rsidR="150B8F44" w:rsidRPr="00CC562A">
        <w:rPr>
          <w:rFonts w:eastAsia="Cambria" w:cs="Cambria"/>
          <w:b w:val="0"/>
          <w:bCs w:val="0"/>
          <w:sz w:val="20"/>
          <w:szCs w:val="20"/>
          <w:lang w:val="en-US"/>
        </w:rPr>
        <w:t>C</w:t>
      </w:r>
      <w:r w:rsidR="5D4DBD4A" w:rsidRPr="00CC562A">
        <w:rPr>
          <w:rFonts w:eastAsia="Cambria" w:cs="Cambria"/>
          <w:b w:val="0"/>
          <w:bCs w:val="0"/>
          <w:sz w:val="20"/>
          <w:szCs w:val="20"/>
          <w:lang w:val="en-US"/>
        </w:rPr>
        <w:t>EAV</w:t>
      </w:r>
      <w:r w:rsidR="04EF473C" w:rsidRPr="00CC562A">
        <w:rPr>
          <w:rFonts w:eastAsia="Cambria" w:cs="Cambria"/>
          <w:b w:val="0"/>
          <w:bCs w:val="0"/>
          <w:sz w:val="20"/>
          <w:szCs w:val="20"/>
          <w:lang w:val="en-US"/>
        </w:rPr>
        <w:t>,</w:t>
      </w:r>
      <w:r w:rsidR="5D4DBD4A" w:rsidRPr="00CC562A">
        <w:rPr>
          <w:rFonts w:eastAsia="Cambria" w:cs="Cambria"/>
          <w:b w:val="0"/>
          <w:bCs w:val="0"/>
          <w:sz w:val="20"/>
          <w:szCs w:val="20"/>
          <w:lang w:val="en-US"/>
        </w:rPr>
        <w:t xml:space="preserve"> </w:t>
      </w:r>
      <w:r w:rsidRPr="00CC562A">
        <w:rPr>
          <w:rFonts w:eastAsia="Cambria" w:cs="Cambria"/>
          <w:b w:val="0"/>
          <w:bCs w:val="0"/>
          <w:sz w:val="20"/>
          <w:szCs w:val="20"/>
          <w:lang w:val="en-US"/>
        </w:rPr>
        <w:t>through the General Coordina</w:t>
      </w:r>
      <w:r w:rsidR="008A784B" w:rsidRPr="00CC562A">
        <w:rPr>
          <w:rFonts w:eastAsia="Cambria" w:cs="Cambria"/>
          <w:b w:val="0"/>
          <w:bCs w:val="0"/>
          <w:sz w:val="20"/>
          <w:szCs w:val="20"/>
          <w:lang w:val="en-US"/>
        </w:rPr>
        <w:t xml:space="preserve">ting Office for Comprehensive Care </w:t>
      </w:r>
      <w:r w:rsidRPr="00CC562A">
        <w:rPr>
          <w:rFonts w:eastAsia="Cambria" w:cs="Cambria"/>
          <w:b w:val="0"/>
          <w:bCs w:val="0"/>
          <w:sz w:val="20"/>
          <w:szCs w:val="20"/>
          <w:lang w:val="en-US"/>
        </w:rPr>
        <w:t>Centers, provides multidisciplinary care services to victims to address legal, medical, psychological, and social work needs using a human rights, psychosocial, gender-based, differential, and specialized approach, adopt</w:t>
      </w:r>
      <w:r w:rsidR="00BD05E1" w:rsidRPr="00CC562A">
        <w:rPr>
          <w:rFonts w:eastAsia="Cambria" w:cs="Cambria"/>
          <w:b w:val="0"/>
          <w:bCs w:val="0"/>
          <w:sz w:val="20"/>
          <w:szCs w:val="20"/>
          <w:lang w:val="en-US"/>
        </w:rPr>
        <w:t xml:space="preserve"> </w:t>
      </w:r>
      <w:r w:rsidRPr="00CC562A">
        <w:rPr>
          <w:rFonts w:eastAsia="Cambria" w:cs="Cambria"/>
          <w:b w:val="0"/>
          <w:bCs w:val="0"/>
          <w:sz w:val="20"/>
          <w:szCs w:val="20"/>
          <w:lang w:val="en-US"/>
        </w:rPr>
        <w:t>measures to ensure the use of a culturally appropriate perspective and take into account the collective nature of indigenous communities and peoples, when they or their members are victims of human rights violations</w:t>
      </w:r>
      <w:r w:rsidR="150B8F44" w:rsidRPr="00CC562A">
        <w:rPr>
          <w:rFonts w:eastAsia="Cambria" w:cs="Cambria"/>
          <w:b w:val="0"/>
          <w:bCs w:val="0"/>
          <w:sz w:val="20"/>
          <w:szCs w:val="20"/>
          <w:lang w:val="en-US"/>
        </w:rPr>
        <w:t>.</w:t>
      </w:r>
      <w:r w:rsidR="00DC5772" w:rsidRPr="00CC562A">
        <w:rPr>
          <w:b w:val="0"/>
          <w:sz w:val="20"/>
          <w:lang w:val="en-US"/>
        </w:rPr>
        <w:t xml:space="preserve"> </w:t>
      </w:r>
      <w:r w:rsidR="00470316" w:rsidRPr="00CC562A">
        <w:rPr>
          <w:b w:val="0"/>
          <w:sz w:val="20"/>
          <w:lang w:val="en-US"/>
        </w:rPr>
        <w:t>The</w:t>
      </w:r>
      <w:r w:rsidR="00DC5772" w:rsidRPr="00CC562A">
        <w:rPr>
          <w:b w:val="0"/>
          <w:sz w:val="20"/>
          <w:lang w:val="en-US"/>
        </w:rPr>
        <w:t xml:space="preserve"> INPI ha</w:t>
      </w:r>
      <w:r w:rsidR="00470316" w:rsidRPr="00CC562A">
        <w:rPr>
          <w:b w:val="0"/>
          <w:sz w:val="20"/>
          <w:lang w:val="en-US"/>
        </w:rPr>
        <w:t xml:space="preserve">s carried out supplemental actions </w:t>
      </w:r>
      <w:proofErr w:type="gramStart"/>
      <w:r w:rsidR="00470316" w:rsidRPr="00CC562A">
        <w:rPr>
          <w:b w:val="0"/>
          <w:sz w:val="20"/>
          <w:lang w:val="en-US"/>
        </w:rPr>
        <w:t xml:space="preserve">in the </w:t>
      </w:r>
      <w:r w:rsidR="005B1980" w:rsidRPr="00CC562A">
        <w:rPr>
          <w:b w:val="0"/>
          <w:sz w:val="20"/>
          <w:lang w:val="en-US"/>
        </w:rPr>
        <w:t>area</w:t>
      </w:r>
      <w:r w:rsidR="00470316" w:rsidRPr="00CC562A">
        <w:rPr>
          <w:b w:val="0"/>
          <w:sz w:val="20"/>
          <w:lang w:val="en-US"/>
        </w:rPr>
        <w:t xml:space="preserve"> of</w:t>
      </w:r>
      <w:proofErr w:type="gramEnd"/>
      <w:r w:rsidR="00470316" w:rsidRPr="00CC562A">
        <w:rPr>
          <w:b w:val="0"/>
          <w:sz w:val="20"/>
          <w:lang w:val="en-US"/>
        </w:rPr>
        <w:t xml:space="preserve"> access to the jurisdiction of the State, as well as the right of due process, in order to help guarantee</w:t>
      </w:r>
      <w:r w:rsidR="00DC5772" w:rsidRPr="00CC562A">
        <w:rPr>
          <w:b w:val="0"/>
          <w:sz w:val="20"/>
          <w:lang w:val="en-US"/>
        </w:rPr>
        <w:t xml:space="preserve"> </w:t>
      </w:r>
      <w:r w:rsidR="00470316" w:rsidRPr="00CC562A">
        <w:rPr>
          <w:b w:val="0"/>
          <w:sz w:val="20"/>
          <w:lang w:val="en-US"/>
        </w:rPr>
        <w:t xml:space="preserve">the effective access of </w:t>
      </w:r>
      <w:r w:rsidR="00A92391" w:rsidRPr="00CC562A">
        <w:rPr>
          <w:b w:val="0"/>
          <w:sz w:val="20"/>
          <w:lang w:val="en-US"/>
        </w:rPr>
        <w:t>indigenous and</w:t>
      </w:r>
      <w:r w:rsidR="00470316" w:rsidRPr="00CC562A">
        <w:rPr>
          <w:b w:val="0"/>
          <w:sz w:val="20"/>
          <w:lang w:val="en-US"/>
        </w:rPr>
        <w:t xml:space="preserve"> Afro-Mexican peoples, as well as their members, to the jurisdiction of the State within the framework of legal pluralism.</w:t>
      </w:r>
      <w:r w:rsidR="00DC5772" w:rsidRPr="00CC562A">
        <w:rPr>
          <w:b w:val="0"/>
          <w:sz w:val="20"/>
          <w:vertAlign w:val="superscript"/>
          <w:lang w:val="en-US"/>
        </w:rPr>
        <w:footnoteReference w:id="226"/>
      </w:r>
      <w:r w:rsidR="00DC5772" w:rsidRPr="00CC562A">
        <w:rPr>
          <w:b w:val="0"/>
          <w:sz w:val="20"/>
          <w:lang w:val="en-US"/>
        </w:rPr>
        <w:tab/>
      </w:r>
    </w:p>
    <w:p w14:paraId="2180FE08" w14:textId="77777777" w:rsidR="00DC5772" w:rsidRPr="00CC562A" w:rsidRDefault="00DC5772" w:rsidP="00DC5772">
      <w:pPr>
        <w:spacing w:after="0" w:line="240" w:lineRule="auto"/>
        <w:rPr>
          <w:lang w:val="en-US"/>
        </w:rPr>
      </w:pPr>
    </w:p>
    <w:p w14:paraId="1EA60A43" w14:textId="0B7EC892" w:rsidR="00DB71FA" w:rsidRPr="00CC562A" w:rsidRDefault="00470316" w:rsidP="00DC5772">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In addition, the State indicated that the </w:t>
      </w:r>
      <w:r w:rsidR="00E529E8" w:rsidRPr="00CC562A">
        <w:rPr>
          <w:rFonts w:eastAsia="Cambria" w:cs="Cambria"/>
          <w:b w:val="0"/>
          <w:bCs w:val="0"/>
          <w:sz w:val="20"/>
          <w:szCs w:val="20"/>
          <w:lang w:val="en-US"/>
        </w:rPr>
        <w:t xml:space="preserve">INPI </w:t>
      </w:r>
      <w:r w:rsidRPr="00CC562A">
        <w:rPr>
          <w:rFonts w:eastAsia="Cambria" w:cs="Cambria"/>
          <w:b w:val="0"/>
          <w:bCs w:val="0"/>
          <w:sz w:val="20"/>
          <w:szCs w:val="20"/>
          <w:lang w:val="en-US"/>
        </w:rPr>
        <w:t xml:space="preserve">provides support for the release of persons deprived of liberty based on violation of their fundamental right to effective access to the State’s jurisdiction or because their release means the possibility of enjoying other fundamental rights, as well as for surveys on </w:t>
      </w:r>
      <w:r w:rsidR="00451B4D" w:rsidRPr="00CC562A">
        <w:rPr>
          <w:rFonts w:eastAsia="Cambria" w:cs="Cambria"/>
          <w:b w:val="0"/>
          <w:bCs w:val="0"/>
          <w:sz w:val="20"/>
          <w:szCs w:val="20"/>
          <w:lang w:val="en-US"/>
        </w:rPr>
        <w:t xml:space="preserve">indigenous </w:t>
      </w:r>
      <w:r w:rsidRPr="00CC562A">
        <w:rPr>
          <w:rFonts w:eastAsia="Cambria" w:cs="Cambria"/>
          <w:b w:val="0"/>
          <w:bCs w:val="0"/>
          <w:sz w:val="20"/>
          <w:szCs w:val="20"/>
          <w:lang w:val="en-US"/>
        </w:rPr>
        <w:t>identi</w:t>
      </w:r>
      <w:r w:rsidR="00451B4D" w:rsidRPr="00CC562A">
        <w:rPr>
          <w:rFonts w:eastAsia="Cambria" w:cs="Cambria"/>
          <w:b w:val="0"/>
          <w:bCs w:val="0"/>
          <w:sz w:val="20"/>
          <w:szCs w:val="20"/>
          <w:lang w:val="en-US"/>
        </w:rPr>
        <w:t>t</w:t>
      </w:r>
      <w:r w:rsidRPr="00CC562A">
        <w:rPr>
          <w:rFonts w:eastAsia="Cambria" w:cs="Cambria"/>
          <w:b w:val="0"/>
          <w:bCs w:val="0"/>
          <w:sz w:val="20"/>
          <w:szCs w:val="20"/>
          <w:lang w:val="en-US"/>
        </w:rPr>
        <w:t>y and institutionalization. For its part, in 2022 the</w:t>
      </w:r>
      <w:r w:rsidR="00E529E8" w:rsidRPr="00CC562A">
        <w:rPr>
          <w:rFonts w:eastAsia="Cambria" w:cs="Cambria"/>
          <w:b w:val="0"/>
          <w:bCs w:val="0"/>
          <w:sz w:val="20"/>
          <w:szCs w:val="20"/>
          <w:lang w:val="en-US"/>
        </w:rPr>
        <w:t xml:space="preserve"> SCJN </w:t>
      </w:r>
      <w:r w:rsidRPr="00CC562A">
        <w:rPr>
          <w:rFonts w:eastAsia="Cambria" w:cs="Cambria"/>
          <w:b w:val="0"/>
          <w:bCs w:val="0"/>
          <w:sz w:val="20"/>
          <w:szCs w:val="20"/>
          <w:lang w:val="en-US"/>
        </w:rPr>
        <w:t>updated the protocol for judging with an intercultural perspective</w:t>
      </w:r>
      <w:r w:rsidR="00E529E8"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indigenous persons, peoples, and communities, and published the first edition of the protocol for judging with an intercultural perspective: Afro-descendant and Afro-Mexican persons, peoples, and communities, based on regulatory and jurisprudential advances, in order to provide </w:t>
      </w:r>
      <w:r w:rsidR="00355121" w:rsidRPr="00CC562A">
        <w:rPr>
          <w:rFonts w:eastAsia="Cambria" w:cs="Cambria"/>
          <w:b w:val="0"/>
          <w:bCs w:val="0"/>
          <w:sz w:val="20"/>
          <w:szCs w:val="20"/>
          <w:lang w:val="en-US"/>
        </w:rPr>
        <w:t xml:space="preserve">those making judgments </w:t>
      </w:r>
      <w:r w:rsidRPr="00CC562A">
        <w:rPr>
          <w:rFonts w:eastAsia="Cambria" w:cs="Cambria"/>
          <w:b w:val="0"/>
          <w:bCs w:val="0"/>
          <w:sz w:val="20"/>
          <w:szCs w:val="20"/>
          <w:lang w:val="en-US"/>
        </w:rPr>
        <w:t>with innovative interpretive tools, as well as the</w:t>
      </w:r>
      <w:r w:rsidR="00355121" w:rsidRPr="00CC562A">
        <w:rPr>
          <w:rFonts w:eastAsia="Cambria" w:cs="Cambria"/>
          <w:b w:val="0"/>
          <w:bCs w:val="0"/>
          <w:sz w:val="20"/>
          <w:szCs w:val="20"/>
          <w:lang w:val="en-US"/>
        </w:rPr>
        <w:t xml:space="preserve"> explanation of relevant topics that arise in judicial proceedings involving these populations. Finally, the State indicated that, </w:t>
      </w:r>
      <w:proofErr w:type="gramStart"/>
      <w:r w:rsidR="00355121" w:rsidRPr="00CC562A">
        <w:rPr>
          <w:rFonts w:eastAsia="Cambria" w:cs="Cambria"/>
          <w:b w:val="0"/>
          <w:bCs w:val="0"/>
          <w:sz w:val="20"/>
          <w:szCs w:val="20"/>
          <w:lang w:val="en-US"/>
        </w:rPr>
        <w:t>in order to</w:t>
      </w:r>
      <w:proofErr w:type="gramEnd"/>
      <w:r w:rsidR="00355121" w:rsidRPr="00CC562A">
        <w:rPr>
          <w:rFonts w:eastAsia="Cambria" w:cs="Cambria"/>
          <w:b w:val="0"/>
          <w:bCs w:val="0"/>
          <w:sz w:val="20"/>
          <w:szCs w:val="20"/>
          <w:lang w:val="en-US"/>
        </w:rPr>
        <w:t xml:space="preserve"> expand access to justice and in recognition of Mexico’s multiculturalism, the</w:t>
      </w:r>
      <w:r w:rsidR="00E529E8" w:rsidRPr="00CC562A">
        <w:rPr>
          <w:rFonts w:eastAsia="Cambria" w:cs="Cambria"/>
          <w:b w:val="0"/>
          <w:bCs w:val="0"/>
          <w:sz w:val="20"/>
          <w:szCs w:val="20"/>
          <w:lang w:val="en-US"/>
        </w:rPr>
        <w:t xml:space="preserve"> CJF </w:t>
      </w:r>
      <w:r w:rsidR="00355121" w:rsidRPr="00CC562A">
        <w:rPr>
          <w:rFonts w:eastAsia="Cambria" w:cs="Cambria"/>
          <w:b w:val="0"/>
          <w:bCs w:val="0"/>
          <w:sz w:val="20"/>
          <w:szCs w:val="20"/>
          <w:lang w:val="en-US"/>
        </w:rPr>
        <w:t>and the Network of Indigenous Attorneys created tools to strengthen the knowledge of those populations regarding the work of the Judicial Branch of the Federation and access to digital justice (</w:t>
      </w:r>
      <w:r w:rsidR="00E529E8" w:rsidRPr="00CC562A">
        <w:rPr>
          <w:rFonts w:eastAsia="Cambria" w:cs="Cambria"/>
          <w:b w:val="0"/>
          <w:bCs w:val="0"/>
          <w:i/>
          <w:iCs/>
          <w:sz w:val="20"/>
          <w:szCs w:val="20"/>
          <w:lang w:val="en-US"/>
        </w:rPr>
        <w:t>e-Justicia</w:t>
      </w:r>
      <w:r w:rsidR="00E529E8" w:rsidRPr="00CC562A">
        <w:rPr>
          <w:rFonts w:eastAsia="Cambria" w:cs="Cambria"/>
          <w:b w:val="0"/>
          <w:bCs w:val="0"/>
          <w:sz w:val="20"/>
          <w:szCs w:val="20"/>
          <w:lang w:val="en-US"/>
        </w:rPr>
        <w:t xml:space="preserve">) </w:t>
      </w:r>
      <w:r w:rsidR="00355121" w:rsidRPr="00CC562A">
        <w:rPr>
          <w:rFonts w:eastAsia="Cambria" w:cs="Cambria"/>
          <w:b w:val="0"/>
          <w:bCs w:val="0"/>
          <w:sz w:val="20"/>
          <w:szCs w:val="20"/>
          <w:lang w:val="en-US"/>
        </w:rPr>
        <w:t>with two digital guide</w:t>
      </w:r>
      <w:r w:rsidR="00451B4D" w:rsidRPr="00CC562A">
        <w:rPr>
          <w:rFonts w:eastAsia="Cambria" w:cs="Cambria"/>
          <w:b w:val="0"/>
          <w:bCs w:val="0"/>
          <w:sz w:val="20"/>
          <w:szCs w:val="20"/>
          <w:lang w:val="en-US"/>
        </w:rPr>
        <w:t>s</w:t>
      </w:r>
      <w:r w:rsidR="00355121" w:rsidRPr="00CC562A">
        <w:rPr>
          <w:rFonts w:eastAsia="Cambria" w:cs="Cambria"/>
          <w:b w:val="0"/>
          <w:bCs w:val="0"/>
          <w:sz w:val="20"/>
          <w:szCs w:val="20"/>
          <w:lang w:val="en-US"/>
        </w:rPr>
        <w:t xml:space="preserve"> in accessible and citizen language.</w:t>
      </w:r>
      <w:r w:rsidR="00E529E8" w:rsidRPr="00CC562A">
        <w:rPr>
          <w:rStyle w:val="FootnoteReference"/>
          <w:rFonts w:eastAsia="Cambria" w:cs="Cambria"/>
          <w:b w:val="0"/>
          <w:bCs w:val="0"/>
          <w:sz w:val="20"/>
          <w:szCs w:val="20"/>
          <w:lang w:val="en-US"/>
        </w:rPr>
        <w:footnoteReference w:id="227"/>
      </w:r>
    </w:p>
    <w:p w14:paraId="2BAB25F5"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3C074231" w14:textId="41C9AA9A" w:rsidR="00204CAA" w:rsidRPr="00CC562A" w:rsidRDefault="00276638"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IACHR</w:t>
      </w:r>
      <w:r w:rsidR="4BFF7D33" w:rsidRPr="00CC562A">
        <w:rPr>
          <w:rFonts w:eastAsia="Cambria" w:cs="Cambria"/>
          <w:b w:val="0"/>
          <w:bCs w:val="0"/>
          <w:sz w:val="20"/>
          <w:szCs w:val="20"/>
          <w:lang w:val="en-US"/>
        </w:rPr>
        <w:t xml:space="preserve"> </w:t>
      </w:r>
      <w:r w:rsidR="00243E38" w:rsidRPr="00CC562A">
        <w:rPr>
          <w:rFonts w:eastAsia="Cambria" w:cs="Cambria"/>
          <w:b w:val="0"/>
          <w:bCs w:val="0"/>
          <w:sz w:val="20"/>
          <w:szCs w:val="20"/>
          <w:lang w:val="en-US"/>
        </w:rPr>
        <w:t>notes that the information provided indicate</w:t>
      </w:r>
      <w:r w:rsidR="000B044A" w:rsidRPr="00CC562A">
        <w:rPr>
          <w:rFonts w:eastAsia="Cambria" w:cs="Cambria"/>
          <w:b w:val="0"/>
          <w:bCs w:val="0"/>
          <w:sz w:val="20"/>
          <w:szCs w:val="20"/>
          <w:lang w:val="en-US"/>
        </w:rPr>
        <w:t>s</w:t>
      </w:r>
      <w:r w:rsidR="00243E38" w:rsidRPr="00CC562A">
        <w:rPr>
          <w:rFonts w:eastAsia="Cambria" w:cs="Cambria"/>
          <w:b w:val="0"/>
          <w:bCs w:val="0"/>
          <w:sz w:val="20"/>
          <w:szCs w:val="20"/>
          <w:lang w:val="en-US"/>
        </w:rPr>
        <w:t xml:space="preserve"> progress in protecting the victims of human rights violations who belong to indigenous communities or peoples. In this regard, it notes the </w:t>
      </w:r>
      <w:r w:rsidR="00243E38" w:rsidRPr="00CC562A">
        <w:rPr>
          <w:rFonts w:eastAsia="Cambria" w:cs="Cambria"/>
          <w:b w:val="0"/>
          <w:bCs w:val="0"/>
          <w:sz w:val="20"/>
          <w:szCs w:val="20"/>
          <w:lang w:val="en-US"/>
        </w:rPr>
        <w:lastRenderedPageBreak/>
        <w:t>multidisciplinary services provided to the victims, although it emphasizes the need to show the indicators that can be used to measure and evaluate their implementation, consistent with the indicated approaches</w:t>
      </w:r>
      <w:r w:rsidR="4BFF7D33" w:rsidRPr="00CC562A">
        <w:rPr>
          <w:rFonts w:eastAsia="Cambria" w:cs="Cambria"/>
          <w:b w:val="0"/>
          <w:bCs w:val="0"/>
          <w:sz w:val="20"/>
          <w:szCs w:val="20"/>
          <w:lang w:val="en-US"/>
        </w:rPr>
        <w:t xml:space="preserve">. </w:t>
      </w:r>
      <w:r w:rsidR="00243E38" w:rsidRPr="00CC562A">
        <w:rPr>
          <w:rFonts w:eastAsia="Cambria" w:cs="Cambria"/>
          <w:b w:val="0"/>
          <w:bCs w:val="0"/>
          <w:sz w:val="20"/>
          <w:szCs w:val="20"/>
          <w:lang w:val="en-US"/>
        </w:rPr>
        <w:t>In addition, the</w:t>
      </w:r>
      <w:r w:rsidRPr="00CC562A">
        <w:rPr>
          <w:rFonts w:eastAsia="Cambria" w:cs="Cambria"/>
          <w:b w:val="0"/>
          <w:bCs w:val="0"/>
          <w:sz w:val="20"/>
          <w:szCs w:val="20"/>
          <w:lang w:val="en-US"/>
        </w:rPr>
        <w:t xml:space="preserve"> IACHR</w:t>
      </w:r>
      <w:r w:rsidR="00243E38" w:rsidRPr="00CC562A">
        <w:rPr>
          <w:rFonts w:eastAsia="Cambria" w:cs="Cambria"/>
          <w:b w:val="0"/>
          <w:bCs w:val="0"/>
          <w:sz w:val="20"/>
          <w:szCs w:val="20"/>
          <w:lang w:val="en-US"/>
        </w:rPr>
        <w:t xml:space="preserve"> notes the measures of satisfaction reported in the case of the victims of the Dirty War, emphasizing that </w:t>
      </w:r>
      <w:r w:rsidR="000B044A" w:rsidRPr="00CC562A">
        <w:rPr>
          <w:rFonts w:eastAsia="Cambria" w:cs="Cambria"/>
          <w:b w:val="0"/>
          <w:bCs w:val="0"/>
          <w:sz w:val="20"/>
          <w:szCs w:val="20"/>
          <w:lang w:val="en-US"/>
        </w:rPr>
        <w:t xml:space="preserve">their </w:t>
      </w:r>
      <w:r w:rsidR="00243E38" w:rsidRPr="00CC562A">
        <w:rPr>
          <w:rFonts w:eastAsia="Cambria" w:cs="Cambria"/>
          <w:b w:val="0"/>
          <w:bCs w:val="0"/>
          <w:sz w:val="20"/>
          <w:szCs w:val="20"/>
          <w:lang w:val="en-US"/>
        </w:rPr>
        <w:t xml:space="preserve">timely and participatory implementation </w:t>
      </w:r>
      <w:r w:rsidR="00D77397" w:rsidRPr="00CC562A">
        <w:rPr>
          <w:rFonts w:eastAsia="Cambria" w:cs="Cambria"/>
          <w:b w:val="0"/>
          <w:bCs w:val="0"/>
          <w:sz w:val="20"/>
          <w:szCs w:val="20"/>
          <w:lang w:val="en-US"/>
        </w:rPr>
        <w:t>is essential</w:t>
      </w:r>
      <w:r w:rsidR="00243E38" w:rsidRPr="00CC562A">
        <w:rPr>
          <w:rFonts w:eastAsia="Cambria" w:cs="Cambria"/>
          <w:b w:val="0"/>
          <w:bCs w:val="0"/>
          <w:sz w:val="20"/>
          <w:szCs w:val="20"/>
          <w:lang w:val="en-US"/>
        </w:rPr>
        <w:t xml:space="preserve"> </w:t>
      </w:r>
      <w:r w:rsidR="000B044A" w:rsidRPr="00CC562A">
        <w:rPr>
          <w:rFonts w:eastAsia="Cambria" w:cs="Cambria"/>
          <w:b w:val="0"/>
          <w:bCs w:val="0"/>
          <w:sz w:val="20"/>
          <w:szCs w:val="20"/>
          <w:lang w:val="en-US"/>
        </w:rPr>
        <w:t>to</w:t>
      </w:r>
      <w:r w:rsidR="00243E38" w:rsidRPr="00CC562A">
        <w:rPr>
          <w:rFonts w:eastAsia="Cambria" w:cs="Cambria"/>
          <w:b w:val="0"/>
          <w:bCs w:val="0"/>
          <w:sz w:val="20"/>
          <w:szCs w:val="20"/>
          <w:lang w:val="en-US"/>
        </w:rPr>
        <w:t xml:space="preserve"> ensuring that they effectively respond to the victims’ needs</w:t>
      </w:r>
      <w:r w:rsidR="4BFF7D33" w:rsidRPr="00CC562A">
        <w:rPr>
          <w:rFonts w:eastAsia="Cambria" w:cs="Cambria"/>
          <w:b w:val="0"/>
          <w:bCs w:val="0"/>
          <w:sz w:val="20"/>
          <w:szCs w:val="20"/>
          <w:lang w:val="en-US"/>
        </w:rPr>
        <w:t xml:space="preserve">. </w:t>
      </w:r>
    </w:p>
    <w:p w14:paraId="13FAE744"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550A22D7" w14:textId="4DB937F2" w:rsidR="00DB71FA" w:rsidRPr="00CC562A" w:rsidRDefault="00F108AA"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In addition,</w:t>
      </w:r>
      <w:r w:rsidR="4BFF7D33" w:rsidRPr="00CC562A">
        <w:rPr>
          <w:rFonts w:eastAsia="Cambria" w:cs="Cambria"/>
          <w:b w:val="0"/>
          <w:bCs w:val="0"/>
          <w:sz w:val="20"/>
          <w:szCs w:val="20"/>
          <w:lang w:val="en-US"/>
        </w:rPr>
        <w:t xml:space="preserve"> </w:t>
      </w:r>
      <w:r w:rsidR="00276638" w:rsidRPr="00CC562A">
        <w:rPr>
          <w:rFonts w:eastAsia="Cambria" w:cs="Cambria"/>
          <w:b w:val="0"/>
          <w:bCs w:val="0"/>
          <w:sz w:val="20"/>
          <w:szCs w:val="20"/>
          <w:lang w:val="en-US"/>
        </w:rPr>
        <w:t>the IACHR</w:t>
      </w:r>
      <w:r w:rsidR="4BFF7D33" w:rsidRPr="00CC562A">
        <w:rPr>
          <w:rFonts w:eastAsia="Cambria" w:cs="Cambria"/>
          <w:b w:val="0"/>
          <w:bCs w:val="0"/>
          <w:sz w:val="20"/>
          <w:szCs w:val="20"/>
          <w:lang w:val="en-US"/>
        </w:rPr>
        <w:t xml:space="preserve"> </w:t>
      </w:r>
      <w:r w:rsidR="00243E38" w:rsidRPr="00CC562A">
        <w:rPr>
          <w:rFonts w:eastAsia="Cambria" w:cs="Cambria"/>
          <w:b w:val="0"/>
          <w:bCs w:val="0"/>
          <w:sz w:val="20"/>
          <w:szCs w:val="20"/>
          <w:lang w:val="en-US"/>
        </w:rPr>
        <w:t xml:space="preserve">notes the adoption of measures intended to ensure effective access to justice for indigenous peoples and the Afro-Mexican people. However, it should be known whether they have coordinated action as well as consultation and participation mechanisms </w:t>
      </w:r>
      <w:proofErr w:type="gramStart"/>
      <w:r w:rsidR="00243E38" w:rsidRPr="00CC562A">
        <w:rPr>
          <w:rFonts w:eastAsia="Cambria" w:cs="Cambria"/>
          <w:b w:val="0"/>
          <w:bCs w:val="0"/>
          <w:sz w:val="20"/>
          <w:szCs w:val="20"/>
          <w:lang w:val="en-US"/>
        </w:rPr>
        <w:t>so as to</w:t>
      </w:r>
      <w:proofErr w:type="gramEnd"/>
      <w:r w:rsidR="00243E38" w:rsidRPr="00CC562A">
        <w:rPr>
          <w:rFonts w:eastAsia="Cambria" w:cs="Cambria"/>
          <w:b w:val="0"/>
          <w:bCs w:val="0"/>
          <w:sz w:val="20"/>
          <w:szCs w:val="20"/>
          <w:lang w:val="en-US"/>
        </w:rPr>
        <w:t xml:space="preserve"> ensure that their design and implementation respond to the development barriers and priorities specific to each people, although the scope of these measures in response to the threats to the territorial rights of the indigenous peoples has not been indicated. Based on the foregoing, the</w:t>
      </w:r>
      <w:r w:rsidR="00276638" w:rsidRPr="00CC562A">
        <w:rPr>
          <w:rFonts w:eastAsia="Cambria" w:cs="Cambria"/>
          <w:b w:val="0"/>
          <w:bCs w:val="0"/>
          <w:sz w:val="20"/>
          <w:szCs w:val="20"/>
          <w:lang w:val="en-US"/>
        </w:rPr>
        <w:t xml:space="preserve"> IACHR</w:t>
      </w:r>
      <w:r w:rsidR="4BFF7D33" w:rsidRPr="00CC562A">
        <w:rPr>
          <w:rFonts w:eastAsia="Cambria" w:cs="Cambria"/>
          <w:b w:val="0"/>
          <w:bCs w:val="0"/>
          <w:sz w:val="20"/>
          <w:szCs w:val="20"/>
          <w:lang w:val="en-US"/>
        </w:rPr>
        <w:t xml:space="preserve"> </w:t>
      </w:r>
      <w:r w:rsidR="0073616C" w:rsidRPr="00CC562A">
        <w:rPr>
          <w:rFonts w:eastAsia="Cambria" w:cs="Cambria"/>
          <w:b w:val="0"/>
          <w:bCs w:val="0"/>
          <w:sz w:val="20"/>
          <w:szCs w:val="20"/>
          <w:lang w:val="en-US"/>
        </w:rPr>
        <w:t xml:space="preserve">maintains that this recommendation has seen significant progress, but its status remains one </w:t>
      </w:r>
      <w:r w:rsidR="00D77397" w:rsidRPr="00CC562A">
        <w:rPr>
          <w:rFonts w:eastAsia="Cambria" w:cs="Cambria"/>
          <w:b w:val="0"/>
          <w:bCs w:val="0"/>
          <w:sz w:val="20"/>
          <w:szCs w:val="20"/>
          <w:lang w:val="en-US"/>
        </w:rPr>
        <w:t>of partial</w:t>
      </w:r>
      <w:r w:rsidR="0073616C" w:rsidRPr="00CC562A">
        <w:rPr>
          <w:rFonts w:eastAsia="Cambria" w:cs="Cambria"/>
          <w:sz w:val="20"/>
          <w:szCs w:val="20"/>
          <w:lang w:val="en-US"/>
        </w:rPr>
        <w:t xml:space="preserve"> compliance</w:t>
      </w:r>
      <w:r w:rsidR="7397B52E" w:rsidRPr="00CC562A">
        <w:rPr>
          <w:rFonts w:eastAsia="Cambria" w:cs="Cambria"/>
          <w:b w:val="0"/>
          <w:bCs w:val="0"/>
          <w:sz w:val="20"/>
          <w:szCs w:val="20"/>
          <w:lang w:val="en-US"/>
        </w:rPr>
        <w:t>.</w:t>
      </w:r>
    </w:p>
    <w:p w14:paraId="21BABBDD"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6F22BBF3" w14:textId="72DC1096" w:rsidR="00A4198F" w:rsidRPr="00CC562A" w:rsidRDefault="0073616C"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To guide compliance with this recommendation, </w:t>
      </w:r>
      <w:r w:rsidR="00276638" w:rsidRPr="00CC562A">
        <w:rPr>
          <w:rFonts w:eastAsia="Cambria" w:cs="Cambria"/>
          <w:b w:val="0"/>
          <w:bCs w:val="0"/>
          <w:sz w:val="20"/>
          <w:szCs w:val="20"/>
          <w:lang w:val="en-US"/>
        </w:rPr>
        <w:t>the IACHR</w:t>
      </w:r>
      <w:r w:rsidR="00B35BF0" w:rsidRPr="00CC562A">
        <w:rPr>
          <w:rFonts w:eastAsia="Cambria" w:cs="Cambria"/>
          <w:b w:val="0"/>
          <w:bCs w:val="0"/>
          <w:sz w:val="20"/>
          <w:szCs w:val="20"/>
          <w:lang w:val="en-US"/>
        </w:rPr>
        <w:t xml:space="preserve"> invit</w:t>
      </w:r>
      <w:r w:rsidRPr="00CC562A">
        <w:rPr>
          <w:rFonts w:eastAsia="Cambria" w:cs="Cambria"/>
          <w:b w:val="0"/>
          <w:bCs w:val="0"/>
          <w:sz w:val="20"/>
          <w:szCs w:val="20"/>
          <w:lang w:val="en-US"/>
        </w:rPr>
        <w:t xml:space="preserve">es the State to adopt measures designed to ensure access to justice for indigenous peoples. </w:t>
      </w:r>
      <w:proofErr w:type="gramStart"/>
      <w:r w:rsidRPr="00CC562A">
        <w:rPr>
          <w:rFonts w:eastAsia="Cambria" w:cs="Cambria"/>
          <w:b w:val="0"/>
          <w:bCs w:val="0"/>
          <w:sz w:val="20"/>
          <w:szCs w:val="20"/>
          <w:lang w:val="en-US"/>
        </w:rPr>
        <w:t>In order to</w:t>
      </w:r>
      <w:proofErr w:type="gramEnd"/>
      <w:r w:rsidRPr="00CC562A">
        <w:rPr>
          <w:rFonts w:eastAsia="Cambria" w:cs="Cambria"/>
          <w:b w:val="0"/>
          <w:bCs w:val="0"/>
          <w:sz w:val="20"/>
          <w:szCs w:val="20"/>
          <w:lang w:val="en-US"/>
        </w:rPr>
        <w:t xml:space="preserve"> optimize follow-up of the recommendation, the Commission suggests that the State compile quantitative and/or qualitative data on how the collective nature of indigenous peoples and communities is being guaranteed in the context of violations of their human rights</w:t>
      </w:r>
      <w:r w:rsidR="20A358C8" w:rsidRPr="00CC562A">
        <w:rPr>
          <w:rFonts w:eastAsia="Cambria" w:cs="Cambria"/>
          <w:b w:val="0"/>
          <w:bCs w:val="0"/>
          <w:sz w:val="20"/>
          <w:szCs w:val="20"/>
          <w:lang w:val="en-US"/>
        </w:rPr>
        <w:t>.</w:t>
      </w:r>
    </w:p>
    <w:p w14:paraId="3C2E8497" w14:textId="3849DA9C" w:rsidR="00E000E2" w:rsidRPr="00CC562A" w:rsidRDefault="00E000E2" w:rsidP="00E529E8">
      <w:pPr>
        <w:pStyle w:val="Heading3"/>
        <w:numPr>
          <w:ilvl w:val="0"/>
          <w:numId w:val="0"/>
        </w:numPr>
        <w:spacing w:before="240" w:after="200" w:line="240" w:lineRule="auto"/>
        <w:ind w:firstLine="720"/>
        <w:rPr>
          <w:rFonts w:eastAsia="Cambria" w:cs="Cambria"/>
          <w:b w:val="0"/>
          <w:bCs w:val="0"/>
          <w:sz w:val="20"/>
          <w:szCs w:val="20"/>
          <w:lang w:val="en-US"/>
        </w:rPr>
      </w:pPr>
    </w:p>
    <w:p w14:paraId="197B5A43" w14:textId="20FCBDA0" w:rsidR="00E000E2" w:rsidRPr="00CC562A" w:rsidRDefault="0073616C"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With respect to the recommendation to </w:t>
      </w:r>
      <w:r w:rsidR="6228C907" w:rsidRPr="00CC562A">
        <w:rPr>
          <w:rFonts w:eastAsia="Cambria" w:cs="Cambria"/>
          <w:sz w:val="20"/>
          <w:szCs w:val="20"/>
          <w:lang w:val="en-US"/>
        </w:rPr>
        <w:t>g</w:t>
      </w:r>
      <w:r w:rsidRPr="00CC562A">
        <w:rPr>
          <w:rFonts w:eastAsia="Cambria" w:cs="Cambria"/>
          <w:sz w:val="20"/>
          <w:szCs w:val="20"/>
          <w:lang w:val="en-US"/>
        </w:rPr>
        <w:t>uarantee the availability of trans</w:t>
      </w:r>
      <w:r w:rsidR="000B044A" w:rsidRPr="00CC562A">
        <w:rPr>
          <w:rFonts w:eastAsia="Cambria" w:cs="Cambria"/>
          <w:sz w:val="20"/>
          <w:szCs w:val="20"/>
          <w:lang w:val="en-US"/>
        </w:rPr>
        <w:t>l</w:t>
      </w:r>
      <w:r w:rsidRPr="00CC562A">
        <w:rPr>
          <w:rFonts w:eastAsia="Cambria" w:cs="Cambria"/>
          <w:sz w:val="20"/>
          <w:szCs w:val="20"/>
          <w:lang w:val="en-US"/>
        </w:rPr>
        <w:t>ators in justice services</w:t>
      </w:r>
      <w:r w:rsidR="6228C907"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8AB6B1D"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emphasized that the Federal Institute of Public Defenders (hereinafter </w:t>
      </w:r>
      <w:r w:rsidR="58AB6B1D" w:rsidRPr="00CC562A">
        <w:rPr>
          <w:rFonts w:eastAsia="Cambria" w:cs="Cambria"/>
          <w:b w:val="0"/>
          <w:bCs w:val="0"/>
          <w:sz w:val="20"/>
          <w:szCs w:val="20"/>
          <w:lang w:val="en-US"/>
        </w:rPr>
        <w:t>“</w:t>
      </w:r>
      <w:r w:rsidR="150B8F44" w:rsidRPr="00CC562A">
        <w:rPr>
          <w:rFonts w:eastAsia="Cambria" w:cs="Cambria"/>
          <w:b w:val="0"/>
          <w:bCs w:val="0"/>
          <w:sz w:val="20"/>
          <w:szCs w:val="20"/>
          <w:lang w:val="en-US"/>
        </w:rPr>
        <w:t>IFDP</w:t>
      </w:r>
      <w:r w:rsidR="58AB6B1D" w:rsidRPr="00CC562A">
        <w:rPr>
          <w:rFonts w:eastAsia="Cambria" w:cs="Cambria"/>
          <w:b w:val="0"/>
          <w:bCs w:val="0"/>
          <w:sz w:val="20"/>
          <w:szCs w:val="20"/>
          <w:lang w:val="en-US"/>
        </w:rPr>
        <w:t>”</w:t>
      </w:r>
      <w:r w:rsidR="150B8F44"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Pr="00CC562A">
        <w:rPr>
          <w:rFonts w:eastAsia="Cambria" w:cs="Cambria"/>
          <w:b w:val="0"/>
          <w:bCs w:val="0"/>
          <w:sz w:val="20"/>
          <w:szCs w:val="20"/>
          <w:lang w:val="en-US"/>
        </w:rPr>
        <w:t xml:space="preserve"> to date there are</w:t>
      </w:r>
      <w:r w:rsidR="150B8F44" w:rsidRPr="00CC562A">
        <w:rPr>
          <w:rFonts w:eastAsia="Cambria" w:cs="Cambria"/>
          <w:b w:val="0"/>
          <w:bCs w:val="0"/>
          <w:sz w:val="20"/>
          <w:szCs w:val="20"/>
          <w:lang w:val="en-US"/>
        </w:rPr>
        <w:t xml:space="preserve"> 131 </w:t>
      </w:r>
      <w:r w:rsidRPr="00CC562A">
        <w:rPr>
          <w:rFonts w:eastAsia="Cambria" w:cs="Cambria"/>
          <w:b w:val="0"/>
          <w:bCs w:val="0"/>
          <w:sz w:val="20"/>
          <w:szCs w:val="20"/>
          <w:lang w:val="en-US"/>
        </w:rPr>
        <w:t xml:space="preserve">bilingual attorneys with the ability to provide services in </w:t>
      </w:r>
      <w:r w:rsidR="150B8F44" w:rsidRPr="00CC562A">
        <w:rPr>
          <w:rFonts w:eastAsia="Cambria" w:cs="Cambria"/>
          <w:b w:val="0"/>
          <w:bCs w:val="0"/>
          <w:sz w:val="20"/>
          <w:szCs w:val="20"/>
          <w:lang w:val="en-US"/>
        </w:rPr>
        <w:t xml:space="preserve">148 </w:t>
      </w:r>
      <w:r w:rsidRPr="00CC562A">
        <w:rPr>
          <w:rFonts w:eastAsia="Cambria" w:cs="Cambria"/>
          <w:b w:val="0"/>
          <w:bCs w:val="0"/>
          <w:sz w:val="20"/>
          <w:szCs w:val="20"/>
          <w:lang w:val="en-US"/>
        </w:rPr>
        <w:t>linguist</w:t>
      </w:r>
      <w:r w:rsidR="000B044A" w:rsidRPr="00CC562A">
        <w:rPr>
          <w:rFonts w:eastAsia="Cambria" w:cs="Cambria"/>
          <w:b w:val="0"/>
          <w:bCs w:val="0"/>
          <w:sz w:val="20"/>
          <w:szCs w:val="20"/>
          <w:lang w:val="en-US"/>
        </w:rPr>
        <w:t xml:space="preserve">ic </w:t>
      </w:r>
      <w:r w:rsidRPr="00CC562A">
        <w:rPr>
          <w:rFonts w:eastAsia="Cambria" w:cs="Cambria"/>
          <w:b w:val="0"/>
          <w:bCs w:val="0"/>
          <w:sz w:val="20"/>
          <w:szCs w:val="20"/>
          <w:lang w:val="en-US"/>
        </w:rPr>
        <w:t>variants. In addition, the Legal Advice Unit has 12</w:t>
      </w:r>
      <w:r w:rsidR="150B8F44" w:rsidRPr="00CC562A">
        <w:rPr>
          <w:rFonts w:eastAsia="Cambria" w:cs="Cambria"/>
          <w:b w:val="0"/>
          <w:bCs w:val="0"/>
          <w:sz w:val="20"/>
          <w:szCs w:val="20"/>
          <w:lang w:val="en-US"/>
        </w:rPr>
        <w:t xml:space="preserve"> </w:t>
      </w:r>
      <w:r w:rsidR="00927C28" w:rsidRPr="00CC562A">
        <w:rPr>
          <w:rFonts w:eastAsia="Cambria" w:cs="Cambria"/>
          <w:b w:val="0"/>
          <w:bCs w:val="0"/>
          <w:sz w:val="20"/>
          <w:szCs w:val="20"/>
          <w:lang w:val="en-US"/>
        </w:rPr>
        <w:t>legal advisory and 12 bilingual administrative officers to provide services in civil, trade, tax, administrative, and other matters. The bilingual staff of the office of legal counsel is distributed in various states. The State reported that 70 visits have been made to indigenous communities</w:t>
      </w:r>
      <w:r w:rsidR="150B8F44" w:rsidRPr="00CC562A">
        <w:rPr>
          <w:rFonts w:eastAsia="Cambria" w:cs="Cambria"/>
          <w:b w:val="0"/>
          <w:bCs w:val="0"/>
          <w:sz w:val="20"/>
          <w:szCs w:val="20"/>
          <w:lang w:val="en-US"/>
        </w:rPr>
        <w:t xml:space="preserve"> (42 </w:t>
      </w:r>
      <w:r w:rsidR="00927C28" w:rsidRPr="00CC562A">
        <w:rPr>
          <w:rFonts w:eastAsia="Cambria" w:cs="Cambria"/>
          <w:b w:val="0"/>
          <w:bCs w:val="0"/>
          <w:sz w:val="20"/>
          <w:szCs w:val="20"/>
          <w:lang w:val="en-US"/>
        </w:rPr>
        <w:t>during the period from September 2021 to the present</w:t>
      </w:r>
      <w:r w:rsidR="150B8F44" w:rsidRPr="00CC562A">
        <w:rPr>
          <w:rFonts w:eastAsia="Cambria" w:cs="Cambria"/>
          <w:b w:val="0"/>
          <w:bCs w:val="0"/>
          <w:sz w:val="20"/>
          <w:szCs w:val="20"/>
          <w:lang w:val="en-US"/>
        </w:rPr>
        <w:t xml:space="preserve">) </w:t>
      </w:r>
      <w:r w:rsidR="00927C28" w:rsidRPr="00CC562A">
        <w:rPr>
          <w:rFonts w:eastAsia="Cambria" w:cs="Cambria"/>
          <w:b w:val="0"/>
          <w:bCs w:val="0"/>
          <w:sz w:val="20"/>
          <w:szCs w:val="20"/>
          <w:lang w:val="en-US"/>
        </w:rPr>
        <w:t>to bring IFDP services closer to the most remote</w:t>
      </w:r>
      <w:r w:rsidR="150B8F44" w:rsidRPr="00CC562A">
        <w:rPr>
          <w:rFonts w:eastAsia="Cambria" w:cs="Cambria"/>
          <w:b w:val="0"/>
          <w:bCs w:val="0"/>
          <w:sz w:val="20"/>
          <w:szCs w:val="20"/>
          <w:lang w:val="en-US"/>
        </w:rPr>
        <w:t xml:space="preserve"> </w:t>
      </w:r>
      <w:r w:rsidR="00927C28" w:rsidRPr="00CC562A">
        <w:rPr>
          <w:rFonts w:eastAsia="Cambria" w:cs="Cambria"/>
          <w:b w:val="0"/>
          <w:bCs w:val="0"/>
          <w:sz w:val="20"/>
          <w:szCs w:val="20"/>
          <w:lang w:val="en-US"/>
        </w:rPr>
        <w:t>communities</w:t>
      </w:r>
      <w:r w:rsidR="150B8F44" w:rsidRPr="00CC562A">
        <w:rPr>
          <w:rFonts w:eastAsia="Cambria" w:cs="Cambria"/>
          <w:b w:val="0"/>
          <w:bCs w:val="0"/>
          <w:sz w:val="20"/>
          <w:szCs w:val="20"/>
          <w:lang w:val="en-US"/>
        </w:rPr>
        <w:t xml:space="preserve">. </w:t>
      </w:r>
      <w:r w:rsidR="00927C28" w:rsidRPr="00CC562A">
        <w:rPr>
          <w:rFonts w:eastAsia="Cambria" w:cs="Cambria"/>
          <w:b w:val="0"/>
          <w:bCs w:val="0"/>
          <w:sz w:val="20"/>
          <w:szCs w:val="20"/>
          <w:lang w:val="en-US"/>
        </w:rPr>
        <w:t>For its part, the Criminal Defense Unit has</w:t>
      </w:r>
      <w:r w:rsidR="150B8F44" w:rsidRPr="00CC562A">
        <w:rPr>
          <w:rFonts w:eastAsia="Cambria" w:cs="Cambria"/>
          <w:b w:val="0"/>
          <w:bCs w:val="0"/>
          <w:sz w:val="20"/>
          <w:szCs w:val="20"/>
          <w:lang w:val="en-US"/>
        </w:rPr>
        <w:t xml:space="preserve"> 49</w:t>
      </w:r>
      <w:r w:rsidR="00927C28" w:rsidRPr="00CC562A">
        <w:rPr>
          <w:rFonts w:eastAsia="Cambria" w:cs="Cambria"/>
          <w:b w:val="0"/>
          <w:bCs w:val="0"/>
          <w:sz w:val="20"/>
          <w:szCs w:val="20"/>
          <w:lang w:val="en-US"/>
        </w:rPr>
        <w:t xml:space="preserve"> bilingual federal public defenders who speak 20 linguistic variants and are distributed in</w:t>
      </w:r>
      <w:r w:rsidR="150B8F44" w:rsidRPr="00CC562A">
        <w:rPr>
          <w:rFonts w:eastAsia="Cambria" w:cs="Cambria"/>
          <w:b w:val="0"/>
          <w:bCs w:val="0"/>
          <w:sz w:val="20"/>
          <w:szCs w:val="20"/>
          <w:lang w:val="en-US"/>
        </w:rPr>
        <w:t xml:space="preserve"> 15 </w:t>
      </w:r>
      <w:r w:rsidR="00365543" w:rsidRPr="00CC562A">
        <w:rPr>
          <w:rFonts w:eastAsia="Cambria" w:cs="Cambria"/>
          <w:b w:val="0"/>
          <w:bCs w:val="0"/>
          <w:sz w:val="20"/>
          <w:szCs w:val="20"/>
          <w:lang w:val="en-US"/>
        </w:rPr>
        <w:t>states</w:t>
      </w:r>
      <w:r w:rsidR="00927C28"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150B8F44" w:rsidRPr="00CC562A">
        <w:rPr>
          <w:rFonts w:eastAsia="Cambria" w:cs="Cambria"/>
          <w:b w:val="0"/>
          <w:bCs w:val="0"/>
          <w:sz w:val="20"/>
          <w:szCs w:val="20"/>
          <w:lang w:val="en-US"/>
        </w:rPr>
        <w:t xml:space="preserve"> </w:t>
      </w:r>
      <w:r w:rsidR="00927C28" w:rsidRPr="00CC562A">
        <w:rPr>
          <w:rFonts w:eastAsia="Cambria" w:cs="Cambria"/>
          <w:b w:val="0"/>
          <w:bCs w:val="0"/>
          <w:sz w:val="20"/>
          <w:szCs w:val="20"/>
          <w:lang w:val="en-US"/>
        </w:rPr>
        <w:t>the same unit has 58 attached administrative officers who are found in different assignments.</w:t>
      </w:r>
      <w:r w:rsidR="58AB6B1D"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8AB6B1D" w:rsidRPr="00CC562A">
        <w:rPr>
          <w:rFonts w:eastAsia="Cambria" w:cs="Cambria"/>
          <w:b w:val="0"/>
          <w:bCs w:val="0"/>
          <w:sz w:val="20"/>
          <w:szCs w:val="20"/>
          <w:lang w:val="en-US"/>
        </w:rPr>
        <w:t xml:space="preserve"> </w:t>
      </w:r>
      <w:r w:rsidR="00927C28" w:rsidRPr="00CC562A">
        <w:rPr>
          <w:rFonts w:eastAsia="Cambria" w:cs="Cambria"/>
          <w:b w:val="0"/>
          <w:bCs w:val="0"/>
          <w:sz w:val="20"/>
          <w:szCs w:val="20"/>
          <w:lang w:val="en-US"/>
        </w:rPr>
        <w:t>emphasizes that, in accordance with Articles</w:t>
      </w:r>
      <w:r w:rsidR="150B8F44" w:rsidRPr="00CC562A">
        <w:rPr>
          <w:rFonts w:eastAsia="Cambria" w:cs="Cambria"/>
          <w:b w:val="0"/>
          <w:bCs w:val="0"/>
          <w:sz w:val="20"/>
          <w:szCs w:val="20"/>
          <w:lang w:val="en-US"/>
        </w:rPr>
        <w:t xml:space="preserve"> 38 </w:t>
      </w:r>
      <w:r w:rsidR="00927C28" w:rsidRPr="00CC562A">
        <w:rPr>
          <w:rFonts w:eastAsia="Cambria" w:cs="Cambria"/>
          <w:b w:val="0"/>
          <w:bCs w:val="0"/>
          <w:sz w:val="20"/>
          <w:szCs w:val="20"/>
          <w:lang w:val="en-US"/>
        </w:rPr>
        <w:t>and</w:t>
      </w:r>
      <w:r w:rsidR="150B8F44" w:rsidRPr="00CC562A">
        <w:rPr>
          <w:rFonts w:eastAsia="Cambria" w:cs="Cambria"/>
          <w:b w:val="0"/>
          <w:bCs w:val="0"/>
          <w:sz w:val="20"/>
          <w:szCs w:val="20"/>
          <w:lang w:val="en-US"/>
        </w:rPr>
        <w:t xml:space="preserve"> 39</w:t>
      </w:r>
      <w:r w:rsidR="001E5935" w:rsidRPr="00CC562A">
        <w:rPr>
          <w:rFonts w:eastAsia="Cambria" w:cs="Cambria"/>
          <w:b w:val="0"/>
          <w:bCs w:val="0"/>
          <w:sz w:val="20"/>
          <w:szCs w:val="20"/>
          <w:lang w:val="en-US"/>
        </w:rPr>
        <w:t xml:space="preserve">, section VI of the General Bases of the Organization and Functions of the </w:t>
      </w:r>
      <w:r w:rsidR="150B8F44" w:rsidRPr="00CC562A">
        <w:rPr>
          <w:rFonts w:eastAsia="Cambria" w:cs="Cambria"/>
          <w:b w:val="0"/>
          <w:bCs w:val="0"/>
          <w:sz w:val="20"/>
          <w:szCs w:val="20"/>
          <w:lang w:val="en-US"/>
        </w:rPr>
        <w:t xml:space="preserve">IFDP, </w:t>
      </w:r>
      <w:r w:rsidR="001E5935" w:rsidRPr="00CC562A">
        <w:rPr>
          <w:rFonts w:eastAsia="Cambria" w:cs="Cambria"/>
          <w:b w:val="0"/>
          <w:bCs w:val="0"/>
          <w:sz w:val="20"/>
          <w:szCs w:val="20"/>
          <w:lang w:val="en-US"/>
        </w:rPr>
        <w:t xml:space="preserve">the function of staff who speak indigenous languages primarily relates to defense and legal counsel and only in legal proceedings in which they </w:t>
      </w:r>
      <w:proofErr w:type="gramStart"/>
      <w:r w:rsidR="001E5935" w:rsidRPr="00CC562A">
        <w:rPr>
          <w:rFonts w:eastAsia="Cambria" w:cs="Cambria"/>
          <w:b w:val="0"/>
          <w:bCs w:val="0"/>
          <w:sz w:val="20"/>
          <w:szCs w:val="20"/>
          <w:lang w:val="en-US"/>
        </w:rPr>
        <w:t>are able to</w:t>
      </w:r>
      <w:proofErr w:type="gramEnd"/>
      <w:r w:rsidR="001E5935" w:rsidRPr="00CC562A">
        <w:rPr>
          <w:rFonts w:eastAsia="Cambria" w:cs="Cambria"/>
          <w:b w:val="0"/>
          <w:bCs w:val="0"/>
          <w:sz w:val="20"/>
          <w:szCs w:val="20"/>
          <w:lang w:val="en-US"/>
        </w:rPr>
        <w:t xml:space="preserve"> intervene as interpreters and/or translators.</w:t>
      </w:r>
    </w:p>
    <w:p w14:paraId="28116507" w14:textId="1E2E8C5F"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150800F7" w14:textId="77777777" w:rsidR="002B53AC" w:rsidRDefault="001E5935" w:rsidP="00DC5772">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For its part, </w:t>
      </w:r>
      <w:r w:rsidR="00752FED" w:rsidRPr="00CC562A">
        <w:rPr>
          <w:rFonts w:eastAsia="Cambria" w:cs="Cambria"/>
          <w:b w:val="0"/>
          <w:bCs w:val="0"/>
          <w:sz w:val="20"/>
          <w:szCs w:val="20"/>
          <w:lang w:val="en-US"/>
        </w:rPr>
        <w:t>the State</w:t>
      </w:r>
      <w:r w:rsidRPr="00CC562A">
        <w:rPr>
          <w:rFonts w:eastAsia="Cambria" w:cs="Cambria"/>
          <w:b w:val="0"/>
          <w:bCs w:val="0"/>
          <w:sz w:val="20"/>
          <w:szCs w:val="20"/>
          <w:lang w:val="en-US"/>
        </w:rPr>
        <w:t xml:space="preserve"> indicated that the </w:t>
      </w:r>
      <w:r w:rsidR="70AA99DD" w:rsidRPr="00CC562A">
        <w:rPr>
          <w:rFonts w:eastAsia="Cambria" w:cs="Cambria"/>
          <w:b w:val="0"/>
          <w:bCs w:val="0"/>
          <w:sz w:val="20"/>
          <w:szCs w:val="20"/>
          <w:lang w:val="en-US"/>
        </w:rPr>
        <w:t>INPI</w:t>
      </w:r>
      <w:r w:rsidR="6CC0C439" w:rsidRPr="00CC562A">
        <w:rPr>
          <w:rFonts w:eastAsia="Cambria" w:cs="Cambria"/>
          <w:b w:val="0"/>
          <w:bCs w:val="0"/>
          <w:sz w:val="20"/>
          <w:szCs w:val="20"/>
          <w:lang w:val="en-US"/>
        </w:rPr>
        <w:t xml:space="preserve"> prom</w:t>
      </w:r>
      <w:r w:rsidRPr="00CC562A">
        <w:rPr>
          <w:rFonts w:eastAsia="Cambria" w:cs="Cambria"/>
          <w:b w:val="0"/>
          <w:bCs w:val="0"/>
          <w:sz w:val="20"/>
          <w:szCs w:val="20"/>
          <w:lang w:val="en-US"/>
        </w:rPr>
        <w:t xml:space="preserve">otes necessary affirmative </w:t>
      </w:r>
      <w:r w:rsidR="00D77397" w:rsidRPr="00CC562A">
        <w:rPr>
          <w:rFonts w:eastAsia="Cambria" w:cs="Cambria"/>
          <w:b w:val="0"/>
          <w:bCs w:val="0"/>
          <w:sz w:val="20"/>
          <w:szCs w:val="20"/>
          <w:lang w:val="en-US"/>
        </w:rPr>
        <w:t>actions to</w:t>
      </w:r>
      <w:r w:rsidRPr="00CC562A">
        <w:rPr>
          <w:rFonts w:eastAsia="Cambria" w:cs="Cambria"/>
          <w:b w:val="0"/>
          <w:bCs w:val="0"/>
          <w:sz w:val="20"/>
          <w:szCs w:val="20"/>
          <w:lang w:val="en-US"/>
        </w:rPr>
        <w:t xml:space="preserve"> ensure that competent agencies guarantee translation and interpretation services </w:t>
      </w:r>
      <w:proofErr w:type="gramStart"/>
      <w:r w:rsidRPr="00CC562A">
        <w:rPr>
          <w:rFonts w:eastAsia="Cambria" w:cs="Cambria"/>
          <w:b w:val="0"/>
          <w:bCs w:val="0"/>
          <w:sz w:val="20"/>
          <w:szCs w:val="20"/>
          <w:lang w:val="en-US"/>
        </w:rPr>
        <w:t>so as to</w:t>
      </w:r>
      <w:proofErr w:type="gramEnd"/>
      <w:r w:rsidRPr="00CC562A">
        <w:rPr>
          <w:rFonts w:eastAsia="Cambria" w:cs="Cambria"/>
          <w:b w:val="0"/>
          <w:bCs w:val="0"/>
          <w:sz w:val="20"/>
          <w:szCs w:val="20"/>
          <w:lang w:val="en-US"/>
        </w:rPr>
        <w:t xml:space="preserve"> a</w:t>
      </w:r>
      <w:r w:rsidR="000B044A" w:rsidRPr="00CC562A">
        <w:rPr>
          <w:rFonts w:eastAsia="Cambria" w:cs="Cambria"/>
          <w:b w:val="0"/>
          <w:bCs w:val="0"/>
          <w:sz w:val="20"/>
          <w:szCs w:val="20"/>
          <w:lang w:val="en-US"/>
        </w:rPr>
        <w:t>llow the</w:t>
      </w:r>
      <w:r w:rsidRPr="00CC562A">
        <w:rPr>
          <w:rFonts w:eastAsia="Cambria" w:cs="Cambria"/>
          <w:b w:val="0"/>
          <w:bCs w:val="0"/>
          <w:sz w:val="20"/>
          <w:szCs w:val="20"/>
          <w:lang w:val="en-US"/>
        </w:rPr>
        <w:t xml:space="preserve"> indigenous population the full exercise of their rights, through the Program for the Integral Well-Being of the Indigenous Peoples</w:t>
      </w:r>
      <w:r w:rsidR="3619DA69" w:rsidRPr="00CC562A">
        <w:rPr>
          <w:rFonts w:eastAsia="Cambria" w:cs="Cambria"/>
          <w:b w:val="0"/>
          <w:bCs w:val="0"/>
          <w:sz w:val="20"/>
          <w:szCs w:val="20"/>
          <w:lang w:val="en-US"/>
        </w:rPr>
        <w:t xml:space="preserve">. </w:t>
      </w:r>
      <w:r w:rsidR="00355121" w:rsidRPr="00CC562A">
        <w:rPr>
          <w:rFonts w:eastAsia="Cambria" w:cs="Cambria"/>
          <w:b w:val="0"/>
          <w:bCs w:val="0"/>
          <w:sz w:val="20"/>
          <w:szCs w:val="20"/>
          <w:lang w:val="en-US"/>
        </w:rPr>
        <w:t xml:space="preserve">In addition, the State indicated that the program provides support for the release of indigenous or Afro-Mexican persons deprived of liberty due to the violation of the fundamental right of effective access to the jurisdiction of the State or because their release means the possibility of enjoying other fundamental rights, </w:t>
      </w:r>
      <w:proofErr w:type="gramStart"/>
      <w:r w:rsidR="00355121" w:rsidRPr="00CC562A">
        <w:rPr>
          <w:rFonts w:eastAsia="Cambria" w:cs="Cambria"/>
          <w:b w:val="0"/>
          <w:bCs w:val="0"/>
          <w:sz w:val="20"/>
          <w:szCs w:val="20"/>
          <w:lang w:val="en-US"/>
        </w:rPr>
        <w:t>in order to</w:t>
      </w:r>
      <w:proofErr w:type="gramEnd"/>
      <w:r w:rsidR="00355121" w:rsidRPr="00CC562A">
        <w:rPr>
          <w:rFonts w:eastAsia="Cambria" w:cs="Cambria"/>
          <w:b w:val="0"/>
          <w:bCs w:val="0"/>
          <w:sz w:val="20"/>
          <w:szCs w:val="20"/>
          <w:lang w:val="en-US"/>
        </w:rPr>
        <w:t xml:space="preserve"> safeguard the rights of indigenous persons </w:t>
      </w:r>
      <w:r w:rsidR="00F25203" w:rsidRPr="00CC562A">
        <w:rPr>
          <w:rFonts w:eastAsia="Cambria" w:cs="Cambria"/>
          <w:b w:val="0"/>
          <w:bCs w:val="0"/>
          <w:sz w:val="20"/>
          <w:szCs w:val="20"/>
          <w:lang w:val="en-US"/>
        </w:rPr>
        <w:t>facing actions against some justice operator.</w:t>
      </w:r>
      <w:r w:rsidR="00DC5772" w:rsidRPr="00CC562A">
        <w:rPr>
          <w:rStyle w:val="FootnoteReference"/>
          <w:rFonts w:eastAsia="Cambria" w:cs="Cambria"/>
          <w:b w:val="0"/>
          <w:bCs w:val="0"/>
          <w:sz w:val="20"/>
          <w:szCs w:val="20"/>
          <w:lang w:val="en-US"/>
        </w:rPr>
        <w:footnoteReference w:id="228"/>
      </w:r>
    </w:p>
    <w:p w14:paraId="16841EC8" w14:textId="463C5EA7" w:rsidR="00DC5772" w:rsidRPr="00CC562A" w:rsidRDefault="00DC5772" w:rsidP="002B53AC">
      <w:pPr>
        <w:pStyle w:val="Heading3"/>
        <w:numPr>
          <w:ilvl w:val="0"/>
          <w:numId w:val="0"/>
        </w:numPr>
        <w:spacing w:before="240" w:after="200" w:line="240" w:lineRule="auto"/>
        <w:ind w:left="720"/>
        <w:rPr>
          <w:rFonts w:eastAsia="Cambria" w:cs="Cambria"/>
          <w:b w:val="0"/>
          <w:bCs w:val="0"/>
          <w:sz w:val="20"/>
          <w:szCs w:val="20"/>
          <w:lang w:val="en-US"/>
        </w:rPr>
      </w:pPr>
      <w:r w:rsidRPr="00CC562A">
        <w:rPr>
          <w:rFonts w:eastAsia="Cambria" w:cs="Cambria"/>
          <w:b w:val="0"/>
          <w:bCs w:val="0"/>
          <w:sz w:val="20"/>
          <w:szCs w:val="20"/>
          <w:lang w:val="en-US"/>
        </w:rPr>
        <w:tab/>
      </w:r>
    </w:p>
    <w:p w14:paraId="1F3A09BD" w14:textId="4FFA9F5B" w:rsidR="00A4198F" w:rsidRPr="00CC562A" w:rsidRDefault="3619DA69"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Final</w:t>
      </w:r>
      <w:r w:rsidR="001E5935" w:rsidRPr="00CC562A">
        <w:rPr>
          <w:rFonts w:eastAsia="Cambria" w:cs="Cambria"/>
          <w:b w:val="0"/>
          <w:bCs w:val="0"/>
          <w:sz w:val="20"/>
          <w:szCs w:val="20"/>
          <w:lang w:val="en-US"/>
        </w:rPr>
        <w:t xml:space="preserve">ly, in judicial matters, </w:t>
      </w:r>
      <w:r w:rsidR="00752FED" w:rsidRPr="00CC562A">
        <w:rPr>
          <w:rFonts w:eastAsia="Cambria" w:cs="Cambria"/>
          <w:b w:val="0"/>
          <w:bCs w:val="0"/>
          <w:sz w:val="20"/>
          <w:szCs w:val="20"/>
          <w:lang w:val="en-US"/>
        </w:rPr>
        <w:t>the State</w:t>
      </w:r>
      <w:r w:rsidRPr="00CC562A">
        <w:rPr>
          <w:rFonts w:eastAsia="Cambria" w:cs="Cambria"/>
          <w:b w:val="0"/>
          <w:bCs w:val="0"/>
          <w:sz w:val="20"/>
          <w:szCs w:val="20"/>
          <w:lang w:val="en-US"/>
        </w:rPr>
        <w:t xml:space="preserve"> re</w:t>
      </w:r>
      <w:r w:rsidR="001E5935" w:rsidRPr="00CC562A">
        <w:rPr>
          <w:rFonts w:eastAsia="Cambria" w:cs="Cambria"/>
          <w:b w:val="0"/>
          <w:bCs w:val="0"/>
          <w:sz w:val="20"/>
          <w:szCs w:val="20"/>
          <w:lang w:val="en-US"/>
        </w:rPr>
        <w:t>lated that, in direct amparo on review</w:t>
      </w:r>
      <w:r w:rsidR="6CC0C439" w:rsidRPr="00CC562A">
        <w:rPr>
          <w:rFonts w:eastAsia="Cambria" w:cs="Cambria"/>
          <w:b w:val="0"/>
          <w:bCs w:val="0"/>
          <w:sz w:val="20"/>
          <w:szCs w:val="20"/>
          <w:lang w:val="en-US"/>
        </w:rPr>
        <w:t xml:space="preserve"> 4189/2020, </w:t>
      </w:r>
      <w:r w:rsidR="009E63EC" w:rsidRPr="00CC562A">
        <w:rPr>
          <w:rFonts w:eastAsia="Cambria" w:cs="Cambria"/>
          <w:b w:val="0"/>
          <w:bCs w:val="0"/>
          <w:sz w:val="20"/>
          <w:szCs w:val="20"/>
          <w:lang w:val="en-US"/>
        </w:rPr>
        <w:t>the</w:t>
      </w:r>
      <w:r w:rsidR="6CC0C439" w:rsidRPr="00CC562A">
        <w:rPr>
          <w:rFonts w:eastAsia="Cambria" w:cs="Cambria"/>
          <w:b w:val="0"/>
          <w:bCs w:val="0"/>
          <w:sz w:val="20"/>
          <w:szCs w:val="20"/>
          <w:lang w:val="en-US"/>
        </w:rPr>
        <w:t xml:space="preserve"> </w:t>
      </w:r>
      <w:r w:rsidRPr="00CC562A">
        <w:rPr>
          <w:rFonts w:eastAsia="Cambria" w:cs="Cambria"/>
          <w:b w:val="0"/>
          <w:bCs w:val="0"/>
          <w:sz w:val="20"/>
          <w:szCs w:val="20"/>
          <w:lang w:val="en-US"/>
        </w:rPr>
        <w:t>SCJN</w:t>
      </w:r>
      <w:r w:rsidR="6CC0C439" w:rsidRPr="00CC562A">
        <w:rPr>
          <w:rFonts w:eastAsia="Cambria" w:cs="Cambria"/>
          <w:b w:val="0"/>
          <w:bCs w:val="0"/>
          <w:sz w:val="20"/>
          <w:szCs w:val="20"/>
          <w:lang w:val="en-US"/>
        </w:rPr>
        <w:t xml:space="preserve"> determin</w:t>
      </w:r>
      <w:r w:rsidR="009E63EC" w:rsidRPr="00CC562A">
        <w:rPr>
          <w:rFonts w:eastAsia="Cambria" w:cs="Cambria"/>
          <w:b w:val="0"/>
          <w:bCs w:val="0"/>
          <w:sz w:val="20"/>
          <w:szCs w:val="20"/>
          <w:lang w:val="en-US"/>
        </w:rPr>
        <w:t>ed that if someone identifies as a member of an indigenous community in any judicial proceeding</w:t>
      </w:r>
      <w:r w:rsidR="6CC0C439" w:rsidRPr="00CC562A">
        <w:rPr>
          <w:rFonts w:eastAsia="Cambria" w:cs="Cambria"/>
          <w:b w:val="0"/>
          <w:bCs w:val="0"/>
          <w:sz w:val="20"/>
          <w:szCs w:val="20"/>
          <w:lang w:val="en-US"/>
        </w:rPr>
        <w:t xml:space="preserve">, </w:t>
      </w:r>
      <w:r w:rsidR="009E63EC" w:rsidRPr="00CC562A">
        <w:rPr>
          <w:rFonts w:eastAsia="Cambria" w:cs="Cambria"/>
          <w:b w:val="0"/>
          <w:bCs w:val="0"/>
          <w:sz w:val="20"/>
          <w:szCs w:val="20"/>
          <w:lang w:val="en-US"/>
        </w:rPr>
        <w:t>including up to submission of the direct appeal suit, even though they may not have identified as such during the proceeding, this requires the Collegiate Court</w:t>
      </w:r>
      <w:r w:rsidR="6CC0C439" w:rsidRPr="00CC562A">
        <w:rPr>
          <w:rFonts w:eastAsia="Cambria" w:cs="Cambria"/>
          <w:b w:val="0"/>
          <w:bCs w:val="0"/>
          <w:sz w:val="20"/>
          <w:szCs w:val="20"/>
          <w:lang w:val="en-US"/>
        </w:rPr>
        <w:t xml:space="preserve"> </w:t>
      </w:r>
      <w:r w:rsidR="009E63EC" w:rsidRPr="00CC562A">
        <w:rPr>
          <w:rFonts w:eastAsia="Cambria" w:cs="Cambria"/>
          <w:b w:val="0"/>
          <w:bCs w:val="0"/>
          <w:sz w:val="20"/>
          <w:szCs w:val="20"/>
          <w:lang w:val="en-US"/>
        </w:rPr>
        <w:t xml:space="preserve">to rule on their rights as recognized in Article 2 of the Constitution. In this regard, it stipulated that, if identifying as indigenous is a manifestation of identity </w:t>
      </w:r>
      <w:r w:rsidR="009E63EC" w:rsidRPr="00CC562A">
        <w:rPr>
          <w:rFonts w:eastAsia="Cambria" w:cs="Cambria"/>
          <w:b w:val="0"/>
          <w:bCs w:val="0"/>
          <w:sz w:val="20"/>
          <w:szCs w:val="20"/>
          <w:lang w:val="en-US"/>
        </w:rPr>
        <w:lastRenderedPageBreak/>
        <w:t xml:space="preserve">and cultural belonging for the purpose of gaining access to the  jurisdiction of the State, in any type of trial or proceeding to which indigenous persons are a party, individually or collectively, </w:t>
      </w:r>
      <w:r w:rsidR="00B508BA" w:rsidRPr="00CC562A">
        <w:rPr>
          <w:rFonts w:eastAsia="Cambria" w:cs="Cambria"/>
          <w:b w:val="0"/>
          <w:bCs w:val="0"/>
          <w:sz w:val="20"/>
          <w:szCs w:val="20"/>
          <w:lang w:val="en-US"/>
        </w:rPr>
        <w:t>their customs and cultural traits must be taken into account and they must at all times be assisted by interpreters and defenders that know their language and culture.</w:t>
      </w:r>
      <w:r w:rsidR="00946551" w:rsidRPr="00CC562A">
        <w:rPr>
          <w:rStyle w:val="FootnoteReference"/>
          <w:rFonts w:eastAsia="Cambria" w:cs="Cambria"/>
          <w:b w:val="0"/>
          <w:bCs w:val="0"/>
          <w:sz w:val="20"/>
          <w:szCs w:val="20"/>
          <w:lang w:val="en-US"/>
        </w:rPr>
        <w:footnoteReference w:id="229"/>
      </w:r>
      <w:r w:rsidR="00DC5772" w:rsidRPr="00CC562A">
        <w:rPr>
          <w:rFonts w:eastAsia="Cambria" w:cs="Cambria"/>
          <w:b w:val="0"/>
          <w:bCs w:val="0"/>
          <w:sz w:val="20"/>
          <w:szCs w:val="20"/>
          <w:lang w:val="en-US"/>
        </w:rPr>
        <w:t xml:space="preserve"> </w:t>
      </w:r>
      <w:r w:rsidR="00F25203" w:rsidRPr="00CC562A">
        <w:rPr>
          <w:b w:val="0"/>
          <w:sz w:val="20"/>
          <w:lang w:val="en-US"/>
        </w:rPr>
        <w:t>In turn, the State indicated that</w:t>
      </w:r>
      <w:r w:rsidR="00DC5772" w:rsidRPr="00CC562A">
        <w:rPr>
          <w:b w:val="0"/>
          <w:sz w:val="20"/>
          <w:lang w:val="en-US"/>
        </w:rPr>
        <w:t xml:space="preserve"> INALI </w:t>
      </w:r>
      <w:r w:rsidR="00F25203" w:rsidRPr="00CC562A">
        <w:rPr>
          <w:b w:val="0"/>
          <w:sz w:val="20"/>
          <w:lang w:val="en-US"/>
        </w:rPr>
        <w:t>has</w:t>
      </w:r>
      <w:r w:rsidR="00DC5772" w:rsidRPr="00CC562A">
        <w:rPr>
          <w:b w:val="0"/>
          <w:sz w:val="20"/>
          <w:lang w:val="en-US"/>
        </w:rPr>
        <w:t xml:space="preserve"> 2,347 p</w:t>
      </w:r>
      <w:r w:rsidR="00F25203" w:rsidRPr="00CC562A">
        <w:rPr>
          <w:b w:val="0"/>
          <w:sz w:val="20"/>
          <w:lang w:val="en-US"/>
        </w:rPr>
        <w:t xml:space="preserve">ersons registered as interpreters or translators who speak </w:t>
      </w:r>
      <w:r w:rsidR="00DC5772" w:rsidRPr="00CC562A">
        <w:rPr>
          <w:b w:val="0"/>
          <w:sz w:val="20"/>
          <w:lang w:val="en-US"/>
        </w:rPr>
        <w:t>40 l</w:t>
      </w:r>
      <w:r w:rsidR="00F25203" w:rsidRPr="00CC562A">
        <w:rPr>
          <w:b w:val="0"/>
          <w:sz w:val="20"/>
          <w:lang w:val="en-US"/>
        </w:rPr>
        <w:t xml:space="preserve">anguages that correspond to </w:t>
      </w:r>
      <w:r w:rsidR="00DC5772" w:rsidRPr="00CC562A">
        <w:rPr>
          <w:b w:val="0"/>
          <w:sz w:val="20"/>
          <w:lang w:val="en-US"/>
        </w:rPr>
        <w:t xml:space="preserve">146 </w:t>
      </w:r>
      <w:r w:rsidR="00F25203" w:rsidRPr="00CC562A">
        <w:rPr>
          <w:b w:val="0"/>
          <w:sz w:val="20"/>
          <w:lang w:val="en-US"/>
        </w:rPr>
        <w:t>linguistic variants.</w:t>
      </w:r>
      <w:r w:rsidR="00DC5772" w:rsidRPr="00CC562A">
        <w:rPr>
          <w:rStyle w:val="FootnoteReference"/>
          <w:b w:val="0"/>
          <w:sz w:val="20"/>
          <w:lang w:val="en-US"/>
        </w:rPr>
        <w:footnoteReference w:id="230"/>
      </w:r>
    </w:p>
    <w:p w14:paraId="19473B50" w14:textId="2FC2B78A"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247FD3D2" w14:textId="4DA1D82D" w:rsidR="001C736F" w:rsidRPr="00CC562A" w:rsidRDefault="00276638"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IACHR</w:t>
      </w:r>
      <w:r w:rsidR="4BFF7D33" w:rsidRPr="00CC562A">
        <w:rPr>
          <w:rFonts w:eastAsia="Cambria" w:cs="Cambria"/>
          <w:b w:val="0"/>
          <w:bCs w:val="0"/>
          <w:sz w:val="20"/>
          <w:szCs w:val="20"/>
          <w:lang w:val="en-US"/>
        </w:rPr>
        <w:t xml:space="preserve"> </w:t>
      </w:r>
      <w:r w:rsidR="00A45295" w:rsidRPr="00CC562A">
        <w:rPr>
          <w:rFonts w:eastAsia="Cambria" w:cs="Cambria"/>
          <w:b w:val="0"/>
          <w:bCs w:val="0"/>
          <w:sz w:val="20"/>
          <w:szCs w:val="20"/>
          <w:lang w:val="en-US"/>
        </w:rPr>
        <w:t xml:space="preserve">notes the </w:t>
      </w:r>
      <w:r w:rsidR="4BFF7D33" w:rsidRPr="00CC562A">
        <w:rPr>
          <w:rFonts w:eastAsia="Cambria" w:cs="Cambria"/>
          <w:b w:val="0"/>
          <w:bCs w:val="0"/>
          <w:sz w:val="20"/>
          <w:szCs w:val="20"/>
          <w:lang w:val="en-US"/>
        </w:rPr>
        <w:t>70 visit</w:t>
      </w:r>
      <w:r w:rsidR="00A45295" w:rsidRPr="00CC562A">
        <w:rPr>
          <w:rFonts w:eastAsia="Cambria" w:cs="Cambria"/>
          <w:b w:val="0"/>
          <w:bCs w:val="0"/>
          <w:sz w:val="20"/>
          <w:szCs w:val="20"/>
          <w:lang w:val="en-US"/>
        </w:rPr>
        <w:t>s that have been made to indigenous communities to bring justice services closer to the most remo</w:t>
      </w:r>
      <w:r w:rsidR="000B044A" w:rsidRPr="00CC562A">
        <w:rPr>
          <w:rFonts w:eastAsia="Cambria" w:cs="Cambria"/>
          <w:b w:val="0"/>
          <w:bCs w:val="0"/>
          <w:sz w:val="20"/>
          <w:szCs w:val="20"/>
          <w:lang w:val="en-US"/>
        </w:rPr>
        <w:t>t</w:t>
      </w:r>
      <w:r w:rsidR="00A45295" w:rsidRPr="00CC562A">
        <w:rPr>
          <w:rFonts w:eastAsia="Cambria" w:cs="Cambria"/>
          <w:b w:val="0"/>
          <w:bCs w:val="0"/>
          <w:sz w:val="20"/>
          <w:szCs w:val="20"/>
          <w:lang w:val="en-US"/>
        </w:rPr>
        <w:t>e community and appreciates that the information reported over the course of the years reflects affirmative adoption of the recommendation. In this regard,</w:t>
      </w:r>
      <w:r w:rsidR="77753740" w:rsidRPr="00CC562A">
        <w:rPr>
          <w:rFonts w:eastAsia="Cambria" w:cs="Cambria"/>
          <w:b w:val="0"/>
          <w:bCs w:val="0"/>
          <w:sz w:val="20"/>
          <w:szCs w:val="20"/>
          <w:lang w:val="en-US"/>
        </w:rPr>
        <w:t xml:space="preserve"> </w:t>
      </w:r>
      <w:r w:rsidRPr="00CC562A">
        <w:rPr>
          <w:rFonts w:eastAsia="Cambria" w:cs="Cambria"/>
          <w:b w:val="0"/>
          <w:bCs w:val="0"/>
          <w:sz w:val="20"/>
          <w:szCs w:val="20"/>
          <w:lang w:val="en-US"/>
        </w:rPr>
        <w:t>the IACHR</w:t>
      </w:r>
      <w:r w:rsidR="77753740" w:rsidRPr="00CC562A">
        <w:rPr>
          <w:rFonts w:eastAsia="Cambria" w:cs="Cambria"/>
          <w:b w:val="0"/>
          <w:bCs w:val="0"/>
          <w:sz w:val="20"/>
          <w:szCs w:val="20"/>
          <w:lang w:val="en-US"/>
        </w:rPr>
        <w:t xml:space="preserve"> consider</w:t>
      </w:r>
      <w:r w:rsidR="00A45295" w:rsidRPr="00CC562A">
        <w:rPr>
          <w:rFonts w:eastAsia="Cambria" w:cs="Cambria"/>
          <w:b w:val="0"/>
          <w:bCs w:val="0"/>
          <w:sz w:val="20"/>
          <w:szCs w:val="20"/>
          <w:lang w:val="en-US"/>
        </w:rPr>
        <w:t xml:space="preserve">s that the recommendation’s status is one of </w:t>
      </w:r>
      <w:r w:rsidR="00A45295" w:rsidRPr="00CC562A">
        <w:rPr>
          <w:rFonts w:eastAsia="Cambria" w:cs="Cambria"/>
          <w:sz w:val="20"/>
          <w:szCs w:val="20"/>
          <w:lang w:val="en-US"/>
        </w:rPr>
        <w:t xml:space="preserve">full compliance. </w:t>
      </w:r>
      <w:r w:rsidR="006B2164" w:rsidRPr="00CC562A">
        <w:rPr>
          <w:rFonts w:eastAsia="Cambria" w:cs="Cambria"/>
          <w:b w:val="0"/>
          <w:bCs w:val="0"/>
          <w:sz w:val="20"/>
          <w:szCs w:val="20"/>
          <w:lang w:val="en-US"/>
        </w:rPr>
        <w:t>The Commission emphasizes how important it is for the authority to be sure that interpreters also speak Spanish perfectly</w:t>
      </w:r>
      <w:r w:rsidR="00C95C02" w:rsidRPr="00CC562A">
        <w:rPr>
          <w:rFonts w:eastAsia="Cambria" w:cs="Cambria"/>
          <w:b w:val="0"/>
          <w:bCs w:val="0"/>
          <w:sz w:val="20"/>
          <w:szCs w:val="20"/>
          <w:lang w:val="en-US"/>
        </w:rPr>
        <w:t>.</w:t>
      </w:r>
    </w:p>
    <w:p w14:paraId="13D069B9" w14:textId="5B186979"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70087908" w14:textId="56F76D36" w:rsidR="00A92391" w:rsidRPr="00CC562A" w:rsidRDefault="006B2164" w:rsidP="00A92391">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Regarding the recommendation to </w:t>
      </w:r>
      <w:r w:rsidR="71611C51" w:rsidRPr="00CC562A">
        <w:rPr>
          <w:rFonts w:eastAsia="Cambria" w:cs="Cambria"/>
          <w:sz w:val="20"/>
          <w:szCs w:val="20"/>
          <w:lang w:val="en-US"/>
        </w:rPr>
        <w:t>adopt</w:t>
      </w:r>
      <w:r w:rsidRPr="00CC562A">
        <w:rPr>
          <w:rFonts w:eastAsia="Cambria" w:cs="Cambria"/>
          <w:sz w:val="20"/>
          <w:szCs w:val="20"/>
          <w:lang w:val="en-US"/>
        </w:rPr>
        <w:t xml:space="preserve"> the necessary measures to carry out free, prior, and informed consultations</w:t>
      </w:r>
      <w:r w:rsidR="6D92A36E"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3619DA69"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indicated that the </w:t>
      </w:r>
      <w:r w:rsidR="3619DA69" w:rsidRPr="00CC562A">
        <w:rPr>
          <w:rFonts w:eastAsia="Cambria" w:cs="Cambria"/>
          <w:b w:val="0"/>
          <w:bCs w:val="0"/>
          <w:sz w:val="20"/>
          <w:szCs w:val="20"/>
          <w:lang w:val="en-US"/>
        </w:rPr>
        <w:t>INPI</w:t>
      </w:r>
      <w:r w:rsidR="6CC0C439" w:rsidRPr="00CC562A">
        <w:rPr>
          <w:rFonts w:eastAsia="Cambria" w:cs="Cambria"/>
          <w:b w:val="0"/>
          <w:bCs w:val="0"/>
          <w:sz w:val="20"/>
          <w:szCs w:val="20"/>
          <w:lang w:val="en-US"/>
        </w:rPr>
        <w:t xml:space="preserve"> </w:t>
      </w:r>
      <w:r w:rsidRPr="00CC562A">
        <w:rPr>
          <w:rFonts w:eastAsia="Cambria" w:cs="Cambria"/>
          <w:b w:val="0"/>
          <w:bCs w:val="0"/>
          <w:sz w:val="20"/>
          <w:szCs w:val="20"/>
          <w:lang w:val="en-US"/>
        </w:rPr>
        <w:t>is the technical body involved in prior, free, and inform</w:t>
      </w:r>
      <w:r w:rsidR="000B044A" w:rsidRPr="00CC562A">
        <w:rPr>
          <w:rFonts w:eastAsia="Cambria" w:cs="Cambria"/>
          <w:b w:val="0"/>
          <w:bCs w:val="0"/>
          <w:sz w:val="20"/>
          <w:szCs w:val="20"/>
          <w:lang w:val="en-US"/>
        </w:rPr>
        <w:t>ed</w:t>
      </w:r>
      <w:r w:rsidRPr="00CC562A">
        <w:rPr>
          <w:rFonts w:eastAsia="Cambria" w:cs="Cambria"/>
          <w:b w:val="0"/>
          <w:bCs w:val="0"/>
          <w:sz w:val="20"/>
          <w:szCs w:val="20"/>
          <w:lang w:val="en-US"/>
        </w:rPr>
        <w:t xml:space="preserve"> </w:t>
      </w:r>
      <w:r w:rsidR="00DC5772" w:rsidRPr="00CC562A">
        <w:rPr>
          <w:b w:val="0"/>
          <w:sz w:val="20"/>
          <w:lang w:val="en-US"/>
        </w:rPr>
        <w:t>ind</w:t>
      </w:r>
      <w:r w:rsidR="009F6836" w:rsidRPr="00CC562A">
        <w:rPr>
          <w:b w:val="0"/>
          <w:sz w:val="20"/>
          <w:lang w:val="en-US"/>
        </w:rPr>
        <w:t>igenous</w:t>
      </w:r>
      <w:r w:rsidR="000B044A" w:rsidRPr="00CC562A">
        <w:rPr>
          <w:rFonts w:eastAsia="Cambria" w:cs="Cambria"/>
          <w:b w:val="0"/>
          <w:bCs w:val="0"/>
          <w:sz w:val="20"/>
          <w:szCs w:val="20"/>
          <w:lang w:val="en-US"/>
        </w:rPr>
        <w:t xml:space="preserve"> </w:t>
      </w:r>
      <w:r w:rsidR="009F6836" w:rsidRPr="00CC562A">
        <w:rPr>
          <w:rFonts w:eastAsia="Cambria" w:cs="Cambria"/>
          <w:b w:val="0"/>
          <w:bCs w:val="0"/>
          <w:sz w:val="20"/>
          <w:szCs w:val="20"/>
          <w:lang w:val="en-US"/>
        </w:rPr>
        <w:t xml:space="preserve">consultations </w:t>
      </w:r>
      <w:r w:rsidRPr="00CC562A">
        <w:rPr>
          <w:rFonts w:eastAsia="Cambria" w:cs="Cambria"/>
          <w:b w:val="0"/>
          <w:bCs w:val="0"/>
          <w:sz w:val="20"/>
          <w:szCs w:val="20"/>
          <w:lang w:val="en-US"/>
        </w:rPr>
        <w:t xml:space="preserve">whenever legislative and administrative measures are provided in the federal jurisdiction that could </w:t>
      </w:r>
      <w:r w:rsidR="00D77397" w:rsidRPr="00CC562A">
        <w:rPr>
          <w:rFonts w:eastAsia="Cambria" w:cs="Cambria"/>
          <w:b w:val="0"/>
          <w:bCs w:val="0"/>
          <w:sz w:val="20"/>
          <w:szCs w:val="20"/>
          <w:lang w:val="en-US"/>
        </w:rPr>
        <w:t>affect</w:t>
      </w:r>
      <w:r w:rsidRPr="00CC562A">
        <w:rPr>
          <w:rFonts w:eastAsia="Cambria" w:cs="Cambria"/>
          <w:b w:val="0"/>
          <w:bCs w:val="0"/>
          <w:sz w:val="20"/>
          <w:szCs w:val="20"/>
          <w:lang w:val="en-US"/>
        </w:rPr>
        <w:t xml:space="preserve"> the rights of indigenous peoples and communities. It also provides advice and support in matters related to indigenous and Afro-Mexican peoples, in federal institutions, as well as the states, municipalities, and the social and private sectors services that ask for them</w:t>
      </w:r>
      <w:r w:rsidR="6CC0C439" w:rsidRPr="00CC562A">
        <w:rPr>
          <w:rFonts w:eastAsia="Cambria" w:cs="Cambria"/>
          <w:b w:val="0"/>
          <w:bCs w:val="0"/>
          <w:sz w:val="20"/>
          <w:szCs w:val="20"/>
          <w:lang w:val="en-US"/>
        </w:rPr>
        <w:t>.</w:t>
      </w:r>
      <w:r w:rsidR="3619DA69"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3619DA69" w:rsidRPr="00CC562A">
        <w:rPr>
          <w:rFonts w:eastAsia="Cambria" w:cs="Cambria"/>
          <w:b w:val="0"/>
          <w:bCs w:val="0"/>
          <w:sz w:val="20"/>
          <w:szCs w:val="20"/>
          <w:lang w:val="en-US"/>
        </w:rPr>
        <w:t xml:space="preserve"> </w:t>
      </w:r>
      <w:r w:rsidRPr="00CC562A">
        <w:rPr>
          <w:rFonts w:eastAsia="Cambria" w:cs="Cambria"/>
          <w:b w:val="0"/>
          <w:bCs w:val="0"/>
          <w:sz w:val="20"/>
          <w:szCs w:val="20"/>
          <w:lang w:val="en-US"/>
        </w:rPr>
        <w:t>emphasized that the</w:t>
      </w:r>
      <w:r w:rsidR="6CC0C439" w:rsidRPr="00CC562A">
        <w:rPr>
          <w:rFonts w:eastAsia="Cambria" w:cs="Cambria"/>
          <w:b w:val="0"/>
          <w:bCs w:val="0"/>
          <w:sz w:val="20"/>
          <w:szCs w:val="20"/>
          <w:lang w:val="en-US"/>
        </w:rPr>
        <w:t xml:space="preserve"> INPI ha</w:t>
      </w:r>
      <w:r w:rsidRPr="00CC562A">
        <w:rPr>
          <w:rFonts w:eastAsia="Cambria" w:cs="Cambria"/>
          <w:b w:val="0"/>
          <w:bCs w:val="0"/>
          <w:sz w:val="20"/>
          <w:szCs w:val="20"/>
          <w:lang w:val="en-US"/>
        </w:rPr>
        <w:t xml:space="preserve">s promoted </w:t>
      </w:r>
      <w:r w:rsidR="009F6836" w:rsidRPr="00CC562A">
        <w:rPr>
          <w:b w:val="0"/>
          <w:sz w:val="20"/>
          <w:lang w:val="en-US"/>
        </w:rPr>
        <w:t>as a fundamental right</w:t>
      </w:r>
      <w:r w:rsidR="00DC5772" w:rsidRPr="00CC562A">
        <w:rPr>
          <w:rFonts w:eastAsia="Cambria" w:cs="Cambria"/>
          <w:b w:val="0"/>
          <w:bCs w:val="0"/>
          <w:sz w:val="20"/>
          <w:szCs w:val="20"/>
          <w:lang w:val="en-US"/>
        </w:rPr>
        <w:t xml:space="preserve"> </w:t>
      </w:r>
      <w:r w:rsidRPr="00CC562A">
        <w:rPr>
          <w:rFonts w:eastAsia="Cambria" w:cs="Cambria"/>
          <w:b w:val="0"/>
          <w:bCs w:val="0"/>
          <w:sz w:val="20"/>
          <w:szCs w:val="20"/>
          <w:lang w:val="en-US"/>
        </w:rPr>
        <w:t>the participation of indigenous peoples and communities in making decision that may affect them, particularly in the utilization of their lands, territories, and natural resources,</w:t>
      </w:r>
      <w:r w:rsidR="009F6836" w:rsidRPr="00CC562A">
        <w:rPr>
          <w:rFonts w:eastAsia="Cambria" w:cs="Cambria"/>
          <w:b w:val="0"/>
          <w:bCs w:val="0"/>
          <w:sz w:val="20"/>
          <w:szCs w:val="20"/>
          <w:lang w:val="en-US"/>
        </w:rPr>
        <w:t xml:space="preserve"> </w:t>
      </w:r>
      <w:r w:rsidR="00DC5772" w:rsidRPr="00CC562A">
        <w:rPr>
          <w:rFonts w:eastAsia="Cambria" w:cs="Cambria"/>
          <w:b w:val="0"/>
          <w:bCs w:val="0"/>
          <w:sz w:val="20"/>
          <w:szCs w:val="20"/>
          <w:lang w:val="en-US"/>
        </w:rPr>
        <w:t>f</w:t>
      </w:r>
      <w:r w:rsidR="009F6836" w:rsidRPr="00CC562A">
        <w:rPr>
          <w:rFonts w:eastAsia="Cambria" w:cs="Cambria"/>
          <w:b w:val="0"/>
          <w:bCs w:val="0"/>
          <w:sz w:val="20"/>
          <w:szCs w:val="20"/>
          <w:lang w:val="en-US"/>
        </w:rPr>
        <w:t>or the purpose of reaching agreements from the perspective of universality, comprehensiveness, indivisibility, and interdependence,</w:t>
      </w:r>
      <w:r w:rsidR="00DC5772" w:rsidRPr="00CC562A">
        <w:rPr>
          <w:b w:val="0"/>
          <w:sz w:val="20"/>
          <w:lang w:val="en-US"/>
        </w:rPr>
        <w:t xml:space="preserve"> </w:t>
      </w:r>
      <w:r w:rsidRPr="00CC562A">
        <w:rPr>
          <w:rFonts w:eastAsia="Cambria" w:cs="Cambria"/>
          <w:b w:val="0"/>
          <w:bCs w:val="0"/>
          <w:sz w:val="20"/>
          <w:szCs w:val="20"/>
          <w:lang w:val="en-US"/>
        </w:rPr>
        <w:t>as a fundamental right, because</w:t>
      </w:r>
      <w:r w:rsidR="00E8678F" w:rsidRPr="00CC562A">
        <w:rPr>
          <w:rFonts w:eastAsia="Cambria" w:cs="Cambria"/>
          <w:b w:val="0"/>
          <w:bCs w:val="0"/>
          <w:sz w:val="20"/>
          <w:szCs w:val="20"/>
          <w:lang w:val="en-US"/>
        </w:rPr>
        <w:t xml:space="preserve"> it constitute</w:t>
      </w:r>
      <w:r w:rsidR="000B044A" w:rsidRPr="00CC562A">
        <w:rPr>
          <w:rFonts w:eastAsia="Cambria" w:cs="Cambria"/>
          <w:b w:val="0"/>
          <w:bCs w:val="0"/>
          <w:sz w:val="20"/>
          <w:szCs w:val="20"/>
          <w:lang w:val="en-US"/>
        </w:rPr>
        <w:t>s</w:t>
      </w:r>
      <w:r w:rsidR="00E8678F" w:rsidRPr="00CC562A">
        <w:rPr>
          <w:rFonts w:eastAsia="Cambria" w:cs="Cambria"/>
          <w:b w:val="0"/>
          <w:bCs w:val="0"/>
          <w:sz w:val="20"/>
          <w:szCs w:val="20"/>
          <w:lang w:val="en-US"/>
        </w:rPr>
        <w:t xml:space="preserve"> a basic instrument for preserving the ethnic, social, economic, and cultural integrity of the indigenous communities and i</w:t>
      </w:r>
      <w:r w:rsidR="000B044A" w:rsidRPr="00CC562A">
        <w:rPr>
          <w:rFonts w:eastAsia="Cambria" w:cs="Cambria"/>
          <w:b w:val="0"/>
          <w:bCs w:val="0"/>
          <w:sz w:val="20"/>
          <w:szCs w:val="20"/>
          <w:lang w:val="en-US"/>
        </w:rPr>
        <w:t>s</w:t>
      </w:r>
      <w:r w:rsidR="00E8678F" w:rsidRPr="00CC562A">
        <w:rPr>
          <w:rFonts w:eastAsia="Cambria" w:cs="Cambria"/>
          <w:b w:val="0"/>
          <w:bCs w:val="0"/>
          <w:sz w:val="20"/>
          <w:szCs w:val="20"/>
          <w:lang w:val="en-US"/>
        </w:rPr>
        <w:t xml:space="preserve"> thus vital for guaranteeing their continuity as a social group. In this regard, the Institute itself developed the document </w:t>
      </w:r>
      <w:r w:rsidR="00DC5772" w:rsidRPr="00CC562A">
        <w:rPr>
          <w:b w:val="0"/>
          <w:sz w:val="20"/>
          <w:lang w:val="en-US"/>
        </w:rPr>
        <w:t>“</w:t>
      </w:r>
      <w:r w:rsidR="0053433A" w:rsidRPr="00CC562A">
        <w:rPr>
          <w:b w:val="0"/>
          <w:sz w:val="20"/>
          <w:lang w:val="en-US"/>
        </w:rPr>
        <w:t>Right to Free, Prior, and Informed Consultation of the Indigenous Peoples</w:t>
      </w:r>
      <w:r w:rsidR="001F4003" w:rsidRPr="00CC562A">
        <w:rPr>
          <w:b w:val="0"/>
          <w:sz w:val="20"/>
          <w:lang w:val="en-US"/>
        </w:rPr>
        <w:t>,</w:t>
      </w:r>
      <w:r w:rsidR="00DC5772" w:rsidRPr="00CC562A">
        <w:rPr>
          <w:b w:val="0"/>
          <w:sz w:val="20"/>
          <w:lang w:val="en-US"/>
        </w:rPr>
        <w:t xml:space="preserve"> </w:t>
      </w:r>
      <w:r w:rsidR="6CC0C439" w:rsidRPr="00CC562A">
        <w:rPr>
          <w:rFonts w:eastAsia="Cambria" w:cs="Cambria"/>
          <w:b w:val="0"/>
          <w:bCs w:val="0"/>
          <w:sz w:val="20"/>
          <w:szCs w:val="20"/>
          <w:lang w:val="en-US"/>
        </w:rPr>
        <w:t>Bases, Princ</w:t>
      </w:r>
      <w:r w:rsidR="00E8678F" w:rsidRPr="00CC562A">
        <w:rPr>
          <w:rFonts w:eastAsia="Cambria" w:cs="Cambria"/>
          <w:b w:val="0"/>
          <w:bCs w:val="0"/>
          <w:sz w:val="20"/>
          <w:szCs w:val="20"/>
          <w:lang w:val="en-US"/>
        </w:rPr>
        <w:t>i</w:t>
      </w:r>
      <w:r w:rsidR="6CC0C439" w:rsidRPr="00CC562A">
        <w:rPr>
          <w:rFonts w:eastAsia="Cambria" w:cs="Cambria"/>
          <w:b w:val="0"/>
          <w:bCs w:val="0"/>
          <w:sz w:val="20"/>
          <w:szCs w:val="20"/>
          <w:lang w:val="en-US"/>
        </w:rPr>
        <w:t>p</w:t>
      </w:r>
      <w:r w:rsidR="00E8678F" w:rsidRPr="00CC562A">
        <w:rPr>
          <w:rFonts w:eastAsia="Cambria" w:cs="Cambria"/>
          <w:b w:val="0"/>
          <w:bCs w:val="0"/>
          <w:sz w:val="20"/>
          <w:szCs w:val="20"/>
          <w:lang w:val="en-US"/>
        </w:rPr>
        <w:t xml:space="preserve">les, and Methodology for Implementation by the Federal Civil Service,” as a framework document </w:t>
      </w:r>
      <w:proofErr w:type="spellStart"/>
      <w:r w:rsidR="00E8678F" w:rsidRPr="00CC562A">
        <w:rPr>
          <w:rFonts w:eastAsia="Cambria" w:cs="Cambria"/>
          <w:b w:val="0"/>
          <w:bCs w:val="0"/>
          <w:sz w:val="20"/>
          <w:szCs w:val="20"/>
          <w:lang w:val="en-US"/>
        </w:rPr>
        <w:t>i</w:t>
      </w:r>
      <w:proofErr w:type="spellEnd"/>
      <w:r w:rsidR="00E8678F" w:rsidRPr="00CC562A">
        <w:rPr>
          <w:rFonts w:eastAsia="Cambria" w:cs="Cambria"/>
          <w:b w:val="0"/>
          <w:bCs w:val="0"/>
          <w:sz w:val="20"/>
          <w:szCs w:val="20"/>
          <w:lang w:val="en-US"/>
        </w:rPr>
        <w:t xml:space="preserve"> to describe and </w:t>
      </w:r>
      <w:r w:rsidR="00D77397" w:rsidRPr="00CC562A">
        <w:rPr>
          <w:rFonts w:eastAsia="Cambria" w:cs="Cambria"/>
          <w:b w:val="0"/>
          <w:bCs w:val="0"/>
          <w:sz w:val="20"/>
          <w:szCs w:val="20"/>
          <w:lang w:val="en-US"/>
        </w:rPr>
        <w:t>analyze the</w:t>
      </w:r>
      <w:r w:rsidR="00E8678F" w:rsidRPr="00CC562A">
        <w:rPr>
          <w:rFonts w:eastAsia="Cambria" w:cs="Cambria"/>
          <w:b w:val="0"/>
          <w:bCs w:val="0"/>
          <w:sz w:val="20"/>
          <w:szCs w:val="20"/>
          <w:lang w:val="en-US"/>
        </w:rPr>
        <w:t xml:space="preserve"> foundation, meaning, and scope of the right to free, prior, and informed consultation.</w:t>
      </w:r>
      <w:r w:rsidR="70AA99DD"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3619DA69"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3619DA69" w:rsidRPr="00CC562A">
        <w:rPr>
          <w:rFonts w:eastAsia="Cambria" w:cs="Cambria"/>
          <w:b w:val="0"/>
          <w:bCs w:val="0"/>
          <w:sz w:val="20"/>
          <w:szCs w:val="20"/>
          <w:lang w:val="en-US"/>
        </w:rPr>
        <w:t xml:space="preserve"> </w:t>
      </w:r>
      <w:r w:rsidR="00E8678F" w:rsidRPr="00CC562A">
        <w:rPr>
          <w:rFonts w:eastAsia="Cambria" w:cs="Cambria"/>
          <w:b w:val="0"/>
          <w:bCs w:val="0"/>
          <w:sz w:val="20"/>
          <w:szCs w:val="20"/>
          <w:lang w:val="en-US"/>
        </w:rPr>
        <w:t xml:space="preserve">the </w:t>
      </w:r>
      <w:proofErr w:type="gramStart"/>
      <w:r w:rsidR="00E8678F" w:rsidRPr="00CC562A">
        <w:rPr>
          <w:rFonts w:eastAsia="Cambria" w:cs="Cambria"/>
          <w:b w:val="0"/>
          <w:bCs w:val="0"/>
          <w:sz w:val="20"/>
          <w:szCs w:val="20"/>
          <w:lang w:val="en-US"/>
        </w:rPr>
        <w:t>aforementioned document</w:t>
      </w:r>
      <w:proofErr w:type="gramEnd"/>
      <w:r w:rsidR="00E8678F" w:rsidRPr="00CC562A">
        <w:rPr>
          <w:rFonts w:eastAsia="Cambria" w:cs="Cambria"/>
          <w:b w:val="0"/>
          <w:bCs w:val="0"/>
          <w:sz w:val="20"/>
          <w:szCs w:val="20"/>
          <w:lang w:val="en-US"/>
        </w:rPr>
        <w:t xml:space="preserve"> is used to design the specific protocols for the consultations that have been implemented in Mexico.</w:t>
      </w:r>
      <w:r w:rsidR="00946551" w:rsidRPr="00CC562A">
        <w:rPr>
          <w:b w:val="0"/>
          <w:bCs w:val="0"/>
          <w:sz w:val="20"/>
          <w:szCs w:val="20"/>
          <w:vertAlign w:val="superscript"/>
          <w:lang w:val="en-US"/>
        </w:rPr>
        <w:footnoteReference w:id="231"/>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p>
    <w:p w14:paraId="0BC91953" w14:textId="029D29F7" w:rsidR="00DC5772" w:rsidRPr="00CC562A" w:rsidRDefault="00DC5772" w:rsidP="00DC5772">
      <w:pPr>
        <w:pStyle w:val="Heading3"/>
        <w:spacing w:before="240" w:after="200" w:line="240" w:lineRule="auto"/>
        <w:ind w:left="0" w:firstLine="720"/>
        <w:rPr>
          <w:rFonts w:eastAsia="Cambria" w:cs="Cambria"/>
          <w:b w:val="0"/>
          <w:bCs w:val="0"/>
          <w:sz w:val="20"/>
          <w:szCs w:val="20"/>
          <w:lang w:val="en-US"/>
        </w:rPr>
      </w:pPr>
      <w:r w:rsidRPr="00CC562A">
        <w:rPr>
          <w:b w:val="0"/>
          <w:sz w:val="20"/>
          <w:lang w:val="en-US"/>
        </w:rPr>
        <w:t>I</w:t>
      </w:r>
      <w:r w:rsidR="0053433A" w:rsidRPr="00CC562A">
        <w:rPr>
          <w:b w:val="0"/>
          <w:sz w:val="20"/>
          <w:lang w:val="en-US"/>
        </w:rPr>
        <w:t>n addition, the State reported that</w:t>
      </w:r>
      <w:r w:rsidR="001F4003" w:rsidRPr="00CC562A">
        <w:rPr>
          <w:b w:val="0"/>
          <w:sz w:val="20"/>
          <w:lang w:val="en-US"/>
        </w:rPr>
        <w:t>,</w:t>
      </w:r>
      <w:r w:rsidRPr="00CC562A">
        <w:rPr>
          <w:b w:val="0"/>
          <w:sz w:val="20"/>
          <w:lang w:val="en-US"/>
        </w:rPr>
        <w:t xml:space="preserve"> </w:t>
      </w:r>
      <w:r w:rsidR="0053433A" w:rsidRPr="00CC562A">
        <w:rPr>
          <w:rFonts w:eastAsia="Cambria" w:cs="Cambria"/>
          <w:b w:val="0"/>
          <w:bCs w:val="0"/>
          <w:sz w:val="20"/>
          <w:szCs w:val="20"/>
          <w:lang w:val="en-US"/>
        </w:rPr>
        <w:t xml:space="preserve">in the context of the </w:t>
      </w:r>
      <w:r w:rsidRPr="00CC562A">
        <w:rPr>
          <w:rFonts w:eastAsia="Cambria" w:cs="Cambria"/>
          <w:b w:val="0"/>
          <w:bCs w:val="0"/>
          <w:sz w:val="20"/>
          <w:szCs w:val="20"/>
          <w:lang w:val="en-US"/>
        </w:rPr>
        <w:t>Escazú</w:t>
      </w:r>
      <w:r w:rsidR="0053433A" w:rsidRPr="00CC562A">
        <w:rPr>
          <w:rFonts w:eastAsia="Cambria" w:cs="Cambria"/>
          <w:b w:val="0"/>
          <w:bCs w:val="0"/>
          <w:sz w:val="20"/>
          <w:szCs w:val="20"/>
          <w:lang w:val="en-US"/>
        </w:rPr>
        <w:t xml:space="preserve"> Agreement, the </w:t>
      </w:r>
      <w:r w:rsidRPr="00CC562A">
        <w:rPr>
          <w:rFonts w:eastAsia="Cambria" w:cs="Cambria"/>
          <w:b w:val="0"/>
          <w:bCs w:val="0"/>
          <w:sz w:val="20"/>
          <w:szCs w:val="20"/>
          <w:lang w:val="en-US"/>
        </w:rPr>
        <w:t>INAI l</w:t>
      </w:r>
      <w:r w:rsidR="0053433A" w:rsidRPr="00CC562A">
        <w:rPr>
          <w:rFonts w:eastAsia="Cambria" w:cs="Cambria"/>
          <w:b w:val="0"/>
          <w:bCs w:val="0"/>
          <w:sz w:val="20"/>
          <w:szCs w:val="20"/>
          <w:lang w:val="en-US"/>
        </w:rPr>
        <w:t>eads the subgroup on access to information in order to secure its correct implementation at the national level, through the</w:t>
      </w:r>
      <w:r w:rsidRPr="00CC562A">
        <w:rPr>
          <w:rFonts w:eastAsia="Cambria" w:cs="Cambria"/>
          <w:b w:val="0"/>
          <w:bCs w:val="0"/>
          <w:sz w:val="20"/>
          <w:szCs w:val="20"/>
          <w:lang w:val="en-US"/>
        </w:rPr>
        <w:t xml:space="preserve"> </w:t>
      </w:r>
      <w:r w:rsidR="0053433A" w:rsidRPr="00CC562A">
        <w:rPr>
          <w:rFonts w:eastAsia="Cambria" w:cs="Cambria"/>
          <w:b w:val="0"/>
          <w:bCs w:val="0"/>
          <w:sz w:val="20"/>
          <w:szCs w:val="20"/>
          <w:lang w:val="en-US"/>
        </w:rPr>
        <w:t xml:space="preserve">achievement of </w:t>
      </w:r>
      <w:r w:rsidR="001F4003" w:rsidRPr="00CC562A">
        <w:rPr>
          <w:rFonts w:eastAsia="Cambria" w:cs="Cambria"/>
          <w:b w:val="0"/>
          <w:bCs w:val="0"/>
          <w:sz w:val="20"/>
          <w:szCs w:val="20"/>
          <w:lang w:val="en-US"/>
        </w:rPr>
        <w:t>policies</w:t>
      </w:r>
      <w:r w:rsidR="0053433A" w:rsidRPr="00CC562A">
        <w:rPr>
          <w:rFonts w:eastAsia="Cambria" w:cs="Cambria"/>
          <w:b w:val="0"/>
          <w:bCs w:val="0"/>
          <w:sz w:val="20"/>
          <w:szCs w:val="20"/>
          <w:lang w:val="en-US"/>
        </w:rPr>
        <w:t>, objectives, and goals defined by each division, as well as to perform a diagnostic within the agencies to identify areas of opportunity on environmental matters and thus to guarantee the enjoyment and exercise of the right to access to information on the environment. In addition, the State reported some INAI initiatives to disseminate the content of the</w:t>
      </w:r>
      <w:r w:rsidRPr="00CC562A">
        <w:rPr>
          <w:rFonts w:eastAsia="Cambria" w:cs="Cambria"/>
          <w:b w:val="0"/>
          <w:bCs w:val="0"/>
          <w:sz w:val="20"/>
          <w:szCs w:val="20"/>
          <w:lang w:val="en-US"/>
        </w:rPr>
        <w:t xml:space="preserve"> Escazú</w:t>
      </w:r>
      <w:r w:rsidR="0053433A" w:rsidRPr="00CC562A">
        <w:rPr>
          <w:rFonts w:eastAsia="Cambria" w:cs="Cambria"/>
          <w:b w:val="0"/>
          <w:bCs w:val="0"/>
          <w:sz w:val="20"/>
          <w:szCs w:val="20"/>
          <w:lang w:val="en-US"/>
        </w:rPr>
        <w:t xml:space="preserve"> Agreement.</w:t>
      </w:r>
      <w:r w:rsidRPr="00CC562A">
        <w:rPr>
          <w:rStyle w:val="FootnoteReference"/>
          <w:rFonts w:eastAsia="Cambria" w:cs="Cambria"/>
          <w:b w:val="0"/>
          <w:bCs w:val="0"/>
          <w:sz w:val="20"/>
          <w:szCs w:val="20"/>
          <w:lang w:val="en-US"/>
        </w:rPr>
        <w:footnoteReference w:id="232"/>
      </w:r>
    </w:p>
    <w:p w14:paraId="3E8A93C2" w14:textId="77777777" w:rsidR="00DB71FA" w:rsidRPr="00CC562A" w:rsidRDefault="00DB71FA" w:rsidP="00DC5772">
      <w:pPr>
        <w:pStyle w:val="Heading3"/>
        <w:numPr>
          <w:ilvl w:val="0"/>
          <w:numId w:val="0"/>
        </w:numPr>
        <w:spacing w:before="240" w:after="200" w:line="240" w:lineRule="auto"/>
        <w:ind w:left="720" w:hanging="360"/>
        <w:rPr>
          <w:rFonts w:eastAsia="Cambria" w:cs="Cambria"/>
          <w:b w:val="0"/>
          <w:bCs w:val="0"/>
          <w:sz w:val="20"/>
          <w:szCs w:val="20"/>
          <w:lang w:val="en-US"/>
        </w:rPr>
      </w:pPr>
    </w:p>
    <w:p w14:paraId="08D38986" w14:textId="2A6ED793" w:rsidR="001C736F" w:rsidRPr="00CC562A" w:rsidRDefault="00E8678F"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On this subject, civil society organizations indicated that, in relation to the subject of environmental defense, right to consultation, and access to information, in the state of</w:t>
      </w:r>
      <w:r w:rsidR="7566AC7C" w:rsidRPr="00CC562A">
        <w:rPr>
          <w:rFonts w:eastAsia="Cambria" w:cs="Cambria"/>
          <w:b w:val="0"/>
          <w:bCs w:val="0"/>
          <w:sz w:val="20"/>
          <w:szCs w:val="20"/>
          <w:lang w:val="en-US"/>
        </w:rPr>
        <w:t xml:space="preserve"> </w:t>
      </w:r>
      <w:proofErr w:type="spellStart"/>
      <w:r w:rsidR="7566AC7C" w:rsidRPr="00CC562A">
        <w:rPr>
          <w:rFonts w:eastAsia="Cambria" w:cs="Cambria"/>
          <w:b w:val="0"/>
          <w:bCs w:val="0"/>
          <w:sz w:val="20"/>
          <w:szCs w:val="20"/>
          <w:lang w:val="en-US"/>
        </w:rPr>
        <w:t>Yucatán</w:t>
      </w:r>
      <w:proofErr w:type="spellEnd"/>
      <w:r w:rsidR="7566AC7C"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there is concern regarding the situation faced by the Maya indigenous communities </w:t>
      </w:r>
      <w:r w:rsidR="0091327A" w:rsidRPr="00CC562A">
        <w:rPr>
          <w:rFonts w:eastAsia="Cambria" w:cs="Cambria"/>
          <w:b w:val="0"/>
          <w:bCs w:val="0"/>
          <w:sz w:val="20"/>
          <w:szCs w:val="20"/>
          <w:lang w:val="en-US"/>
        </w:rPr>
        <w:t xml:space="preserve">when seeking </w:t>
      </w:r>
      <w:r w:rsidRPr="00CC562A">
        <w:rPr>
          <w:rFonts w:eastAsia="Cambria" w:cs="Cambria"/>
          <w:b w:val="0"/>
          <w:bCs w:val="0"/>
          <w:sz w:val="20"/>
          <w:szCs w:val="20"/>
          <w:lang w:val="en-US"/>
        </w:rPr>
        <w:t xml:space="preserve">to access culturally appropriate information, in their language and on a timely basis. An example is megaprojects like the mega pig farms and the federal government’s </w:t>
      </w:r>
      <w:r w:rsidR="7566AC7C" w:rsidRPr="00CC562A">
        <w:rPr>
          <w:rFonts w:eastAsia="Cambria" w:cs="Cambria"/>
          <w:b w:val="0"/>
          <w:bCs w:val="0"/>
          <w:sz w:val="20"/>
          <w:szCs w:val="20"/>
          <w:lang w:val="en-US"/>
        </w:rPr>
        <w:t>“</w:t>
      </w:r>
      <w:proofErr w:type="spellStart"/>
      <w:r w:rsidR="7566AC7C" w:rsidRPr="00CC562A">
        <w:rPr>
          <w:rFonts w:eastAsia="Cambria" w:cs="Cambria"/>
          <w:b w:val="0"/>
          <w:bCs w:val="0"/>
          <w:sz w:val="20"/>
          <w:szCs w:val="20"/>
          <w:lang w:val="en-US"/>
        </w:rPr>
        <w:t>Tren</w:t>
      </w:r>
      <w:proofErr w:type="spellEnd"/>
      <w:r w:rsidR="7566AC7C" w:rsidRPr="00CC562A">
        <w:rPr>
          <w:rFonts w:eastAsia="Cambria" w:cs="Cambria"/>
          <w:b w:val="0"/>
          <w:bCs w:val="0"/>
          <w:sz w:val="20"/>
          <w:szCs w:val="20"/>
          <w:lang w:val="en-US"/>
        </w:rPr>
        <w:t xml:space="preserve"> Maya”</w:t>
      </w:r>
      <w:r w:rsidRPr="00CC562A">
        <w:rPr>
          <w:rFonts w:eastAsia="Cambria" w:cs="Cambria"/>
          <w:b w:val="0"/>
          <w:bCs w:val="0"/>
          <w:sz w:val="20"/>
          <w:szCs w:val="20"/>
          <w:lang w:val="en-US"/>
        </w:rPr>
        <w:t xml:space="preserve"> project. Under the terms of Article 19, it reported that </w:t>
      </w:r>
      <w:r w:rsidRPr="00CC562A">
        <w:rPr>
          <w:rFonts w:eastAsia="Cambria" w:cs="Cambria"/>
          <w:b w:val="0"/>
          <w:bCs w:val="0"/>
          <w:sz w:val="20"/>
          <w:szCs w:val="20"/>
          <w:lang w:val="en-US"/>
        </w:rPr>
        <w:lastRenderedPageBreak/>
        <w:t>omission</w:t>
      </w:r>
      <w:r w:rsidR="0091327A" w:rsidRPr="00CC562A">
        <w:rPr>
          <w:rFonts w:eastAsia="Cambria" w:cs="Cambria"/>
          <w:b w:val="0"/>
          <w:bCs w:val="0"/>
          <w:sz w:val="20"/>
          <w:szCs w:val="20"/>
          <w:lang w:val="en-US"/>
        </w:rPr>
        <w:t>s</w:t>
      </w:r>
      <w:r w:rsidRPr="00CC562A">
        <w:rPr>
          <w:rFonts w:eastAsia="Cambria" w:cs="Cambria"/>
          <w:b w:val="0"/>
          <w:bCs w:val="0"/>
          <w:sz w:val="20"/>
          <w:szCs w:val="20"/>
          <w:lang w:val="en-US"/>
        </w:rPr>
        <w:t xml:space="preserve"> and human rights violations against indigenous and rural communities have been </w:t>
      </w:r>
      <w:r w:rsidR="00E45331" w:rsidRPr="00CC562A">
        <w:rPr>
          <w:rFonts w:eastAsia="Cambria" w:cs="Cambria"/>
          <w:b w:val="0"/>
          <w:bCs w:val="0"/>
          <w:sz w:val="20"/>
          <w:szCs w:val="20"/>
          <w:lang w:val="en-US"/>
        </w:rPr>
        <w:t>documented with respect to the right of access to environmental information in the case of the installation of the pig farms in the entity. According to the Secretariat of Culture of</w:t>
      </w:r>
      <w:r w:rsidR="7566AC7C" w:rsidRPr="00CC562A">
        <w:rPr>
          <w:rFonts w:eastAsia="Cambria" w:cs="Cambria"/>
          <w:b w:val="0"/>
          <w:bCs w:val="0"/>
          <w:sz w:val="20"/>
          <w:szCs w:val="20"/>
          <w:lang w:val="en-US"/>
        </w:rPr>
        <w:t xml:space="preserve"> </w:t>
      </w:r>
      <w:proofErr w:type="spellStart"/>
      <w:r w:rsidR="7566AC7C" w:rsidRPr="00CC562A">
        <w:rPr>
          <w:rFonts w:eastAsia="Cambria" w:cs="Cambria"/>
          <w:b w:val="0"/>
          <w:bCs w:val="0"/>
          <w:sz w:val="20"/>
          <w:szCs w:val="20"/>
          <w:lang w:val="en-US"/>
        </w:rPr>
        <w:t>Yucatán</w:t>
      </w:r>
      <w:proofErr w:type="spellEnd"/>
      <w:r w:rsidR="7566AC7C" w:rsidRPr="00CC562A">
        <w:rPr>
          <w:rFonts w:eastAsia="Cambria" w:cs="Cambria"/>
          <w:b w:val="0"/>
          <w:bCs w:val="0"/>
          <w:sz w:val="20"/>
          <w:szCs w:val="20"/>
          <w:lang w:val="en-US"/>
        </w:rPr>
        <w:t xml:space="preserve">, </w:t>
      </w:r>
      <w:r w:rsidR="00E45331" w:rsidRPr="00CC562A">
        <w:rPr>
          <w:rFonts w:eastAsia="Cambria" w:cs="Cambria"/>
          <w:b w:val="0"/>
          <w:bCs w:val="0"/>
          <w:sz w:val="20"/>
          <w:szCs w:val="20"/>
          <w:lang w:val="en-US"/>
        </w:rPr>
        <w:t xml:space="preserve">there are more than </w:t>
      </w:r>
      <w:r w:rsidR="7566AC7C" w:rsidRPr="00CC562A">
        <w:rPr>
          <w:rFonts w:eastAsia="Cambria" w:cs="Cambria"/>
          <w:b w:val="0"/>
          <w:bCs w:val="0"/>
          <w:sz w:val="20"/>
          <w:szCs w:val="20"/>
          <w:lang w:val="en-US"/>
        </w:rPr>
        <w:t xml:space="preserve">400 </w:t>
      </w:r>
      <w:r w:rsidR="00E45331" w:rsidRPr="00CC562A">
        <w:rPr>
          <w:rFonts w:eastAsia="Cambria" w:cs="Cambria"/>
          <w:b w:val="0"/>
          <w:bCs w:val="0"/>
          <w:sz w:val="20"/>
          <w:szCs w:val="20"/>
          <w:lang w:val="en-US"/>
        </w:rPr>
        <w:t>pig farms in the region and more than</w:t>
      </w:r>
      <w:r w:rsidR="7566AC7C" w:rsidRPr="00CC562A">
        <w:rPr>
          <w:rFonts w:eastAsia="Cambria" w:cs="Cambria"/>
          <w:b w:val="0"/>
          <w:bCs w:val="0"/>
          <w:sz w:val="20"/>
          <w:szCs w:val="20"/>
          <w:lang w:val="en-US"/>
        </w:rPr>
        <w:t xml:space="preserve"> 90</w:t>
      </w:r>
      <w:r w:rsidR="65819663" w:rsidRPr="00CC562A">
        <w:rPr>
          <w:rFonts w:eastAsia="Cambria" w:cs="Cambria"/>
          <w:b w:val="0"/>
          <w:bCs w:val="0"/>
          <w:sz w:val="20"/>
          <w:szCs w:val="20"/>
          <w:lang w:val="en-US"/>
        </w:rPr>
        <w:t>%</w:t>
      </w:r>
      <w:r w:rsidR="7566AC7C" w:rsidRPr="00CC562A">
        <w:rPr>
          <w:rFonts w:eastAsia="Cambria" w:cs="Cambria"/>
          <w:b w:val="0"/>
          <w:bCs w:val="0"/>
          <w:sz w:val="20"/>
          <w:szCs w:val="20"/>
          <w:lang w:val="en-US"/>
        </w:rPr>
        <w:t xml:space="preserve"> </w:t>
      </w:r>
      <w:r w:rsidR="00E45331" w:rsidRPr="00CC562A">
        <w:rPr>
          <w:rFonts w:eastAsia="Cambria" w:cs="Cambria"/>
          <w:b w:val="0"/>
          <w:bCs w:val="0"/>
          <w:sz w:val="20"/>
          <w:szCs w:val="20"/>
          <w:lang w:val="en-US"/>
        </w:rPr>
        <w:t>did not have an Environmental Impact Statement. They emphasized that international standards were not respected in the installation of the pig farming companies, as in most cases the farms began to operate without a prior, free, informed, and good faith consultation process.</w:t>
      </w:r>
      <w:r w:rsidR="007301DA" w:rsidRPr="00CC562A">
        <w:rPr>
          <w:b w:val="0"/>
          <w:bCs w:val="0"/>
          <w:sz w:val="20"/>
          <w:szCs w:val="20"/>
          <w:vertAlign w:val="superscript"/>
          <w:lang w:val="en-US"/>
        </w:rPr>
        <w:footnoteReference w:id="233"/>
      </w:r>
      <w:r w:rsidR="7566AC7C" w:rsidRPr="00CC562A">
        <w:rPr>
          <w:rFonts w:eastAsia="Cambria" w:cs="Cambria"/>
          <w:b w:val="0"/>
          <w:bCs w:val="0"/>
          <w:sz w:val="20"/>
          <w:szCs w:val="20"/>
          <w:vertAlign w:val="superscript"/>
          <w:lang w:val="en-US"/>
        </w:rPr>
        <w:t>.</w:t>
      </w:r>
    </w:p>
    <w:p w14:paraId="46B352FD"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3CC001FE" w14:textId="762B7044" w:rsidR="00204CAA" w:rsidRPr="00CC562A" w:rsidRDefault="00E45331"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In this regard, the</w:t>
      </w:r>
      <w:r w:rsidR="00276638" w:rsidRPr="00CC562A">
        <w:rPr>
          <w:rFonts w:eastAsia="Cambria" w:cs="Cambria"/>
          <w:b w:val="0"/>
          <w:bCs w:val="0"/>
          <w:sz w:val="20"/>
          <w:szCs w:val="20"/>
          <w:lang w:val="en-US"/>
        </w:rPr>
        <w:t xml:space="preserve"> IACHR</w:t>
      </w:r>
      <w:r w:rsidR="0232E90A"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notes that the </w:t>
      </w:r>
      <w:r w:rsidR="0232E90A" w:rsidRPr="00CC562A">
        <w:rPr>
          <w:rFonts w:eastAsia="Cambria" w:cs="Cambria"/>
          <w:b w:val="0"/>
          <w:bCs w:val="0"/>
          <w:sz w:val="20"/>
          <w:szCs w:val="20"/>
          <w:lang w:val="en-US"/>
        </w:rPr>
        <w:t xml:space="preserve">INPI </w:t>
      </w:r>
      <w:r w:rsidRPr="00CC562A">
        <w:rPr>
          <w:rFonts w:eastAsia="Cambria" w:cs="Cambria"/>
          <w:b w:val="0"/>
          <w:bCs w:val="0"/>
          <w:sz w:val="20"/>
          <w:szCs w:val="20"/>
          <w:lang w:val="en-US"/>
        </w:rPr>
        <w:t xml:space="preserve">developed the document “Right to Free, Prior, and Informed Consultation of the Indigenous Peoples. Bases, Principles, and Methodology for its Implementation by the Federal Civil Service” as a framework document </w:t>
      </w:r>
      <w:r w:rsidR="0091327A" w:rsidRPr="00CC562A">
        <w:rPr>
          <w:rFonts w:eastAsia="Cambria" w:cs="Cambria"/>
          <w:b w:val="0"/>
          <w:bCs w:val="0"/>
          <w:sz w:val="20"/>
          <w:szCs w:val="20"/>
          <w:lang w:val="en-US"/>
        </w:rPr>
        <w:t>to describe and analyze</w:t>
      </w:r>
      <w:r w:rsidRPr="00CC562A">
        <w:rPr>
          <w:rFonts w:eastAsia="Cambria" w:cs="Cambria"/>
          <w:b w:val="0"/>
          <w:bCs w:val="0"/>
          <w:sz w:val="20"/>
          <w:szCs w:val="20"/>
          <w:lang w:val="en-US"/>
        </w:rPr>
        <w:t xml:space="preserve"> the foundation, meaning, and scope of the right to free, prior, and informed consultation. </w:t>
      </w:r>
      <w:r w:rsidR="00752FED" w:rsidRPr="00CC562A">
        <w:rPr>
          <w:rFonts w:eastAsia="Cambria" w:cs="Cambria"/>
          <w:b w:val="0"/>
          <w:bCs w:val="0"/>
          <w:sz w:val="20"/>
          <w:szCs w:val="20"/>
          <w:lang w:val="en-US"/>
        </w:rPr>
        <w:t>The State</w:t>
      </w:r>
      <w:r w:rsidR="0232E90A"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0232E90A" w:rsidRPr="00CC562A">
        <w:rPr>
          <w:rFonts w:eastAsia="Cambria" w:cs="Cambria"/>
          <w:b w:val="0"/>
          <w:bCs w:val="0"/>
          <w:sz w:val="20"/>
          <w:szCs w:val="20"/>
          <w:lang w:val="en-US"/>
        </w:rPr>
        <w:t xml:space="preserve"> </w:t>
      </w:r>
      <w:r w:rsidRPr="00CC562A">
        <w:rPr>
          <w:rFonts w:eastAsia="Cambria" w:cs="Cambria"/>
          <w:b w:val="0"/>
          <w:bCs w:val="0"/>
          <w:sz w:val="20"/>
          <w:szCs w:val="20"/>
          <w:lang w:val="en-US"/>
        </w:rPr>
        <w:t>the afore-mentioned document is used to design the specific protocols of the consultations that have been implemented in Mexico.</w:t>
      </w:r>
      <w:r w:rsidR="00204CAA" w:rsidRPr="00CC562A">
        <w:rPr>
          <w:b w:val="0"/>
          <w:bCs w:val="0"/>
          <w:sz w:val="20"/>
          <w:szCs w:val="20"/>
          <w:vertAlign w:val="superscript"/>
          <w:lang w:val="en-US"/>
        </w:rPr>
        <w:footnoteReference w:id="234"/>
      </w:r>
    </w:p>
    <w:p w14:paraId="25654BA0" w14:textId="694CC225"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0CB70790" w14:textId="7572CA48" w:rsidR="00A01222" w:rsidRDefault="00276638" w:rsidP="00A01222">
      <w:pPr>
        <w:pStyle w:val="Heading3"/>
        <w:spacing w:before="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IACHR</w:t>
      </w:r>
      <w:r w:rsidR="4BFF7D33" w:rsidRPr="00CC562A">
        <w:rPr>
          <w:rFonts w:eastAsia="Cambria" w:cs="Cambria"/>
          <w:b w:val="0"/>
          <w:bCs w:val="0"/>
          <w:sz w:val="20"/>
          <w:szCs w:val="20"/>
          <w:lang w:val="en-US"/>
        </w:rPr>
        <w:t xml:space="preserve"> </w:t>
      </w:r>
      <w:r w:rsidR="00AA1C6D" w:rsidRPr="00CC562A">
        <w:rPr>
          <w:rFonts w:eastAsia="Cambria" w:cs="Cambria"/>
          <w:b w:val="0"/>
          <w:bCs w:val="0"/>
          <w:sz w:val="20"/>
          <w:szCs w:val="20"/>
          <w:lang w:val="en-US"/>
        </w:rPr>
        <w:t xml:space="preserve">notes the failure to report on the Senate’s approval of the General Law on Consultation of the Indigenous and Afro-Mexican Peoples and Communities, the purpose of which is to establish the principles, standards, institutions, and procedures on prior consultation. Emphasis should be placed on the importance of having a legal or constitutional normative framework that makes it possible to guarantee compliance with international standards </w:t>
      </w:r>
      <w:proofErr w:type="gramStart"/>
      <w:r w:rsidR="00AA1C6D" w:rsidRPr="00CC562A">
        <w:rPr>
          <w:rFonts w:eastAsia="Cambria" w:cs="Cambria"/>
          <w:b w:val="0"/>
          <w:bCs w:val="0"/>
          <w:sz w:val="20"/>
          <w:szCs w:val="20"/>
          <w:lang w:val="en-US"/>
        </w:rPr>
        <w:t>on the subject of free</w:t>
      </w:r>
      <w:proofErr w:type="gramEnd"/>
      <w:r w:rsidR="00AA1C6D" w:rsidRPr="00CC562A">
        <w:rPr>
          <w:rFonts w:eastAsia="Cambria" w:cs="Cambria"/>
          <w:b w:val="0"/>
          <w:bCs w:val="0"/>
          <w:sz w:val="20"/>
          <w:szCs w:val="20"/>
          <w:lang w:val="en-US"/>
        </w:rPr>
        <w:t>, prior, and informed consultations.</w:t>
      </w:r>
    </w:p>
    <w:p w14:paraId="27E94C91" w14:textId="77777777" w:rsidR="00A01222" w:rsidRPr="00A01222" w:rsidRDefault="00A01222" w:rsidP="00A01222">
      <w:pPr>
        <w:spacing w:after="0"/>
        <w:rPr>
          <w:lang w:val="en-US"/>
        </w:rPr>
      </w:pPr>
    </w:p>
    <w:p w14:paraId="3714C302" w14:textId="636A8EE5" w:rsidR="00DB71FA" w:rsidRPr="00A01222" w:rsidRDefault="00AA1C6D" w:rsidP="00A01222">
      <w:pPr>
        <w:pStyle w:val="Heading3"/>
        <w:spacing w:before="0" w:after="0" w:line="240" w:lineRule="auto"/>
        <w:ind w:left="0" w:firstLine="720"/>
        <w:rPr>
          <w:rFonts w:eastAsia="Cambria" w:cs="Cambria"/>
          <w:b w:val="0"/>
          <w:bCs w:val="0"/>
          <w:sz w:val="20"/>
          <w:szCs w:val="20"/>
          <w:lang w:val="en-US"/>
        </w:rPr>
      </w:pPr>
      <w:r w:rsidRPr="00A01222">
        <w:rPr>
          <w:rFonts w:eastAsia="Cambria" w:cs="Cambria"/>
          <w:b w:val="0"/>
          <w:bCs w:val="0"/>
          <w:sz w:val="20"/>
          <w:szCs w:val="20"/>
          <w:lang w:val="en-US"/>
        </w:rPr>
        <w:t>In addition, the</w:t>
      </w:r>
      <w:r w:rsidR="00276638" w:rsidRPr="00A01222">
        <w:rPr>
          <w:rFonts w:eastAsia="Cambria" w:cs="Cambria"/>
          <w:b w:val="0"/>
          <w:bCs w:val="0"/>
          <w:sz w:val="20"/>
          <w:szCs w:val="20"/>
          <w:lang w:val="en-US"/>
        </w:rPr>
        <w:t xml:space="preserve"> IACHR</w:t>
      </w:r>
      <w:r w:rsidR="4BFF7D33" w:rsidRPr="00A01222">
        <w:rPr>
          <w:rFonts w:eastAsia="Cambria" w:cs="Cambria"/>
          <w:b w:val="0"/>
          <w:bCs w:val="0"/>
          <w:sz w:val="20"/>
          <w:szCs w:val="20"/>
          <w:lang w:val="en-US"/>
        </w:rPr>
        <w:t xml:space="preserve"> </w:t>
      </w:r>
      <w:r w:rsidRPr="00A01222">
        <w:rPr>
          <w:rFonts w:eastAsia="Cambria" w:cs="Cambria"/>
          <w:b w:val="0"/>
          <w:bCs w:val="0"/>
          <w:sz w:val="20"/>
          <w:szCs w:val="20"/>
          <w:lang w:val="en-US"/>
        </w:rPr>
        <w:t xml:space="preserve">notes that there is evidence that </w:t>
      </w:r>
      <w:r w:rsidR="000D65FB" w:rsidRPr="00A01222">
        <w:rPr>
          <w:rFonts w:eastAsia="Cambria" w:cs="Cambria"/>
          <w:b w:val="0"/>
          <w:bCs w:val="0"/>
          <w:sz w:val="20"/>
          <w:szCs w:val="20"/>
          <w:lang w:val="en-US"/>
        </w:rPr>
        <w:t xml:space="preserve">the institutional conventional control mechanisms with respect to the right to prior consultation at judicial headquarters has yielded results on various occasions. However, there are two infrastructure megaprojects that have been criticized for impacting indigenous territory and </w:t>
      </w:r>
      <w:r w:rsidR="0091327A" w:rsidRPr="00A01222">
        <w:rPr>
          <w:rFonts w:eastAsia="Cambria" w:cs="Cambria"/>
          <w:b w:val="0"/>
          <w:bCs w:val="0"/>
          <w:sz w:val="20"/>
          <w:szCs w:val="20"/>
          <w:lang w:val="en-US"/>
        </w:rPr>
        <w:t xml:space="preserve">for </w:t>
      </w:r>
      <w:r w:rsidR="000D65FB" w:rsidRPr="00A01222">
        <w:rPr>
          <w:rFonts w:eastAsia="Cambria" w:cs="Cambria"/>
          <w:b w:val="0"/>
          <w:bCs w:val="0"/>
          <w:sz w:val="20"/>
          <w:szCs w:val="20"/>
          <w:lang w:val="en-US"/>
        </w:rPr>
        <w:t>deficiencies in their consultation procedures, as has been reported by the</w:t>
      </w:r>
      <w:r w:rsidR="00276638" w:rsidRPr="00A01222">
        <w:rPr>
          <w:rFonts w:eastAsia="Cambria" w:cs="Cambria"/>
          <w:b w:val="0"/>
          <w:bCs w:val="0"/>
          <w:sz w:val="20"/>
          <w:szCs w:val="20"/>
          <w:lang w:val="en-US"/>
        </w:rPr>
        <w:t xml:space="preserve"> IACHR</w:t>
      </w:r>
      <w:r w:rsidR="3FE3069B" w:rsidRPr="00A01222">
        <w:rPr>
          <w:rFonts w:eastAsia="Cambria" w:cs="Cambria"/>
          <w:b w:val="0"/>
          <w:bCs w:val="0"/>
          <w:sz w:val="20"/>
          <w:szCs w:val="20"/>
          <w:lang w:val="en-US"/>
        </w:rPr>
        <w:t xml:space="preserve"> </w:t>
      </w:r>
      <w:r w:rsidR="000D65FB" w:rsidRPr="00A01222">
        <w:rPr>
          <w:rFonts w:eastAsia="Cambria" w:cs="Cambria"/>
          <w:b w:val="0"/>
          <w:bCs w:val="0"/>
          <w:sz w:val="20"/>
          <w:szCs w:val="20"/>
          <w:lang w:val="en-US"/>
        </w:rPr>
        <w:t>in reports from prior years.</w:t>
      </w:r>
      <w:r w:rsidR="65819663" w:rsidRPr="00A01222">
        <w:rPr>
          <w:rFonts w:eastAsia="Cambria" w:cs="Cambria"/>
          <w:b w:val="0"/>
          <w:bCs w:val="0"/>
          <w:sz w:val="20"/>
          <w:szCs w:val="20"/>
          <w:lang w:val="en-US"/>
        </w:rPr>
        <w:t xml:space="preserve"> </w:t>
      </w:r>
      <w:r w:rsidR="00F108AA" w:rsidRPr="00A01222">
        <w:rPr>
          <w:rFonts w:eastAsia="Cambria" w:cs="Cambria"/>
          <w:b w:val="0"/>
          <w:bCs w:val="0"/>
          <w:sz w:val="20"/>
          <w:szCs w:val="20"/>
          <w:lang w:val="en-US"/>
        </w:rPr>
        <w:t>In addition,</w:t>
      </w:r>
      <w:r w:rsidR="4BFF7D33" w:rsidRPr="00A01222">
        <w:rPr>
          <w:rFonts w:eastAsia="Cambria" w:cs="Cambria"/>
          <w:b w:val="0"/>
          <w:bCs w:val="0"/>
          <w:sz w:val="20"/>
          <w:szCs w:val="20"/>
          <w:lang w:val="en-US"/>
        </w:rPr>
        <w:t xml:space="preserve"> </w:t>
      </w:r>
      <w:r w:rsidR="00276638" w:rsidRPr="00A01222">
        <w:rPr>
          <w:rFonts w:eastAsia="Cambria" w:cs="Cambria"/>
          <w:b w:val="0"/>
          <w:bCs w:val="0"/>
          <w:sz w:val="20"/>
          <w:szCs w:val="20"/>
          <w:lang w:val="en-US"/>
        </w:rPr>
        <w:t>the IACHR</w:t>
      </w:r>
      <w:r w:rsidR="4BFF7D33" w:rsidRPr="00A01222">
        <w:rPr>
          <w:rFonts w:eastAsia="Cambria" w:cs="Cambria"/>
          <w:b w:val="0"/>
          <w:bCs w:val="0"/>
          <w:sz w:val="20"/>
          <w:szCs w:val="20"/>
          <w:lang w:val="en-US"/>
        </w:rPr>
        <w:t xml:space="preserve"> </w:t>
      </w:r>
      <w:r w:rsidR="00E11B22" w:rsidRPr="00A01222">
        <w:rPr>
          <w:rFonts w:eastAsia="Cambria" w:cs="Cambria"/>
          <w:b w:val="0"/>
          <w:bCs w:val="0"/>
          <w:sz w:val="20"/>
          <w:szCs w:val="20"/>
          <w:lang w:val="en-US"/>
        </w:rPr>
        <w:t xml:space="preserve">notes the entry into force for the State of the </w:t>
      </w:r>
      <w:r w:rsidR="4BFF7D33" w:rsidRPr="00A01222">
        <w:rPr>
          <w:rFonts w:eastAsia="Cambria" w:cs="Cambria"/>
          <w:b w:val="0"/>
          <w:bCs w:val="0"/>
          <w:sz w:val="20"/>
          <w:szCs w:val="20"/>
          <w:lang w:val="en-US"/>
        </w:rPr>
        <w:t>Escazú</w:t>
      </w:r>
      <w:r w:rsidR="00E11B22" w:rsidRPr="00A01222">
        <w:rPr>
          <w:rFonts w:eastAsia="Cambria" w:cs="Cambria"/>
          <w:b w:val="0"/>
          <w:bCs w:val="0"/>
          <w:sz w:val="20"/>
          <w:szCs w:val="20"/>
          <w:lang w:val="en-US"/>
        </w:rPr>
        <w:t xml:space="preserve"> Agreement</w:t>
      </w:r>
      <w:r w:rsidR="4BFF7D33" w:rsidRPr="00A01222">
        <w:rPr>
          <w:rFonts w:eastAsia="Cambria" w:cs="Cambria"/>
          <w:b w:val="0"/>
          <w:bCs w:val="0"/>
          <w:sz w:val="20"/>
          <w:szCs w:val="20"/>
          <w:lang w:val="en-US"/>
        </w:rPr>
        <w:t xml:space="preserve">, </w:t>
      </w:r>
      <w:r w:rsidR="00E11B22" w:rsidRPr="00A01222">
        <w:rPr>
          <w:rFonts w:eastAsia="Cambria" w:cs="Cambria"/>
          <w:b w:val="0"/>
          <w:bCs w:val="0"/>
          <w:sz w:val="20"/>
          <w:szCs w:val="20"/>
          <w:lang w:val="en-US"/>
        </w:rPr>
        <w:t>which defines the obligation to ensure access to environmental information, to participation, and environmental justice for human rights defenders, which includes members of indigenous peoples defending their rights and a healthy environment.</w:t>
      </w:r>
      <w:r w:rsidR="007301DA" w:rsidRPr="00CC562A">
        <w:rPr>
          <w:b w:val="0"/>
          <w:bCs w:val="0"/>
          <w:sz w:val="20"/>
          <w:szCs w:val="20"/>
          <w:vertAlign w:val="superscript"/>
          <w:lang w:val="en-US"/>
        </w:rPr>
        <w:footnoteReference w:id="235"/>
      </w:r>
    </w:p>
    <w:p w14:paraId="77CA25AF" w14:textId="77777777" w:rsidR="00DB71FA" w:rsidRPr="00CC562A" w:rsidRDefault="00DB71FA" w:rsidP="00E529E8">
      <w:pPr>
        <w:pStyle w:val="Heading3"/>
        <w:numPr>
          <w:ilvl w:val="0"/>
          <w:numId w:val="0"/>
        </w:numPr>
        <w:spacing w:before="240" w:after="200" w:line="240" w:lineRule="auto"/>
        <w:ind w:firstLine="720"/>
        <w:rPr>
          <w:rFonts w:eastAsia="Cambria" w:cs="Cambria"/>
          <w:b w:val="0"/>
          <w:bCs w:val="0"/>
          <w:sz w:val="20"/>
          <w:szCs w:val="20"/>
          <w:lang w:val="en-US"/>
        </w:rPr>
      </w:pPr>
    </w:p>
    <w:p w14:paraId="383674B2" w14:textId="05A8B0A0" w:rsidR="00771C41" w:rsidRPr="00CC562A" w:rsidRDefault="00E11B22" w:rsidP="00E529E8">
      <w:pPr>
        <w:pStyle w:val="Heading3"/>
        <w:spacing w:before="24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As a result, </w:t>
      </w:r>
      <w:r w:rsidR="00276638" w:rsidRPr="00CC562A">
        <w:rPr>
          <w:rFonts w:eastAsia="Cambria" w:cs="Cambria"/>
          <w:b w:val="0"/>
          <w:bCs w:val="0"/>
          <w:sz w:val="20"/>
          <w:szCs w:val="20"/>
          <w:lang w:val="en-US"/>
        </w:rPr>
        <w:t>the IACHR</w:t>
      </w:r>
      <w:r w:rsidR="20A358C8" w:rsidRPr="00CC562A">
        <w:rPr>
          <w:rFonts w:eastAsia="Cambria" w:cs="Cambria"/>
          <w:b w:val="0"/>
          <w:bCs w:val="0"/>
          <w:sz w:val="20"/>
          <w:szCs w:val="20"/>
          <w:lang w:val="en-US"/>
        </w:rPr>
        <w:t xml:space="preserve"> consider</w:t>
      </w:r>
      <w:r w:rsidRPr="00CC562A">
        <w:rPr>
          <w:rFonts w:eastAsia="Cambria" w:cs="Cambria"/>
          <w:b w:val="0"/>
          <w:bCs w:val="0"/>
          <w:sz w:val="20"/>
          <w:szCs w:val="20"/>
          <w:lang w:val="en-US"/>
        </w:rPr>
        <w:t xml:space="preserve">s it </w:t>
      </w:r>
      <w:r w:rsidR="00AB31F4" w:rsidRPr="00CC562A">
        <w:rPr>
          <w:rFonts w:eastAsia="Cambria" w:cs="Cambria"/>
          <w:b w:val="0"/>
          <w:bCs w:val="0"/>
          <w:sz w:val="20"/>
          <w:szCs w:val="20"/>
          <w:lang w:val="en-US"/>
        </w:rPr>
        <w:t>im</w:t>
      </w:r>
      <w:r w:rsidRPr="00CC562A">
        <w:rPr>
          <w:rFonts w:eastAsia="Cambria" w:cs="Cambria"/>
          <w:b w:val="0"/>
          <w:bCs w:val="0"/>
          <w:sz w:val="20"/>
          <w:szCs w:val="20"/>
          <w:lang w:val="en-US"/>
        </w:rPr>
        <w:t xml:space="preserve">possible to establish compliance with the recommendation under analysis, in that the progress report does not provide evidence on how the State is guaranteeing the current conflicts now developing regarding prior consultation. Based on the foregoing, there is </w:t>
      </w:r>
      <w:r w:rsidRPr="00CC562A">
        <w:rPr>
          <w:rFonts w:eastAsia="Cambria" w:cs="Cambria"/>
          <w:sz w:val="20"/>
          <w:szCs w:val="20"/>
          <w:lang w:val="en-US"/>
        </w:rPr>
        <w:t xml:space="preserve">partial compliance </w:t>
      </w:r>
      <w:r w:rsidRPr="00CC562A">
        <w:rPr>
          <w:rFonts w:eastAsia="Cambria" w:cs="Cambria"/>
          <w:b w:val="0"/>
          <w:bCs w:val="0"/>
          <w:sz w:val="20"/>
          <w:szCs w:val="20"/>
          <w:lang w:val="en-US"/>
        </w:rPr>
        <w:t>with the recommendation</w:t>
      </w:r>
      <w:r w:rsidR="20A358C8" w:rsidRPr="00CC562A">
        <w:rPr>
          <w:rFonts w:eastAsia="Cambria" w:cs="Cambria"/>
          <w:b w:val="0"/>
          <w:bCs w:val="0"/>
          <w:sz w:val="20"/>
          <w:szCs w:val="20"/>
          <w:lang w:val="en-US"/>
        </w:rPr>
        <w:t>.</w:t>
      </w:r>
    </w:p>
    <w:p w14:paraId="511AB8B2" w14:textId="77777777" w:rsidR="00D521C9" w:rsidRPr="00CC562A" w:rsidRDefault="00D521C9" w:rsidP="00E529E8">
      <w:pPr>
        <w:spacing w:after="0" w:line="240" w:lineRule="auto"/>
        <w:ind w:firstLine="720"/>
        <w:rPr>
          <w:sz w:val="20"/>
          <w:szCs w:val="20"/>
          <w:lang w:val="en-US"/>
        </w:rPr>
      </w:pPr>
    </w:p>
    <w:p w14:paraId="79D061A3" w14:textId="398111F2" w:rsidR="00771C41" w:rsidRPr="00CC562A" w:rsidRDefault="00E11B22" w:rsidP="00E529E8">
      <w:pPr>
        <w:pStyle w:val="Heading3"/>
        <w:spacing w:before="0" w:after="200" w:line="240" w:lineRule="auto"/>
        <w:ind w:left="0" w:firstLine="720"/>
        <w:rPr>
          <w:sz w:val="20"/>
          <w:szCs w:val="20"/>
          <w:lang w:val="en-US"/>
        </w:rPr>
      </w:pPr>
      <w:r w:rsidRPr="00CC562A">
        <w:rPr>
          <w:sz w:val="20"/>
          <w:szCs w:val="20"/>
          <w:lang w:val="en-US"/>
        </w:rPr>
        <w:t xml:space="preserve">To guide the implementation of </w:t>
      </w:r>
      <w:r w:rsidRPr="00CC562A">
        <w:rPr>
          <w:b w:val="0"/>
          <w:bCs w:val="0"/>
          <w:sz w:val="20"/>
          <w:szCs w:val="20"/>
          <w:lang w:val="en-US"/>
        </w:rPr>
        <w:t xml:space="preserve">this recommendation, </w:t>
      </w:r>
      <w:r w:rsidRPr="00CC562A">
        <w:rPr>
          <w:sz w:val="20"/>
          <w:szCs w:val="20"/>
          <w:lang w:val="en-US"/>
        </w:rPr>
        <w:t>the Commission asks the State to compile and submit</w:t>
      </w:r>
      <w:r w:rsidR="00771C41" w:rsidRPr="00CC562A">
        <w:rPr>
          <w:b w:val="0"/>
          <w:bCs w:val="0"/>
          <w:sz w:val="20"/>
          <w:szCs w:val="20"/>
          <w:lang w:val="en-US"/>
        </w:rPr>
        <w:t xml:space="preserve"> informa</w:t>
      </w:r>
      <w:r w:rsidRPr="00CC562A">
        <w:rPr>
          <w:b w:val="0"/>
          <w:bCs w:val="0"/>
          <w:sz w:val="20"/>
          <w:szCs w:val="20"/>
          <w:lang w:val="en-US"/>
        </w:rPr>
        <w:t>tion regarding the prior consultation processes implemented, indicating how these have been developed in accordance with international standards in this area</w:t>
      </w:r>
      <w:r w:rsidR="00771C41" w:rsidRPr="00CC562A">
        <w:rPr>
          <w:b w:val="0"/>
          <w:bCs w:val="0"/>
          <w:sz w:val="20"/>
          <w:szCs w:val="20"/>
          <w:lang w:val="en-US"/>
        </w:rPr>
        <w:t>.</w:t>
      </w:r>
    </w:p>
    <w:p w14:paraId="52DDCA74" w14:textId="77777777" w:rsidR="00DB71FA" w:rsidRPr="00CC562A" w:rsidRDefault="00DB71FA" w:rsidP="00001918">
      <w:pPr>
        <w:pStyle w:val="Heading3"/>
        <w:numPr>
          <w:ilvl w:val="0"/>
          <w:numId w:val="0"/>
        </w:numPr>
        <w:spacing w:before="240" w:after="200" w:line="240" w:lineRule="auto"/>
        <w:ind w:left="810"/>
        <w:rPr>
          <w:rFonts w:eastAsia="Cambria" w:cs="Cambria"/>
          <w:b w:val="0"/>
          <w:bCs w:val="0"/>
          <w:sz w:val="20"/>
          <w:szCs w:val="20"/>
          <w:lang w:val="en-US"/>
        </w:rPr>
      </w:pPr>
    </w:p>
    <w:p w14:paraId="5169FCC6" w14:textId="32D67132" w:rsidR="00A4198F" w:rsidRPr="00CC562A" w:rsidRDefault="00A4198F" w:rsidP="00217F53">
      <w:pPr>
        <w:pStyle w:val="Heading3"/>
        <w:numPr>
          <w:ilvl w:val="0"/>
          <w:numId w:val="31"/>
        </w:numPr>
        <w:spacing w:before="240" w:after="200" w:line="240" w:lineRule="auto"/>
        <w:ind w:left="1440"/>
        <w:rPr>
          <w:sz w:val="20"/>
          <w:szCs w:val="20"/>
          <w:lang w:val="en-US"/>
        </w:rPr>
      </w:pPr>
      <w:r w:rsidRPr="00CC562A">
        <w:rPr>
          <w:sz w:val="20"/>
          <w:szCs w:val="20"/>
          <w:lang w:val="en-US"/>
        </w:rPr>
        <w:t>Person</w:t>
      </w:r>
      <w:r w:rsidR="003E00F4" w:rsidRPr="00CC562A">
        <w:rPr>
          <w:sz w:val="20"/>
          <w:szCs w:val="20"/>
          <w:lang w:val="en-US"/>
        </w:rPr>
        <w:t>s Deprived of Liberty</w:t>
      </w:r>
    </w:p>
    <w:p w14:paraId="7F7610DD" w14:textId="19629DE1" w:rsidR="00C83114" w:rsidRPr="00CC562A" w:rsidRDefault="00A4198F"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eastAsia="Cambria" w:hAnsi="Cambria" w:cs="Cambria"/>
          <w:sz w:val="20"/>
          <w:szCs w:val="20"/>
          <w:lang w:val="en-US"/>
        </w:rPr>
        <w:t>Corre</w:t>
      </w:r>
      <w:r w:rsidR="003E00F4" w:rsidRPr="00CC562A">
        <w:rPr>
          <w:rFonts w:ascii="Cambria" w:eastAsia="Cambria" w:hAnsi="Cambria" w:cs="Cambria"/>
          <w:sz w:val="20"/>
          <w:szCs w:val="20"/>
          <w:lang w:val="en-US"/>
        </w:rPr>
        <w:t xml:space="preserve">ct the excessive use of pretrial detention, and apply it exceptionally, making use of other non-custodial precautionary measures. Within this framework, ensure that detained persons </w:t>
      </w:r>
      <w:r w:rsidR="003E00F4" w:rsidRPr="00CC562A">
        <w:rPr>
          <w:rFonts w:ascii="Cambria" w:eastAsia="Cambria" w:hAnsi="Cambria" w:cs="Cambria"/>
          <w:sz w:val="20"/>
          <w:szCs w:val="20"/>
          <w:lang w:val="en-US"/>
        </w:rPr>
        <w:lastRenderedPageBreak/>
        <w:t xml:space="preserve">are immediately brought before a judge, </w:t>
      </w:r>
      <w:proofErr w:type="gramStart"/>
      <w:r w:rsidR="003E00F4" w:rsidRPr="00CC562A">
        <w:rPr>
          <w:rFonts w:ascii="Cambria" w:eastAsia="Cambria" w:hAnsi="Cambria" w:cs="Cambria"/>
          <w:sz w:val="20"/>
          <w:szCs w:val="20"/>
          <w:lang w:val="en-US"/>
        </w:rPr>
        <w:t>in order to</w:t>
      </w:r>
      <w:proofErr w:type="gramEnd"/>
      <w:r w:rsidR="003E00F4" w:rsidRPr="00CC562A">
        <w:rPr>
          <w:rFonts w:ascii="Cambria" w:eastAsia="Cambria" w:hAnsi="Cambria" w:cs="Cambria"/>
          <w:sz w:val="20"/>
          <w:szCs w:val="20"/>
          <w:lang w:val="en-US"/>
        </w:rPr>
        <w:t xml:space="preserve"> restrict arrests without a warrant in cases of alleged flagrante delicto and similar cases</w:t>
      </w:r>
      <w:r w:rsidRPr="00CC562A">
        <w:rPr>
          <w:rFonts w:ascii="Cambria" w:eastAsia="Cambria" w:hAnsi="Cambria" w:cs="Cambria"/>
          <w:sz w:val="20"/>
          <w:szCs w:val="20"/>
          <w:lang w:val="en-US"/>
        </w:rPr>
        <w:t>.</w:t>
      </w:r>
    </w:p>
    <w:p w14:paraId="30B5EBE5" w14:textId="2E34D5FD" w:rsidR="00C83114" w:rsidRPr="00CC562A" w:rsidRDefault="003E00F4"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hAnsi="Cambria"/>
          <w:sz w:val="20"/>
          <w:szCs w:val="20"/>
          <w:lang w:val="en-US"/>
        </w:rPr>
        <w:t xml:space="preserve">Adopt all necessary measures to ensure a social reintegration strategy. Accordingly, ensure that financial resources are directed to humanizing and implementing measures that allow for the reintegration into society of persons deprived of liberty. </w:t>
      </w:r>
      <w:proofErr w:type="gramStart"/>
      <w:r w:rsidRPr="00CC562A">
        <w:rPr>
          <w:rFonts w:ascii="Cambria" w:hAnsi="Cambria"/>
          <w:sz w:val="20"/>
          <w:szCs w:val="20"/>
          <w:lang w:val="en-US"/>
        </w:rPr>
        <w:t>In particular, with</w:t>
      </w:r>
      <w:proofErr w:type="gramEnd"/>
      <w:r w:rsidRPr="00CC562A">
        <w:rPr>
          <w:rFonts w:ascii="Cambria" w:hAnsi="Cambria"/>
          <w:sz w:val="20"/>
          <w:szCs w:val="20"/>
          <w:lang w:val="en-US"/>
        </w:rPr>
        <w:t xml:space="preserve"> respect to people with disabilities, identify a social reinsertion strategy by implementing services in the</w:t>
      </w:r>
      <w:r w:rsidR="00C83114" w:rsidRPr="00CC562A">
        <w:rPr>
          <w:rFonts w:ascii="Cambria" w:hAnsi="Cambria"/>
          <w:sz w:val="20"/>
          <w:szCs w:val="20"/>
          <w:lang w:val="en-US"/>
        </w:rPr>
        <w:t xml:space="preserve"> </w:t>
      </w:r>
      <w:r w:rsidR="00146F83" w:rsidRPr="00CC562A">
        <w:rPr>
          <w:rFonts w:ascii="Cambria" w:hAnsi="Cambria"/>
          <w:sz w:val="20"/>
          <w:szCs w:val="20"/>
          <w:lang w:val="en-US"/>
        </w:rPr>
        <w:t>in the community</w:t>
      </w:r>
      <w:r w:rsidR="00C83114" w:rsidRPr="00CC562A">
        <w:rPr>
          <w:rFonts w:ascii="Cambria" w:hAnsi="Cambria"/>
          <w:sz w:val="20"/>
          <w:szCs w:val="20"/>
          <w:lang w:val="en-US"/>
        </w:rPr>
        <w:t xml:space="preserve">. </w:t>
      </w:r>
      <w:r w:rsidR="00C83114" w:rsidRPr="00CC562A">
        <w:rPr>
          <w:lang w:val="en-US"/>
        </w:rPr>
        <w:t> </w:t>
      </w:r>
    </w:p>
    <w:p w14:paraId="182B43F7" w14:textId="1D0B76CD" w:rsidR="00C83114" w:rsidRPr="00CC562A" w:rsidRDefault="00A47E75"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hAnsi="Cambria"/>
          <w:sz w:val="20"/>
          <w:szCs w:val="20"/>
          <w:lang w:val="en-US"/>
        </w:rPr>
        <w:t xml:space="preserve">Publicize the </w:t>
      </w:r>
      <w:r w:rsidR="00C83114" w:rsidRPr="00CC562A">
        <w:rPr>
          <w:rFonts w:ascii="Cambria" w:hAnsi="Cambria"/>
          <w:i/>
          <w:iCs/>
          <w:sz w:val="20"/>
          <w:szCs w:val="20"/>
          <w:lang w:val="en-US"/>
        </w:rPr>
        <w:t xml:space="preserve">American Correctional Association </w:t>
      </w:r>
      <w:r w:rsidR="00C83114" w:rsidRPr="00CC562A">
        <w:rPr>
          <w:rFonts w:ascii="Cambria" w:hAnsi="Cambria"/>
          <w:sz w:val="20"/>
          <w:szCs w:val="20"/>
          <w:lang w:val="en-US"/>
        </w:rPr>
        <w:t>(“ACA”</w:t>
      </w:r>
      <w:r w:rsidRPr="00CC562A">
        <w:rPr>
          <w:rFonts w:ascii="Cambria" w:hAnsi="Cambria"/>
          <w:sz w:val="20"/>
          <w:szCs w:val="20"/>
          <w:lang w:val="en-US"/>
        </w:rPr>
        <w:t xml:space="preserve">) standard for certifying </w:t>
      </w:r>
      <w:proofErr w:type="gramStart"/>
      <w:r w:rsidRPr="00CC562A">
        <w:rPr>
          <w:rFonts w:ascii="Cambria" w:hAnsi="Cambria"/>
          <w:sz w:val="20"/>
          <w:szCs w:val="20"/>
          <w:lang w:val="en-US"/>
        </w:rPr>
        <w:t>correctional facilities</w:t>
      </w:r>
      <w:proofErr w:type="gramEnd"/>
      <w:r w:rsidR="00C83114" w:rsidRPr="00CC562A">
        <w:rPr>
          <w:rFonts w:ascii="Cambria" w:hAnsi="Cambria"/>
          <w:sz w:val="20"/>
          <w:szCs w:val="20"/>
          <w:lang w:val="en-US"/>
        </w:rPr>
        <w:t xml:space="preserve">. </w:t>
      </w:r>
    </w:p>
    <w:p w14:paraId="4C74BEB0" w14:textId="4FDDA403" w:rsidR="00C83114" w:rsidRPr="00CC562A" w:rsidRDefault="00C83114"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hAnsi="Cambria"/>
          <w:sz w:val="20"/>
          <w:szCs w:val="20"/>
          <w:lang w:val="en-US"/>
        </w:rPr>
        <w:t>Implement</w:t>
      </w:r>
      <w:r w:rsidR="00A47E75" w:rsidRPr="00CC562A">
        <w:rPr>
          <w:rFonts w:ascii="Cambria" w:hAnsi="Cambria"/>
          <w:sz w:val="20"/>
          <w:szCs w:val="20"/>
          <w:lang w:val="en-US"/>
        </w:rPr>
        <w:t xml:space="preserve"> regulatory and other measures to guarantee adequate detention conditions tailored to the </w:t>
      </w:r>
      <w:proofErr w:type="gramStart"/>
      <w:r w:rsidR="00A47E75" w:rsidRPr="00CC562A">
        <w:rPr>
          <w:rFonts w:ascii="Cambria" w:hAnsi="Cambria"/>
          <w:sz w:val="20"/>
          <w:szCs w:val="20"/>
          <w:lang w:val="en-US"/>
        </w:rPr>
        <w:t>particular needs</w:t>
      </w:r>
      <w:proofErr w:type="gramEnd"/>
      <w:r w:rsidR="00A47E75" w:rsidRPr="00CC562A">
        <w:rPr>
          <w:rFonts w:ascii="Cambria" w:hAnsi="Cambria"/>
          <w:sz w:val="20"/>
          <w:szCs w:val="20"/>
          <w:lang w:val="en-US"/>
        </w:rPr>
        <w:t xml:space="preserve"> of groups in especially vulnerable situations. In relation to women deprived of their liberty, the State must ensure that measures adopted take a gender perspective into account. With respect to persons with disabilities deprived of their liberty</w:t>
      </w:r>
      <w:r w:rsidRPr="00CC562A">
        <w:rPr>
          <w:rFonts w:ascii="Cambria" w:hAnsi="Cambria"/>
          <w:sz w:val="20"/>
          <w:szCs w:val="20"/>
          <w:lang w:val="en-US"/>
        </w:rPr>
        <w:t xml:space="preserve">, </w:t>
      </w:r>
      <w:r w:rsidR="00752FED" w:rsidRPr="00CC562A">
        <w:rPr>
          <w:rFonts w:ascii="Cambria" w:hAnsi="Cambria"/>
          <w:sz w:val="20"/>
          <w:szCs w:val="20"/>
          <w:lang w:val="en-US"/>
        </w:rPr>
        <w:t xml:space="preserve">the </w:t>
      </w:r>
      <w:r w:rsidR="00A47E75" w:rsidRPr="00CC562A">
        <w:rPr>
          <w:rFonts w:ascii="Cambria" w:hAnsi="Cambria"/>
          <w:sz w:val="20"/>
          <w:szCs w:val="20"/>
          <w:lang w:val="en-US"/>
        </w:rPr>
        <w:t xml:space="preserve">Mexican </w:t>
      </w:r>
      <w:r w:rsidR="00752FED" w:rsidRPr="00CC562A">
        <w:rPr>
          <w:rFonts w:ascii="Cambria" w:hAnsi="Cambria"/>
          <w:sz w:val="20"/>
          <w:szCs w:val="20"/>
          <w:lang w:val="en-US"/>
        </w:rPr>
        <w:t>State</w:t>
      </w:r>
      <w:r w:rsidRPr="00CC562A">
        <w:rPr>
          <w:rFonts w:ascii="Cambria" w:hAnsi="Cambria"/>
          <w:sz w:val="20"/>
          <w:szCs w:val="20"/>
          <w:lang w:val="en-US"/>
        </w:rPr>
        <w:t xml:space="preserve"> </w:t>
      </w:r>
      <w:r w:rsidR="00A47E75" w:rsidRPr="00CC562A">
        <w:rPr>
          <w:rFonts w:ascii="Cambria" w:hAnsi="Cambria"/>
          <w:sz w:val="20"/>
          <w:szCs w:val="20"/>
          <w:lang w:val="en-US"/>
        </w:rPr>
        <w:t>must guarantee the elimination of elements in their surroundings that hinder the exercise of their rights, by making reasonable adjustments</w:t>
      </w:r>
      <w:r w:rsidRPr="00CC562A">
        <w:rPr>
          <w:rFonts w:ascii="Cambria" w:hAnsi="Cambria"/>
          <w:sz w:val="20"/>
          <w:szCs w:val="20"/>
          <w:lang w:val="en-US"/>
        </w:rPr>
        <w:t xml:space="preserve">. </w:t>
      </w:r>
    </w:p>
    <w:p w14:paraId="156F2309" w14:textId="66AC467C" w:rsidR="00C83114" w:rsidRPr="00CC562A" w:rsidRDefault="00C83114"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hAnsi="Cambria"/>
          <w:sz w:val="20"/>
          <w:szCs w:val="20"/>
          <w:lang w:val="en-US"/>
        </w:rPr>
        <w:t>Adopt</w:t>
      </w:r>
      <w:r w:rsidR="00A47E75" w:rsidRPr="00CC562A">
        <w:rPr>
          <w:rFonts w:ascii="Cambria" w:hAnsi="Cambria"/>
          <w:sz w:val="20"/>
          <w:szCs w:val="20"/>
          <w:lang w:val="en-US"/>
        </w:rPr>
        <w:t xml:space="preserve"> measures to address pretrial detention and high levels of overcrowding. The measures to be adopted may include, among others, an increase in the number of criminal enforcement judges and the establishment of periodic file review brigades to identify cases of excessive duration of pretrial detention</w:t>
      </w:r>
      <w:r w:rsidRPr="00CC562A">
        <w:rPr>
          <w:rFonts w:ascii="Cambria" w:hAnsi="Cambria"/>
          <w:sz w:val="20"/>
          <w:szCs w:val="20"/>
          <w:lang w:val="en-US"/>
        </w:rPr>
        <w:t xml:space="preserve">. </w:t>
      </w:r>
    </w:p>
    <w:p w14:paraId="0F54C5D5" w14:textId="77777777" w:rsidR="00A47E75" w:rsidRPr="00CC562A" w:rsidRDefault="00A47E75"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hAnsi="Cambria"/>
          <w:sz w:val="20"/>
          <w:szCs w:val="20"/>
          <w:lang w:val="en-US"/>
        </w:rPr>
        <w:t>Ensure that the National Law of Penal Execution includes international standards that guarantee the rights of persons deprived of liberty, while being tried or after sentencing, with emphasis on due criminal process and social reintegration.</w:t>
      </w:r>
    </w:p>
    <w:p w14:paraId="154AB37E" w14:textId="115B5684" w:rsidR="001C736F" w:rsidRPr="00CC562A" w:rsidRDefault="00A47E75" w:rsidP="00217F53">
      <w:pPr>
        <w:numPr>
          <w:ilvl w:val="0"/>
          <w:numId w:val="15"/>
        </w:numPr>
        <w:pBdr>
          <w:top w:val="nil"/>
          <w:left w:val="nil"/>
          <w:bottom w:val="nil"/>
          <w:right w:val="nil"/>
          <w:between w:val="nil"/>
        </w:pBdr>
        <w:shd w:val="clear" w:color="auto" w:fill="D9D9D9" w:themeFill="background1" w:themeFillShade="D9"/>
        <w:spacing w:before="240" w:line="240" w:lineRule="auto"/>
        <w:jc w:val="both"/>
        <w:rPr>
          <w:rFonts w:ascii="Cambria" w:hAnsi="Cambria"/>
          <w:lang w:val="en-US"/>
        </w:rPr>
      </w:pPr>
      <w:r w:rsidRPr="00CC562A">
        <w:rPr>
          <w:rFonts w:ascii="Cambria" w:hAnsi="Cambria"/>
          <w:sz w:val="20"/>
          <w:szCs w:val="20"/>
          <w:lang w:val="en-US"/>
        </w:rPr>
        <w:t>Ensure that the National Law of Penal Executions includes international standards that guarantee the rights of persons deprived of liberty, while being tired or after sentencing, with emphasis on due criminal process and social reintegration</w:t>
      </w:r>
      <w:r w:rsidR="00C83114" w:rsidRPr="00CC562A">
        <w:rPr>
          <w:rFonts w:ascii="Cambria" w:hAnsi="Cambria"/>
          <w:sz w:val="20"/>
          <w:szCs w:val="20"/>
          <w:lang w:val="en-US"/>
        </w:rPr>
        <w:t xml:space="preserve">. </w:t>
      </w:r>
    </w:p>
    <w:p w14:paraId="060DC860" w14:textId="7BB6FEAF" w:rsidR="00A92391" w:rsidRPr="00CC562A" w:rsidRDefault="00A47E75" w:rsidP="00A92391">
      <w:pPr>
        <w:pStyle w:val="Heading3"/>
        <w:spacing w:before="240" w:after="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With respect to the recommendation to </w:t>
      </w:r>
      <w:r w:rsidR="1B11D768" w:rsidRPr="00CC562A">
        <w:rPr>
          <w:sz w:val="20"/>
          <w:szCs w:val="20"/>
          <w:lang w:val="en-US"/>
        </w:rPr>
        <w:t>corre</w:t>
      </w:r>
      <w:r w:rsidRPr="00CC562A">
        <w:rPr>
          <w:sz w:val="20"/>
          <w:szCs w:val="20"/>
          <w:lang w:val="en-US"/>
        </w:rPr>
        <w:t>ct the excessive use of pretrial detention</w:t>
      </w:r>
      <w:r w:rsidR="58AB6B1D"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8AB6B1D" w:rsidRPr="00CC562A">
        <w:rPr>
          <w:rFonts w:eastAsia="Cambria" w:cs="Cambria"/>
          <w:b w:val="0"/>
          <w:bCs w:val="0"/>
          <w:sz w:val="20"/>
          <w:szCs w:val="20"/>
          <w:lang w:val="en-US"/>
        </w:rPr>
        <w:t xml:space="preserve"> </w:t>
      </w:r>
      <w:r w:rsidR="00900ED4" w:rsidRPr="00CC562A">
        <w:rPr>
          <w:rFonts w:eastAsia="Cambria" w:cs="Cambria"/>
          <w:b w:val="0"/>
          <w:bCs w:val="0"/>
          <w:sz w:val="20"/>
          <w:szCs w:val="20"/>
          <w:lang w:val="en-US"/>
        </w:rPr>
        <w:t>reported that</w:t>
      </w:r>
      <w:r w:rsidRPr="00CC562A">
        <w:rPr>
          <w:rFonts w:eastAsia="Cambria" w:cs="Cambria"/>
          <w:b w:val="0"/>
          <w:bCs w:val="0"/>
          <w:sz w:val="20"/>
          <w:szCs w:val="20"/>
          <w:lang w:val="en-US"/>
        </w:rPr>
        <w:t xml:space="preserve"> the Full </w:t>
      </w:r>
      <w:r w:rsidR="2A144B73" w:rsidRPr="00CC562A">
        <w:rPr>
          <w:rFonts w:eastAsia="Cambria" w:cs="Cambria"/>
          <w:b w:val="0"/>
          <w:bCs w:val="0"/>
          <w:sz w:val="20"/>
          <w:szCs w:val="20"/>
          <w:lang w:val="en-US"/>
        </w:rPr>
        <w:t>CJF</w:t>
      </w:r>
      <w:r w:rsidR="00B33293" w:rsidRPr="00CC562A">
        <w:rPr>
          <w:rFonts w:eastAsia="Cambria" w:cs="Cambria"/>
          <w:b w:val="0"/>
          <w:bCs w:val="0"/>
          <w:sz w:val="20"/>
          <w:szCs w:val="20"/>
          <w:lang w:val="en-US"/>
        </w:rPr>
        <w:t xml:space="preserve"> (Federal Judiciary Council)</w:t>
      </w:r>
      <w:r w:rsidR="00AB31F4" w:rsidRPr="00CC562A">
        <w:rPr>
          <w:rFonts w:eastAsia="Cambria" w:cs="Cambria"/>
          <w:b w:val="0"/>
          <w:bCs w:val="0"/>
          <w:sz w:val="20"/>
          <w:szCs w:val="20"/>
          <w:lang w:val="en-US"/>
        </w:rPr>
        <w:t>,</w:t>
      </w:r>
      <w:r w:rsidR="00B33293" w:rsidRPr="00CC562A">
        <w:rPr>
          <w:rFonts w:eastAsia="Cambria" w:cs="Cambria"/>
          <w:b w:val="0"/>
          <w:bCs w:val="0"/>
          <w:sz w:val="20"/>
          <w:szCs w:val="20"/>
          <w:lang w:val="en-US"/>
        </w:rPr>
        <w:t xml:space="preserve"> in its regular session on June 22, 2022, approved a Point of Agreement submitted by the Commission on the Creation of New Bodies determining that it was admissible to join </w:t>
      </w:r>
      <w:r w:rsidR="150B8F44" w:rsidRPr="00CC562A">
        <w:rPr>
          <w:rFonts w:eastAsia="Cambria" w:cs="Cambria"/>
          <w:b w:val="0"/>
          <w:bCs w:val="0"/>
          <w:sz w:val="20"/>
          <w:szCs w:val="20"/>
          <w:lang w:val="en-US"/>
        </w:rPr>
        <w:t xml:space="preserve">180 </w:t>
      </w:r>
      <w:r w:rsidR="003033E5" w:rsidRPr="00CC562A">
        <w:rPr>
          <w:rFonts w:eastAsia="Cambria" w:cs="Cambria"/>
          <w:b w:val="0"/>
          <w:bCs w:val="0"/>
          <w:sz w:val="20"/>
          <w:szCs w:val="20"/>
          <w:lang w:val="en-US"/>
        </w:rPr>
        <w:t xml:space="preserve">indirect amparo trials analyzed ex officio by the </w:t>
      </w:r>
      <w:r w:rsidR="799413D8" w:rsidRPr="00CC562A">
        <w:rPr>
          <w:rFonts w:eastAsia="Cambria" w:cs="Cambria"/>
          <w:b w:val="0"/>
          <w:bCs w:val="0"/>
          <w:sz w:val="20"/>
          <w:szCs w:val="20"/>
          <w:lang w:val="en-US"/>
        </w:rPr>
        <w:t>CJF</w:t>
      </w:r>
      <w:r w:rsidR="150B8F44" w:rsidRPr="00CC562A">
        <w:rPr>
          <w:rFonts w:eastAsia="Cambria" w:cs="Cambria"/>
          <w:b w:val="0"/>
          <w:bCs w:val="0"/>
          <w:sz w:val="20"/>
          <w:szCs w:val="20"/>
          <w:lang w:val="en-US"/>
        </w:rPr>
        <w:t xml:space="preserve">, </w:t>
      </w:r>
      <w:r w:rsidR="003033E5" w:rsidRPr="00CC562A">
        <w:rPr>
          <w:rFonts w:eastAsia="Cambria" w:cs="Cambria"/>
          <w:b w:val="0"/>
          <w:bCs w:val="0"/>
          <w:sz w:val="20"/>
          <w:szCs w:val="20"/>
          <w:lang w:val="en-US"/>
        </w:rPr>
        <w:t>where the action being challenged is related to some adjudicated determination of pretrial detention that is considered arbitrary or disproportionately long.</w:t>
      </w:r>
      <w:r w:rsidR="19EA0E24"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58AB6B1D" w:rsidRPr="00CC562A">
        <w:rPr>
          <w:rFonts w:eastAsia="Cambria" w:cs="Cambria"/>
          <w:b w:val="0"/>
          <w:bCs w:val="0"/>
          <w:sz w:val="20"/>
          <w:szCs w:val="20"/>
          <w:lang w:val="en-US"/>
        </w:rPr>
        <w:t xml:space="preserve"> </w:t>
      </w:r>
      <w:r w:rsidR="003033E5" w:rsidRPr="00CC562A">
        <w:rPr>
          <w:rFonts w:eastAsia="Cambria" w:cs="Cambria"/>
          <w:b w:val="0"/>
          <w:bCs w:val="0"/>
          <w:sz w:val="20"/>
          <w:szCs w:val="20"/>
          <w:lang w:val="en-US"/>
        </w:rPr>
        <w:t>indicated that, at the national level, between</w:t>
      </w:r>
      <w:r w:rsidR="150B8F44" w:rsidRPr="00CC562A">
        <w:rPr>
          <w:rFonts w:eastAsia="Cambria" w:cs="Cambria"/>
          <w:b w:val="0"/>
          <w:bCs w:val="0"/>
          <w:sz w:val="20"/>
          <w:szCs w:val="20"/>
          <w:lang w:val="en-US"/>
        </w:rPr>
        <w:t xml:space="preserve"> 2020 </w:t>
      </w:r>
      <w:r w:rsidR="003033E5" w:rsidRPr="00CC562A">
        <w:rPr>
          <w:rFonts w:eastAsia="Cambria" w:cs="Cambria"/>
          <w:b w:val="0"/>
          <w:bCs w:val="0"/>
          <w:sz w:val="20"/>
          <w:szCs w:val="20"/>
          <w:lang w:val="en-US"/>
        </w:rPr>
        <w:t>and</w:t>
      </w:r>
      <w:r w:rsidR="150B8F44" w:rsidRPr="00CC562A">
        <w:rPr>
          <w:rFonts w:eastAsia="Cambria" w:cs="Cambria"/>
          <w:b w:val="0"/>
          <w:bCs w:val="0"/>
          <w:sz w:val="20"/>
          <w:szCs w:val="20"/>
          <w:lang w:val="en-US"/>
        </w:rPr>
        <w:t xml:space="preserve"> 2022, </w:t>
      </w:r>
      <w:r w:rsidR="003033E5" w:rsidRPr="00CC562A">
        <w:rPr>
          <w:rFonts w:eastAsia="Cambria" w:cs="Cambria"/>
          <w:b w:val="0"/>
          <w:bCs w:val="0"/>
          <w:sz w:val="20"/>
          <w:szCs w:val="20"/>
          <w:lang w:val="en-US"/>
        </w:rPr>
        <w:t>the</w:t>
      </w:r>
      <w:r w:rsidR="150B8F44" w:rsidRPr="00CC562A">
        <w:rPr>
          <w:rFonts w:eastAsia="Cambria" w:cs="Cambria"/>
          <w:b w:val="0"/>
          <w:bCs w:val="0"/>
          <w:sz w:val="20"/>
          <w:szCs w:val="20"/>
          <w:lang w:val="en-US"/>
        </w:rPr>
        <w:t xml:space="preserve"> IFDP </w:t>
      </w:r>
      <w:r w:rsidR="00D77397" w:rsidRPr="00CC562A">
        <w:rPr>
          <w:rFonts w:eastAsia="Cambria" w:cs="Cambria"/>
          <w:b w:val="0"/>
          <w:bCs w:val="0"/>
          <w:sz w:val="20"/>
          <w:szCs w:val="20"/>
          <w:lang w:val="en-US"/>
        </w:rPr>
        <w:t>has pursued</w:t>
      </w:r>
      <w:r w:rsidR="003033E5" w:rsidRPr="00CC562A">
        <w:rPr>
          <w:rFonts w:eastAsia="Cambria" w:cs="Cambria"/>
          <w:b w:val="0"/>
          <w:bCs w:val="0"/>
          <w:sz w:val="20"/>
          <w:szCs w:val="20"/>
          <w:lang w:val="en-US"/>
        </w:rPr>
        <w:t xml:space="preserve"> </w:t>
      </w:r>
      <w:r w:rsidR="150B8F44" w:rsidRPr="00CC562A">
        <w:rPr>
          <w:rFonts w:eastAsia="Cambria" w:cs="Cambria"/>
          <w:b w:val="0"/>
          <w:bCs w:val="0"/>
          <w:sz w:val="20"/>
          <w:szCs w:val="20"/>
          <w:lang w:val="en-US"/>
        </w:rPr>
        <w:t xml:space="preserve">26 </w:t>
      </w:r>
      <w:r w:rsidR="003033E5" w:rsidRPr="00CC562A">
        <w:rPr>
          <w:rFonts w:eastAsia="Cambria" w:cs="Cambria"/>
          <w:b w:val="0"/>
          <w:bCs w:val="0"/>
          <w:sz w:val="20"/>
          <w:szCs w:val="20"/>
          <w:lang w:val="en-US"/>
        </w:rPr>
        <w:t xml:space="preserve">amparo lawsuits that have been reflected in </w:t>
      </w:r>
      <w:r w:rsidR="150B8F44" w:rsidRPr="00CC562A">
        <w:rPr>
          <w:rFonts w:eastAsia="Cambria" w:cs="Cambria"/>
          <w:b w:val="0"/>
          <w:bCs w:val="0"/>
          <w:sz w:val="20"/>
          <w:szCs w:val="20"/>
          <w:lang w:val="en-US"/>
        </w:rPr>
        <w:t xml:space="preserve">30 </w:t>
      </w:r>
      <w:r w:rsidR="003033E5" w:rsidRPr="00CC562A">
        <w:rPr>
          <w:rFonts w:eastAsia="Cambria" w:cs="Cambria"/>
          <w:b w:val="0"/>
          <w:bCs w:val="0"/>
          <w:sz w:val="20"/>
          <w:szCs w:val="20"/>
          <w:lang w:val="en-US"/>
        </w:rPr>
        <w:t xml:space="preserve">indirect amparo suits against abuse of pretrial detention and the lack of a periodic ex officio review of said precautionary measure, benefitting </w:t>
      </w:r>
      <w:r w:rsidR="150B8F44" w:rsidRPr="00CC562A">
        <w:rPr>
          <w:rFonts w:eastAsia="Cambria" w:cs="Cambria"/>
          <w:b w:val="0"/>
          <w:bCs w:val="0"/>
          <w:sz w:val="20"/>
          <w:szCs w:val="20"/>
          <w:lang w:val="en-US"/>
        </w:rPr>
        <w:t xml:space="preserve">43 persons (32 </w:t>
      </w:r>
      <w:r w:rsidR="003033E5" w:rsidRPr="00CC562A">
        <w:rPr>
          <w:rFonts w:eastAsia="Cambria" w:cs="Cambria"/>
          <w:b w:val="0"/>
          <w:bCs w:val="0"/>
          <w:sz w:val="20"/>
          <w:szCs w:val="20"/>
          <w:lang w:val="en-US"/>
        </w:rPr>
        <w:t xml:space="preserve">women and </w:t>
      </w:r>
      <w:r w:rsidR="150B8F44" w:rsidRPr="00CC562A">
        <w:rPr>
          <w:rFonts w:eastAsia="Cambria" w:cs="Cambria"/>
          <w:b w:val="0"/>
          <w:bCs w:val="0"/>
          <w:sz w:val="20"/>
          <w:szCs w:val="20"/>
          <w:lang w:val="en-US"/>
        </w:rPr>
        <w:t xml:space="preserve">11 </w:t>
      </w:r>
      <w:r w:rsidR="003033E5" w:rsidRPr="00CC562A">
        <w:rPr>
          <w:rFonts w:eastAsia="Cambria" w:cs="Cambria"/>
          <w:b w:val="0"/>
          <w:bCs w:val="0"/>
          <w:sz w:val="20"/>
          <w:szCs w:val="20"/>
          <w:lang w:val="en-US"/>
        </w:rPr>
        <w:t>men</w:t>
      </w:r>
      <w:r w:rsidR="150B8F44" w:rsidRPr="00CC562A">
        <w:rPr>
          <w:rFonts w:eastAsia="Cambria" w:cs="Cambria"/>
          <w:b w:val="0"/>
          <w:bCs w:val="0"/>
          <w:sz w:val="20"/>
          <w:szCs w:val="20"/>
          <w:lang w:val="en-US"/>
        </w:rPr>
        <w:t xml:space="preserve">). </w:t>
      </w:r>
      <w:proofErr w:type="gramStart"/>
      <w:r w:rsidR="003033E5" w:rsidRPr="00CC562A">
        <w:rPr>
          <w:rFonts w:eastAsia="Cambria" w:cs="Cambria"/>
          <w:b w:val="0"/>
          <w:bCs w:val="0"/>
          <w:sz w:val="20"/>
          <w:szCs w:val="20"/>
          <w:lang w:val="en-US"/>
        </w:rPr>
        <w:t>All of</w:t>
      </w:r>
      <w:proofErr w:type="gramEnd"/>
      <w:r w:rsidR="003033E5" w:rsidRPr="00CC562A">
        <w:rPr>
          <w:rFonts w:eastAsia="Cambria" w:cs="Cambria"/>
          <w:b w:val="0"/>
          <w:bCs w:val="0"/>
          <w:sz w:val="20"/>
          <w:szCs w:val="20"/>
          <w:lang w:val="en-US"/>
        </w:rPr>
        <w:t xml:space="preserve"> these people are likely survivors of torture or victims of arbitrary detention. Based on that strategy, nine favorable </w:t>
      </w:r>
      <w:r w:rsidR="00AB31F4" w:rsidRPr="00CC562A">
        <w:rPr>
          <w:rFonts w:eastAsia="Cambria" w:cs="Cambria"/>
          <w:b w:val="0"/>
          <w:bCs w:val="0"/>
          <w:sz w:val="20"/>
          <w:szCs w:val="20"/>
          <w:lang w:val="en-US"/>
        </w:rPr>
        <w:t>rulings</w:t>
      </w:r>
      <w:r w:rsidR="003033E5" w:rsidRPr="00CC562A">
        <w:rPr>
          <w:rFonts w:eastAsia="Cambria" w:cs="Cambria"/>
          <w:b w:val="0"/>
          <w:bCs w:val="0"/>
          <w:sz w:val="20"/>
          <w:szCs w:val="20"/>
          <w:lang w:val="en-US"/>
        </w:rPr>
        <w:t xml:space="preserve"> have been obtained</w:t>
      </w:r>
      <w:r w:rsidR="150B8F44" w:rsidRPr="00CC562A">
        <w:rPr>
          <w:rFonts w:eastAsia="Cambria" w:cs="Cambria"/>
          <w:b w:val="0"/>
          <w:bCs w:val="0"/>
          <w:sz w:val="20"/>
          <w:szCs w:val="20"/>
          <w:lang w:val="en-US"/>
        </w:rPr>
        <w:t xml:space="preserve">. </w:t>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r w:rsidR="00A92391" w:rsidRPr="00CC562A">
        <w:rPr>
          <w:rFonts w:eastAsia="Cambria" w:cs="Cambria"/>
          <w:b w:val="0"/>
          <w:bCs w:val="0"/>
          <w:sz w:val="20"/>
          <w:szCs w:val="20"/>
          <w:lang w:val="en-US"/>
        </w:rPr>
        <w:tab/>
      </w:r>
    </w:p>
    <w:p w14:paraId="722A8B01" w14:textId="4F9F91B6" w:rsidR="47CD22F8" w:rsidRPr="00CC562A" w:rsidRDefault="00752FED"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State</w:t>
      </w:r>
      <w:r w:rsidR="7FA5131C" w:rsidRPr="00CC562A">
        <w:rPr>
          <w:rFonts w:eastAsia="Cambria" w:cs="Cambria"/>
          <w:b w:val="0"/>
          <w:bCs w:val="0"/>
          <w:sz w:val="20"/>
          <w:szCs w:val="20"/>
          <w:lang w:val="en-US"/>
        </w:rPr>
        <w:t xml:space="preserve"> </w:t>
      </w:r>
      <w:r w:rsidR="009D6DF7" w:rsidRPr="00CC562A">
        <w:rPr>
          <w:rFonts w:eastAsia="Cambria" w:cs="Cambria"/>
          <w:b w:val="0"/>
          <w:bCs w:val="0"/>
          <w:sz w:val="20"/>
          <w:szCs w:val="20"/>
          <w:lang w:val="en-US"/>
        </w:rPr>
        <w:t xml:space="preserve">also reported that the </w:t>
      </w:r>
      <w:r w:rsidR="6CC0C439" w:rsidRPr="00CC562A">
        <w:rPr>
          <w:rFonts w:eastAsia="Cambria" w:cs="Cambria"/>
          <w:b w:val="0"/>
          <w:bCs w:val="0"/>
          <w:sz w:val="20"/>
          <w:szCs w:val="20"/>
          <w:lang w:val="en-US"/>
        </w:rPr>
        <w:t xml:space="preserve">SCJN </w:t>
      </w:r>
      <w:r w:rsidR="009D6DF7" w:rsidRPr="00CC562A">
        <w:rPr>
          <w:rFonts w:eastAsia="Cambria" w:cs="Cambria"/>
          <w:b w:val="0"/>
          <w:bCs w:val="0"/>
          <w:sz w:val="20"/>
          <w:szCs w:val="20"/>
          <w:lang w:val="en-US"/>
        </w:rPr>
        <w:t>has been analyzing ex officio pretrial detention in terms of its conformity with the Convention in the context of Unconstitutionality</w:t>
      </w:r>
      <w:r w:rsidR="6CC0C439" w:rsidRPr="00CC562A">
        <w:rPr>
          <w:rFonts w:eastAsia="Cambria" w:cs="Cambria"/>
          <w:b w:val="0"/>
          <w:bCs w:val="0"/>
          <w:sz w:val="20"/>
          <w:szCs w:val="20"/>
          <w:lang w:val="en-US"/>
        </w:rPr>
        <w:t xml:space="preserve"> </w:t>
      </w:r>
      <w:r w:rsidR="00D42C3B" w:rsidRPr="00CC562A">
        <w:rPr>
          <w:rFonts w:eastAsia="Cambria" w:cs="Cambria"/>
          <w:b w:val="0"/>
          <w:bCs w:val="0"/>
          <w:sz w:val="20"/>
          <w:szCs w:val="20"/>
          <w:lang w:val="en-US"/>
        </w:rPr>
        <w:t xml:space="preserve">Action </w:t>
      </w:r>
      <w:r w:rsidR="6CC0C439" w:rsidRPr="00CC562A">
        <w:rPr>
          <w:rFonts w:eastAsia="Cambria" w:cs="Cambria"/>
          <w:b w:val="0"/>
          <w:bCs w:val="0"/>
          <w:sz w:val="20"/>
          <w:szCs w:val="20"/>
          <w:lang w:val="en-US"/>
        </w:rPr>
        <w:t xml:space="preserve">130/2019 </w:t>
      </w:r>
      <w:r w:rsidR="00C702FF" w:rsidRPr="00CC562A">
        <w:rPr>
          <w:rFonts w:eastAsia="Cambria" w:cs="Cambria"/>
          <w:b w:val="0"/>
          <w:bCs w:val="0"/>
          <w:sz w:val="20"/>
          <w:szCs w:val="20"/>
          <w:lang w:val="en-US"/>
        </w:rPr>
        <w:t xml:space="preserve">and joint </w:t>
      </w:r>
      <w:r w:rsidR="00C702FF" w:rsidRPr="00CC562A">
        <w:rPr>
          <w:rFonts w:eastAsia="Cambria" w:cs="Cambria"/>
          <w:b w:val="0"/>
          <w:bCs w:val="0"/>
          <w:sz w:val="20"/>
          <w:szCs w:val="20"/>
          <w:lang w:val="en-US"/>
        </w:rPr>
        <w:lastRenderedPageBreak/>
        <w:t xml:space="preserve">proceedings and Amparo on Review </w:t>
      </w:r>
      <w:r w:rsidR="6CC0C439" w:rsidRPr="00CC562A">
        <w:rPr>
          <w:rFonts w:eastAsia="Cambria" w:cs="Cambria"/>
          <w:b w:val="0"/>
          <w:bCs w:val="0"/>
          <w:sz w:val="20"/>
          <w:szCs w:val="20"/>
          <w:lang w:val="en-US"/>
        </w:rPr>
        <w:t>355/2021</w:t>
      </w:r>
      <w:r w:rsidR="00C702FF" w:rsidRPr="00CC562A">
        <w:rPr>
          <w:rFonts w:eastAsia="Cambria" w:cs="Cambria"/>
          <w:b w:val="0"/>
          <w:bCs w:val="0"/>
          <w:sz w:val="20"/>
          <w:szCs w:val="20"/>
          <w:lang w:val="en-US"/>
        </w:rPr>
        <w:t>.</w:t>
      </w:r>
      <w:r w:rsidR="00946551" w:rsidRPr="00CC562A">
        <w:rPr>
          <w:rStyle w:val="FootnoteReference"/>
          <w:rFonts w:eastAsia="Cambria" w:cs="Cambria"/>
          <w:b w:val="0"/>
          <w:bCs w:val="0"/>
          <w:sz w:val="20"/>
          <w:szCs w:val="20"/>
          <w:lang w:val="en-US"/>
        </w:rPr>
        <w:footnoteReference w:id="236"/>
      </w:r>
      <w:r w:rsidR="00C702FF" w:rsidRPr="00CC562A">
        <w:rPr>
          <w:rFonts w:eastAsia="Cambria" w:cs="Cambria"/>
          <w:b w:val="0"/>
          <w:bCs w:val="0"/>
          <w:sz w:val="20"/>
          <w:szCs w:val="20"/>
          <w:lang w:val="en-US"/>
        </w:rPr>
        <w:t xml:space="preserve"> Within the framework of the </w:t>
      </w:r>
      <w:r w:rsidR="00D42C3B" w:rsidRPr="00CC562A">
        <w:rPr>
          <w:rFonts w:eastAsia="Cambria" w:cs="Cambria"/>
          <w:b w:val="0"/>
          <w:bCs w:val="0"/>
          <w:sz w:val="20"/>
          <w:szCs w:val="20"/>
          <w:lang w:val="en-US"/>
        </w:rPr>
        <w:t>unconstitutionality action</w:t>
      </w:r>
      <w:r w:rsidR="00C702FF" w:rsidRPr="00CC562A">
        <w:rPr>
          <w:rFonts w:eastAsia="Cambria" w:cs="Cambria"/>
          <w:b w:val="0"/>
          <w:bCs w:val="0"/>
          <w:sz w:val="20"/>
          <w:szCs w:val="20"/>
          <w:lang w:val="en-US"/>
        </w:rPr>
        <w:t>, the</w:t>
      </w:r>
      <w:r w:rsidR="00276638" w:rsidRPr="00CC562A">
        <w:rPr>
          <w:rFonts w:eastAsia="Cambria" w:cs="Cambria"/>
          <w:b w:val="0"/>
          <w:bCs w:val="0"/>
          <w:sz w:val="20"/>
          <w:szCs w:val="20"/>
          <w:lang w:val="en-US"/>
        </w:rPr>
        <w:t xml:space="preserve"> IACHR</w:t>
      </w:r>
      <w:r w:rsidR="7BA03E46" w:rsidRPr="00CC562A">
        <w:rPr>
          <w:rFonts w:eastAsia="Cambria" w:cs="Cambria"/>
          <w:b w:val="0"/>
          <w:bCs w:val="0"/>
          <w:sz w:val="20"/>
          <w:szCs w:val="20"/>
          <w:lang w:val="en-US"/>
        </w:rPr>
        <w:t xml:space="preserve"> </w:t>
      </w:r>
      <w:r w:rsidR="00C702FF" w:rsidRPr="00CC562A">
        <w:rPr>
          <w:rFonts w:eastAsia="Cambria" w:cs="Cambria"/>
          <w:b w:val="0"/>
          <w:bCs w:val="0"/>
          <w:sz w:val="20"/>
          <w:szCs w:val="20"/>
          <w:lang w:val="en-US"/>
        </w:rPr>
        <w:t>notes that ex offici</w:t>
      </w:r>
      <w:r w:rsidR="00D42C3B" w:rsidRPr="00CC562A">
        <w:rPr>
          <w:rFonts w:eastAsia="Cambria" w:cs="Cambria"/>
          <w:b w:val="0"/>
          <w:bCs w:val="0"/>
          <w:sz w:val="20"/>
          <w:szCs w:val="20"/>
          <w:lang w:val="en-US"/>
        </w:rPr>
        <w:t>o</w:t>
      </w:r>
      <w:r w:rsidR="00C702FF" w:rsidRPr="00CC562A">
        <w:rPr>
          <w:rFonts w:eastAsia="Cambria" w:cs="Cambria"/>
          <w:b w:val="0"/>
          <w:bCs w:val="0"/>
          <w:sz w:val="20"/>
          <w:szCs w:val="20"/>
          <w:lang w:val="en-US"/>
        </w:rPr>
        <w:t xml:space="preserve"> pretrial detention was declared invalid</w:t>
      </w:r>
      <w:r w:rsidR="00D42C3B" w:rsidRPr="00CC562A">
        <w:rPr>
          <w:rFonts w:eastAsia="Cambria" w:cs="Cambria"/>
          <w:b w:val="0"/>
          <w:bCs w:val="0"/>
          <w:sz w:val="20"/>
          <w:szCs w:val="20"/>
          <w:lang w:val="en-US"/>
        </w:rPr>
        <w:t xml:space="preserve"> in relation to tax crimes. The amparo on review is probably still pending resolution.</w:t>
      </w:r>
      <w:r w:rsidR="00796A33" w:rsidRPr="00CC562A">
        <w:rPr>
          <w:rStyle w:val="FootnoteReference"/>
          <w:rFonts w:eastAsia="Cambria" w:cs="Cambria"/>
          <w:b w:val="0"/>
          <w:bCs w:val="0"/>
          <w:sz w:val="20"/>
          <w:szCs w:val="20"/>
          <w:lang w:val="en-US"/>
        </w:rPr>
        <w:footnoteReference w:id="237"/>
      </w:r>
    </w:p>
    <w:p w14:paraId="600E23FC" w14:textId="536BE72D" w:rsidR="7ED16BE6" w:rsidRPr="00CC562A" w:rsidRDefault="7ED16BE6" w:rsidP="00E529E8">
      <w:pPr>
        <w:pStyle w:val="Heading3"/>
        <w:numPr>
          <w:ilvl w:val="0"/>
          <w:numId w:val="0"/>
        </w:numPr>
        <w:spacing w:before="240" w:after="200" w:line="240" w:lineRule="auto"/>
        <w:ind w:firstLine="720"/>
        <w:rPr>
          <w:rFonts w:eastAsia="Cambria" w:cs="Cambria"/>
          <w:b w:val="0"/>
          <w:bCs w:val="0"/>
          <w:color w:val="000000" w:themeColor="text1"/>
          <w:sz w:val="20"/>
          <w:szCs w:val="20"/>
          <w:lang w:val="en-US"/>
        </w:rPr>
      </w:pPr>
    </w:p>
    <w:p w14:paraId="1E51F6F2" w14:textId="04522B59" w:rsidR="00D521C9" w:rsidRPr="00CC562A" w:rsidRDefault="00D42C3B" w:rsidP="00A92391">
      <w:pPr>
        <w:pStyle w:val="Heading3"/>
        <w:spacing w:before="240" w:after="0" w:line="240" w:lineRule="auto"/>
        <w:ind w:left="0" w:firstLine="720"/>
        <w:rPr>
          <w:rFonts w:eastAsia="Cambria" w:cs="Cambria"/>
          <w:b w:val="0"/>
          <w:bCs w:val="0"/>
          <w:color w:val="000000" w:themeColor="text1"/>
          <w:sz w:val="20"/>
          <w:szCs w:val="20"/>
          <w:lang w:val="en-US"/>
        </w:rPr>
      </w:pPr>
      <w:r w:rsidRPr="00CC562A">
        <w:rPr>
          <w:rFonts w:eastAsia="Cambria" w:cs="Cambria"/>
          <w:b w:val="0"/>
          <w:bCs w:val="0"/>
          <w:sz w:val="20"/>
          <w:szCs w:val="20"/>
          <w:lang w:val="en-US"/>
        </w:rPr>
        <w:t>The Commission notes with concern the excessive use of pretrial detention. In this regard, it notes that, according to the most recent figures from the</w:t>
      </w:r>
      <w:r w:rsidR="2FB13E25" w:rsidRPr="00CC562A">
        <w:rPr>
          <w:rFonts w:eastAsia="Cambria" w:cs="Cambria"/>
          <w:b w:val="0"/>
          <w:bCs w:val="0"/>
          <w:color w:val="000000" w:themeColor="text1"/>
          <w:sz w:val="20"/>
          <w:szCs w:val="20"/>
          <w:lang w:val="en-US"/>
        </w:rPr>
        <w:t xml:space="preserve"> </w:t>
      </w:r>
      <w:r w:rsidR="1A8C5B8F" w:rsidRPr="00CC562A">
        <w:rPr>
          <w:rFonts w:eastAsia="Cambria" w:cs="Cambria"/>
          <w:b w:val="0"/>
          <w:bCs w:val="0"/>
          <w:color w:val="000000" w:themeColor="text1"/>
          <w:sz w:val="20"/>
          <w:szCs w:val="20"/>
          <w:lang w:val="en-US"/>
        </w:rPr>
        <w:t>SSPC</w:t>
      </w:r>
      <w:r w:rsidRPr="00CC562A">
        <w:rPr>
          <w:rFonts w:eastAsia="Cambria" w:cs="Cambria"/>
          <w:b w:val="0"/>
          <w:bCs w:val="0"/>
          <w:color w:val="000000" w:themeColor="text1"/>
          <w:sz w:val="20"/>
          <w:szCs w:val="20"/>
          <w:lang w:val="en-US"/>
        </w:rPr>
        <w:t xml:space="preserve">, more than </w:t>
      </w:r>
      <w:r w:rsidR="2FB13E25" w:rsidRPr="00CC562A">
        <w:rPr>
          <w:rFonts w:eastAsia="Cambria" w:cs="Cambria"/>
          <w:b w:val="0"/>
          <w:bCs w:val="0"/>
          <w:color w:val="000000" w:themeColor="text1"/>
          <w:sz w:val="20"/>
          <w:szCs w:val="20"/>
          <w:lang w:val="en-US"/>
        </w:rPr>
        <w:t>47%</w:t>
      </w:r>
      <w:r w:rsidRPr="00CC562A">
        <w:rPr>
          <w:rFonts w:eastAsia="Cambria" w:cs="Cambria"/>
          <w:b w:val="0"/>
          <w:bCs w:val="0"/>
          <w:color w:val="000000" w:themeColor="text1"/>
          <w:sz w:val="20"/>
          <w:szCs w:val="20"/>
          <w:lang w:val="en-US"/>
        </w:rPr>
        <w:t xml:space="preserve"> of persons deprived of liberty are in pretrial detention. Specifically, as of August</w:t>
      </w:r>
      <w:r w:rsidR="2FB13E25" w:rsidRPr="00CC562A">
        <w:rPr>
          <w:rFonts w:eastAsia="Cambria" w:cs="Cambria"/>
          <w:b w:val="0"/>
          <w:bCs w:val="0"/>
          <w:color w:val="000000" w:themeColor="text1"/>
          <w:sz w:val="20"/>
          <w:szCs w:val="20"/>
          <w:lang w:val="en-US"/>
        </w:rPr>
        <w:t xml:space="preserve"> 2022, </w:t>
      </w:r>
      <w:r w:rsidR="00022627" w:rsidRPr="00CC562A">
        <w:rPr>
          <w:rFonts w:eastAsia="Cambria" w:cs="Cambria"/>
          <w:b w:val="0"/>
          <w:bCs w:val="0"/>
          <w:color w:val="000000" w:themeColor="text1"/>
          <w:sz w:val="20"/>
          <w:szCs w:val="20"/>
          <w:lang w:val="en-US"/>
        </w:rPr>
        <w:t xml:space="preserve">the rate of pretrial detention was </w:t>
      </w:r>
      <w:r w:rsidR="2FB13E25" w:rsidRPr="00CC562A">
        <w:rPr>
          <w:rFonts w:eastAsia="Cambria" w:cs="Cambria"/>
          <w:b w:val="0"/>
          <w:bCs w:val="0"/>
          <w:color w:val="000000" w:themeColor="text1"/>
          <w:sz w:val="20"/>
          <w:szCs w:val="20"/>
          <w:lang w:val="en-US"/>
        </w:rPr>
        <w:t xml:space="preserve">40.1% </w:t>
      </w:r>
      <w:r w:rsidR="00022627" w:rsidRPr="00CC562A">
        <w:rPr>
          <w:rFonts w:eastAsia="Cambria" w:cs="Cambria"/>
          <w:b w:val="0"/>
          <w:bCs w:val="0"/>
          <w:color w:val="000000" w:themeColor="text1"/>
          <w:sz w:val="20"/>
          <w:szCs w:val="20"/>
          <w:lang w:val="en-US"/>
        </w:rPr>
        <w:t>in the regular forum, and</w:t>
      </w:r>
      <w:r w:rsidR="2FB13E25" w:rsidRPr="00CC562A">
        <w:rPr>
          <w:rFonts w:eastAsia="Cambria" w:cs="Cambria"/>
          <w:b w:val="0"/>
          <w:bCs w:val="0"/>
          <w:color w:val="000000" w:themeColor="text1"/>
          <w:sz w:val="20"/>
          <w:szCs w:val="20"/>
          <w:lang w:val="en-US"/>
        </w:rPr>
        <w:t xml:space="preserve"> 55.6% </w:t>
      </w:r>
      <w:r w:rsidR="00022627" w:rsidRPr="00CC562A">
        <w:rPr>
          <w:rFonts w:eastAsia="Cambria" w:cs="Cambria"/>
          <w:b w:val="0"/>
          <w:bCs w:val="0"/>
          <w:color w:val="000000" w:themeColor="text1"/>
          <w:sz w:val="20"/>
          <w:szCs w:val="20"/>
          <w:lang w:val="en-US"/>
        </w:rPr>
        <w:t>in the federal forum</w:t>
      </w:r>
      <w:r w:rsidR="2FB13E25" w:rsidRPr="00CC562A">
        <w:rPr>
          <w:rFonts w:eastAsia="Cambria" w:cs="Cambria"/>
          <w:b w:val="0"/>
          <w:bCs w:val="0"/>
          <w:color w:val="000000" w:themeColor="text1"/>
          <w:sz w:val="20"/>
          <w:szCs w:val="20"/>
          <w:lang w:val="en-US"/>
        </w:rPr>
        <w:t xml:space="preserve">. </w:t>
      </w:r>
      <w:r w:rsidR="00022627" w:rsidRPr="00CC562A">
        <w:rPr>
          <w:rFonts w:eastAsia="Cambria" w:cs="Cambria"/>
          <w:b w:val="0"/>
          <w:bCs w:val="0"/>
          <w:color w:val="000000" w:themeColor="text1"/>
          <w:sz w:val="20"/>
          <w:szCs w:val="20"/>
          <w:lang w:val="en-US"/>
        </w:rPr>
        <w:t>In this regard, the</w:t>
      </w:r>
      <w:r w:rsidR="00276638" w:rsidRPr="00CC562A">
        <w:rPr>
          <w:rFonts w:eastAsia="Cambria" w:cs="Cambria"/>
          <w:b w:val="0"/>
          <w:bCs w:val="0"/>
          <w:color w:val="000000" w:themeColor="text1"/>
          <w:sz w:val="20"/>
          <w:szCs w:val="20"/>
          <w:lang w:val="en-US"/>
        </w:rPr>
        <w:t xml:space="preserve"> IACHR</w:t>
      </w:r>
      <w:r w:rsidR="2FB13E25" w:rsidRPr="00CC562A">
        <w:rPr>
          <w:rFonts w:eastAsia="Cambria" w:cs="Cambria"/>
          <w:b w:val="0"/>
          <w:bCs w:val="0"/>
          <w:color w:val="000000" w:themeColor="text1"/>
          <w:sz w:val="20"/>
          <w:szCs w:val="20"/>
          <w:lang w:val="en-US"/>
        </w:rPr>
        <w:t xml:space="preserve"> </w:t>
      </w:r>
      <w:r w:rsidR="00022627" w:rsidRPr="00CC562A">
        <w:rPr>
          <w:rFonts w:eastAsia="Cambria" w:cs="Cambria"/>
          <w:b w:val="0"/>
          <w:bCs w:val="0"/>
          <w:color w:val="000000" w:themeColor="text1"/>
          <w:sz w:val="20"/>
          <w:szCs w:val="20"/>
          <w:lang w:val="en-US"/>
        </w:rPr>
        <w:t>is concerned that these figures far exceed the rates for precautionary measures that do not entail deprivation of freedom. Thus, according to the</w:t>
      </w:r>
      <w:r w:rsidR="2FB13E25" w:rsidRPr="00CC562A">
        <w:rPr>
          <w:rFonts w:eastAsia="Cambria" w:cs="Cambria"/>
          <w:b w:val="0"/>
          <w:bCs w:val="0"/>
          <w:color w:val="000000" w:themeColor="text1"/>
          <w:sz w:val="20"/>
          <w:szCs w:val="20"/>
          <w:lang w:val="en-US"/>
        </w:rPr>
        <w:t xml:space="preserve"> Institut</w:t>
      </w:r>
      <w:r w:rsidR="00022627" w:rsidRPr="00CC562A">
        <w:rPr>
          <w:rFonts w:eastAsia="Cambria" w:cs="Cambria"/>
          <w:b w:val="0"/>
          <w:bCs w:val="0"/>
          <w:color w:val="000000" w:themeColor="text1"/>
          <w:sz w:val="20"/>
          <w:szCs w:val="20"/>
          <w:lang w:val="en-US"/>
        </w:rPr>
        <w:t>e of Criminal Procedural Justice</w:t>
      </w:r>
      <w:r w:rsidR="2FB13E25" w:rsidRPr="00CC562A">
        <w:rPr>
          <w:rFonts w:eastAsia="Cambria" w:cs="Cambria"/>
          <w:b w:val="0"/>
          <w:bCs w:val="0"/>
          <w:color w:val="000000" w:themeColor="text1"/>
          <w:sz w:val="20"/>
          <w:szCs w:val="20"/>
          <w:lang w:val="en-US"/>
        </w:rPr>
        <w:t xml:space="preserve"> (IJPP) </w:t>
      </w:r>
      <w:r w:rsidR="00C241C7" w:rsidRPr="00CC562A">
        <w:rPr>
          <w:rFonts w:eastAsia="Cambria" w:cs="Cambria"/>
          <w:b w:val="0"/>
          <w:bCs w:val="0"/>
          <w:color w:val="000000" w:themeColor="text1"/>
          <w:sz w:val="20"/>
          <w:szCs w:val="20"/>
          <w:lang w:val="en-US"/>
        </w:rPr>
        <w:t xml:space="preserve">data </w:t>
      </w:r>
      <w:r w:rsidR="2FB13E25" w:rsidRPr="00CC562A">
        <w:rPr>
          <w:rFonts w:eastAsia="Cambria" w:cs="Cambria"/>
          <w:b w:val="0"/>
          <w:bCs w:val="0"/>
          <w:color w:val="000000" w:themeColor="text1"/>
          <w:sz w:val="20"/>
          <w:szCs w:val="20"/>
          <w:lang w:val="en-US"/>
        </w:rPr>
        <w:t>report</w:t>
      </w:r>
      <w:r w:rsidR="00022627" w:rsidRPr="00CC562A">
        <w:rPr>
          <w:rFonts w:eastAsia="Cambria" w:cs="Cambria"/>
          <w:b w:val="0"/>
          <w:bCs w:val="0"/>
          <w:color w:val="000000" w:themeColor="text1"/>
          <w:sz w:val="20"/>
          <w:szCs w:val="20"/>
          <w:lang w:val="en-US"/>
        </w:rPr>
        <w:t>ed by civil society, during</w:t>
      </w:r>
      <w:r w:rsidR="2FB13E25" w:rsidRPr="00CC562A">
        <w:rPr>
          <w:rFonts w:eastAsia="Cambria" w:cs="Cambria"/>
          <w:b w:val="0"/>
          <w:bCs w:val="0"/>
          <w:color w:val="000000" w:themeColor="text1"/>
          <w:sz w:val="20"/>
          <w:szCs w:val="20"/>
          <w:lang w:val="en-US"/>
        </w:rPr>
        <w:t xml:space="preserve"> 2021, </w:t>
      </w:r>
      <w:r w:rsidR="00022627" w:rsidRPr="00CC562A">
        <w:rPr>
          <w:rFonts w:eastAsia="Cambria" w:cs="Cambria"/>
          <w:b w:val="0"/>
          <w:bCs w:val="0"/>
          <w:color w:val="000000" w:themeColor="text1"/>
          <w:sz w:val="20"/>
          <w:szCs w:val="20"/>
          <w:lang w:val="en-US"/>
        </w:rPr>
        <w:t>the alternative measures used most frequently were</w:t>
      </w:r>
      <w:r w:rsidR="2FB13E25" w:rsidRPr="00CC562A">
        <w:rPr>
          <w:rFonts w:eastAsia="Cambria" w:cs="Cambria"/>
          <w:b w:val="0"/>
          <w:bCs w:val="0"/>
          <w:color w:val="000000" w:themeColor="text1"/>
          <w:sz w:val="20"/>
          <w:szCs w:val="20"/>
          <w:lang w:val="en-US"/>
        </w:rPr>
        <w:t xml:space="preserve">: </w:t>
      </w:r>
      <w:proofErr w:type="spellStart"/>
      <w:r w:rsidR="2FB13E25" w:rsidRPr="00CC562A">
        <w:rPr>
          <w:rFonts w:eastAsia="Cambria" w:cs="Cambria"/>
          <w:b w:val="0"/>
          <w:bCs w:val="0"/>
          <w:color w:val="000000" w:themeColor="text1"/>
          <w:sz w:val="20"/>
          <w:szCs w:val="20"/>
          <w:lang w:val="en-US"/>
        </w:rPr>
        <w:t>i</w:t>
      </w:r>
      <w:proofErr w:type="spellEnd"/>
      <w:r w:rsidR="2FB13E25" w:rsidRPr="00CC562A">
        <w:rPr>
          <w:rFonts w:eastAsia="Cambria" w:cs="Cambria"/>
          <w:b w:val="0"/>
          <w:bCs w:val="0"/>
          <w:color w:val="000000" w:themeColor="text1"/>
          <w:sz w:val="20"/>
          <w:szCs w:val="20"/>
          <w:lang w:val="en-US"/>
        </w:rPr>
        <w:t xml:space="preserve">) </w:t>
      </w:r>
      <w:r w:rsidR="00022627" w:rsidRPr="00CC562A">
        <w:rPr>
          <w:rFonts w:eastAsia="Cambria" w:cs="Cambria"/>
          <w:b w:val="0"/>
          <w:bCs w:val="0"/>
          <w:color w:val="000000" w:themeColor="text1"/>
          <w:sz w:val="20"/>
          <w:szCs w:val="20"/>
          <w:lang w:val="en-US"/>
        </w:rPr>
        <w:t>periodic presentation, with an application rate of</w:t>
      </w:r>
      <w:r w:rsidR="2FB13E25" w:rsidRPr="00CC562A">
        <w:rPr>
          <w:rFonts w:eastAsia="Cambria" w:cs="Cambria"/>
          <w:b w:val="0"/>
          <w:bCs w:val="0"/>
          <w:color w:val="000000" w:themeColor="text1"/>
          <w:sz w:val="20"/>
          <w:szCs w:val="20"/>
          <w:lang w:val="en-US"/>
        </w:rPr>
        <w:t xml:space="preserve"> 20%; ii) prohib</w:t>
      </w:r>
      <w:r w:rsidR="00022627" w:rsidRPr="00CC562A">
        <w:rPr>
          <w:rFonts w:eastAsia="Cambria" w:cs="Cambria"/>
          <w:b w:val="0"/>
          <w:bCs w:val="0"/>
          <w:color w:val="000000" w:themeColor="text1"/>
          <w:sz w:val="20"/>
          <w:szCs w:val="20"/>
          <w:lang w:val="en-US"/>
        </w:rPr>
        <w:t>ition on approaching persons, with a rate of</w:t>
      </w:r>
      <w:r w:rsidR="2FB13E25" w:rsidRPr="00CC562A">
        <w:rPr>
          <w:rFonts w:eastAsia="Cambria" w:cs="Cambria"/>
          <w:b w:val="0"/>
          <w:bCs w:val="0"/>
          <w:color w:val="000000" w:themeColor="text1"/>
          <w:sz w:val="20"/>
          <w:szCs w:val="20"/>
          <w:lang w:val="en-US"/>
        </w:rPr>
        <w:t xml:space="preserve"> 10%; </w:t>
      </w:r>
      <w:r w:rsidR="00022627" w:rsidRPr="00CC562A">
        <w:rPr>
          <w:rFonts w:eastAsia="Cambria" w:cs="Cambria"/>
          <w:b w:val="0"/>
          <w:bCs w:val="0"/>
          <w:color w:val="000000" w:themeColor="text1"/>
          <w:sz w:val="20"/>
          <w:szCs w:val="20"/>
          <w:lang w:val="en-US"/>
        </w:rPr>
        <w:t>and</w:t>
      </w:r>
      <w:r w:rsidR="2FB13E25" w:rsidRPr="00CC562A">
        <w:rPr>
          <w:rFonts w:eastAsia="Cambria" w:cs="Cambria"/>
          <w:b w:val="0"/>
          <w:bCs w:val="0"/>
          <w:color w:val="000000" w:themeColor="text1"/>
          <w:sz w:val="20"/>
          <w:szCs w:val="20"/>
          <w:lang w:val="en-US"/>
        </w:rPr>
        <w:t>, iii) prohibi</w:t>
      </w:r>
      <w:r w:rsidR="003B76B8" w:rsidRPr="00CC562A">
        <w:rPr>
          <w:rFonts w:eastAsia="Cambria" w:cs="Cambria"/>
          <w:b w:val="0"/>
          <w:bCs w:val="0"/>
          <w:color w:val="000000" w:themeColor="text1"/>
          <w:sz w:val="20"/>
          <w:szCs w:val="20"/>
          <w:lang w:val="en-US"/>
        </w:rPr>
        <w:t>tion on going to certain places, with a rate of</w:t>
      </w:r>
      <w:r w:rsidR="2FB13E25" w:rsidRPr="00CC562A">
        <w:rPr>
          <w:rFonts w:eastAsia="Cambria" w:cs="Cambria"/>
          <w:b w:val="0"/>
          <w:bCs w:val="0"/>
          <w:color w:val="000000" w:themeColor="text1"/>
          <w:sz w:val="20"/>
          <w:szCs w:val="20"/>
          <w:lang w:val="en-US"/>
        </w:rPr>
        <w:t xml:space="preserve"> 9%</w:t>
      </w:r>
      <w:r w:rsidR="003B76B8" w:rsidRPr="00CC562A">
        <w:rPr>
          <w:rFonts w:eastAsia="Cambria" w:cs="Cambria"/>
          <w:b w:val="0"/>
          <w:bCs w:val="0"/>
          <w:color w:val="000000" w:themeColor="text1"/>
          <w:sz w:val="20"/>
          <w:szCs w:val="20"/>
          <w:lang w:val="en-US"/>
        </w:rPr>
        <w:t>, while the remaining measures are used at a rate of</w:t>
      </w:r>
      <w:r w:rsidR="2FB13E25" w:rsidRPr="00CC562A">
        <w:rPr>
          <w:rFonts w:eastAsia="Cambria" w:cs="Cambria"/>
          <w:b w:val="0"/>
          <w:bCs w:val="0"/>
          <w:color w:val="000000" w:themeColor="text1"/>
          <w:sz w:val="20"/>
          <w:szCs w:val="20"/>
          <w:lang w:val="en-US"/>
        </w:rPr>
        <w:t xml:space="preserve"> 6% o</w:t>
      </w:r>
      <w:r w:rsidR="003B76B8" w:rsidRPr="00CC562A">
        <w:rPr>
          <w:rFonts w:eastAsia="Cambria" w:cs="Cambria"/>
          <w:b w:val="0"/>
          <w:bCs w:val="0"/>
          <w:color w:val="000000" w:themeColor="text1"/>
          <w:sz w:val="20"/>
          <w:szCs w:val="20"/>
          <w:lang w:val="en-US"/>
        </w:rPr>
        <w:t>r less.</w:t>
      </w:r>
      <w:r w:rsidR="004F1941" w:rsidRPr="00CC562A">
        <w:rPr>
          <w:rFonts w:eastAsia="Cambria" w:cs="Cambria"/>
          <w:b w:val="0"/>
          <w:bCs w:val="0"/>
          <w:color w:val="000000" w:themeColor="text1"/>
          <w:sz w:val="20"/>
          <w:szCs w:val="20"/>
          <w:vertAlign w:val="superscript"/>
          <w:lang w:val="en-US"/>
        </w:rPr>
        <w:footnoteReference w:id="238"/>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p>
    <w:p w14:paraId="070B283F" w14:textId="352F8284" w:rsidR="00522749" w:rsidRPr="00CC562A" w:rsidRDefault="003B76B8" w:rsidP="00E529E8">
      <w:pPr>
        <w:pStyle w:val="Heading3"/>
        <w:spacing w:before="240" w:after="200" w:line="240" w:lineRule="auto"/>
        <w:ind w:left="0" w:firstLine="720"/>
        <w:rPr>
          <w:rFonts w:eastAsia="Cambria" w:cs="Cambria"/>
          <w:i/>
          <w:iCs/>
          <w:color w:val="000000" w:themeColor="text1"/>
          <w:sz w:val="20"/>
          <w:szCs w:val="20"/>
          <w:lang w:val="en-US"/>
        </w:rPr>
      </w:pPr>
      <w:r w:rsidRPr="00CC562A">
        <w:rPr>
          <w:rFonts w:eastAsia="Cambria" w:cs="Cambria"/>
          <w:b w:val="0"/>
          <w:bCs w:val="0"/>
          <w:color w:val="000000" w:themeColor="text1"/>
          <w:sz w:val="20"/>
          <w:szCs w:val="20"/>
          <w:lang w:val="en-US"/>
        </w:rPr>
        <w:t>In view of the data submitted, the</w:t>
      </w:r>
      <w:r w:rsidR="00276638" w:rsidRPr="00CC562A">
        <w:rPr>
          <w:rFonts w:eastAsia="Cambria" w:cs="Cambria"/>
          <w:b w:val="0"/>
          <w:bCs w:val="0"/>
          <w:color w:val="000000" w:themeColor="text1"/>
          <w:sz w:val="20"/>
          <w:szCs w:val="20"/>
          <w:lang w:val="en-US"/>
        </w:rPr>
        <w:t xml:space="preserve"> IACHR</w:t>
      </w:r>
      <w:r w:rsidR="2F527219" w:rsidRPr="00CC562A">
        <w:rPr>
          <w:rFonts w:eastAsia="Cambria" w:cs="Cambria"/>
          <w:b w:val="0"/>
          <w:bCs w:val="0"/>
          <w:color w:val="000000" w:themeColor="text1"/>
          <w:sz w:val="20"/>
          <w:szCs w:val="20"/>
          <w:lang w:val="en-US"/>
        </w:rPr>
        <w:t xml:space="preserve"> </w:t>
      </w:r>
      <w:r w:rsidRPr="00CC562A">
        <w:rPr>
          <w:rFonts w:eastAsia="Cambria" w:cs="Cambria"/>
          <w:b w:val="0"/>
          <w:bCs w:val="0"/>
          <w:color w:val="000000" w:themeColor="text1"/>
          <w:sz w:val="20"/>
          <w:szCs w:val="20"/>
          <w:lang w:val="en-US"/>
        </w:rPr>
        <w:t>notes that such high figures demonstrate that this precautionary measure is not applied with respect for its exceptional nature</w:t>
      </w:r>
      <w:r w:rsidR="2F527219" w:rsidRPr="00CC562A">
        <w:rPr>
          <w:rFonts w:eastAsia="Cambria" w:cs="Cambria"/>
          <w:b w:val="0"/>
          <w:bCs w:val="0"/>
          <w:color w:val="000000" w:themeColor="text1"/>
          <w:sz w:val="20"/>
          <w:szCs w:val="20"/>
          <w:lang w:val="en-US"/>
        </w:rPr>
        <w:t xml:space="preserve">. </w:t>
      </w:r>
      <w:r w:rsidRPr="00CC562A">
        <w:rPr>
          <w:rFonts w:eastAsia="Cambria" w:cs="Cambria"/>
          <w:b w:val="0"/>
          <w:bCs w:val="0"/>
          <w:color w:val="000000" w:themeColor="text1"/>
          <w:sz w:val="20"/>
          <w:szCs w:val="20"/>
          <w:lang w:val="en-US"/>
        </w:rPr>
        <w:t>In this regard, the Commission recalls that use of pretrial detention should take</w:t>
      </w:r>
      <w:r w:rsidR="00C241C7" w:rsidRPr="00CC562A">
        <w:rPr>
          <w:rFonts w:eastAsia="Cambria" w:cs="Cambria"/>
          <w:b w:val="0"/>
          <w:bCs w:val="0"/>
          <w:color w:val="000000" w:themeColor="text1"/>
          <w:sz w:val="20"/>
          <w:szCs w:val="20"/>
          <w:lang w:val="en-US"/>
        </w:rPr>
        <w:t xml:space="preserve"> into account</w:t>
      </w:r>
      <w:r w:rsidRPr="00CC562A">
        <w:rPr>
          <w:rFonts w:eastAsia="Cambria" w:cs="Cambria"/>
          <w:b w:val="0"/>
          <w:bCs w:val="0"/>
          <w:color w:val="000000" w:themeColor="text1"/>
          <w:sz w:val="20"/>
          <w:szCs w:val="20"/>
          <w:lang w:val="en-US"/>
        </w:rPr>
        <w:t xml:space="preserve"> its exceptional nature, should be governed by the principles of legality, necessity, and proportionality, and should only be based on the need to reasonably avoid the risk of flight</w:t>
      </w:r>
      <w:r w:rsidR="2F527219" w:rsidRPr="00CC562A">
        <w:rPr>
          <w:rFonts w:eastAsia="Cambria" w:cs="Cambria"/>
          <w:b w:val="0"/>
          <w:bCs w:val="0"/>
          <w:color w:val="000000" w:themeColor="text1"/>
          <w:sz w:val="20"/>
          <w:szCs w:val="20"/>
          <w:lang w:val="en-US"/>
        </w:rPr>
        <w:t xml:space="preserve"> </w:t>
      </w:r>
      <w:r w:rsidRPr="00CC562A">
        <w:rPr>
          <w:rFonts w:eastAsia="Cambria" w:cs="Cambria"/>
          <w:b w:val="0"/>
          <w:bCs w:val="0"/>
          <w:color w:val="000000" w:themeColor="text1"/>
          <w:sz w:val="20"/>
          <w:szCs w:val="20"/>
          <w:lang w:val="en-US"/>
        </w:rPr>
        <w:t>or prevent obstruction of the investigations.</w:t>
      </w:r>
      <w:r w:rsidR="004F1941" w:rsidRPr="00CC562A">
        <w:rPr>
          <w:rFonts w:eastAsia="Cambria" w:cs="Cambria"/>
          <w:b w:val="0"/>
          <w:bCs w:val="0"/>
          <w:color w:val="000000" w:themeColor="text1"/>
          <w:sz w:val="20"/>
          <w:szCs w:val="20"/>
          <w:vertAlign w:val="superscript"/>
          <w:lang w:val="en-US"/>
        </w:rPr>
        <w:footnoteReference w:id="239"/>
      </w:r>
      <w:r w:rsidRPr="00CC562A">
        <w:rPr>
          <w:rFonts w:eastAsia="Cambria" w:cs="Cambria"/>
          <w:b w:val="0"/>
          <w:bCs w:val="0"/>
          <w:color w:val="000000" w:themeColor="text1"/>
          <w:sz w:val="20"/>
          <w:szCs w:val="20"/>
          <w:lang w:val="en-US"/>
        </w:rPr>
        <w:t xml:space="preserve"> The Commission reiterates that the application of ex officio pretrial detention </w:t>
      </w:r>
      <w:r w:rsidR="00BB470C" w:rsidRPr="00CC562A">
        <w:rPr>
          <w:rFonts w:eastAsia="Cambria" w:cs="Cambria"/>
          <w:b w:val="0"/>
          <w:bCs w:val="0"/>
          <w:color w:val="000000" w:themeColor="text1"/>
          <w:sz w:val="20"/>
          <w:szCs w:val="20"/>
          <w:lang w:val="en-US"/>
        </w:rPr>
        <w:t xml:space="preserve">by type of crime constitutes a violation of the right to personal </w:t>
      </w:r>
      <w:r w:rsidR="00F67BC2" w:rsidRPr="00CC562A">
        <w:rPr>
          <w:rFonts w:eastAsia="Cambria" w:cs="Cambria"/>
          <w:b w:val="0"/>
          <w:bCs w:val="0"/>
          <w:color w:val="000000" w:themeColor="text1"/>
          <w:sz w:val="20"/>
          <w:szCs w:val="20"/>
          <w:lang w:val="en-US"/>
        </w:rPr>
        <w:t>liberty</w:t>
      </w:r>
      <w:r w:rsidR="00BB470C" w:rsidRPr="00CC562A">
        <w:rPr>
          <w:rFonts w:eastAsia="Cambria" w:cs="Cambria"/>
          <w:b w:val="0"/>
          <w:bCs w:val="0"/>
          <w:color w:val="000000" w:themeColor="text1"/>
          <w:sz w:val="20"/>
          <w:szCs w:val="20"/>
          <w:lang w:val="en-US"/>
        </w:rPr>
        <w:t xml:space="preserve"> under the terms of Article </w:t>
      </w:r>
      <w:r w:rsidR="597CDC1D" w:rsidRPr="00CC562A">
        <w:rPr>
          <w:rFonts w:eastAsia="Cambria" w:cs="Cambria"/>
          <w:b w:val="0"/>
          <w:bCs w:val="0"/>
          <w:sz w:val="20"/>
          <w:szCs w:val="20"/>
          <w:lang w:val="en-US"/>
        </w:rPr>
        <w:t xml:space="preserve">7.3 </w:t>
      </w:r>
      <w:r w:rsidR="00BB470C" w:rsidRPr="00CC562A">
        <w:rPr>
          <w:rFonts w:eastAsia="Cambria" w:cs="Cambria"/>
          <w:b w:val="0"/>
          <w:bCs w:val="0"/>
          <w:sz w:val="20"/>
          <w:szCs w:val="20"/>
          <w:lang w:val="en-US"/>
        </w:rPr>
        <w:t xml:space="preserve">of the American Convention. </w:t>
      </w:r>
      <w:r w:rsidR="00F67BC2" w:rsidRPr="00CC562A">
        <w:rPr>
          <w:rFonts w:eastAsia="Cambria" w:cs="Cambria"/>
          <w:b w:val="0"/>
          <w:bCs w:val="0"/>
          <w:sz w:val="20"/>
          <w:szCs w:val="20"/>
          <w:lang w:val="en-US"/>
        </w:rPr>
        <w:t>Furthermore, it converts</w:t>
      </w:r>
      <w:r w:rsidR="00BB470C" w:rsidRPr="00CC562A">
        <w:rPr>
          <w:rFonts w:eastAsia="Cambria" w:cs="Cambria"/>
          <w:b w:val="0"/>
          <w:bCs w:val="0"/>
          <w:sz w:val="20"/>
          <w:szCs w:val="20"/>
          <w:lang w:val="en-US"/>
        </w:rPr>
        <w:t xml:space="preserve"> pretrial detention into a</w:t>
      </w:r>
      <w:r w:rsidR="00F67BC2" w:rsidRPr="00CC562A">
        <w:rPr>
          <w:rFonts w:eastAsia="Cambria" w:cs="Cambria"/>
          <w:b w:val="0"/>
          <w:bCs w:val="0"/>
          <w:sz w:val="20"/>
          <w:szCs w:val="20"/>
          <w:lang w:val="en-US"/>
        </w:rPr>
        <w:t xml:space="preserve"> penalty-in-advance</w:t>
      </w:r>
      <w:r w:rsidR="00BB470C" w:rsidRPr="00CC562A">
        <w:rPr>
          <w:rFonts w:eastAsia="Cambria" w:cs="Cambria"/>
          <w:b w:val="0"/>
          <w:bCs w:val="0"/>
          <w:sz w:val="20"/>
          <w:szCs w:val="20"/>
          <w:lang w:val="en-US"/>
        </w:rPr>
        <w:t>,</w:t>
      </w:r>
      <w:r w:rsidR="00F5261F" w:rsidRPr="00CC562A">
        <w:rPr>
          <w:b w:val="0"/>
          <w:bCs w:val="0"/>
          <w:sz w:val="20"/>
          <w:szCs w:val="20"/>
          <w:vertAlign w:val="superscript"/>
          <w:lang w:val="en-US"/>
        </w:rPr>
        <w:footnoteReference w:id="240"/>
      </w:r>
      <w:r w:rsidR="00BB470C" w:rsidRPr="00CC562A">
        <w:rPr>
          <w:rFonts w:eastAsia="Cambria" w:cs="Cambria"/>
          <w:b w:val="0"/>
          <w:bCs w:val="0"/>
          <w:sz w:val="20"/>
          <w:szCs w:val="20"/>
          <w:lang w:val="en-US"/>
        </w:rPr>
        <w:t xml:space="preserve"> which entails illegitimate interference by the legislator in assessment</w:t>
      </w:r>
      <w:r w:rsidR="00F67BC2" w:rsidRPr="00CC562A">
        <w:rPr>
          <w:rFonts w:eastAsia="Cambria" w:cs="Cambria"/>
          <w:b w:val="0"/>
          <w:bCs w:val="0"/>
          <w:sz w:val="20"/>
          <w:szCs w:val="20"/>
          <w:lang w:val="en-US"/>
        </w:rPr>
        <w:t>s that fall within the sphere of competence of the judicial authority</w:t>
      </w:r>
      <w:r w:rsidR="00BB470C" w:rsidRPr="00CC562A">
        <w:rPr>
          <w:rFonts w:eastAsia="Cambria" w:cs="Cambria"/>
          <w:b w:val="0"/>
          <w:bCs w:val="0"/>
          <w:sz w:val="20"/>
          <w:szCs w:val="20"/>
          <w:lang w:val="en-US"/>
        </w:rPr>
        <w:t>.</w:t>
      </w:r>
      <w:r w:rsidR="00D2243D" w:rsidRPr="00CC562A">
        <w:rPr>
          <w:b w:val="0"/>
          <w:bCs w:val="0"/>
          <w:sz w:val="20"/>
          <w:szCs w:val="20"/>
          <w:vertAlign w:val="superscript"/>
          <w:lang w:val="en-US"/>
        </w:rPr>
        <w:footnoteReference w:id="241"/>
      </w:r>
      <w:r w:rsidR="00BB470C" w:rsidRPr="00CC562A">
        <w:rPr>
          <w:rFonts w:eastAsia="Cambria" w:cs="Cambria"/>
          <w:b w:val="0"/>
          <w:bCs w:val="0"/>
          <w:sz w:val="20"/>
          <w:szCs w:val="20"/>
          <w:lang w:val="en-US"/>
        </w:rPr>
        <w:t xml:space="preserve"> Based on the foregoing, </w:t>
      </w:r>
      <w:r w:rsidR="00276638" w:rsidRPr="00CC562A">
        <w:rPr>
          <w:rFonts w:eastAsia="Cambria" w:cs="Cambria"/>
          <w:b w:val="0"/>
          <w:bCs w:val="0"/>
          <w:sz w:val="20"/>
          <w:szCs w:val="20"/>
          <w:lang w:val="en-US"/>
        </w:rPr>
        <w:t>the IACHR</w:t>
      </w:r>
      <w:r w:rsidR="597CDC1D" w:rsidRPr="00CC562A">
        <w:rPr>
          <w:rFonts w:eastAsia="Cambria" w:cs="Cambria"/>
          <w:b w:val="0"/>
          <w:bCs w:val="0"/>
          <w:sz w:val="20"/>
          <w:szCs w:val="20"/>
          <w:lang w:val="en-US"/>
        </w:rPr>
        <w:t xml:space="preserve"> </w:t>
      </w:r>
      <w:r w:rsidR="50704223" w:rsidRPr="00CC562A">
        <w:rPr>
          <w:rFonts w:eastAsia="Cambria" w:cs="Cambria"/>
          <w:b w:val="0"/>
          <w:bCs w:val="0"/>
          <w:sz w:val="20"/>
          <w:szCs w:val="20"/>
          <w:lang w:val="en-US"/>
        </w:rPr>
        <w:t>conclu</w:t>
      </w:r>
      <w:r w:rsidR="00BB470C" w:rsidRPr="00CC562A">
        <w:rPr>
          <w:rFonts w:eastAsia="Cambria" w:cs="Cambria"/>
          <w:b w:val="0"/>
          <w:bCs w:val="0"/>
          <w:sz w:val="20"/>
          <w:szCs w:val="20"/>
          <w:lang w:val="en-US"/>
        </w:rPr>
        <w:t xml:space="preserve">des that the recommendation is </w:t>
      </w:r>
      <w:r w:rsidR="00BB470C" w:rsidRPr="00CC562A">
        <w:rPr>
          <w:rFonts w:eastAsia="Cambria" w:cs="Cambria"/>
          <w:sz w:val="20"/>
          <w:szCs w:val="20"/>
          <w:lang w:val="en-US"/>
        </w:rPr>
        <w:t>pending compliance</w:t>
      </w:r>
      <w:r w:rsidR="4FC81B7A" w:rsidRPr="00CC562A">
        <w:rPr>
          <w:rFonts w:eastAsia="Cambria" w:cs="Cambria"/>
          <w:sz w:val="20"/>
          <w:szCs w:val="20"/>
          <w:lang w:val="en-US"/>
        </w:rPr>
        <w:t>.</w:t>
      </w:r>
      <w:r w:rsidR="5D78A10E" w:rsidRPr="00CC562A">
        <w:rPr>
          <w:rFonts w:eastAsia="Cambria" w:cs="Cambria"/>
          <w:sz w:val="20"/>
          <w:szCs w:val="20"/>
          <w:lang w:val="en-US"/>
        </w:rPr>
        <w:t xml:space="preserve"> </w:t>
      </w:r>
    </w:p>
    <w:p w14:paraId="347092B0" w14:textId="41CD8A46"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3230D923" w14:textId="52B36021" w:rsidR="001C736F" w:rsidRPr="00CC562A" w:rsidRDefault="00BB470C" w:rsidP="00E529E8">
      <w:pPr>
        <w:pStyle w:val="Heading3"/>
        <w:spacing w:before="240" w:after="200" w:line="240" w:lineRule="auto"/>
        <w:ind w:left="0" w:firstLine="720"/>
        <w:rPr>
          <w:rFonts w:eastAsia="Cambria" w:cs="Cambria"/>
          <w:b w:val="0"/>
          <w:bCs w:val="0"/>
          <w:sz w:val="20"/>
          <w:szCs w:val="20"/>
          <w:lang w:val="en-US"/>
        </w:rPr>
      </w:pPr>
      <w:proofErr w:type="gramStart"/>
      <w:r w:rsidRPr="00CC562A">
        <w:rPr>
          <w:rFonts w:eastAsia="Cambria" w:cs="Cambria"/>
          <w:b w:val="0"/>
          <w:bCs w:val="0"/>
          <w:sz w:val="20"/>
          <w:szCs w:val="20"/>
          <w:lang w:val="en-US"/>
        </w:rPr>
        <w:t>In order to</w:t>
      </w:r>
      <w:proofErr w:type="gramEnd"/>
      <w:r w:rsidRPr="00CC562A">
        <w:rPr>
          <w:rFonts w:eastAsia="Cambria" w:cs="Cambria"/>
          <w:b w:val="0"/>
          <w:bCs w:val="0"/>
          <w:sz w:val="20"/>
          <w:szCs w:val="20"/>
          <w:lang w:val="en-US"/>
        </w:rPr>
        <w:t xml:space="preserve"> guide compliance with the recommendation, the Commission suggests that the State strengthen measures to reduce the use of pretrial detention, </w:t>
      </w:r>
      <w:r w:rsidR="00F67BC2" w:rsidRPr="00CC562A">
        <w:rPr>
          <w:rFonts w:eastAsia="Cambria" w:cs="Cambria"/>
          <w:b w:val="0"/>
          <w:bCs w:val="0"/>
          <w:sz w:val="20"/>
          <w:szCs w:val="20"/>
          <w:lang w:val="en-US"/>
        </w:rPr>
        <w:t>as well as other measures alternative to deprivation of liberty during trial.</w:t>
      </w:r>
      <w:r w:rsidR="18056839" w:rsidRPr="00CC562A">
        <w:rPr>
          <w:rFonts w:eastAsia="Cambria" w:cs="Cambria"/>
          <w:b w:val="0"/>
          <w:bCs w:val="0"/>
          <w:sz w:val="20"/>
          <w:szCs w:val="20"/>
          <w:lang w:val="en-US"/>
        </w:rPr>
        <w:t xml:space="preserve"> </w:t>
      </w:r>
      <w:r w:rsidR="00F108AA" w:rsidRPr="00CC562A">
        <w:rPr>
          <w:rFonts w:eastAsia="Cambria" w:cs="Cambria"/>
          <w:b w:val="0"/>
          <w:bCs w:val="0"/>
          <w:sz w:val="20"/>
          <w:szCs w:val="20"/>
          <w:lang w:val="en-US"/>
        </w:rPr>
        <w:t>In addition,</w:t>
      </w:r>
      <w:r w:rsidR="18056839" w:rsidRPr="00CC562A">
        <w:rPr>
          <w:rFonts w:eastAsia="Cambria" w:cs="Cambria"/>
          <w:b w:val="0"/>
          <w:bCs w:val="0"/>
          <w:sz w:val="20"/>
          <w:szCs w:val="20"/>
          <w:lang w:val="en-US"/>
        </w:rPr>
        <w:t xml:space="preserve"> </w:t>
      </w:r>
      <w:r w:rsidR="00276638" w:rsidRPr="00CC562A">
        <w:rPr>
          <w:rFonts w:eastAsia="Cambria" w:cs="Cambria"/>
          <w:b w:val="0"/>
          <w:bCs w:val="0"/>
          <w:sz w:val="20"/>
          <w:szCs w:val="20"/>
          <w:lang w:val="en-US"/>
        </w:rPr>
        <w:t>the IACHR</w:t>
      </w:r>
      <w:r w:rsidR="18056839" w:rsidRPr="00CC562A">
        <w:rPr>
          <w:rFonts w:eastAsia="Cambria" w:cs="Cambria"/>
          <w:b w:val="0"/>
          <w:bCs w:val="0"/>
          <w:sz w:val="20"/>
          <w:szCs w:val="20"/>
          <w:lang w:val="en-US"/>
        </w:rPr>
        <w:t xml:space="preserve"> </w:t>
      </w:r>
      <w:r w:rsidR="00F67BC2" w:rsidRPr="00CC562A">
        <w:rPr>
          <w:rFonts w:eastAsia="Cambria" w:cs="Cambria"/>
          <w:b w:val="0"/>
          <w:bCs w:val="0"/>
          <w:sz w:val="20"/>
          <w:szCs w:val="20"/>
          <w:lang w:val="en-US"/>
        </w:rPr>
        <w:t>again calls on the Mexican State to ensure that pretrial detention is used in accordance with governing inter-American standards on the subject and, as part of this effort, to eliminate ex officio pretrial detention from its legal system</w:t>
      </w:r>
      <w:r w:rsidR="18056839" w:rsidRPr="00CC562A">
        <w:rPr>
          <w:rFonts w:eastAsia="Cambria" w:cs="Cambria"/>
          <w:b w:val="0"/>
          <w:bCs w:val="0"/>
          <w:color w:val="000000" w:themeColor="text1"/>
          <w:sz w:val="20"/>
          <w:szCs w:val="20"/>
          <w:lang w:val="en-US"/>
        </w:rPr>
        <w:t>.</w:t>
      </w:r>
    </w:p>
    <w:p w14:paraId="24FDC191" w14:textId="07900344"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35EED0C7" w14:textId="6BDE2A99" w:rsidR="49699C84" w:rsidRPr="00CC562A" w:rsidRDefault="00F67BC2"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Regarding the recommendation to </w:t>
      </w:r>
      <w:r w:rsidR="6D92A36E" w:rsidRPr="00CC562A">
        <w:rPr>
          <w:sz w:val="20"/>
          <w:szCs w:val="20"/>
          <w:lang w:val="en-US"/>
        </w:rPr>
        <w:t>adopt</w:t>
      </w:r>
      <w:r w:rsidRPr="00CC562A">
        <w:rPr>
          <w:sz w:val="20"/>
          <w:szCs w:val="20"/>
          <w:lang w:val="en-US"/>
        </w:rPr>
        <w:t xml:space="preserve"> all necessary measures to guarantee a social reintegration strategy</w:t>
      </w:r>
      <w:r w:rsidR="0ED6A699"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the State</w:t>
      </w:r>
      <w:r w:rsidR="08A927E6" w:rsidRPr="00CC562A">
        <w:rPr>
          <w:rFonts w:eastAsia="Cambria" w:cs="Cambria"/>
          <w:b w:val="0"/>
          <w:bCs w:val="0"/>
          <w:sz w:val="20"/>
          <w:szCs w:val="20"/>
          <w:lang w:val="en-US"/>
        </w:rPr>
        <w:t xml:space="preserve"> </w:t>
      </w:r>
      <w:r w:rsidRPr="00CC562A">
        <w:rPr>
          <w:rFonts w:eastAsia="Cambria" w:cs="Cambria"/>
          <w:b w:val="0"/>
          <w:bCs w:val="0"/>
          <w:sz w:val="20"/>
          <w:szCs w:val="20"/>
          <w:lang w:val="en-US"/>
        </w:rPr>
        <w:t>indicated that it currently has no updated information with respect to this recommendation.</w:t>
      </w:r>
      <w:r w:rsidR="00946551" w:rsidRPr="00CC562A">
        <w:rPr>
          <w:rStyle w:val="FootnoteReference"/>
          <w:rFonts w:eastAsia="Cambria" w:cs="Cambria"/>
          <w:b w:val="0"/>
          <w:bCs w:val="0"/>
          <w:sz w:val="20"/>
          <w:szCs w:val="20"/>
          <w:lang w:val="en-US"/>
        </w:rPr>
        <w:footnoteReference w:id="242"/>
      </w:r>
      <w:r w:rsidRPr="00CC562A">
        <w:rPr>
          <w:rFonts w:eastAsia="Cambria" w:cs="Cambria"/>
          <w:b w:val="0"/>
          <w:bCs w:val="0"/>
          <w:sz w:val="20"/>
          <w:szCs w:val="20"/>
          <w:lang w:val="en-US"/>
        </w:rPr>
        <w:t xml:space="preserve"> For its part, the Commission has been informed </w:t>
      </w:r>
      <w:r w:rsidR="00E6634B" w:rsidRPr="00CC562A">
        <w:rPr>
          <w:rFonts w:eastAsia="Cambria" w:cs="Cambria"/>
          <w:b w:val="0"/>
          <w:bCs w:val="0"/>
          <w:sz w:val="20"/>
          <w:szCs w:val="20"/>
          <w:lang w:val="en-US"/>
        </w:rPr>
        <w:t xml:space="preserve">of an increase of </w:t>
      </w:r>
      <w:r w:rsidR="3269D11B" w:rsidRPr="00CC562A">
        <w:rPr>
          <w:rFonts w:eastAsia="Cambria" w:cs="Cambria"/>
          <w:b w:val="0"/>
          <w:bCs w:val="0"/>
          <w:color w:val="000000" w:themeColor="text1"/>
          <w:sz w:val="20"/>
          <w:szCs w:val="20"/>
          <w:lang w:val="en-US"/>
        </w:rPr>
        <w:t xml:space="preserve">11.5% </w:t>
      </w:r>
      <w:r w:rsidR="00E6634B" w:rsidRPr="00CC562A">
        <w:rPr>
          <w:rFonts w:eastAsia="Cambria" w:cs="Cambria"/>
          <w:b w:val="0"/>
          <w:bCs w:val="0"/>
          <w:color w:val="000000" w:themeColor="text1"/>
          <w:sz w:val="20"/>
          <w:szCs w:val="20"/>
          <w:lang w:val="en-US"/>
        </w:rPr>
        <w:t>for</w:t>
      </w:r>
      <w:r w:rsidR="3269D11B" w:rsidRPr="00CC562A">
        <w:rPr>
          <w:rFonts w:eastAsia="Cambria" w:cs="Cambria"/>
          <w:b w:val="0"/>
          <w:bCs w:val="0"/>
          <w:color w:val="000000" w:themeColor="text1"/>
          <w:sz w:val="20"/>
          <w:szCs w:val="20"/>
          <w:lang w:val="en-US"/>
        </w:rPr>
        <w:t xml:space="preserve"> 2022 </w:t>
      </w:r>
      <w:r w:rsidR="00E6634B" w:rsidRPr="00CC562A">
        <w:rPr>
          <w:rFonts w:eastAsia="Cambria" w:cs="Cambria"/>
          <w:b w:val="0"/>
          <w:bCs w:val="0"/>
          <w:color w:val="000000" w:themeColor="text1"/>
          <w:sz w:val="20"/>
          <w:szCs w:val="20"/>
          <w:lang w:val="en-US"/>
        </w:rPr>
        <w:t>in the budget allocated for the federal prison system, imprisonment, and social reintegration</w:t>
      </w:r>
      <w:r w:rsidR="3269D11B" w:rsidRPr="00CC562A">
        <w:rPr>
          <w:rFonts w:eastAsia="Cambria" w:cs="Cambria"/>
          <w:b w:val="0"/>
          <w:bCs w:val="0"/>
          <w:color w:val="000000" w:themeColor="text1"/>
          <w:sz w:val="20"/>
          <w:szCs w:val="20"/>
          <w:lang w:val="en-US"/>
        </w:rPr>
        <w:t xml:space="preserve">. </w:t>
      </w:r>
      <w:r w:rsidR="00E6634B" w:rsidRPr="00CC562A">
        <w:rPr>
          <w:rFonts w:eastAsia="Cambria" w:cs="Cambria"/>
          <w:b w:val="0"/>
          <w:bCs w:val="0"/>
          <w:color w:val="000000" w:themeColor="text1"/>
          <w:sz w:val="20"/>
          <w:szCs w:val="20"/>
          <w:lang w:val="en-US"/>
        </w:rPr>
        <w:t xml:space="preserve">Of that </w:t>
      </w:r>
      <w:r w:rsidR="00D77397" w:rsidRPr="00CC562A">
        <w:rPr>
          <w:rFonts w:eastAsia="Cambria" w:cs="Cambria"/>
          <w:b w:val="0"/>
          <w:bCs w:val="0"/>
          <w:color w:val="000000" w:themeColor="text1"/>
          <w:sz w:val="20"/>
          <w:szCs w:val="20"/>
          <w:lang w:val="en-US"/>
        </w:rPr>
        <w:t>budget, 97.6</w:t>
      </w:r>
      <w:r w:rsidR="3269D11B" w:rsidRPr="00CC562A">
        <w:rPr>
          <w:rFonts w:eastAsia="Cambria" w:cs="Cambria"/>
          <w:b w:val="0"/>
          <w:bCs w:val="0"/>
          <w:color w:val="000000" w:themeColor="text1"/>
          <w:sz w:val="20"/>
          <w:szCs w:val="20"/>
          <w:lang w:val="en-US"/>
        </w:rPr>
        <w:t xml:space="preserve">% </w:t>
      </w:r>
      <w:r w:rsidR="00E6634B" w:rsidRPr="00CC562A">
        <w:rPr>
          <w:rFonts w:eastAsia="Cambria" w:cs="Cambria"/>
          <w:b w:val="0"/>
          <w:bCs w:val="0"/>
          <w:color w:val="000000" w:themeColor="text1"/>
          <w:sz w:val="20"/>
          <w:szCs w:val="20"/>
          <w:lang w:val="en-US"/>
        </w:rPr>
        <w:lastRenderedPageBreak/>
        <w:t xml:space="preserve">would be allocated to ensure the </w:t>
      </w:r>
      <w:r w:rsidR="000636A6" w:rsidRPr="00CC562A">
        <w:rPr>
          <w:rFonts w:eastAsia="Cambria" w:cs="Cambria"/>
          <w:b w:val="0"/>
          <w:bCs w:val="0"/>
          <w:color w:val="000000" w:themeColor="text1"/>
          <w:sz w:val="20"/>
          <w:szCs w:val="20"/>
          <w:lang w:val="en-US"/>
        </w:rPr>
        <w:t>enforcement of legal rulings</w:t>
      </w:r>
      <w:r w:rsidR="00E6634B" w:rsidRPr="00CC562A">
        <w:rPr>
          <w:rFonts w:eastAsia="Cambria" w:cs="Cambria"/>
          <w:b w:val="0"/>
          <w:bCs w:val="0"/>
          <w:color w:val="000000" w:themeColor="text1"/>
          <w:sz w:val="20"/>
          <w:szCs w:val="20"/>
          <w:lang w:val="en-US"/>
        </w:rPr>
        <w:t xml:space="preserve"> and contribute to the social readjustment of persons deprived of liberty.</w:t>
      </w:r>
      <w:r w:rsidR="49699C84" w:rsidRPr="00CC562A">
        <w:rPr>
          <w:b w:val="0"/>
          <w:bCs w:val="0"/>
          <w:sz w:val="20"/>
          <w:szCs w:val="20"/>
          <w:vertAlign w:val="superscript"/>
          <w:lang w:val="en-US"/>
        </w:rPr>
        <w:footnoteReference w:id="243"/>
      </w:r>
      <w:r w:rsidR="138E2AEA" w:rsidRPr="00CC562A">
        <w:rPr>
          <w:rFonts w:eastAsia="Cambria" w:cs="Cambria"/>
          <w:b w:val="0"/>
          <w:bCs w:val="0"/>
          <w:sz w:val="20"/>
          <w:szCs w:val="20"/>
          <w:lang w:val="en-US"/>
        </w:rPr>
        <w:t xml:space="preserve"> </w:t>
      </w:r>
      <w:r w:rsidR="00F108AA" w:rsidRPr="00CC562A">
        <w:rPr>
          <w:rFonts w:eastAsia="Cambria" w:cs="Cambria"/>
          <w:b w:val="0"/>
          <w:bCs w:val="0"/>
          <w:color w:val="000000" w:themeColor="text1"/>
          <w:sz w:val="20"/>
          <w:szCs w:val="20"/>
          <w:lang w:val="en-US"/>
        </w:rPr>
        <w:t>In addition,</w:t>
      </w:r>
      <w:r w:rsidR="3269D11B" w:rsidRPr="00CC562A">
        <w:rPr>
          <w:rFonts w:eastAsia="Cambria" w:cs="Cambria"/>
          <w:b w:val="0"/>
          <w:bCs w:val="0"/>
          <w:color w:val="000000" w:themeColor="text1"/>
          <w:sz w:val="20"/>
          <w:szCs w:val="20"/>
          <w:lang w:val="en-US"/>
        </w:rPr>
        <w:t xml:space="preserve"> a</w:t>
      </w:r>
      <w:r w:rsidR="00E6634B" w:rsidRPr="00CC562A">
        <w:rPr>
          <w:rFonts w:eastAsia="Cambria" w:cs="Cambria"/>
          <w:b w:val="0"/>
          <w:bCs w:val="0"/>
          <w:color w:val="000000" w:themeColor="text1"/>
          <w:sz w:val="20"/>
          <w:szCs w:val="20"/>
          <w:lang w:val="en-US"/>
        </w:rPr>
        <w:t xml:space="preserve">t the local level, </w:t>
      </w:r>
      <w:r w:rsidR="00276638" w:rsidRPr="00CC562A">
        <w:rPr>
          <w:rFonts w:eastAsia="Cambria" w:cs="Cambria"/>
          <w:b w:val="0"/>
          <w:bCs w:val="0"/>
          <w:color w:val="000000" w:themeColor="text1"/>
          <w:sz w:val="20"/>
          <w:szCs w:val="20"/>
          <w:lang w:val="en-US"/>
        </w:rPr>
        <w:t>the IACHR</w:t>
      </w:r>
      <w:r w:rsidR="3269D11B" w:rsidRPr="00CC562A">
        <w:rPr>
          <w:rFonts w:eastAsia="Cambria" w:cs="Cambria"/>
          <w:b w:val="0"/>
          <w:bCs w:val="0"/>
          <w:color w:val="000000" w:themeColor="text1"/>
          <w:sz w:val="20"/>
          <w:szCs w:val="20"/>
          <w:lang w:val="en-US"/>
        </w:rPr>
        <w:t xml:space="preserve"> </w:t>
      </w:r>
      <w:r w:rsidR="00E6634B" w:rsidRPr="00CC562A">
        <w:rPr>
          <w:rFonts w:eastAsia="Cambria" w:cs="Cambria"/>
          <w:b w:val="0"/>
          <w:bCs w:val="0"/>
          <w:color w:val="000000" w:themeColor="text1"/>
          <w:sz w:val="20"/>
          <w:szCs w:val="20"/>
          <w:lang w:val="en-US"/>
        </w:rPr>
        <w:t>notes that, according to official data</w:t>
      </w:r>
      <w:r w:rsidR="3269D11B" w:rsidRPr="00CC562A">
        <w:rPr>
          <w:rFonts w:eastAsia="Cambria" w:cs="Cambria"/>
          <w:b w:val="0"/>
          <w:bCs w:val="0"/>
          <w:color w:val="000000" w:themeColor="text1"/>
          <w:sz w:val="20"/>
          <w:szCs w:val="20"/>
          <w:lang w:val="en-US"/>
        </w:rPr>
        <w:t>, 57.7%</w:t>
      </w:r>
      <w:r w:rsidR="00E6634B" w:rsidRPr="00CC562A">
        <w:rPr>
          <w:rFonts w:eastAsia="Cambria" w:cs="Cambria"/>
          <w:b w:val="0"/>
          <w:bCs w:val="0"/>
          <w:color w:val="000000" w:themeColor="text1"/>
          <w:sz w:val="20"/>
          <w:szCs w:val="20"/>
          <w:lang w:val="en-US"/>
        </w:rPr>
        <w:t xml:space="preserve"> of the total prison population in Mexico City </w:t>
      </w:r>
      <w:r w:rsidR="3269D11B" w:rsidRPr="00CC562A">
        <w:rPr>
          <w:rFonts w:eastAsia="Cambria" w:cs="Cambria"/>
          <w:b w:val="0"/>
          <w:bCs w:val="0"/>
          <w:color w:val="000000" w:themeColor="text1"/>
          <w:sz w:val="20"/>
          <w:szCs w:val="20"/>
          <w:lang w:val="en-US"/>
        </w:rPr>
        <w:t>(15</w:t>
      </w:r>
      <w:r w:rsidR="00E6634B" w:rsidRPr="00CC562A">
        <w:rPr>
          <w:rFonts w:eastAsia="Cambria" w:cs="Cambria"/>
          <w:b w:val="0"/>
          <w:bCs w:val="0"/>
          <w:color w:val="000000" w:themeColor="text1"/>
          <w:sz w:val="20"/>
          <w:szCs w:val="20"/>
          <w:lang w:val="en-US"/>
        </w:rPr>
        <w:t>,</w:t>
      </w:r>
      <w:r w:rsidR="3269D11B" w:rsidRPr="00CC562A">
        <w:rPr>
          <w:rFonts w:eastAsia="Cambria" w:cs="Cambria"/>
          <w:b w:val="0"/>
          <w:bCs w:val="0"/>
          <w:color w:val="000000" w:themeColor="text1"/>
          <w:sz w:val="20"/>
          <w:szCs w:val="20"/>
          <w:lang w:val="en-US"/>
        </w:rPr>
        <w:t>000 pe</w:t>
      </w:r>
      <w:r w:rsidR="00E6634B" w:rsidRPr="00CC562A">
        <w:rPr>
          <w:rFonts w:eastAsia="Cambria" w:cs="Cambria"/>
          <w:b w:val="0"/>
          <w:bCs w:val="0"/>
          <w:color w:val="000000" w:themeColor="text1"/>
          <w:sz w:val="20"/>
          <w:szCs w:val="20"/>
          <w:lang w:val="en-US"/>
        </w:rPr>
        <w:t>ople</w:t>
      </w:r>
      <w:r w:rsidR="3269D11B" w:rsidRPr="00CC562A">
        <w:rPr>
          <w:rFonts w:eastAsia="Cambria" w:cs="Cambria"/>
          <w:b w:val="0"/>
          <w:bCs w:val="0"/>
          <w:color w:val="000000" w:themeColor="text1"/>
          <w:sz w:val="20"/>
          <w:szCs w:val="20"/>
          <w:lang w:val="en-US"/>
        </w:rPr>
        <w:t xml:space="preserve">) </w:t>
      </w:r>
      <w:r w:rsidR="00E6634B" w:rsidRPr="00CC562A">
        <w:rPr>
          <w:rFonts w:eastAsia="Cambria" w:cs="Cambria"/>
          <w:b w:val="0"/>
          <w:bCs w:val="0"/>
          <w:color w:val="000000" w:themeColor="text1"/>
          <w:sz w:val="20"/>
          <w:szCs w:val="20"/>
          <w:lang w:val="en-US"/>
        </w:rPr>
        <w:t xml:space="preserve">are assigned to some work detail. In addition, it commends the signing of a collaboration agreement between the </w:t>
      </w:r>
      <w:r w:rsidR="3269D11B" w:rsidRPr="00CC562A">
        <w:rPr>
          <w:rFonts w:eastAsia="Cambria" w:cs="Cambria"/>
          <w:b w:val="0"/>
          <w:bCs w:val="0"/>
          <w:color w:val="000000" w:themeColor="text1"/>
          <w:sz w:val="20"/>
          <w:szCs w:val="20"/>
          <w:lang w:val="en-US"/>
        </w:rPr>
        <w:t>Secretar</w:t>
      </w:r>
      <w:r w:rsidR="00E6634B" w:rsidRPr="00CC562A">
        <w:rPr>
          <w:rFonts w:eastAsia="Cambria" w:cs="Cambria"/>
          <w:b w:val="0"/>
          <w:bCs w:val="0"/>
          <w:color w:val="000000" w:themeColor="text1"/>
          <w:sz w:val="20"/>
          <w:szCs w:val="20"/>
          <w:lang w:val="en-US"/>
        </w:rPr>
        <w:t>iat of Economic Development</w:t>
      </w:r>
      <w:r w:rsidR="3269D11B" w:rsidRPr="00CC562A">
        <w:rPr>
          <w:rFonts w:eastAsia="Cambria" w:cs="Cambria"/>
          <w:b w:val="0"/>
          <w:bCs w:val="0"/>
          <w:color w:val="000000" w:themeColor="text1"/>
          <w:sz w:val="20"/>
          <w:szCs w:val="20"/>
          <w:lang w:val="en-US"/>
        </w:rPr>
        <w:t xml:space="preserve"> (</w:t>
      </w:r>
      <w:r w:rsidR="00D77397" w:rsidRPr="00CC562A">
        <w:rPr>
          <w:rFonts w:eastAsia="Cambria" w:cs="Cambria"/>
          <w:b w:val="0"/>
          <w:bCs w:val="0"/>
          <w:color w:val="000000" w:themeColor="text1"/>
          <w:sz w:val="20"/>
          <w:szCs w:val="20"/>
          <w:lang w:val="en-US"/>
        </w:rPr>
        <w:t>SEDECO) and</w:t>
      </w:r>
      <w:r w:rsidR="00E6634B" w:rsidRPr="00CC562A">
        <w:rPr>
          <w:rFonts w:eastAsia="Cambria" w:cs="Cambria"/>
          <w:b w:val="0"/>
          <w:bCs w:val="0"/>
          <w:color w:val="000000" w:themeColor="text1"/>
          <w:sz w:val="20"/>
          <w:szCs w:val="20"/>
          <w:lang w:val="en-US"/>
        </w:rPr>
        <w:t xml:space="preserve"> Mexico City’s Secretariat of Citizen Security</w:t>
      </w:r>
      <w:r w:rsidR="3269D11B" w:rsidRPr="00CC562A">
        <w:rPr>
          <w:rFonts w:eastAsia="Cambria" w:cs="Cambria"/>
          <w:b w:val="0"/>
          <w:bCs w:val="0"/>
          <w:color w:val="000000" w:themeColor="text1"/>
          <w:sz w:val="20"/>
          <w:szCs w:val="20"/>
          <w:lang w:val="en-US"/>
        </w:rPr>
        <w:t xml:space="preserve"> (SSC), </w:t>
      </w:r>
      <w:r w:rsidR="00E6634B" w:rsidRPr="00CC562A">
        <w:rPr>
          <w:rFonts w:eastAsia="Cambria" w:cs="Cambria"/>
          <w:b w:val="0"/>
          <w:bCs w:val="0"/>
          <w:color w:val="000000" w:themeColor="text1"/>
          <w:sz w:val="20"/>
          <w:szCs w:val="20"/>
          <w:lang w:val="en-US"/>
        </w:rPr>
        <w:t>for the purpose of strengthening training activities and prison employment of persons detained in prison centers.</w:t>
      </w:r>
      <w:r w:rsidR="49699C84" w:rsidRPr="00CC562A">
        <w:rPr>
          <w:b w:val="0"/>
          <w:bCs w:val="0"/>
          <w:sz w:val="20"/>
          <w:szCs w:val="20"/>
          <w:vertAlign w:val="superscript"/>
          <w:lang w:val="en-US"/>
        </w:rPr>
        <w:footnoteReference w:id="244"/>
      </w:r>
    </w:p>
    <w:p w14:paraId="55BDF823" w14:textId="45A2D79D"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78FF2AD9" w14:textId="43287399" w:rsidR="001C736F" w:rsidRPr="00CC562A" w:rsidRDefault="00E6634B"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 xml:space="preserve">For its part, </w:t>
      </w:r>
      <w:r w:rsidR="08A927E6" w:rsidRPr="00CC562A">
        <w:rPr>
          <w:rFonts w:eastAsia="Cambria" w:cs="Cambria"/>
          <w:b w:val="0"/>
          <w:bCs w:val="0"/>
          <w:sz w:val="20"/>
          <w:szCs w:val="20"/>
          <w:lang w:val="en-US"/>
        </w:rPr>
        <w:t xml:space="preserve">EQUIS </w:t>
      </w:r>
      <w:r w:rsidRPr="00CC562A">
        <w:rPr>
          <w:rFonts w:eastAsia="Cambria" w:cs="Cambria"/>
          <w:b w:val="0"/>
          <w:bCs w:val="0"/>
          <w:sz w:val="20"/>
          <w:szCs w:val="20"/>
          <w:lang w:val="en-US"/>
        </w:rPr>
        <w:t xml:space="preserve">indicated that public policy </w:t>
      </w:r>
      <w:proofErr w:type="gramStart"/>
      <w:r w:rsidRPr="00CC562A">
        <w:rPr>
          <w:rFonts w:eastAsia="Cambria" w:cs="Cambria"/>
          <w:b w:val="0"/>
          <w:bCs w:val="0"/>
          <w:sz w:val="20"/>
          <w:szCs w:val="20"/>
          <w:lang w:val="en-US"/>
        </w:rPr>
        <w:t>in the area of</w:t>
      </w:r>
      <w:proofErr w:type="gramEnd"/>
      <w:r w:rsidRPr="00CC562A">
        <w:rPr>
          <w:rFonts w:eastAsia="Cambria" w:cs="Cambria"/>
          <w:b w:val="0"/>
          <w:bCs w:val="0"/>
          <w:sz w:val="20"/>
          <w:szCs w:val="20"/>
          <w:lang w:val="en-US"/>
        </w:rPr>
        <w:t xml:space="preserve"> social reintegration is </w:t>
      </w:r>
      <w:r w:rsidR="000636A6" w:rsidRPr="00CC562A">
        <w:rPr>
          <w:rFonts w:eastAsia="Cambria" w:cs="Cambria"/>
          <w:b w:val="0"/>
          <w:bCs w:val="0"/>
          <w:sz w:val="20"/>
          <w:szCs w:val="20"/>
          <w:lang w:val="en-US"/>
        </w:rPr>
        <w:t>not linked to the</w:t>
      </w:r>
      <w:r w:rsidRPr="00CC562A">
        <w:rPr>
          <w:rFonts w:eastAsia="Cambria" w:cs="Cambria"/>
          <w:b w:val="0"/>
          <w:bCs w:val="0"/>
          <w:sz w:val="20"/>
          <w:szCs w:val="20"/>
          <w:lang w:val="en-US"/>
        </w:rPr>
        <w:t xml:space="preserve"> structural needs experienced by women in conflict with the law, i.e., it does not address the fundamental causes or the reasons why they commit crimes, but rather </w:t>
      </w:r>
      <w:r w:rsidR="00AD72C5" w:rsidRPr="00CC562A">
        <w:rPr>
          <w:rFonts w:eastAsia="Cambria" w:cs="Cambria"/>
          <w:b w:val="0"/>
          <w:bCs w:val="0"/>
          <w:sz w:val="20"/>
          <w:szCs w:val="20"/>
          <w:lang w:val="en-US"/>
        </w:rPr>
        <w:t xml:space="preserve">individualize the problem. Neither is it linked </w:t>
      </w:r>
      <w:r w:rsidR="000636A6" w:rsidRPr="00CC562A">
        <w:rPr>
          <w:rFonts w:eastAsia="Cambria" w:cs="Cambria"/>
          <w:b w:val="0"/>
          <w:bCs w:val="0"/>
          <w:sz w:val="20"/>
          <w:szCs w:val="20"/>
          <w:lang w:val="en-US"/>
        </w:rPr>
        <w:t>to</w:t>
      </w:r>
      <w:r w:rsidR="00AD72C5" w:rsidRPr="00CC562A">
        <w:rPr>
          <w:rFonts w:eastAsia="Cambria" w:cs="Cambria"/>
          <w:b w:val="0"/>
          <w:bCs w:val="0"/>
          <w:sz w:val="20"/>
          <w:szCs w:val="20"/>
          <w:lang w:val="en-US"/>
        </w:rPr>
        <w:t xml:space="preserve"> post-prison policy and is thus reduced to activities that are unrelated to each other and that tend </w:t>
      </w:r>
      <w:r w:rsidR="2DED9AFD" w:rsidRPr="00CC562A">
        <w:rPr>
          <w:rFonts w:eastAsia="Cambria" w:cs="Cambria"/>
          <w:b w:val="0"/>
          <w:bCs w:val="0"/>
          <w:sz w:val="20"/>
          <w:szCs w:val="20"/>
          <w:lang w:val="en-US"/>
        </w:rPr>
        <w:t>t</w:t>
      </w:r>
      <w:r w:rsidR="00AD72C5" w:rsidRPr="00CC562A">
        <w:rPr>
          <w:rFonts w:eastAsia="Cambria" w:cs="Cambria"/>
          <w:b w:val="0"/>
          <w:bCs w:val="0"/>
          <w:sz w:val="20"/>
          <w:szCs w:val="20"/>
          <w:lang w:val="en-US"/>
        </w:rPr>
        <w:t>o reinforce gender roles and inequality. Along the same lines,</w:t>
      </w:r>
      <w:r w:rsidR="08A927E6" w:rsidRPr="00CC562A">
        <w:rPr>
          <w:rFonts w:eastAsia="Cambria" w:cs="Cambria"/>
          <w:b w:val="0"/>
          <w:bCs w:val="0"/>
          <w:sz w:val="20"/>
          <w:szCs w:val="20"/>
          <w:lang w:val="en-US"/>
        </w:rPr>
        <w:t xml:space="preserve"> EQUIS </w:t>
      </w:r>
      <w:r w:rsidR="00AD72C5" w:rsidRPr="00CC562A">
        <w:rPr>
          <w:rFonts w:eastAsia="Cambria" w:cs="Cambria"/>
          <w:b w:val="0"/>
          <w:bCs w:val="0"/>
          <w:sz w:val="20"/>
          <w:szCs w:val="20"/>
          <w:lang w:val="en-US"/>
        </w:rPr>
        <w:t>indicated that, based on the report “Social reintegration of women in Mexico,”</w:t>
      </w:r>
      <w:r w:rsidR="08A927E6" w:rsidRPr="00CC562A">
        <w:rPr>
          <w:rFonts w:eastAsia="Cambria" w:cs="Cambria"/>
          <w:b w:val="0"/>
          <w:bCs w:val="0"/>
          <w:sz w:val="20"/>
          <w:szCs w:val="20"/>
          <w:lang w:val="en-US"/>
        </w:rPr>
        <w:t xml:space="preserve"> </w:t>
      </w:r>
      <w:r w:rsidR="00AD72C5" w:rsidRPr="00CC562A">
        <w:rPr>
          <w:rFonts w:eastAsia="Cambria" w:cs="Cambria"/>
          <w:b w:val="0"/>
          <w:bCs w:val="0"/>
          <w:sz w:val="20"/>
          <w:szCs w:val="20"/>
          <w:lang w:val="en-US"/>
        </w:rPr>
        <w:t>the need to incorporate the gender perspective in the current regulatory framework and activities plans in penitentiary centers was identified</w:t>
      </w:r>
      <w:r w:rsidR="50704223" w:rsidRPr="00CC562A">
        <w:rPr>
          <w:rFonts w:eastAsia="Cambria" w:cs="Cambria"/>
          <w:b w:val="0"/>
          <w:bCs w:val="0"/>
          <w:sz w:val="20"/>
          <w:szCs w:val="20"/>
          <w:lang w:val="en-US"/>
        </w:rPr>
        <w:t>.</w:t>
      </w:r>
    </w:p>
    <w:p w14:paraId="29FC08C4" w14:textId="442573BC"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08C95527" w14:textId="311DCA35" w:rsidR="00522749" w:rsidRPr="00CC562A" w:rsidRDefault="00AD72C5" w:rsidP="00E529E8">
      <w:pPr>
        <w:pStyle w:val="Heading3"/>
        <w:spacing w:before="240" w:after="200" w:line="240" w:lineRule="auto"/>
        <w:ind w:left="0" w:firstLine="720"/>
        <w:rPr>
          <w:rFonts w:eastAsia="Cambria" w:cs="Cambria"/>
          <w:b w:val="0"/>
          <w:bCs w:val="0"/>
          <w:sz w:val="20"/>
          <w:szCs w:val="20"/>
          <w:lang w:val="en-US"/>
        </w:rPr>
      </w:pPr>
      <w:r w:rsidRPr="00CC562A">
        <w:rPr>
          <w:rFonts w:eastAsia="Cambria" w:cs="Cambria"/>
          <w:b w:val="0"/>
          <w:bCs w:val="0"/>
          <w:sz w:val="20"/>
          <w:szCs w:val="20"/>
          <w:lang w:val="en-US"/>
        </w:rPr>
        <w:t>The Commission notes with concern the lack of information in response to this recommendation.</w:t>
      </w:r>
      <w:r w:rsidR="7B9F2712"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Nonetheless,</w:t>
      </w:r>
      <w:r w:rsidR="7A0EE194" w:rsidRPr="00CC562A">
        <w:rPr>
          <w:rFonts w:eastAsia="Cambria" w:cs="Cambria"/>
          <w:b w:val="0"/>
          <w:bCs w:val="0"/>
          <w:sz w:val="20"/>
          <w:szCs w:val="20"/>
          <w:lang w:val="en-US"/>
        </w:rPr>
        <w:t xml:space="preserve"> </w:t>
      </w:r>
      <w:r w:rsidRPr="00CC562A">
        <w:rPr>
          <w:rFonts w:eastAsia="Cambria" w:cs="Cambria"/>
          <w:b w:val="0"/>
          <w:bCs w:val="0"/>
          <w:sz w:val="20"/>
          <w:szCs w:val="20"/>
          <w:lang w:val="en-US"/>
        </w:rPr>
        <w:t>the various editions of the National Diagnosis of Penitentiary Supervision</w:t>
      </w:r>
      <w:r w:rsidR="7A0EE194" w:rsidRPr="00CC562A">
        <w:rPr>
          <w:rFonts w:eastAsia="Cambria" w:cs="Cambria"/>
          <w:b w:val="0"/>
          <w:bCs w:val="0"/>
          <w:sz w:val="20"/>
          <w:szCs w:val="20"/>
          <w:lang w:val="en-US"/>
        </w:rPr>
        <w:t xml:space="preserve"> (DNSP) </w:t>
      </w:r>
      <w:r w:rsidRPr="00CC562A">
        <w:rPr>
          <w:rFonts w:eastAsia="Cambria" w:cs="Cambria"/>
          <w:b w:val="0"/>
          <w:bCs w:val="0"/>
          <w:sz w:val="20"/>
          <w:szCs w:val="20"/>
          <w:lang w:val="en-US"/>
        </w:rPr>
        <w:t xml:space="preserve">of the </w:t>
      </w:r>
      <w:r w:rsidR="56C08BB9" w:rsidRPr="00CC562A">
        <w:rPr>
          <w:rFonts w:eastAsia="Cambria" w:cs="Cambria"/>
          <w:b w:val="0"/>
          <w:bCs w:val="0"/>
          <w:sz w:val="20"/>
          <w:szCs w:val="20"/>
          <w:lang w:val="en-US"/>
        </w:rPr>
        <w:t>CNDH</w:t>
      </w:r>
      <w:r w:rsidR="004270C2" w:rsidRPr="00CC562A">
        <w:rPr>
          <w:b w:val="0"/>
          <w:bCs w:val="0"/>
          <w:sz w:val="20"/>
          <w:szCs w:val="20"/>
          <w:vertAlign w:val="superscript"/>
          <w:lang w:val="en-US"/>
        </w:rPr>
        <w:footnoteReference w:id="245"/>
      </w:r>
      <w:r w:rsidR="7A0EE194" w:rsidRPr="00CC562A">
        <w:rPr>
          <w:rFonts w:eastAsia="Cambria" w:cs="Cambria"/>
          <w:b w:val="0"/>
          <w:bCs w:val="0"/>
          <w:sz w:val="20"/>
          <w:szCs w:val="20"/>
          <w:lang w:val="en-US"/>
        </w:rPr>
        <w:t xml:space="preserve"> </w:t>
      </w:r>
      <w:r w:rsidRPr="00CC562A">
        <w:rPr>
          <w:rFonts w:eastAsia="Cambria" w:cs="Cambria"/>
          <w:b w:val="0"/>
          <w:bCs w:val="0"/>
          <w:sz w:val="20"/>
          <w:szCs w:val="20"/>
          <w:lang w:val="en-US"/>
        </w:rPr>
        <w:t>reports on the serious problems that persist in the prisons: deficiencies in health services, the lack of security and custodial staff, hygiene problems in public spaces</w:t>
      </w:r>
      <w:r w:rsidR="7A0EE194" w:rsidRPr="00CC562A">
        <w:rPr>
          <w:rFonts w:eastAsia="Cambria" w:cs="Cambria"/>
          <w:b w:val="0"/>
          <w:bCs w:val="0"/>
          <w:sz w:val="20"/>
          <w:szCs w:val="20"/>
          <w:lang w:val="en-US"/>
        </w:rPr>
        <w:t>, deficienci</w:t>
      </w:r>
      <w:r w:rsidRPr="00CC562A">
        <w:rPr>
          <w:rFonts w:eastAsia="Cambria" w:cs="Cambria"/>
          <w:b w:val="0"/>
          <w:bCs w:val="0"/>
          <w:sz w:val="20"/>
          <w:szCs w:val="20"/>
          <w:lang w:val="en-US"/>
        </w:rPr>
        <w:t xml:space="preserve">es in food, </w:t>
      </w:r>
      <w:r w:rsidR="000636A6" w:rsidRPr="00CC562A">
        <w:rPr>
          <w:rFonts w:eastAsia="Cambria" w:cs="Cambria"/>
          <w:b w:val="0"/>
          <w:bCs w:val="0"/>
          <w:sz w:val="20"/>
          <w:szCs w:val="20"/>
          <w:lang w:val="en-US"/>
        </w:rPr>
        <w:t>in</w:t>
      </w:r>
      <w:r w:rsidRPr="00CC562A">
        <w:rPr>
          <w:rFonts w:eastAsia="Cambria" w:cs="Cambria"/>
          <w:b w:val="0"/>
          <w:bCs w:val="0"/>
          <w:sz w:val="20"/>
          <w:szCs w:val="20"/>
          <w:lang w:val="en-US"/>
        </w:rPr>
        <w:t xml:space="preserve"> social reintegration, among others. Given the lack of information provided by the State</w:t>
      </w:r>
      <w:r w:rsidR="7A0EE194" w:rsidRPr="00CC562A">
        <w:rPr>
          <w:rFonts w:eastAsia="Cambria" w:cs="Cambria"/>
          <w:b w:val="0"/>
          <w:bCs w:val="0"/>
          <w:sz w:val="20"/>
          <w:szCs w:val="20"/>
          <w:lang w:val="en-US"/>
        </w:rPr>
        <w:t xml:space="preserve">, </w:t>
      </w:r>
      <w:r w:rsidRPr="00CC562A">
        <w:rPr>
          <w:rFonts w:eastAsia="Cambria" w:cs="Cambria"/>
          <w:b w:val="0"/>
          <w:bCs w:val="0"/>
          <w:sz w:val="20"/>
          <w:szCs w:val="20"/>
          <w:lang w:val="en-US"/>
        </w:rPr>
        <w:t xml:space="preserve">the Commission concludes that the </w:t>
      </w:r>
      <w:r w:rsidR="00BC51DB" w:rsidRPr="00CC562A">
        <w:rPr>
          <w:rFonts w:eastAsia="Cambria" w:cs="Cambria"/>
          <w:b w:val="0"/>
          <w:bCs w:val="0"/>
          <w:sz w:val="20"/>
          <w:szCs w:val="20"/>
          <w:lang w:val="en-US"/>
        </w:rPr>
        <w:t xml:space="preserve">recommendation is </w:t>
      </w:r>
      <w:r w:rsidR="00BC51DB" w:rsidRPr="00CC562A">
        <w:rPr>
          <w:rFonts w:eastAsia="Cambria" w:cs="Cambria"/>
          <w:sz w:val="20"/>
          <w:szCs w:val="20"/>
          <w:lang w:val="en-US"/>
        </w:rPr>
        <w:t>pending compliance</w:t>
      </w:r>
      <w:r w:rsidR="4FC81B7A" w:rsidRPr="00CC562A">
        <w:rPr>
          <w:rFonts w:eastAsia="Cambria" w:cs="Cambria"/>
          <w:sz w:val="20"/>
          <w:szCs w:val="20"/>
          <w:lang w:val="en-US"/>
        </w:rPr>
        <w:t>.</w:t>
      </w:r>
      <w:r w:rsidR="77D02423" w:rsidRPr="00CC562A">
        <w:rPr>
          <w:rFonts w:eastAsia="Cambria" w:cs="Cambria"/>
          <w:sz w:val="20"/>
          <w:szCs w:val="20"/>
          <w:lang w:val="en-US"/>
        </w:rPr>
        <w:t xml:space="preserve"> </w:t>
      </w:r>
    </w:p>
    <w:p w14:paraId="1AAB0167" w14:textId="391736F6" w:rsidR="7ED16BE6" w:rsidRPr="00CC562A" w:rsidRDefault="7ED16BE6" w:rsidP="00E529E8">
      <w:pPr>
        <w:pStyle w:val="Heading3"/>
        <w:numPr>
          <w:ilvl w:val="0"/>
          <w:numId w:val="0"/>
        </w:numPr>
        <w:spacing w:before="240" w:after="200" w:line="240" w:lineRule="auto"/>
        <w:ind w:firstLine="720"/>
        <w:rPr>
          <w:rFonts w:eastAsia="Cambria" w:cs="Cambria"/>
          <w:b w:val="0"/>
          <w:bCs w:val="0"/>
          <w:sz w:val="20"/>
          <w:szCs w:val="20"/>
          <w:lang w:val="en-US"/>
        </w:rPr>
      </w:pPr>
    </w:p>
    <w:p w14:paraId="1651D282" w14:textId="07E4F1DF" w:rsidR="00507F94" w:rsidRPr="00CC562A" w:rsidRDefault="00BC51DB" w:rsidP="00A92391">
      <w:pPr>
        <w:pStyle w:val="Heading3"/>
        <w:spacing w:before="240" w:after="0" w:line="240" w:lineRule="auto"/>
        <w:ind w:left="0" w:firstLine="720"/>
        <w:rPr>
          <w:rFonts w:eastAsia="Cambria" w:cs="Cambria"/>
          <w:b w:val="0"/>
          <w:bCs w:val="0"/>
          <w:color w:val="000000" w:themeColor="text1"/>
          <w:sz w:val="20"/>
          <w:szCs w:val="20"/>
          <w:lang w:val="en-US"/>
        </w:rPr>
      </w:pPr>
      <w:r w:rsidRPr="00CC562A">
        <w:rPr>
          <w:rFonts w:eastAsia="Cambria" w:cs="Cambria"/>
          <w:b w:val="0"/>
          <w:bCs w:val="0"/>
          <w:sz w:val="20"/>
          <w:szCs w:val="20"/>
          <w:lang w:val="en-US"/>
        </w:rPr>
        <w:t xml:space="preserve">To guide compliance with this recommendation, </w:t>
      </w:r>
      <w:r w:rsidR="00276638" w:rsidRPr="00CC562A">
        <w:rPr>
          <w:rFonts w:eastAsia="Cambria" w:cs="Cambria"/>
          <w:b w:val="0"/>
          <w:bCs w:val="0"/>
          <w:sz w:val="20"/>
          <w:szCs w:val="20"/>
          <w:lang w:val="en-US"/>
        </w:rPr>
        <w:t>the IACHR</w:t>
      </w:r>
      <w:r w:rsidRPr="00CC562A">
        <w:rPr>
          <w:rFonts w:eastAsia="Cambria" w:cs="Cambria"/>
          <w:b w:val="0"/>
          <w:bCs w:val="0"/>
          <w:sz w:val="20"/>
          <w:szCs w:val="20"/>
          <w:lang w:val="en-US"/>
        </w:rPr>
        <w:t xml:space="preserve"> urges the State to provide information on actions adopted </w:t>
      </w:r>
      <w:proofErr w:type="gramStart"/>
      <w:r w:rsidRPr="00CC562A">
        <w:rPr>
          <w:rFonts w:eastAsia="Cambria" w:cs="Cambria"/>
          <w:b w:val="0"/>
          <w:bCs w:val="0"/>
          <w:sz w:val="20"/>
          <w:szCs w:val="20"/>
          <w:lang w:val="en-US"/>
        </w:rPr>
        <w:t>on the subject of social</w:t>
      </w:r>
      <w:proofErr w:type="gramEnd"/>
      <w:r w:rsidRPr="00CC562A">
        <w:rPr>
          <w:rFonts w:eastAsia="Cambria" w:cs="Cambria"/>
          <w:b w:val="0"/>
          <w:bCs w:val="0"/>
          <w:sz w:val="20"/>
          <w:szCs w:val="20"/>
          <w:lang w:val="en-US"/>
        </w:rPr>
        <w:t xml:space="preserve"> reintegration that can be evaluated and provide an accounting of their impact when </w:t>
      </w:r>
      <w:r w:rsidR="000636A6" w:rsidRPr="00CC562A">
        <w:rPr>
          <w:rFonts w:eastAsia="Cambria" w:cs="Cambria"/>
          <w:b w:val="0"/>
          <w:bCs w:val="0"/>
          <w:sz w:val="20"/>
          <w:szCs w:val="20"/>
          <w:lang w:val="en-US"/>
        </w:rPr>
        <w:t>prisoners</w:t>
      </w:r>
      <w:r w:rsidRPr="00CC562A">
        <w:rPr>
          <w:rFonts w:eastAsia="Cambria" w:cs="Cambria"/>
          <w:b w:val="0"/>
          <w:bCs w:val="0"/>
          <w:sz w:val="20"/>
          <w:szCs w:val="20"/>
          <w:lang w:val="en-US"/>
        </w:rPr>
        <w:t xml:space="preserve"> begin the process of recovering their liberty</w:t>
      </w:r>
      <w:r w:rsidR="56C08BB9" w:rsidRPr="00CC562A">
        <w:rPr>
          <w:rFonts w:eastAsia="Cambria" w:cs="Cambria"/>
          <w:b w:val="0"/>
          <w:bCs w:val="0"/>
          <w:sz w:val="20"/>
          <w:szCs w:val="20"/>
          <w:lang w:val="en-US"/>
        </w:rPr>
        <w:t>.</w:t>
      </w:r>
      <w:r w:rsidR="7B9F2712" w:rsidRPr="00CC562A">
        <w:rPr>
          <w:rFonts w:eastAsia="Cambria" w:cs="Cambria"/>
          <w:b w:val="0"/>
          <w:bCs w:val="0"/>
          <w:sz w:val="20"/>
          <w:szCs w:val="20"/>
          <w:lang w:val="en-US"/>
        </w:rPr>
        <w:t xml:space="preserve"> </w:t>
      </w:r>
      <w:r w:rsidRPr="00CC562A">
        <w:rPr>
          <w:rFonts w:eastAsia="Cambria" w:cs="Cambria"/>
          <w:b w:val="0"/>
          <w:bCs w:val="0"/>
          <w:color w:val="000000" w:themeColor="text1"/>
          <w:sz w:val="20"/>
          <w:szCs w:val="20"/>
          <w:lang w:val="en-US"/>
        </w:rPr>
        <w:t xml:space="preserve">In this regard, </w:t>
      </w:r>
      <w:r w:rsidR="00276638" w:rsidRPr="00CC562A">
        <w:rPr>
          <w:rFonts w:eastAsia="Cambria" w:cs="Cambria"/>
          <w:b w:val="0"/>
          <w:bCs w:val="0"/>
          <w:color w:val="000000" w:themeColor="text1"/>
          <w:sz w:val="20"/>
          <w:szCs w:val="20"/>
          <w:lang w:val="en-US"/>
        </w:rPr>
        <w:t>the IACHR</w:t>
      </w:r>
      <w:r w:rsidR="7B9F2712" w:rsidRPr="00CC562A">
        <w:rPr>
          <w:rFonts w:eastAsia="Cambria" w:cs="Cambria"/>
          <w:b w:val="0"/>
          <w:bCs w:val="0"/>
          <w:color w:val="000000" w:themeColor="text1"/>
          <w:sz w:val="20"/>
          <w:szCs w:val="20"/>
          <w:lang w:val="en-US"/>
        </w:rPr>
        <w:t xml:space="preserve"> </w:t>
      </w:r>
      <w:r w:rsidRPr="00CC562A">
        <w:rPr>
          <w:rFonts w:eastAsia="Cambria" w:cs="Cambria"/>
          <w:b w:val="0"/>
          <w:bCs w:val="0"/>
          <w:color w:val="000000" w:themeColor="text1"/>
          <w:sz w:val="20"/>
          <w:szCs w:val="20"/>
          <w:lang w:val="en-US"/>
        </w:rPr>
        <w:t>calls on the Mexican State to implement measures to promote the social reintegration of persons deprived of liberty, as well follow up actions adopted in prior years.</w:t>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r w:rsidR="00A92391" w:rsidRPr="00CC562A">
        <w:rPr>
          <w:rFonts w:eastAsia="Cambria" w:cs="Cambria"/>
          <w:b w:val="0"/>
          <w:bCs w:val="0"/>
          <w:color w:val="000000" w:themeColor="text1"/>
          <w:sz w:val="20"/>
          <w:szCs w:val="20"/>
          <w:lang w:val="en-US"/>
        </w:rPr>
        <w:tab/>
      </w:r>
    </w:p>
    <w:p w14:paraId="40F86477" w14:textId="4407CCBD" w:rsidR="001C736F" w:rsidRPr="00CC562A" w:rsidRDefault="0080158E" w:rsidP="00E529E8">
      <w:pPr>
        <w:pStyle w:val="Heading3"/>
        <w:spacing w:before="240" w:after="200" w:line="240" w:lineRule="auto"/>
        <w:ind w:left="0" w:firstLine="720"/>
        <w:rPr>
          <w:rFonts w:eastAsia="Cambria" w:cs="Cambria"/>
          <w:b w:val="0"/>
          <w:bCs w:val="0"/>
          <w:color w:val="000000" w:themeColor="text1"/>
          <w:sz w:val="20"/>
          <w:szCs w:val="20"/>
          <w:shd w:val="clear" w:color="auto" w:fill="FFFFFF"/>
          <w:lang w:val="en-US"/>
        </w:rPr>
      </w:pPr>
      <w:r w:rsidRPr="00CC562A">
        <w:rPr>
          <w:rFonts w:eastAsia="Cambria" w:cs="Cambria"/>
          <w:b w:val="0"/>
          <w:bCs w:val="0"/>
          <w:sz w:val="20"/>
          <w:szCs w:val="20"/>
          <w:lang w:val="en-US"/>
        </w:rPr>
        <w:t xml:space="preserve">In relation to the recommendation on </w:t>
      </w:r>
      <w:r w:rsidRPr="00CC562A">
        <w:rPr>
          <w:rFonts w:eastAsia="Cambria" w:cs="Cambria"/>
          <w:sz w:val="20"/>
          <w:szCs w:val="20"/>
          <w:lang w:val="en-US"/>
        </w:rPr>
        <w:t>making public information on the ACA standards for certifying prisons</w:t>
      </w:r>
      <w:r w:rsidR="1C6529F2" w:rsidRPr="00CC562A">
        <w:rPr>
          <w:rFonts w:eastAsia="Cambria" w:cs="Cambria"/>
          <w:b w:val="0"/>
          <w:bCs w:val="0"/>
          <w:sz w:val="20"/>
          <w:szCs w:val="20"/>
          <w:lang w:val="en-US"/>
        </w:rPr>
        <w:t xml:space="preserve">, </w:t>
      </w:r>
      <w:r w:rsidR="00752FED" w:rsidRPr="00CC562A">
        <w:rPr>
          <w:rFonts w:eastAsia="Cambria" w:cs="Cambria"/>
          <w:b w:val="0"/>
          <w:bCs w:val="0"/>
          <w:sz w:val="20"/>
          <w:szCs w:val="20"/>
          <w:lang w:val="en-US"/>
        </w:rPr>
        <w:t xml:space="preserve">the </w:t>
      </w:r>
      <w:r w:rsidR="00D77397" w:rsidRPr="00CC562A">
        <w:rPr>
          <w:rFonts w:eastAsia="Cambria" w:cs="Cambria"/>
          <w:b w:val="0"/>
          <w:bCs w:val="0"/>
          <w:sz w:val="20"/>
          <w:szCs w:val="20"/>
          <w:lang w:val="en-US"/>
        </w:rPr>
        <w:t>State did</w:t>
      </w:r>
      <w:r w:rsidRPr="00CC562A">
        <w:rPr>
          <w:rFonts w:eastAsia="Cambria" w:cs="Cambria"/>
          <w:b w:val="0"/>
          <w:bCs w:val="0"/>
          <w:sz w:val="20"/>
          <w:szCs w:val="20"/>
          <w:lang w:val="en-US"/>
        </w:rPr>
        <w:t xml:space="preserve"> </w:t>
      </w:r>
      <w:r w:rsidR="000636A6" w:rsidRPr="00CC562A">
        <w:rPr>
          <w:rFonts w:eastAsia="Cambria" w:cs="Cambria"/>
          <w:b w:val="0"/>
          <w:bCs w:val="0"/>
          <w:sz w:val="20"/>
          <w:szCs w:val="20"/>
          <w:lang w:val="en-US"/>
        </w:rPr>
        <w:t>n</w:t>
      </w:r>
      <w:r w:rsidRPr="00CC562A">
        <w:rPr>
          <w:rFonts w:eastAsia="Cambria" w:cs="Cambria"/>
          <w:b w:val="0"/>
          <w:bCs w:val="0"/>
          <w:sz w:val="20"/>
          <w:szCs w:val="20"/>
          <w:lang w:val="en-US"/>
        </w:rPr>
        <w:t>ot provide information.</w:t>
      </w:r>
      <w:r w:rsidR="00946551" w:rsidRPr="00CC562A">
        <w:rPr>
          <w:rStyle w:val="FootnoteReference"/>
          <w:rFonts w:eastAsia="Cambria" w:cs="Cambria"/>
          <w:b w:val="0"/>
          <w:bCs w:val="0"/>
          <w:sz w:val="20"/>
          <w:szCs w:val="20"/>
          <w:lang w:val="en-US"/>
        </w:rPr>
        <w:footnoteReference w:id="246"/>
      </w:r>
      <w:r w:rsidRPr="00CC562A">
        <w:rPr>
          <w:rFonts w:eastAsia="Cambria" w:cs="Cambria"/>
          <w:b w:val="0"/>
          <w:bCs w:val="0"/>
          <w:sz w:val="20"/>
          <w:szCs w:val="20"/>
          <w:lang w:val="en-US"/>
        </w:rPr>
        <w:t xml:space="preserve"> Accordingly, the Commission</w:t>
      </w:r>
      <w:r w:rsidR="64E97B88" w:rsidRPr="00CC562A">
        <w:rPr>
          <w:rFonts w:eastAsia="Cambria" w:cs="Cambria"/>
          <w:b w:val="0"/>
          <w:bCs w:val="0"/>
          <w:sz w:val="20"/>
          <w:szCs w:val="20"/>
          <w:lang w:val="en-US"/>
        </w:rPr>
        <w:t xml:space="preserve"> reitera</w:t>
      </w:r>
      <w:r w:rsidRPr="00CC562A">
        <w:rPr>
          <w:rFonts w:eastAsia="Cambria" w:cs="Cambria"/>
          <w:b w:val="0"/>
          <w:bCs w:val="0"/>
          <w:sz w:val="20"/>
          <w:szCs w:val="20"/>
          <w:lang w:val="en-US"/>
        </w:rPr>
        <w:t>tes that according to the available data, the State still isn’t publicizing the criteria for that certification</w:t>
      </w:r>
      <w:r w:rsidR="64E97B88" w:rsidRPr="00CC562A">
        <w:rPr>
          <w:rFonts w:eastAsia="Cambria" w:cs="Cambria"/>
          <w:b w:val="0"/>
          <w:bCs w:val="0"/>
          <w:sz w:val="20"/>
          <w:szCs w:val="20"/>
          <w:lang w:val="en-US"/>
        </w:rPr>
        <w:t>.</w:t>
      </w:r>
      <w:r w:rsidR="64E97B88" w:rsidRPr="00CC562A">
        <w:rPr>
          <w:rFonts w:eastAsia="Cambria" w:cs="Cambria"/>
          <w:b w:val="0"/>
          <w:bCs w:val="0"/>
          <w:color w:val="000000" w:themeColor="text1"/>
          <w:sz w:val="20"/>
          <w:szCs w:val="20"/>
          <w:lang w:val="en-US"/>
        </w:rPr>
        <w:t xml:space="preserve"> </w:t>
      </w:r>
    </w:p>
    <w:p w14:paraId="62313FE8" w14:textId="724A50A0" w:rsidR="006C1095" w:rsidRPr="00CC562A" w:rsidRDefault="0080158E" w:rsidP="00E529E8">
      <w:pPr>
        <w:numPr>
          <w:ilvl w:val="0"/>
          <w:numId w:val="2"/>
        </w:numPr>
        <w:shd w:val="clear" w:color="auto" w:fill="FFFFFF" w:themeFill="background1"/>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Given the lack of information and the State’s continued failure to publicize the criteria for that certification, </w:t>
      </w:r>
      <w:r w:rsidR="00276638" w:rsidRPr="00CC562A">
        <w:rPr>
          <w:rFonts w:ascii="Cambria" w:hAnsi="Cambria"/>
          <w:sz w:val="20"/>
          <w:szCs w:val="20"/>
          <w:lang w:val="en-US"/>
        </w:rPr>
        <w:t>the IACHR</w:t>
      </w:r>
      <w:r w:rsidR="4B8726AA" w:rsidRPr="00CC562A">
        <w:rPr>
          <w:rFonts w:ascii="Cambria" w:hAnsi="Cambria"/>
          <w:sz w:val="20"/>
          <w:szCs w:val="20"/>
          <w:lang w:val="en-US"/>
        </w:rPr>
        <w:t xml:space="preserve"> conclu</w:t>
      </w:r>
      <w:r w:rsidRPr="00CC562A">
        <w:rPr>
          <w:rFonts w:ascii="Cambria" w:hAnsi="Cambria"/>
          <w:sz w:val="20"/>
          <w:szCs w:val="20"/>
          <w:lang w:val="en-US"/>
        </w:rPr>
        <w:t xml:space="preserve">des that this recommendation is </w:t>
      </w:r>
      <w:r w:rsidRPr="00CC562A">
        <w:rPr>
          <w:rFonts w:ascii="Cambria" w:hAnsi="Cambria"/>
          <w:b/>
          <w:bCs/>
          <w:sz w:val="20"/>
          <w:szCs w:val="20"/>
          <w:lang w:val="en-US"/>
        </w:rPr>
        <w:t>pending compliance</w:t>
      </w:r>
      <w:r w:rsidR="4FC81B7A" w:rsidRPr="00CC562A">
        <w:rPr>
          <w:rFonts w:ascii="Cambria" w:hAnsi="Cambria"/>
          <w:b/>
          <w:bCs/>
          <w:sz w:val="20"/>
          <w:szCs w:val="20"/>
          <w:lang w:val="en-US"/>
        </w:rPr>
        <w:t>.</w:t>
      </w:r>
    </w:p>
    <w:p w14:paraId="3F7EF673" w14:textId="487B7CAA" w:rsidR="001C736F" w:rsidRPr="00CC562A" w:rsidRDefault="0080158E" w:rsidP="00E529E8">
      <w:pPr>
        <w:numPr>
          <w:ilvl w:val="0"/>
          <w:numId w:val="2"/>
        </w:numPr>
        <w:shd w:val="clear" w:color="auto" w:fill="FFFFFF" w:themeFill="background1"/>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 xml:space="preserve">To guide compliance with and follow-up of this recommendation, </w:t>
      </w:r>
      <w:r w:rsidR="00276638" w:rsidRPr="00CC562A">
        <w:rPr>
          <w:rFonts w:ascii="Cambria" w:eastAsia="Cambria" w:hAnsi="Cambria" w:cs="Cambria"/>
          <w:sz w:val="20"/>
          <w:szCs w:val="20"/>
          <w:lang w:val="en-US"/>
        </w:rPr>
        <w:t>the IACHR</w:t>
      </w:r>
      <w:r w:rsidR="00912F8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sees fit to suggest that the State adopt measures of any kind (including campaigns or training strategies) designed to publicize the criteria for ACA certification</w:t>
      </w:r>
      <w:r w:rsidR="56C08BB9" w:rsidRPr="00CC562A">
        <w:rPr>
          <w:rFonts w:ascii="Cambria" w:eastAsia="Cambria" w:hAnsi="Cambria" w:cs="Cambria"/>
          <w:sz w:val="20"/>
          <w:szCs w:val="20"/>
          <w:lang w:val="en-US"/>
        </w:rPr>
        <w:t>.</w:t>
      </w:r>
    </w:p>
    <w:p w14:paraId="280CB141" w14:textId="5E91C859" w:rsidR="348F385D" w:rsidRPr="00CC562A" w:rsidRDefault="2D308A46" w:rsidP="00E529E8">
      <w:pPr>
        <w:numPr>
          <w:ilvl w:val="0"/>
          <w:numId w:val="2"/>
        </w:numPr>
        <w:shd w:val="clear" w:color="auto" w:fill="FFFFFF" w:themeFill="background1"/>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sz w:val="20"/>
          <w:szCs w:val="20"/>
          <w:lang w:val="en-US"/>
        </w:rPr>
        <w:lastRenderedPageBreak/>
        <w:t xml:space="preserve"> </w:t>
      </w:r>
      <w:r w:rsidR="0080158E" w:rsidRPr="00CC562A">
        <w:rPr>
          <w:rFonts w:ascii="Cambria" w:eastAsia="Cambria" w:hAnsi="Cambria" w:cs="Cambria"/>
          <w:sz w:val="20"/>
          <w:szCs w:val="20"/>
          <w:lang w:val="en-US"/>
        </w:rPr>
        <w:t xml:space="preserve">With respect to the recommendation aimed at </w:t>
      </w:r>
      <w:r w:rsidR="0ED6A699" w:rsidRPr="00CC562A">
        <w:rPr>
          <w:rFonts w:ascii="Cambria" w:hAnsi="Cambria"/>
          <w:b/>
          <w:bCs/>
          <w:sz w:val="20"/>
          <w:szCs w:val="20"/>
          <w:lang w:val="en-US"/>
        </w:rPr>
        <w:t>implement</w:t>
      </w:r>
      <w:r w:rsidR="0080158E" w:rsidRPr="00CC562A">
        <w:rPr>
          <w:rFonts w:ascii="Cambria" w:hAnsi="Cambria"/>
          <w:b/>
          <w:bCs/>
          <w:sz w:val="20"/>
          <w:szCs w:val="20"/>
          <w:lang w:val="en-US"/>
        </w:rPr>
        <w:t>ing measures to guarantee adequate detention, particularly for groups in especially vulnerable situations, prison policies with a gender perspective, and the elimination of barriers for persons with disabilities</w:t>
      </w:r>
      <w:r w:rsidR="0ED6A699" w:rsidRPr="00CC562A">
        <w:rPr>
          <w:rFonts w:ascii="Cambria" w:hAnsi="Cambria"/>
          <w:b/>
          <w:bCs/>
          <w:sz w:val="20"/>
          <w:szCs w:val="20"/>
          <w:lang w:val="en-US"/>
        </w:rPr>
        <w:t>,</w:t>
      </w:r>
      <w:r w:rsidR="0ED6A699" w:rsidRPr="00CC562A">
        <w:rPr>
          <w:rFonts w:ascii="Cambria" w:eastAsia="Cambria" w:hAnsi="Cambria" w:cs="Cambria"/>
          <w:sz w:val="20"/>
          <w:szCs w:val="20"/>
          <w:lang w:val="en-US"/>
        </w:rPr>
        <w:t xml:space="preserve"> </w:t>
      </w:r>
      <w:r w:rsidR="0080158E" w:rsidRPr="00CC562A">
        <w:rPr>
          <w:rFonts w:ascii="Cambria" w:eastAsia="Cambria" w:hAnsi="Cambria" w:cs="Cambria"/>
          <w:color w:val="000000" w:themeColor="text1"/>
          <w:sz w:val="20"/>
          <w:szCs w:val="20"/>
          <w:lang w:val="en-US"/>
        </w:rPr>
        <w:t xml:space="preserve">in its report </w:t>
      </w:r>
      <w:r w:rsidR="00752FED" w:rsidRPr="00CC562A">
        <w:rPr>
          <w:rFonts w:ascii="Cambria" w:eastAsia="Cambria" w:hAnsi="Cambria" w:cs="Cambria"/>
          <w:color w:val="000000" w:themeColor="text1"/>
          <w:sz w:val="20"/>
          <w:szCs w:val="20"/>
          <w:lang w:val="en-US"/>
        </w:rPr>
        <w:t>the State</w:t>
      </w:r>
      <w:r w:rsidR="3F874933" w:rsidRPr="00CC562A">
        <w:rPr>
          <w:rFonts w:ascii="Cambria" w:eastAsia="Cambria" w:hAnsi="Cambria" w:cs="Cambria"/>
          <w:color w:val="000000" w:themeColor="text1"/>
          <w:sz w:val="20"/>
          <w:szCs w:val="20"/>
          <w:lang w:val="en-US"/>
        </w:rPr>
        <w:t xml:space="preserve"> </w:t>
      </w:r>
      <w:r w:rsidR="0080158E" w:rsidRPr="00CC562A">
        <w:rPr>
          <w:rFonts w:ascii="Cambria" w:eastAsia="Cambria" w:hAnsi="Cambria" w:cs="Cambria"/>
          <w:color w:val="000000" w:themeColor="text1"/>
          <w:sz w:val="20"/>
          <w:szCs w:val="20"/>
          <w:lang w:val="en-US"/>
        </w:rPr>
        <w:t xml:space="preserve">referred to the final point of the recommendation. In particular, it indicated that the Protocol for judging </w:t>
      </w:r>
      <w:r w:rsidR="00A05C87" w:rsidRPr="00CC562A">
        <w:rPr>
          <w:rFonts w:ascii="Cambria" w:eastAsia="Cambria" w:hAnsi="Cambria" w:cs="Cambria"/>
          <w:color w:val="000000" w:themeColor="text1"/>
          <w:sz w:val="20"/>
          <w:szCs w:val="20"/>
          <w:lang w:val="en-US"/>
        </w:rPr>
        <w:t xml:space="preserve">from a disability perspective as presented on April </w:t>
      </w:r>
      <w:r w:rsidR="3F874933" w:rsidRPr="00CC562A">
        <w:rPr>
          <w:rFonts w:ascii="Cambria" w:eastAsia="Cambria" w:hAnsi="Cambria" w:cs="Cambria"/>
          <w:color w:val="000000" w:themeColor="text1"/>
          <w:sz w:val="20"/>
          <w:szCs w:val="20"/>
          <w:lang w:val="en-US"/>
        </w:rPr>
        <w:t>26</w:t>
      </w:r>
      <w:r w:rsidR="00A05C87" w:rsidRPr="00CC562A">
        <w:rPr>
          <w:rFonts w:ascii="Cambria" w:eastAsia="Cambria" w:hAnsi="Cambria" w:cs="Cambria"/>
          <w:color w:val="000000" w:themeColor="text1"/>
          <w:sz w:val="20"/>
          <w:szCs w:val="20"/>
          <w:lang w:val="en-US"/>
        </w:rPr>
        <w:t>,</w:t>
      </w:r>
      <w:r w:rsidR="3F874933" w:rsidRPr="00CC562A">
        <w:rPr>
          <w:rFonts w:ascii="Cambria" w:eastAsia="Cambria" w:hAnsi="Cambria" w:cs="Cambria"/>
          <w:color w:val="000000" w:themeColor="text1"/>
          <w:sz w:val="20"/>
          <w:szCs w:val="20"/>
          <w:lang w:val="en-US"/>
        </w:rPr>
        <w:t xml:space="preserve"> 2022, </w:t>
      </w:r>
      <w:r w:rsidR="00A05C87" w:rsidRPr="00CC562A">
        <w:rPr>
          <w:rFonts w:ascii="Cambria" w:eastAsia="Cambria" w:hAnsi="Cambria" w:cs="Cambria"/>
          <w:color w:val="000000" w:themeColor="text1"/>
          <w:sz w:val="20"/>
          <w:szCs w:val="20"/>
          <w:lang w:val="en-US"/>
        </w:rPr>
        <w:t xml:space="preserve">in section </w:t>
      </w:r>
      <w:r w:rsidR="3F874933" w:rsidRPr="00CC562A">
        <w:rPr>
          <w:rFonts w:ascii="Cambria" w:eastAsia="Cambria" w:hAnsi="Cambria" w:cs="Cambria"/>
          <w:color w:val="000000" w:themeColor="text1"/>
          <w:sz w:val="20"/>
          <w:szCs w:val="20"/>
          <w:lang w:val="en-US"/>
        </w:rPr>
        <w:t xml:space="preserve">C, </w:t>
      </w:r>
      <w:r w:rsidR="00A05C87" w:rsidRPr="00CC562A">
        <w:rPr>
          <w:rFonts w:ascii="Cambria" w:eastAsia="Cambria" w:hAnsi="Cambria" w:cs="Cambria"/>
          <w:color w:val="000000" w:themeColor="text1"/>
          <w:sz w:val="20"/>
          <w:szCs w:val="20"/>
          <w:lang w:val="en-US"/>
        </w:rPr>
        <w:t xml:space="preserve"> addresses the States’ obligation to ensure universal accessibility for disabled persons deprived of liberty.</w:t>
      </w:r>
      <w:r w:rsidR="348F385D" w:rsidRPr="00CC562A">
        <w:rPr>
          <w:rFonts w:ascii="Cambria" w:eastAsia="Cambria" w:hAnsi="Cambria" w:cs="Cambria"/>
          <w:color w:val="000000" w:themeColor="text1"/>
          <w:sz w:val="20"/>
          <w:szCs w:val="20"/>
          <w:vertAlign w:val="superscript"/>
          <w:lang w:val="en-US"/>
        </w:rPr>
        <w:footnoteReference w:id="247"/>
      </w:r>
      <w:r w:rsidR="3F874933" w:rsidRPr="00CC562A">
        <w:rPr>
          <w:rFonts w:ascii="Cambria" w:eastAsia="Cambria" w:hAnsi="Cambria" w:cs="Cambria"/>
          <w:color w:val="000000" w:themeColor="text1"/>
          <w:sz w:val="20"/>
          <w:szCs w:val="20"/>
          <w:lang w:val="en-US"/>
        </w:rPr>
        <w:t xml:space="preserve"> </w:t>
      </w:r>
      <w:r w:rsidR="00752FED" w:rsidRPr="00CC562A">
        <w:rPr>
          <w:rFonts w:ascii="Cambria" w:eastAsia="Cambria" w:hAnsi="Cambria" w:cs="Cambria"/>
          <w:color w:val="000000" w:themeColor="text1"/>
          <w:sz w:val="20"/>
          <w:szCs w:val="20"/>
          <w:lang w:val="en-US"/>
        </w:rPr>
        <w:t>Nonetheless,</w:t>
      </w:r>
      <w:r w:rsidR="3F874933" w:rsidRPr="00CC562A">
        <w:rPr>
          <w:rFonts w:ascii="Cambria" w:eastAsia="Cambria" w:hAnsi="Cambria" w:cs="Cambria"/>
          <w:color w:val="000000" w:themeColor="text1"/>
          <w:sz w:val="20"/>
          <w:szCs w:val="20"/>
          <w:lang w:val="en-US"/>
        </w:rPr>
        <w:t xml:space="preserve"> </w:t>
      </w:r>
      <w:r w:rsidR="00276638" w:rsidRPr="00CC562A">
        <w:rPr>
          <w:rFonts w:ascii="Cambria" w:eastAsia="Cambria" w:hAnsi="Cambria" w:cs="Cambria"/>
          <w:color w:val="000000" w:themeColor="text1"/>
          <w:sz w:val="20"/>
          <w:szCs w:val="20"/>
          <w:lang w:val="en-US"/>
        </w:rPr>
        <w:t>the IACHR</w:t>
      </w:r>
      <w:r w:rsidR="3F874933" w:rsidRPr="00CC562A">
        <w:rPr>
          <w:rFonts w:ascii="Cambria" w:eastAsia="Cambria" w:hAnsi="Cambria" w:cs="Cambria"/>
          <w:color w:val="000000" w:themeColor="text1"/>
          <w:sz w:val="20"/>
          <w:szCs w:val="20"/>
          <w:lang w:val="en-US"/>
        </w:rPr>
        <w:t xml:space="preserve"> </w:t>
      </w:r>
      <w:r w:rsidR="00A05C87" w:rsidRPr="00CC562A">
        <w:rPr>
          <w:rFonts w:ascii="Cambria" w:eastAsia="Cambria" w:hAnsi="Cambria" w:cs="Cambria"/>
          <w:color w:val="000000" w:themeColor="text1"/>
          <w:sz w:val="20"/>
          <w:szCs w:val="20"/>
          <w:lang w:val="en-US"/>
        </w:rPr>
        <w:t xml:space="preserve">notes with concern that according to CNDH data, in 81 state centers visited by that body there are deficiencies in </w:t>
      </w:r>
      <w:r w:rsidR="002B67CB" w:rsidRPr="00CC562A">
        <w:rPr>
          <w:rFonts w:ascii="Cambria" w:eastAsia="Cambria" w:hAnsi="Cambria" w:cs="Cambria"/>
          <w:color w:val="000000" w:themeColor="text1"/>
          <w:sz w:val="20"/>
          <w:szCs w:val="20"/>
          <w:lang w:val="en-US"/>
        </w:rPr>
        <w:t>providing for</w:t>
      </w:r>
      <w:r w:rsidR="00A05C87" w:rsidRPr="00CC562A">
        <w:rPr>
          <w:rFonts w:ascii="Cambria" w:eastAsia="Cambria" w:hAnsi="Cambria" w:cs="Cambria"/>
          <w:color w:val="000000" w:themeColor="text1"/>
          <w:sz w:val="20"/>
          <w:szCs w:val="20"/>
          <w:lang w:val="en-US"/>
        </w:rPr>
        <w:t xml:space="preserve"> disabled persons.</w:t>
      </w:r>
      <w:r w:rsidR="348F385D" w:rsidRPr="00CC562A">
        <w:rPr>
          <w:rFonts w:ascii="Cambria" w:eastAsia="Cambria" w:hAnsi="Cambria" w:cs="Cambria"/>
          <w:color w:val="000000" w:themeColor="text1"/>
          <w:sz w:val="20"/>
          <w:szCs w:val="20"/>
          <w:vertAlign w:val="superscript"/>
          <w:lang w:val="en-US"/>
        </w:rPr>
        <w:footnoteReference w:id="248"/>
      </w:r>
      <w:r w:rsidR="00A05C87" w:rsidRPr="00CC562A">
        <w:rPr>
          <w:rFonts w:ascii="Cambria" w:eastAsia="Cambria" w:hAnsi="Cambria" w:cs="Cambria"/>
          <w:color w:val="000000" w:themeColor="text1"/>
          <w:sz w:val="20"/>
          <w:szCs w:val="20"/>
          <w:lang w:val="en-US"/>
        </w:rPr>
        <w:t xml:space="preserve"> In addition, according to the National Survey on the Population Deprived of Liberty, </w:t>
      </w:r>
      <w:r w:rsidR="3F874933" w:rsidRPr="00CC562A">
        <w:rPr>
          <w:rFonts w:ascii="Cambria" w:eastAsia="Cambria" w:hAnsi="Cambria" w:cs="Cambria"/>
          <w:color w:val="000000" w:themeColor="text1"/>
          <w:sz w:val="20"/>
          <w:szCs w:val="20"/>
          <w:lang w:val="en-US"/>
        </w:rPr>
        <w:t>ENPOL 2021, 6.4%</w:t>
      </w:r>
      <w:r w:rsidR="7AF81804" w:rsidRPr="00CC562A">
        <w:rPr>
          <w:rFonts w:ascii="Cambria" w:eastAsia="Cambria" w:hAnsi="Cambria" w:cs="Cambria"/>
          <w:color w:val="000000" w:themeColor="text1"/>
          <w:sz w:val="20"/>
          <w:szCs w:val="20"/>
          <w:lang w:val="en-US"/>
        </w:rPr>
        <w:t xml:space="preserve"> </w:t>
      </w:r>
      <w:r w:rsidR="00A05C87" w:rsidRPr="00CC562A">
        <w:rPr>
          <w:rFonts w:ascii="Cambria" w:eastAsia="Cambria" w:hAnsi="Cambria" w:cs="Cambria"/>
          <w:color w:val="000000" w:themeColor="text1"/>
          <w:sz w:val="20"/>
          <w:szCs w:val="20"/>
          <w:lang w:val="en-US"/>
        </w:rPr>
        <w:t>of the population deprived of liberty were victims of discrimination in the context of their detention due to their disabled condition.</w:t>
      </w:r>
      <w:r w:rsidR="348F385D" w:rsidRPr="00CC562A">
        <w:rPr>
          <w:rFonts w:ascii="Cambria" w:eastAsia="Cambria" w:hAnsi="Cambria" w:cs="Cambria"/>
          <w:color w:val="000000" w:themeColor="text1"/>
          <w:sz w:val="20"/>
          <w:szCs w:val="20"/>
          <w:vertAlign w:val="superscript"/>
          <w:lang w:val="en-US"/>
        </w:rPr>
        <w:footnoteReference w:id="249"/>
      </w:r>
    </w:p>
    <w:p w14:paraId="598AC65B" w14:textId="4473E6B9" w:rsidR="00DC5772" w:rsidRPr="00CC562A" w:rsidRDefault="00F54167" w:rsidP="00A92391">
      <w:pPr>
        <w:numPr>
          <w:ilvl w:val="0"/>
          <w:numId w:val="2"/>
        </w:numPr>
        <w:shd w:val="clear" w:color="auto" w:fill="FFFFFF" w:themeFill="background1"/>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hAnsi="Cambria"/>
          <w:color w:val="000000" w:themeColor="text1"/>
          <w:sz w:val="20"/>
          <w:lang w:val="en-US"/>
        </w:rPr>
        <w:t>With respect to the situation of women in prison, the State affirmed what powers these persons have in relation to their sons or daughters.</w:t>
      </w:r>
      <w:r w:rsidR="00DC5772" w:rsidRPr="00CC562A">
        <w:rPr>
          <w:rStyle w:val="FootnoteReference"/>
          <w:rFonts w:eastAsia="Cambria" w:cs="Cambria"/>
          <w:sz w:val="20"/>
          <w:szCs w:val="20"/>
          <w:lang w:val="en-US"/>
        </w:rPr>
        <w:footnoteReference w:id="250"/>
      </w:r>
      <w:r w:rsidR="00A92391" w:rsidRPr="00CC562A">
        <w:rPr>
          <w:rFonts w:ascii="Cambria" w:eastAsia="Cambria" w:hAnsi="Cambria" w:cs="Cambria"/>
          <w:color w:val="000000" w:themeColor="text1"/>
          <w:sz w:val="20"/>
          <w:szCs w:val="20"/>
          <w:lang w:val="en-US"/>
        </w:rPr>
        <w:t xml:space="preserve"> T</w:t>
      </w:r>
      <w:r w:rsidR="00A05C87" w:rsidRPr="00CC562A">
        <w:rPr>
          <w:rFonts w:ascii="Cambria" w:eastAsia="Cambria" w:hAnsi="Cambria" w:cs="Cambria"/>
          <w:color w:val="000000" w:themeColor="text1"/>
          <w:sz w:val="20"/>
          <w:szCs w:val="20"/>
          <w:lang w:val="en-US"/>
        </w:rPr>
        <w:t>he Commission notes that according to the official information, as of August</w:t>
      </w:r>
      <w:r w:rsidR="3F874933" w:rsidRPr="00CC562A">
        <w:rPr>
          <w:rFonts w:ascii="Cambria" w:eastAsia="Cambria" w:hAnsi="Cambria" w:cs="Cambria"/>
          <w:color w:val="000000" w:themeColor="text1"/>
          <w:sz w:val="20"/>
          <w:szCs w:val="20"/>
          <w:lang w:val="en-US"/>
        </w:rPr>
        <w:t xml:space="preserve"> 2022, </w:t>
      </w:r>
      <w:r w:rsidR="00A05C87" w:rsidRPr="00CC562A">
        <w:rPr>
          <w:rFonts w:ascii="Cambria" w:eastAsia="Cambria" w:hAnsi="Cambria" w:cs="Cambria"/>
          <w:color w:val="000000" w:themeColor="text1"/>
          <w:sz w:val="20"/>
          <w:szCs w:val="20"/>
          <w:lang w:val="en-US"/>
        </w:rPr>
        <w:t xml:space="preserve">the Mexican prison system housed a total of </w:t>
      </w:r>
      <w:r w:rsidR="3F874933" w:rsidRPr="00CC562A">
        <w:rPr>
          <w:rFonts w:ascii="Cambria" w:eastAsia="Cambria" w:hAnsi="Cambria" w:cs="Cambria"/>
          <w:color w:val="000000" w:themeColor="text1"/>
          <w:sz w:val="20"/>
          <w:szCs w:val="20"/>
          <w:lang w:val="en-US"/>
        </w:rPr>
        <w:t>12</w:t>
      </w:r>
      <w:r w:rsidR="00A05C87" w:rsidRPr="00CC562A">
        <w:rPr>
          <w:rFonts w:ascii="Cambria" w:eastAsia="Cambria" w:hAnsi="Cambria" w:cs="Cambria"/>
          <w:color w:val="000000" w:themeColor="text1"/>
          <w:sz w:val="20"/>
          <w:szCs w:val="20"/>
          <w:lang w:val="en-US"/>
        </w:rPr>
        <w:t>,</w:t>
      </w:r>
      <w:r w:rsidR="3F874933" w:rsidRPr="00CC562A">
        <w:rPr>
          <w:rFonts w:ascii="Cambria" w:eastAsia="Cambria" w:hAnsi="Cambria" w:cs="Cambria"/>
          <w:color w:val="000000" w:themeColor="text1"/>
          <w:sz w:val="20"/>
          <w:szCs w:val="20"/>
          <w:lang w:val="en-US"/>
        </w:rPr>
        <w:t xml:space="preserve">903 </w:t>
      </w:r>
      <w:r w:rsidR="00A05C87" w:rsidRPr="00CC562A">
        <w:rPr>
          <w:rFonts w:ascii="Cambria" w:eastAsia="Cambria" w:hAnsi="Cambria" w:cs="Cambria"/>
          <w:color w:val="000000" w:themeColor="text1"/>
          <w:sz w:val="20"/>
          <w:szCs w:val="20"/>
          <w:lang w:val="en-US"/>
        </w:rPr>
        <w:t>women deprived of liberty, a number that represents</w:t>
      </w:r>
      <w:r w:rsidR="3F874933" w:rsidRPr="00CC562A">
        <w:rPr>
          <w:rFonts w:ascii="Cambria" w:eastAsia="Cambria" w:hAnsi="Cambria" w:cs="Cambria"/>
          <w:color w:val="000000" w:themeColor="text1"/>
          <w:sz w:val="20"/>
          <w:szCs w:val="20"/>
          <w:lang w:val="en-US"/>
        </w:rPr>
        <w:t xml:space="preserve"> 5.62% </w:t>
      </w:r>
      <w:r w:rsidR="00A05C87" w:rsidRPr="00CC562A">
        <w:rPr>
          <w:rFonts w:ascii="Cambria" w:eastAsia="Cambria" w:hAnsi="Cambria" w:cs="Cambria"/>
          <w:color w:val="000000" w:themeColor="text1"/>
          <w:sz w:val="20"/>
          <w:szCs w:val="20"/>
          <w:lang w:val="en-US"/>
        </w:rPr>
        <w:t>of the total prison population.</w:t>
      </w:r>
      <w:r w:rsidR="348F385D" w:rsidRPr="00CC562A">
        <w:rPr>
          <w:rFonts w:ascii="Cambria" w:eastAsia="Cambria" w:hAnsi="Cambria" w:cs="Cambria"/>
          <w:color w:val="000000" w:themeColor="text1"/>
          <w:sz w:val="20"/>
          <w:szCs w:val="20"/>
          <w:vertAlign w:val="superscript"/>
          <w:lang w:val="en-US"/>
        </w:rPr>
        <w:footnoteReference w:id="251"/>
      </w:r>
      <w:r w:rsidR="00A05C87" w:rsidRPr="00CC562A">
        <w:rPr>
          <w:rFonts w:ascii="Cambria" w:eastAsia="Cambria" w:hAnsi="Cambria" w:cs="Cambria"/>
          <w:color w:val="000000" w:themeColor="text1"/>
          <w:sz w:val="20"/>
          <w:szCs w:val="20"/>
          <w:lang w:val="en-US"/>
        </w:rPr>
        <w:t xml:space="preserve"> Specifically, on the conditions of detention, according to the National Diagnosis on Sexual Torture Committed against Women Deprived of Liberty in Mexico, </w:t>
      </w:r>
      <w:r w:rsidR="009714E4" w:rsidRPr="00CC562A">
        <w:rPr>
          <w:rFonts w:ascii="Cambria" w:eastAsia="Cambria" w:hAnsi="Cambria" w:cs="Cambria"/>
          <w:color w:val="000000" w:themeColor="text1"/>
          <w:sz w:val="20"/>
          <w:szCs w:val="20"/>
          <w:lang w:val="en-US"/>
        </w:rPr>
        <w:t>women primarily faced</w:t>
      </w:r>
      <w:r w:rsidR="3F874933" w:rsidRPr="00CC562A">
        <w:rPr>
          <w:rFonts w:ascii="Cambria" w:eastAsia="Cambria" w:hAnsi="Cambria" w:cs="Cambria"/>
          <w:color w:val="000000" w:themeColor="text1"/>
          <w:sz w:val="20"/>
          <w:szCs w:val="20"/>
          <w:lang w:val="en-US"/>
        </w:rPr>
        <w:t xml:space="preserve">: </w:t>
      </w:r>
      <w:proofErr w:type="spellStart"/>
      <w:r w:rsidR="3F874933" w:rsidRPr="00CC562A">
        <w:rPr>
          <w:rFonts w:ascii="Cambria" w:eastAsia="Cambria" w:hAnsi="Cambria" w:cs="Cambria"/>
          <w:color w:val="000000" w:themeColor="text1"/>
          <w:sz w:val="20"/>
          <w:szCs w:val="20"/>
          <w:lang w:val="en-US"/>
        </w:rPr>
        <w:t>i</w:t>
      </w:r>
      <w:proofErr w:type="spellEnd"/>
      <w:r w:rsidR="3F874933" w:rsidRPr="00CC562A">
        <w:rPr>
          <w:rFonts w:ascii="Cambria" w:eastAsia="Cambria" w:hAnsi="Cambria" w:cs="Cambria"/>
          <w:color w:val="000000" w:themeColor="text1"/>
          <w:sz w:val="20"/>
          <w:szCs w:val="20"/>
          <w:lang w:val="en-US"/>
        </w:rPr>
        <w:t xml:space="preserve">) </w:t>
      </w:r>
      <w:r w:rsidR="009714E4" w:rsidRPr="00CC562A">
        <w:rPr>
          <w:rFonts w:ascii="Cambria" w:eastAsia="Cambria" w:hAnsi="Cambria" w:cs="Cambria"/>
          <w:color w:val="000000" w:themeColor="text1"/>
          <w:sz w:val="20"/>
          <w:szCs w:val="20"/>
          <w:lang w:val="en-US"/>
        </w:rPr>
        <w:t>a lack of medical and psychological care;</w:t>
      </w:r>
      <w:r w:rsidR="3F874933" w:rsidRPr="00CC562A">
        <w:rPr>
          <w:rFonts w:ascii="Cambria" w:eastAsia="Cambria" w:hAnsi="Cambria" w:cs="Cambria"/>
          <w:color w:val="000000" w:themeColor="text1"/>
          <w:sz w:val="20"/>
          <w:szCs w:val="20"/>
          <w:lang w:val="en-US"/>
        </w:rPr>
        <w:t xml:space="preserve"> ii) </w:t>
      </w:r>
      <w:r w:rsidR="009714E4" w:rsidRPr="00CC562A">
        <w:rPr>
          <w:rFonts w:ascii="Cambria" w:eastAsia="Cambria" w:hAnsi="Cambria" w:cs="Cambria"/>
          <w:color w:val="000000" w:themeColor="text1"/>
          <w:sz w:val="20"/>
          <w:szCs w:val="20"/>
          <w:lang w:val="en-US"/>
        </w:rPr>
        <w:t>a failure to provide personal hygiene items, including sanitary napkins;</w:t>
      </w:r>
      <w:r w:rsidR="3F874933" w:rsidRPr="00CC562A">
        <w:rPr>
          <w:rFonts w:ascii="Cambria" w:eastAsia="Cambria" w:hAnsi="Cambria" w:cs="Cambria"/>
          <w:color w:val="000000" w:themeColor="text1"/>
          <w:sz w:val="20"/>
          <w:szCs w:val="20"/>
          <w:lang w:val="en-US"/>
        </w:rPr>
        <w:t xml:space="preserve"> iii) cost</w:t>
      </w:r>
      <w:r w:rsidR="009714E4" w:rsidRPr="00CC562A">
        <w:rPr>
          <w:rFonts w:ascii="Cambria" w:eastAsia="Cambria" w:hAnsi="Cambria" w:cs="Cambria"/>
          <w:color w:val="000000" w:themeColor="text1"/>
          <w:sz w:val="20"/>
          <w:szCs w:val="20"/>
          <w:lang w:val="en-US"/>
        </w:rPr>
        <w:t>ly food services that must be paid for by their families; and</w:t>
      </w:r>
      <w:r w:rsidR="3F874933" w:rsidRPr="00CC562A">
        <w:rPr>
          <w:rFonts w:ascii="Cambria" w:eastAsia="Cambria" w:hAnsi="Cambria" w:cs="Cambria"/>
          <w:color w:val="000000" w:themeColor="text1"/>
          <w:sz w:val="20"/>
          <w:szCs w:val="20"/>
          <w:lang w:val="en-US"/>
        </w:rPr>
        <w:t xml:space="preserve"> iv) </w:t>
      </w:r>
      <w:r w:rsidR="009714E4" w:rsidRPr="00CC562A">
        <w:rPr>
          <w:rFonts w:ascii="Cambria" w:eastAsia="Cambria" w:hAnsi="Cambria" w:cs="Cambria"/>
          <w:color w:val="000000" w:themeColor="text1"/>
          <w:sz w:val="20"/>
          <w:szCs w:val="20"/>
          <w:lang w:val="en-US"/>
        </w:rPr>
        <w:t>family abandonment.</w:t>
      </w:r>
      <w:r w:rsidR="348F385D" w:rsidRPr="00CC562A">
        <w:rPr>
          <w:rFonts w:ascii="Cambria" w:eastAsia="Cambria" w:hAnsi="Cambria" w:cs="Cambria"/>
          <w:color w:val="000000" w:themeColor="text1"/>
          <w:sz w:val="20"/>
          <w:szCs w:val="20"/>
          <w:vertAlign w:val="superscript"/>
          <w:lang w:val="en-US"/>
        </w:rPr>
        <w:footnoteReference w:id="252"/>
      </w:r>
    </w:p>
    <w:p w14:paraId="4F5CCA3B" w14:textId="058A199A" w:rsidR="002A0B26" w:rsidRPr="00CC562A" w:rsidRDefault="009714E4"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As the IACHR indicated in its 2021 report,</w:t>
      </w:r>
      <w:r w:rsidR="00832B79" w:rsidRPr="00CC562A">
        <w:rPr>
          <w:rStyle w:val="FootnoteReference"/>
          <w:rFonts w:ascii="Cambria" w:eastAsia="Cambria" w:hAnsi="Cambria" w:cs="Cambria"/>
          <w:sz w:val="20"/>
          <w:szCs w:val="20"/>
          <w:lang w:val="en-US"/>
        </w:rPr>
        <w:footnoteReference w:id="253"/>
      </w:r>
      <w:r w:rsidRPr="00CC562A">
        <w:rPr>
          <w:rFonts w:ascii="Cambria" w:eastAsia="Cambria" w:hAnsi="Cambria" w:cs="Cambria"/>
          <w:sz w:val="20"/>
          <w:szCs w:val="20"/>
          <w:lang w:val="en-US"/>
        </w:rPr>
        <w:t xml:space="preserve"> according to official data, as of September</w:t>
      </w:r>
      <w:r w:rsidR="4B8726AA" w:rsidRPr="00CC562A">
        <w:rPr>
          <w:rFonts w:ascii="Cambria" w:hAnsi="Cambria"/>
          <w:sz w:val="20"/>
          <w:szCs w:val="20"/>
          <w:lang w:val="en-US"/>
        </w:rPr>
        <w:t xml:space="preserve"> 2021, </w:t>
      </w:r>
      <w:r w:rsidRPr="00CC562A">
        <w:rPr>
          <w:rFonts w:ascii="Cambria" w:hAnsi="Cambria"/>
          <w:sz w:val="20"/>
          <w:szCs w:val="20"/>
          <w:lang w:val="en-US"/>
        </w:rPr>
        <w:t>the Mexican prison system house</w:t>
      </w:r>
      <w:r w:rsidR="002B67CB" w:rsidRPr="00CC562A">
        <w:rPr>
          <w:rFonts w:ascii="Cambria" w:hAnsi="Cambria"/>
          <w:sz w:val="20"/>
          <w:szCs w:val="20"/>
          <w:lang w:val="en-US"/>
        </w:rPr>
        <w:t>d</w:t>
      </w:r>
      <w:r w:rsidRPr="00CC562A">
        <w:rPr>
          <w:rFonts w:ascii="Cambria" w:hAnsi="Cambria"/>
          <w:sz w:val="20"/>
          <w:szCs w:val="20"/>
          <w:lang w:val="en-US"/>
        </w:rPr>
        <w:t xml:space="preserve"> a total of </w:t>
      </w:r>
      <w:r w:rsidR="4B8726AA" w:rsidRPr="00CC562A">
        <w:rPr>
          <w:rFonts w:ascii="Cambria" w:hAnsi="Cambria"/>
          <w:sz w:val="20"/>
          <w:szCs w:val="20"/>
          <w:lang w:val="en-US"/>
        </w:rPr>
        <w:t>12</w:t>
      </w:r>
      <w:r w:rsidRPr="00CC562A">
        <w:rPr>
          <w:rFonts w:ascii="Cambria" w:hAnsi="Cambria"/>
          <w:sz w:val="20"/>
          <w:szCs w:val="20"/>
          <w:lang w:val="en-US"/>
        </w:rPr>
        <w:t>,</w:t>
      </w:r>
      <w:r w:rsidR="4B8726AA" w:rsidRPr="00CC562A">
        <w:rPr>
          <w:rFonts w:ascii="Cambria" w:hAnsi="Cambria"/>
          <w:sz w:val="20"/>
          <w:szCs w:val="20"/>
          <w:lang w:val="en-US"/>
        </w:rPr>
        <w:t xml:space="preserve">613 </w:t>
      </w:r>
      <w:r w:rsidRPr="00CC562A">
        <w:rPr>
          <w:rFonts w:ascii="Cambria" w:hAnsi="Cambria"/>
          <w:sz w:val="20"/>
          <w:szCs w:val="20"/>
          <w:lang w:val="en-US"/>
        </w:rPr>
        <w:t xml:space="preserve">women deprived of liberty. Although the system consists of </w:t>
      </w:r>
      <w:r w:rsidR="4B8726AA" w:rsidRPr="00CC562A">
        <w:rPr>
          <w:rFonts w:ascii="Cambria" w:hAnsi="Cambria"/>
          <w:sz w:val="20"/>
          <w:szCs w:val="20"/>
          <w:lang w:val="en-US"/>
        </w:rPr>
        <w:t xml:space="preserve">288 </w:t>
      </w:r>
      <w:r w:rsidRPr="00CC562A">
        <w:rPr>
          <w:rFonts w:ascii="Cambria" w:hAnsi="Cambria"/>
          <w:sz w:val="20"/>
          <w:szCs w:val="20"/>
          <w:lang w:val="en-US"/>
        </w:rPr>
        <w:t>detention centers, only</w:t>
      </w:r>
      <w:r w:rsidR="4B8726AA" w:rsidRPr="00CC562A">
        <w:rPr>
          <w:rFonts w:ascii="Cambria" w:hAnsi="Cambria"/>
          <w:sz w:val="20"/>
          <w:szCs w:val="20"/>
          <w:lang w:val="en-US"/>
        </w:rPr>
        <w:t xml:space="preserve"> 22 </w:t>
      </w:r>
      <w:r w:rsidRPr="00CC562A">
        <w:rPr>
          <w:rFonts w:ascii="Cambria" w:hAnsi="Cambria"/>
          <w:sz w:val="20"/>
          <w:szCs w:val="20"/>
          <w:lang w:val="en-US"/>
        </w:rPr>
        <w:t>of the</w:t>
      </w:r>
      <w:r w:rsidR="002B67CB" w:rsidRPr="00CC562A">
        <w:rPr>
          <w:rFonts w:ascii="Cambria" w:hAnsi="Cambria"/>
          <w:sz w:val="20"/>
          <w:szCs w:val="20"/>
          <w:lang w:val="en-US"/>
        </w:rPr>
        <w:t>m</w:t>
      </w:r>
      <w:r w:rsidRPr="00CC562A">
        <w:rPr>
          <w:rFonts w:ascii="Cambria" w:hAnsi="Cambria"/>
          <w:sz w:val="20"/>
          <w:szCs w:val="20"/>
          <w:lang w:val="en-US"/>
        </w:rPr>
        <w:t xml:space="preserve"> are intended for the exclusive detention of women.</w:t>
      </w:r>
      <w:r w:rsidR="002A0B26" w:rsidRPr="00CC562A">
        <w:rPr>
          <w:rStyle w:val="FootnoteReference"/>
          <w:rFonts w:ascii="Cambria" w:hAnsi="Cambria"/>
          <w:sz w:val="20"/>
          <w:szCs w:val="20"/>
          <w:lang w:val="en-US"/>
        </w:rPr>
        <w:footnoteReference w:id="254"/>
      </w:r>
      <w:r w:rsidRPr="00CC562A">
        <w:rPr>
          <w:rFonts w:ascii="Cambria" w:hAnsi="Cambria"/>
          <w:sz w:val="20"/>
          <w:szCs w:val="20"/>
          <w:lang w:val="en-US"/>
        </w:rPr>
        <w:t xml:space="preserve"> I</w:t>
      </w:r>
      <w:r w:rsidR="00D77397" w:rsidRPr="00CC562A">
        <w:rPr>
          <w:rFonts w:ascii="Cambria" w:hAnsi="Cambria"/>
          <w:sz w:val="20"/>
          <w:szCs w:val="20"/>
          <w:lang w:val="en-US"/>
        </w:rPr>
        <w:t>n</w:t>
      </w:r>
      <w:r w:rsidRPr="00CC562A">
        <w:rPr>
          <w:rFonts w:ascii="Cambria" w:hAnsi="Cambria"/>
          <w:sz w:val="20"/>
          <w:szCs w:val="20"/>
          <w:lang w:val="en-US"/>
        </w:rPr>
        <w:t xml:space="preserve"> addition, </w:t>
      </w:r>
      <w:r w:rsidR="00276638" w:rsidRPr="00CC562A">
        <w:rPr>
          <w:rFonts w:ascii="Cambria" w:hAnsi="Cambria"/>
          <w:sz w:val="20"/>
          <w:szCs w:val="20"/>
          <w:lang w:val="en-US"/>
        </w:rPr>
        <w:t>IACHR</w:t>
      </w:r>
      <w:r w:rsidR="4B8726AA" w:rsidRPr="00CC562A">
        <w:rPr>
          <w:rFonts w:ascii="Cambria" w:hAnsi="Cambria"/>
          <w:sz w:val="20"/>
          <w:szCs w:val="20"/>
          <w:lang w:val="en-US"/>
        </w:rPr>
        <w:t xml:space="preserve"> </w:t>
      </w:r>
      <w:r w:rsidRPr="00CC562A">
        <w:rPr>
          <w:rFonts w:ascii="Cambria" w:hAnsi="Cambria"/>
          <w:sz w:val="20"/>
          <w:szCs w:val="20"/>
          <w:lang w:val="en-US"/>
        </w:rPr>
        <w:t xml:space="preserve">notes with concern that nearly </w:t>
      </w:r>
      <w:r w:rsidR="4B8726AA" w:rsidRPr="00CC562A">
        <w:rPr>
          <w:rFonts w:ascii="Cambria" w:hAnsi="Cambria"/>
          <w:sz w:val="20"/>
          <w:szCs w:val="20"/>
          <w:lang w:val="en-US"/>
        </w:rPr>
        <w:t xml:space="preserve">50% </w:t>
      </w:r>
      <w:r w:rsidRPr="00CC562A">
        <w:rPr>
          <w:rFonts w:ascii="Cambria" w:hAnsi="Cambria"/>
          <w:sz w:val="20"/>
          <w:szCs w:val="20"/>
          <w:lang w:val="en-US"/>
        </w:rPr>
        <w:t xml:space="preserve">of women deprived of liberty are found in </w:t>
      </w:r>
      <w:r w:rsidR="002B67CB" w:rsidRPr="00CC562A">
        <w:rPr>
          <w:rFonts w:ascii="Cambria" w:hAnsi="Cambria"/>
          <w:sz w:val="20"/>
          <w:szCs w:val="20"/>
          <w:lang w:val="en-US"/>
        </w:rPr>
        <w:t>coed</w:t>
      </w:r>
      <w:r w:rsidRPr="00CC562A">
        <w:rPr>
          <w:rFonts w:ascii="Cambria" w:hAnsi="Cambria"/>
          <w:sz w:val="20"/>
          <w:szCs w:val="20"/>
          <w:lang w:val="en-US"/>
        </w:rPr>
        <w:t xml:space="preserve"> detention centers.</w:t>
      </w:r>
      <w:r w:rsidR="002A0B26" w:rsidRPr="00CC562A">
        <w:rPr>
          <w:rStyle w:val="FootnoteReference"/>
          <w:rFonts w:ascii="Cambria" w:hAnsi="Cambria"/>
          <w:sz w:val="20"/>
          <w:szCs w:val="20"/>
          <w:lang w:val="en-US"/>
        </w:rPr>
        <w:footnoteReference w:id="255"/>
      </w:r>
      <w:r w:rsidRPr="00CC562A">
        <w:rPr>
          <w:rFonts w:ascii="Cambria" w:hAnsi="Cambria"/>
          <w:sz w:val="20"/>
          <w:szCs w:val="20"/>
          <w:lang w:val="en-US"/>
        </w:rPr>
        <w:t xml:space="preserve"> With respect to the conditions of detention, the</w:t>
      </w:r>
      <w:r w:rsidR="4B8726AA" w:rsidRPr="00CC562A">
        <w:rPr>
          <w:rFonts w:ascii="Cambria" w:hAnsi="Cambria"/>
          <w:sz w:val="20"/>
          <w:szCs w:val="20"/>
          <w:lang w:val="en-US"/>
        </w:rPr>
        <w:t xml:space="preserve"> CNDH report</w:t>
      </w:r>
      <w:r w:rsidRPr="00CC562A">
        <w:rPr>
          <w:rFonts w:ascii="Cambria" w:hAnsi="Cambria"/>
          <w:sz w:val="20"/>
          <w:szCs w:val="20"/>
          <w:lang w:val="en-US"/>
        </w:rPr>
        <w:t xml:space="preserve">ed </w:t>
      </w:r>
      <w:r w:rsidR="00131DE4" w:rsidRPr="00CC562A">
        <w:rPr>
          <w:rFonts w:ascii="Cambria" w:hAnsi="Cambria"/>
          <w:sz w:val="20"/>
          <w:szCs w:val="20"/>
          <w:lang w:val="en-US"/>
        </w:rPr>
        <w:t>violations that include</w:t>
      </w:r>
      <w:r w:rsidR="4B8726AA" w:rsidRPr="00CC562A">
        <w:rPr>
          <w:rFonts w:ascii="Cambria" w:hAnsi="Cambria"/>
          <w:sz w:val="20"/>
          <w:szCs w:val="20"/>
          <w:lang w:val="en-US"/>
        </w:rPr>
        <w:t xml:space="preserve">: </w:t>
      </w:r>
      <w:proofErr w:type="spellStart"/>
      <w:r w:rsidR="4B8726AA" w:rsidRPr="00CC562A">
        <w:rPr>
          <w:rFonts w:ascii="Cambria" w:hAnsi="Cambria"/>
          <w:sz w:val="20"/>
          <w:szCs w:val="20"/>
          <w:lang w:val="en-US"/>
        </w:rPr>
        <w:t>i</w:t>
      </w:r>
      <w:proofErr w:type="spellEnd"/>
      <w:r w:rsidR="4B8726AA" w:rsidRPr="00CC562A">
        <w:rPr>
          <w:rFonts w:ascii="Cambria" w:hAnsi="Cambria"/>
          <w:sz w:val="20"/>
          <w:szCs w:val="20"/>
          <w:lang w:val="en-US"/>
        </w:rPr>
        <w:t xml:space="preserve">) </w:t>
      </w:r>
      <w:r w:rsidR="00131DE4" w:rsidRPr="00CC562A">
        <w:rPr>
          <w:rFonts w:ascii="Cambria" w:hAnsi="Cambria"/>
          <w:sz w:val="20"/>
          <w:szCs w:val="20"/>
          <w:lang w:val="en-US"/>
        </w:rPr>
        <w:t>not enough separation between men and women;</w:t>
      </w:r>
      <w:r w:rsidR="002A0B26" w:rsidRPr="00CC562A">
        <w:rPr>
          <w:rStyle w:val="FootnoteReference"/>
          <w:rFonts w:ascii="Cambria" w:hAnsi="Cambria"/>
          <w:sz w:val="20"/>
          <w:szCs w:val="20"/>
          <w:lang w:val="en-US"/>
        </w:rPr>
        <w:footnoteReference w:id="256"/>
      </w:r>
      <w:r w:rsidR="4B8726AA" w:rsidRPr="00CC562A">
        <w:rPr>
          <w:rFonts w:ascii="Cambria" w:hAnsi="Cambria"/>
          <w:sz w:val="20"/>
          <w:szCs w:val="20"/>
          <w:lang w:val="en-US"/>
        </w:rPr>
        <w:t xml:space="preserve"> ii) deficienci</w:t>
      </w:r>
      <w:r w:rsidR="00131DE4" w:rsidRPr="00CC562A">
        <w:rPr>
          <w:rFonts w:ascii="Cambria" w:hAnsi="Cambria"/>
          <w:sz w:val="20"/>
          <w:szCs w:val="20"/>
          <w:lang w:val="en-US"/>
        </w:rPr>
        <w:t xml:space="preserve">es in care for women and children who live with their mothers in </w:t>
      </w:r>
      <w:r w:rsidR="4B8726AA" w:rsidRPr="00CC562A">
        <w:rPr>
          <w:rFonts w:ascii="Cambria" w:hAnsi="Cambria"/>
          <w:sz w:val="20"/>
          <w:szCs w:val="20"/>
          <w:lang w:val="en-US"/>
        </w:rPr>
        <w:t xml:space="preserve">26.5% </w:t>
      </w:r>
      <w:r w:rsidR="00131DE4" w:rsidRPr="00CC562A">
        <w:rPr>
          <w:rFonts w:ascii="Cambria" w:hAnsi="Cambria"/>
          <w:sz w:val="20"/>
          <w:szCs w:val="20"/>
          <w:lang w:val="en-US"/>
        </w:rPr>
        <w:t xml:space="preserve">of cases in the </w:t>
      </w:r>
      <w:r w:rsidR="4B8726AA" w:rsidRPr="00CC562A">
        <w:rPr>
          <w:rFonts w:ascii="Cambria" w:hAnsi="Cambria"/>
          <w:sz w:val="20"/>
          <w:szCs w:val="20"/>
          <w:lang w:val="en-US"/>
        </w:rPr>
        <w:t xml:space="preserve">113 </w:t>
      </w:r>
      <w:r w:rsidR="00131DE4" w:rsidRPr="00CC562A">
        <w:rPr>
          <w:rFonts w:ascii="Cambria" w:hAnsi="Cambria"/>
          <w:sz w:val="20"/>
          <w:szCs w:val="20"/>
          <w:lang w:val="en-US"/>
        </w:rPr>
        <w:t>detention centers observed;</w:t>
      </w:r>
      <w:r w:rsidR="002A0B26" w:rsidRPr="00CC562A">
        <w:rPr>
          <w:rStyle w:val="FootnoteReference"/>
          <w:rFonts w:ascii="Cambria" w:hAnsi="Cambria"/>
          <w:sz w:val="20"/>
          <w:szCs w:val="20"/>
          <w:lang w:val="en-US"/>
        </w:rPr>
        <w:footnoteReference w:id="257"/>
      </w:r>
      <w:r w:rsidR="00131DE4" w:rsidRPr="00CC562A">
        <w:rPr>
          <w:rFonts w:ascii="Cambria" w:hAnsi="Cambria"/>
          <w:sz w:val="20"/>
          <w:szCs w:val="20"/>
          <w:lang w:val="en-US"/>
        </w:rPr>
        <w:t xml:space="preserve"> and</w:t>
      </w:r>
      <w:r w:rsidR="4B8726AA" w:rsidRPr="00CC562A">
        <w:rPr>
          <w:rFonts w:ascii="Cambria" w:hAnsi="Cambria"/>
          <w:sz w:val="20"/>
          <w:szCs w:val="20"/>
          <w:lang w:val="en-US"/>
        </w:rPr>
        <w:t xml:space="preserve"> iii) </w:t>
      </w:r>
      <w:r w:rsidR="2E40AAC3" w:rsidRPr="00CC562A">
        <w:rPr>
          <w:rFonts w:ascii="Cambria" w:hAnsi="Cambria"/>
          <w:sz w:val="20"/>
          <w:szCs w:val="20"/>
          <w:lang w:val="en-US"/>
        </w:rPr>
        <w:t>obst</w:t>
      </w:r>
      <w:r w:rsidR="00131DE4" w:rsidRPr="00CC562A">
        <w:rPr>
          <w:rFonts w:ascii="Cambria" w:hAnsi="Cambria"/>
          <w:sz w:val="20"/>
          <w:szCs w:val="20"/>
          <w:lang w:val="en-US"/>
        </w:rPr>
        <w:t>acles in access to sanitary napkins due to the lack of a budgetary item for their purchase. On this subject, the Commission makes note of Recommendation</w:t>
      </w:r>
      <w:r w:rsidR="4B8726AA" w:rsidRPr="00CC562A">
        <w:rPr>
          <w:rFonts w:ascii="Cambria" w:hAnsi="Cambria"/>
          <w:sz w:val="20"/>
          <w:szCs w:val="20"/>
          <w:lang w:val="en-US"/>
        </w:rPr>
        <w:t xml:space="preserve"> 35/2021 </w:t>
      </w:r>
      <w:r w:rsidR="00131DE4" w:rsidRPr="00CC562A">
        <w:rPr>
          <w:rFonts w:ascii="Cambria" w:hAnsi="Cambria"/>
          <w:sz w:val="20"/>
          <w:szCs w:val="20"/>
          <w:lang w:val="en-US"/>
        </w:rPr>
        <w:t xml:space="preserve">issued by the </w:t>
      </w:r>
      <w:r w:rsidR="4B8726AA" w:rsidRPr="00CC562A">
        <w:rPr>
          <w:rFonts w:ascii="Cambria" w:hAnsi="Cambria"/>
          <w:sz w:val="20"/>
          <w:szCs w:val="20"/>
          <w:lang w:val="en-US"/>
        </w:rPr>
        <w:t>CNDH</w:t>
      </w:r>
      <w:r w:rsidR="00131DE4" w:rsidRPr="00CC562A">
        <w:rPr>
          <w:rFonts w:ascii="Cambria" w:hAnsi="Cambria"/>
          <w:sz w:val="20"/>
          <w:szCs w:val="20"/>
          <w:lang w:val="en-US"/>
        </w:rPr>
        <w:t xml:space="preserve"> to ensure that Penitentiary Centers in all of Mexico’s states and Mexico City; the Federal Social Rehabilitation </w:t>
      </w:r>
      <w:r w:rsidR="006067DF" w:rsidRPr="00CC562A">
        <w:rPr>
          <w:rFonts w:ascii="Cambria" w:hAnsi="Cambria"/>
          <w:sz w:val="20"/>
          <w:szCs w:val="20"/>
          <w:lang w:val="en-US"/>
        </w:rPr>
        <w:t>Center in</w:t>
      </w:r>
      <w:r w:rsidR="4B8726AA" w:rsidRPr="00CC562A">
        <w:rPr>
          <w:rFonts w:ascii="Cambria" w:hAnsi="Cambria"/>
          <w:sz w:val="20"/>
          <w:szCs w:val="20"/>
          <w:lang w:val="en-US"/>
        </w:rPr>
        <w:t xml:space="preserve"> </w:t>
      </w:r>
      <w:proofErr w:type="spellStart"/>
      <w:r w:rsidR="2E40AAC3" w:rsidRPr="00CC562A">
        <w:rPr>
          <w:rFonts w:ascii="Cambria" w:hAnsi="Cambria"/>
          <w:sz w:val="20"/>
          <w:szCs w:val="20"/>
          <w:lang w:val="en-US"/>
        </w:rPr>
        <w:t>Coatlán</w:t>
      </w:r>
      <w:proofErr w:type="spellEnd"/>
      <w:r w:rsidR="4B8726AA" w:rsidRPr="00CC562A">
        <w:rPr>
          <w:rFonts w:ascii="Cambria" w:hAnsi="Cambria"/>
          <w:sz w:val="20"/>
          <w:szCs w:val="20"/>
          <w:lang w:val="en-US"/>
        </w:rPr>
        <w:t xml:space="preserve"> del </w:t>
      </w:r>
      <w:r w:rsidR="2E40AAC3" w:rsidRPr="00CC562A">
        <w:rPr>
          <w:rFonts w:ascii="Cambria" w:hAnsi="Cambria"/>
          <w:sz w:val="20"/>
          <w:szCs w:val="20"/>
          <w:lang w:val="en-US"/>
        </w:rPr>
        <w:t>Río</w:t>
      </w:r>
      <w:r w:rsidR="4B8726AA" w:rsidRPr="00CC562A">
        <w:rPr>
          <w:rFonts w:ascii="Cambria" w:hAnsi="Cambria"/>
          <w:sz w:val="20"/>
          <w:szCs w:val="20"/>
          <w:lang w:val="en-US"/>
        </w:rPr>
        <w:t xml:space="preserve"> (Morelos); </w:t>
      </w:r>
      <w:r w:rsidR="006067DF" w:rsidRPr="00CC562A">
        <w:rPr>
          <w:rFonts w:ascii="Cambria" w:hAnsi="Cambria"/>
          <w:sz w:val="20"/>
          <w:szCs w:val="20"/>
          <w:lang w:val="en-US"/>
        </w:rPr>
        <w:t xml:space="preserve">the Military Prisons in Mexico City, </w:t>
      </w:r>
      <w:r w:rsidR="4B8726AA" w:rsidRPr="00CC562A">
        <w:rPr>
          <w:rFonts w:ascii="Cambria" w:hAnsi="Cambria"/>
          <w:sz w:val="20"/>
          <w:szCs w:val="20"/>
          <w:lang w:val="en-US"/>
        </w:rPr>
        <w:t>Sinaloa</w:t>
      </w:r>
      <w:r w:rsidR="006067DF" w:rsidRPr="00CC562A">
        <w:rPr>
          <w:rFonts w:ascii="Cambria" w:hAnsi="Cambria"/>
          <w:sz w:val="20"/>
          <w:szCs w:val="20"/>
          <w:lang w:val="en-US"/>
        </w:rPr>
        <w:t>, and</w:t>
      </w:r>
      <w:r w:rsidR="4B8726AA" w:rsidRPr="00CC562A">
        <w:rPr>
          <w:rFonts w:ascii="Cambria" w:hAnsi="Cambria"/>
          <w:sz w:val="20"/>
          <w:szCs w:val="20"/>
          <w:lang w:val="en-US"/>
        </w:rPr>
        <w:t xml:space="preserve"> Jalisco; </w:t>
      </w:r>
      <w:r w:rsidR="006067DF" w:rsidRPr="00CC562A">
        <w:rPr>
          <w:rFonts w:ascii="Cambria" w:hAnsi="Cambria"/>
          <w:sz w:val="20"/>
          <w:szCs w:val="20"/>
          <w:lang w:val="en-US"/>
        </w:rPr>
        <w:t xml:space="preserve">the sites where Mexican </w:t>
      </w:r>
      <w:r w:rsidR="00365543" w:rsidRPr="00CC562A">
        <w:rPr>
          <w:rFonts w:ascii="Cambria" w:hAnsi="Cambria"/>
          <w:sz w:val="20"/>
          <w:szCs w:val="20"/>
          <w:lang w:val="en-US"/>
        </w:rPr>
        <w:t>states</w:t>
      </w:r>
      <w:r w:rsidR="006067DF" w:rsidRPr="00CC562A">
        <w:rPr>
          <w:rFonts w:ascii="Cambria" w:hAnsi="Cambria"/>
          <w:sz w:val="20"/>
          <w:szCs w:val="20"/>
          <w:lang w:val="en-US"/>
        </w:rPr>
        <w:t xml:space="preserve"> house adolescents; and the detention centers that receive visits from women have the specific budget for the purchase of sanitary napkins and menstrual hygiene supplies.</w:t>
      </w:r>
      <w:r w:rsidR="002A0B26" w:rsidRPr="00CC562A">
        <w:rPr>
          <w:rStyle w:val="FootnoteReference"/>
          <w:rFonts w:ascii="Cambria" w:hAnsi="Cambria"/>
          <w:sz w:val="20"/>
          <w:szCs w:val="20"/>
          <w:lang w:val="en-US"/>
        </w:rPr>
        <w:footnoteReference w:id="258"/>
      </w:r>
    </w:p>
    <w:p w14:paraId="24439E82" w14:textId="4ECFE582" w:rsidR="00832B79" w:rsidRPr="00CC562A" w:rsidRDefault="006067DF"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In addition, on the measures adopted to eliminate the barriers confronting disabled persons deprived of liberty</w:t>
      </w:r>
      <w:r w:rsidR="65F32F1D"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65F32F1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notes that, as in the </w:t>
      </w:r>
      <w:r w:rsidR="00A55CB3" w:rsidRPr="00CC562A">
        <w:rPr>
          <w:rFonts w:ascii="Cambria" w:eastAsia="Cambria" w:hAnsi="Cambria" w:cs="Cambria"/>
          <w:sz w:val="20"/>
          <w:szCs w:val="20"/>
          <w:lang w:val="en-US"/>
        </w:rPr>
        <w:t>previous</w:t>
      </w:r>
      <w:r w:rsidRPr="00CC562A">
        <w:rPr>
          <w:rFonts w:ascii="Cambria" w:eastAsia="Cambria" w:hAnsi="Cambria" w:cs="Cambria"/>
          <w:sz w:val="20"/>
          <w:szCs w:val="20"/>
          <w:lang w:val="en-US"/>
        </w:rPr>
        <w:t xml:space="preserve"> year, </w:t>
      </w:r>
      <w:r w:rsidR="00752FED" w:rsidRPr="00CC562A">
        <w:rPr>
          <w:rFonts w:ascii="Cambria" w:eastAsia="Cambria" w:hAnsi="Cambria" w:cs="Cambria"/>
          <w:sz w:val="20"/>
          <w:szCs w:val="20"/>
          <w:lang w:val="en-US"/>
        </w:rPr>
        <w:t>the State</w:t>
      </w:r>
      <w:r w:rsidR="65F32F1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did not submit information on the measures implemented in </w:t>
      </w:r>
      <w:r w:rsidR="65F32F1D" w:rsidRPr="00CC562A">
        <w:rPr>
          <w:rFonts w:ascii="Cambria" w:eastAsia="Cambria" w:hAnsi="Cambria" w:cs="Cambria"/>
          <w:sz w:val="20"/>
          <w:szCs w:val="20"/>
          <w:lang w:val="en-US"/>
        </w:rPr>
        <w:t xml:space="preserve">2022.  </w:t>
      </w:r>
      <w:r w:rsidRPr="00CC562A">
        <w:rPr>
          <w:rFonts w:ascii="Cambria" w:eastAsia="Cambria" w:hAnsi="Cambria" w:cs="Cambria"/>
          <w:sz w:val="20"/>
          <w:szCs w:val="20"/>
          <w:lang w:val="en-US"/>
        </w:rPr>
        <w:t xml:space="preserve">In this regard, the </w:t>
      </w:r>
      <w:r w:rsidR="00276638" w:rsidRPr="00CC562A">
        <w:rPr>
          <w:rFonts w:ascii="Cambria" w:eastAsia="Cambria" w:hAnsi="Cambria" w:cs="Cambria"/>
          <w:sz w:val="20"/>
          <w:szCs w:val="20"/>
          <w:lang w:val="en-US"/>
        </w:rPr>
        <w:t>IACHR</w:t>
      </w:r>
      <w:r w:rsidR="7DE2240D" w:rsidRPr="00CC562A">
        <w:rPr>
          <w:rFonts w:ascii="Cambria" w:eastAsia="Cambria" w:hAnsi="Cambria" w:cs="Cambria"/>
          <w:sz w:val="20"/>
          <w:szCs w:val="20"/>
          <w:lang w:val="en-US"/>
        </w:rPr>
        <w:t xml:space="preserve"> reitera</w:t>
      </w:r>
      <w:r w:rsidR="00234A87" w:rsidRPr="00CC562A">
        <w:rPr>
          <w:rFonts w:ascii="Cambria" w:eastAsia="Cambria" w:hAnsi="Cambria" w:cs="Cambria"/>
          <w:sz w:val="20"/>
          <w:szCs w:val="20"/>
          <w:lang w:val="en-US"/>
        </w:rPr>
        <w:t>tes that Advisory Opinion</w:t>
      </w:r>
      <w:r w:rsidR="7DE2240D" w:rsidRPr="00CC562A">
        <w:rPr>
          <w:rFonts w:ascii="Cambria" w:eastAsia="Cambria" w:hAnsi="Cambria" w:cs="Cambria"/>
          <w:sz w:val="20"/>
          <w:szCs w:val="20"/>
          <w:lang w:val="en-US"/>
        </w:rPr>
        <w:t xml:space="preserve"> OC-29/22</w:t>
      </w:r>
      <w:r w:rsidR="00234A87" w:rsidRPr="00CC562A">
        <w:rPr>
          <w:rFonts w:ascii="Cambria" w:eastAsia="Cambria" w:hAnsi="Cambria" w:cs="Cambria"/>
          <w:sz w:val="20"/>
          <w:szCs w:val="20"/>
          <w:lang w:val="en-US"/>
        </w:rPr>
        <w:t xml:space="preserve"> of the I/A Court H.R. on differentiated approaches with respect to specific groups of persons deprived of liberty spells out a series of measures regarding pregnant women deprived of liberty and on a cross-cutting basis some measures that may be adopted as reasonable adjustments for the disabled.</w:t>
      </w:r>
    </w:p>
    <w:p w14:paraId="45294122" w14:textId="40850AC1" w:rsidR="00522749" w:rsidRPr="00CC562A" w:rsidRDefault="00234A87"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Based on the available information, </w:t>
      </w:r>
      <w:r w:rsidR="00276638" w:rsidRPr="00CC562A">
        <w:rPr>
          <w:rFonts w:ascii="Cambria" w:hAnsi="Cambria"/>
          <w:sz w:val="20"/>
          <w:szCs w:val="20"/>
          <w:lang w:val="en-US"/>
        </w:rPr>
        <w:t>the IACHR</w:t>
      </w:r>
      <w:r w:rsidR="4B8726AA" w:rsidRPr="00CC562A">
        <w:rPr>
          <w:rFonts w:ascii="Cambria" w:hAnsi="Cambria"/>
          <w:sz w:val="20"/>
          <w:szCs w:val="20"/>
          <w:lang w:val="en-US"/>
        </w:rPr>
        <w:t xml:space="preserve"> </w:t>
      </w:r>
      <w:r w:rsidRPr="00CC562A">
        <w:rPr>
          <w:rFonts w:ascii="Cambria" w:hAnsi="Cambria"/>
          <w:sz w:val="20"/>
          <w:szCs w:val="20"/>
          <w:lang w:val="en-US"/>
        </w:rPr>
        <w:t xml:space="preserve">notes </w:t>
      </w:r>
      <w:r w:rsidR="009B78B1" w:rsidRPr="00CC562A">
        <w:rPr>
          <w:rFonts w:ascii="Cambria" w:hAnsi="Cambria"/>
          <w:sz w:val="20"/>
          <w:szCs w:val="20"/>
          <w:lang w:val="en-US"/>
        </w:rPr>
        <w:t xml:space="preserve">the lack of progress in ensuring differentiated conditions of detention for groups in at-risk situations. Thus, the Commission concludes that the recommendation under analysis is </w:t>
      </w:r>
      <w:r w:rsidR="009B78B1" w:rsidRPr="00CC562A">
        <w:rPr>
          <w:rFonts w:ascii="Cambria" w:hAnsi="Cambria"/>
          <w:b/>
          <w:bCs/>
          <w:sz w:val="20"/>
          <w:szCs w:val="20"/>
          <w:lang w:val="en-US"/>
        </w:rPr>
        <w:t>pending compliance</w:t>
      </w:r>
      <w:r w:rsidR="4B8726AA" w:rsidRPr="00CC562A">
        <w:rPr>
          <w:rFonts w:ascii="Cambria" w:hAnsi="Cambria"/>
          <w:b/>
          <w:bCs/>
          <w:sz w:val="20"/>
          <w:szCs w:val="20"/>
          <w:lang w:val="en-US"/>
        </w:rPr>
        <w:t>.</w:t>
      </w:r>
      <w:r w:rsidR="4B8726AA" w:rsidRPr="00CC562A">
        <w:rPr>
          <w:rFonts w:ascii="Cambria" w:hAnsi="Cambria"/>
          <w:sz w:val="20"/>
          <w:szCs w:val="20"/>
          <w:lang w:val="en-US"/>
        </w:rPr>
        <w:t xml:space="preserve"> </w:t>
      </w:r>
    </w:p>
    <w:p w14:paraId="261B4E57" w14:textId="4C147FA6" w:rsidR="00785B09" w:rsidRPr="00CC562A" w:rsidRDefault="009B78B1"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the process of implementing this recommendation, </w:t>
      </w:r>
      <w:r w:rsidR="00276638" w:rsidRPr="00CC562A">
        <w:rPr>
          <w:rFonts w:ascii="Cambria" w:eastAsia="Cambria" w:hAnsi="Cambria" w:cs="Cambria"/>
          <w:sz w:val="20"/>
          <w:szCs w:val="20"/>
          <w:lang w:val="en-US"/>
        </w:rPr>
        <w:t>the IAC</w:t>
      </w:r>
      <w:r w:rsidRPr="00CC562A">
        <w:rPr>
          <w:rFonts w:ascii="Cambria" w:eastAsia="Cambria" w:hAnsi="Cambria" w:cs="Cambria"/>
          <w:sz w:val="20"/>
          <w:szCs w:val="20"/>
          <w:lang w:val="en-US"/>
        </w:rPr>
        <w:t>H</w:t>
      </w:r>
      <w:r w:rsidR="00276638" w:rsidRPr="00CC562A">
        <w:rPr>
          <w:rFonts w:ascii="Cambria" w:eastAsia="Cambria" w:hAnsi="Cambria" w:cs="Cambria"/>
          <w:sz w:val="20"/>
          <w:szCs w:val="20"/>
          <w:lang w:val="en-US"/>
        </w:rPr>
        <w:t>R</w:t>
      </w:r>
      <w:r w:rsidR="00785B0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sees fit to urge the State to adopt specific measures such as public policies, institutional strengthening actions, allocated resources, and other</w:t>
      </w:r>
      <w:r w:rsidR="00A55CB3" w:rsidRPr="00CC562A">
        <w:rPr>
          <w:rFonts w:ascii="Cambria" w:eastAsia="Cambria" w:hAnsi="Cambria" w:cs="Cambria"/>
          <w:sz w:val="20"/>
          <w:szCs w:val="20"/>
          <w:lang w:val="en-US"/>
        </w:rPr>
        <w:t xml:space="preserve"> measures to ensure</w:t>
      </w:r>
      <w:r w:rsidRPr="00CC562A">
        <w:rPr>
          <w:rFonts w:ascii="Cambria" w:eastAsia="Cambria" w:hAnsi="Cambria" w:cs="Cambria"/>
          <w:sz w:val="20"/>
          <w:szCs w:val="20"/>
          <w:lang w:val="en-US"/>
        </w:rPr>
        <w:t xml:space="preserve"> appropriate conditions of detention, as well as specific measures with respect to women deprived of liberty and the disabled.</w:t>
      </w:r>
      <w:r w:rsidR="6CC997AD"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0785B09"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Pr="00CC562A">
        <w:rPr>
          <w:rFonts w:ascii="Cambria" w:eastAsia="Cambria" w:hAnsi="Cambria" w:cs="Cambria"/>
          <w:sz w:val="20"/>
          <w:szCs w:val="20"/>
          <w:lang w:val="en-US"/>
        </w:rPr>
        <w:t xml:space="preserve"> sees fit to point out the importance of providing situational information to be used as a baseline in assessing whether progress has been made in complying with this recommendation</w:t>
      </w:r>
      <w:r w:rsidR="00785B09" w:rsidRPr="00CC562A">
        <w:rPr>
          <w:rFonts w:ascii="Cambria" w:eastAsia="Cambria" w:hAnsi="Cambria" w:cs="Cambria"/>
          <w:sz w:val="20"/>
          <w:szCs w:val="20"/>
          <w:lang w:val="en-US"/>
        </w:rPr>
        <w:t>.</w:t>
      </w:r>
    </w:p>
    <w:p w14:paraId="2AFCABCF" w14:textId="539CBCC1" w:rsidR="00E22795" w:rsidRPr="00CC562A" w:rsidRDefault="00DC5F10"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Regarding the recommendation to</w:t>
      </w:r>
      <w:r w:rsidR="0ED6A699" w:rsidRPr="00CC562A">
        <w:rPr>
          <w:rFonts w:ascii="Cambria" w:eastAsia="Cambria" w:hAnsi="Cambria" w:cs="Cambria"/>
          <w:sz w:val="20"/>
          <w:szCs w:val="20"/>
          <w:lang w:val="en-US"/>
        </w:rPr>
        <w:t xml:space="preserve"> </w:t>
      </w:r>
      <w:r w:rsidR="0ED6A699" w:rsidRPr="00CC562A">
        <w:rPr>
          <w:rFonts w:ascii="Cambria" w:hAnsi="Cambria"/>
          <w:b/>
          <w:bCs/>
          <w:sz w:val="20"/>
          <w:szCs w:val="20"/>
          <w:lang w:val="en-US"/>
        </w:rPr>
        <w:t>adopt</w:t>
      </w:r>
      <w:r w:rsidRPr="00CC562A">
        <w:rPr>
          <w:rFonts w:ascii="Cambria" w:hAnsi="Cambria"/>
          <w:b/>
          <w:bCs/>
          <w:sz w:val="20"/>
          <w:szCs w:val="20"/>
          <w:lang w:val="en-US"/>
        </w:rPr>
        <w:t xml:space="preserve"> measures to address pretrial detention and high levels of overcrowding</w:t>
      </w:r>
      <w:r w:rsidR="0ED6A699" w:rsidRPr="00CC562A">
        <w:rPr>
          <w:rFonts w:ascii="Cambria" w:eastAsia="Cambria" w:hAnsi="Cambria" w:cs="Cambria"/>
          <w:sz w:val="20"/>
          <w:szCs w:val="20"/>
          <w:lang w:val="en-US"/>
        </w:rPr>
        <w:t xml:space="preserve">, </w:t>
      </w:r>
      <w:r w:rsidR="00752FED" w:rsidRPr="00CC562A">
        <w:rPr>
          <w:rFonts w:ascii="Cambria" w:hAnsi="Cambria"/>
          <w:sz w:val="20"/>
          <w:szCs w:val="20"/>
          <w:lang w:val="en-US"/>
        </w:rPr>
        <w:t>the State</w:t>
      </w:r>
      <w:r w:rsidR="1BA588E5" w:rsidRPr="00CC562A">
        <w:rPr>
          <w:rFonts w:ascii="Cambria" w:eastAsia="Cambria" w:hAnsi="Cambria" w:cs="Cambria"/>
          <w:color w:val="000000" w:themeColor="text1"/>
          <w:sz w:val="20"/>
          <w:szCs w:val="20"/>
          <w:lang w:val="en-US"/>
        </w:rPr>
        <w:t xml:space="preserve"> </w:t>
      </w:r>
      <w:r w:rsidRPr="00CC562A">
        <w:rPr>
          <w:rFonts w:ascii="Cambria" w:eastAsia="Cambria" w:hAnsi="Cambria" w:cs="Cambria"/>
          <w:color w:val="000000" w:themeColor="text1"/>
          <w:sz w:val="20"/>
          <w:szCs w:val="20"/>
          <w:lang w:val="en-US"/>
        </w:rPr>
        <w:t xml:space="preserve">provided information on the implementation of actions intended to increase the number of criminal enforcement judges and the review of case files. </w:t>
      </w:r>
      <w:proofErr w:type="gramStart"/>
      <w:r w:rsidRPr="00CC562A">
        <w:rPr>
          <w:rFonts w:ascii="Cambria" w:eastAsia="Cambria" w:hAnsi="Cambria" w:cs="Cambria"/>
          <w:color w:val="000000" w:themeColor="text1"/>
          <w:sz w:val="20"/>
          <w:szCs w:val="20"/>
          <w:lang w:val="en-US"/>
        </w:rPr>
        <w:t>In</w:t>
      </w:r>
      <w:r w:rsidR="1BA588E5" w:rsidRPr="00CC562A">
        <w:rPr>
          <w:rFonts w:ascii="Cambria" w:eastAsia="Cambria" w:hAnsi="Cambria" w:cs="Cambria"/>
          <w:color w:val="000000" w:themeColor="text1"/>
          <w:sz w:val="20"/>
          <w:szCs w:val="20"/>
          <w:lang w:val="en-US"/>
        </w:rPr>
        <w:t xml:space="preserve"> particular, </w:t>
      </w:r>
      <w:r w:rsidRPr="00CC562A">
        <w:rPr>
          <w:rFonts w:ascii="Cambria" w:eastAsia="Cambria" w:hAnsi="Cambria" w:cs="Cambria"/>
          <w:color w:val="000000" w:themeColor="text1"/>
          <w:sz w:val="20"/>
          <w:szCs w:val="20"/>
          <w:lang w:val="en-US"/>
        </w:rPr>
        <w:t>it</w:t>
      </w:r>
      <w:proofErr w:type="gramEnd"/>
      <w:r w:rsidRPr="00CC562A">
        <w:rPr>
          <w:rFonts w:ascii="Cambria" w:eastAsia="Cambria" w:hAnsi="Cambria" w:cs="Cambria"/>
          <w:color w:val="000000" w:themeColor="text1"/>
          <w:sz w:val="20"/>
          <w:szCs w:val="20"/>
          <w:lang w:val="en-US"/>
        </w:rPr>
        <w:t xml:space="preserve"> </w:t>
      </w:r>
      <w:r w:rsidR="00900ED4" w:rsidRPr="00CC562A">
        <w:rPr>
          <w:rFonts w:ascii="Cambria" w:eastAsia="Cambria" w:hAnsi="Cambria" w:cs="Cambria"/>
          <w:color w:val="000000" w:themeColor="text1"/>
          <w:sz w:val="20"/>
          <w:szCs w:val="20"/>
          <w:lang w:val="en-US"/>
        </w:rPr>
        <w:t>reported that</w:t>
      </w:r>
      <w:r w:rsidR="563F56CA"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 xml:space="preserve"> </w:t>
      </w:r>
      <w:r w:rsidRPr="00CC562A">
        <w:rPr>
          <w:rFonts w:ascii="Cambria" w:eastAsia="Cambria" w:hAnsi="Cambria" w:cs="Cambria"/>
          <w:color w:val="000000" w:themeColor="text1"/>
          <w:sz w:val="20"/>
          <w:szCs w:val="20"/>
          <w:lang w:val="en-US"/>
        </w:rPr>
        <w:t xml:space="preserve">between April and </w:t>
      </w:r>
      <w:r w:rsidR="00D77397" w:rsidRPr="00CC562A">
        <w:rPr>
          <w:rFonts w:ascii="Cambria" w:eastAsia="Cambria" w:hAnsi="Cambria" w:cs="Cambria"/>
          <w:color w:val="000000" w:themeColor="text1"/>
          <w:sz w:val="20"/>
          <w:szCs w:val="20"/>
          <w:lang w:val="en-US"/>
        </w:rPr>
        <w:t>July, new</w:t>
      </w:r>
      <w:r w:rsidRPr="00CC562A">
        <w:rPr>
          <w:rFonts w:ascii="Cambria" w:eastAsia="Cambria" w:hAnsi="Cambria" w:cs="Cambria"/>
          <w:color w:val="000000" w:themeColor="text1"/>
          <w:sz w:val="20"/>
          <w:szCs w:val="20"/>
          <w:lang w:val="en-US"/>
        </w:rPr>
        <w:t xml:space="preserve"> judges specializing in enforcement </w:t>
      </w:r>
      <w:r w:rsidR="00CF7759" w:rsidRPr="00CC562A">
        <w:rPr>
          <w:rFonts w:ascii="Cambria" w:eastAsia="Cambria" w:hAnsi="Cambria" w:cs="Cambria"/>
          <w:color w:val="000000" w:themeColor="text1"/>
          <w:sz w:val="20"/>
          <w:szCs w:val="20"/>
          <w:lang w:val="en-US"/>
        </w:rPr>
        <w:t>were appointed in the Federal Criminal Justice Centers</w:t>
      </w:r>
      <w:r w:rsidR="1BA588E5" w:rsidRPr="00CC562A">
        <w:rPr>
          <w:rFonts w:ascii="Cambria" w:eastAsia="Cambria" w:hAnsi="Cambria" w:cs="Cambria"/>
          <w:color w:val="000000" w:themeColor="text1"/>
          <w:sz w:val="20"/>
          <w:szCs w:val="20"/>
          <w:lang w:val="en-US"/>
        </w:rPr>
        <w:t xml:space="preserve"> (CJPF) </w:t>
      </w:r>
      <w:r w:rsidR="00CF7759" w:rsidRPr="00CC562A">
        <w:rPr>
          <w:rFonts w:ascii="Cambria" w:eastAsia="Cambria" w:hAnsi="Cambria" w:cs="Cambria"/>
          <w:color w:val="000000" w:themeColor="text1"/>
          <w:sz w:val="20"/>
          <w:szCs w:val="20"/>
          <w:lang w:val="en-US"/>
        </w:rPr>
        <w:t xml:space="preserve">in the states of </w:t>
      </w:r>
      <w:r w:rsidR="1BA588E5" w:rsidRPr="00CC562A">
        <w:rPr>
          <w:rFonts w:ascii="Cambria" w:eastAsia="Cambria" w:hAnsi="Cambria" w:cs="Cambria"/>
          <w:color w:val="000000" w:themeColor="text1"/>
          <w:sz w:val="20"/>
          <w:szCs w:val="20"/>
          <w:lang w:val="en-US"/>
        </w:rPr>
        <w:t>Coahuila, Guanajuato, Michoacán</w:t>
      </w:r>
      <w:r w:rsidR="00CF7759" w:rsidRPr="00CC562A">
        <w:rPr>
          <w:rFonts w:ascii="Cambria" w:eastAsia="Cambria" w:hAnsi="Cambria" w:cs="Cambria"/>
          <w:color w:val="000000" w:themeColor="text1"/>
          <w:sz w:val="20"/>
          <w:szCs w:val="20"/>
          <w:lang w:val="en-US"/>
        </w:rPr>
        <w:t>, and</w:t>
      </w:r>
      <w:r w:rsidR="1BA588E5" w:rsidRPr="00CC562A">
        <w:rPr>
          <w:rFonts w:ascii="Cambria" w:eastAsia="Cambria" w:hAnsi="Cambria" w:cs="Cambria"/>
          <w:color w:val="000000" w:themeColor="text1"/>
          <w:sz w:val="20"/>
          <w:szCs w:val="20"/>
          <w:lang w:val="en-US"/>
        </w:rPr>
        <w:t xml:space="preserve"> Oaxaca. </w:t>
      </w:r>
      <w:r w:rsidR="00CF7759" w:rsidRPr="00CC562A">
        <w:rPr>
          <w:rFonts w:ascii="Cambria" w:eastAsia="Cambria" w:hAnsi="Cambria" w:cs="Cambria"/>
          <w:color w:val="000000" w:themeColor="text1"/>
          <w:sz w:val="20"/>
          <w:szCs w:val="20"/>
          <w:lang w:val="en-US"/>
        </w:rPr>
        <w:t>Similarly, the Second Exchange of Experiences on Challenges and Opportunities in Enforcement of the New Criminal Justice System was held in August, which analyzed the most important aspects relating to the enforcement of penalties in the</w:t>
      </w:r>
      <w:r w:rsidR="1BA588E5" w:rsidRPr="00CC562A">
        <w:rPr>
          <w:rFonts w:ascii="Cambria" w:eastAsia="Cambria" w:hAnsi="Cambria" w:cs="Cambria"/>
          <w:color w:val="000000" w:themeColor="text1"/>
          <w:sz w:val="20"/>
          <w:szCs w:val="20"/>
          <w:lang w:val="en-US"/>
        </w:rPr>
        <w:t xml:space="preserve"> SJPA a</w:t>
      </w:r>
      <w:r w:rsidR="00CF7759" w:rsidRPr="00CC562A">
        <w:rPr>
          <w:rFonts w:ascii="Cambria" w:eastAsia="Cambria" w:hAnsi="Cambria" w:cs="Cambria"/>
          <w:color w:val="000000" w:themeColor="text1"/>
          <w:sz w:val="20"/>
          <w:szCs w:val="20"/>
          <w:lang w:val="en-US"/>
        </w:rPr>
        <w:t>t the federal level</w:t>
      </w:r>
      <w:r w:rsidR="00B16D1C" w:rsidRPr="00CC562A">
        <w:rPr>
          <w:rFonts w:ascii="Cambria" w:eastAsia="Cambria" w:hAnsi="Cambria" w:cs="Cambria"/>
          <w:color w:val="000000" w:themeColor="text1"/>
          <w:sz w:val="20"/>
          <w:szCs w:val="20"/>
          <w:lang w:val="en-US"/>
        </w:rPr>
        <w:t>.</w:t>
      </w:r>
      <w:r w:rsidR="6B4CC215" w:rsidRPr="00CC562A">
        <w:rPr>
          <w:rFonts w:ascii="Cambria" w:eastAsia="Cambria" w:hAnsi="Cambria" w:cs="Cambria"/>
          <w:color w:val="000000" w:themeColor="text1"/>
          <w:sz w:val="20"/>
          <w:szCs w:val="20"/>
          <w:vertAlign w:val="superscript"/>
          <w:lang w:val="en-US"/>
        </w:rPr>
        <w:footnoteReference w:id="259"/>
      </w:r>
    </w:p>
    <w:p w14:paraId="207A0207" w14:textId="5964F47F" w:rsidR="00E22795" w:rsidRPr="00CC562A" w:rsidRDefault="00CF7759"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color w:val="000000" w:themeColor="text1"/>
          <w:sz w:val="20"/>
          <w:szCs w:val="20"/>
          <w:lang w:val="en-US"/>
        </w:rPr>
        <w:t xml:space="preserve">On the review of case files, the State indicated that federal public defenders are required to ensure that defendants </w:t>
      </w:r>
      <w:r w:rsidR="003C4273" w:rsidRPr="00CC562A">
        <w:rPr>
          <w:rFonts w:ascii="Cambria" w:eastAsia="Cambria" w:hAnsi="Cambria" w:cs="Cambria"/>
          <w:color w:val="000000" w:themeColor="text1"/>
          <w:sz w:val="20"/>
          <w:szCs w:val="20"/>
          <w:lang w:val="en-US"/>
        </w:rPr>
        <w:t>are visited in prison at least once to follow up their legal situation, among other questions linked to their detention. Added to this, it indicated that the</w:t>
      </w:r>
      <w:r w:rsidR="1BA588E5" w:rsidRPr="00CC562A">
        <w:rPr>
          <w:rFonts w:ascii="Cambria" w:eastAsia="Cambria" w:hAnsi="Cambria" w:cs="Cambria"/>
          <w:color w:val="000000" w:themeColor="text1"/>
          <w:sz w:val="20"/>
          <w:szCs w:val="20"/>
          <w:lang w:val="en-US"/>
        </w:rPr>
        <w:t xml:space="preserve"> IFDP –</w:t>
      </w:r>
      <w:r w:rsidR="003C4273" w:rsidRPr="00CC562A">
        <w:rPr>
          <w:rFonts w:ascii="Cambria" w:eastAsia="Cambria" w:hAnsi="Cambria" w:cs="Cambria"/>
          <w:color w:val="000000" w:themeColor="text1"/>
          <w:sz w:val="20"/>
          <w:szCs w:val="20"/>
          <w:lang w:val="en-US"/>
        </w:rPr>
        <w:t xml:space="preserve"> through the Criminal Defense Unit – </w:t>
      </w:r>
      <w:r w:rsidR="00B16D1C" w:rsidRPr="00CC562A">
        <w:rPr>
          <w:rFonts w:ascii="Cambria" w:eastAsia="Cambria" w:hAnsi="Cambria" w:cs="Cambria"/>
          <w:color w:val="000000" w:themeColor="text1"/>
          <w:sz w:val="20"/>
          <w:szCs w:val="20"/>
          <w:lang w:val="en-US"/>
        </w:rPr>
        <w:t>provides</w:t>
      </w:r>
      <w:r w:rsidR="003C4273" w:rsidRPr="00CC562A">
        <w:rPr>
          <w:rFonts w:ascii="Cambria" w:eastAsia="Cambria" w:hAnsi="Cambria" w:cs="Cambria"/>
          <w:color w:val="000000" w:themeColor="text1"/>
          <w:sz w:val="20"/>
          <w:szCs w:val="20"/>
          <w:lang w:val="en-US"/>
        </w:rPr>
        <w:t xml:space="preserve"> legal assistance brigades in several of the country’s prison centers </w:t>
      </w:r>
      <w:proofErr w:type="gramStart"/>
      <w:r w:rsidR="003C4273" w:rsidRPr="00CC562A">
        <w:rPr>
          <w:rFonts w:ascii="Cambria" w:eastAsia="Cambria" w:hAnsi="Cambria" w:cs="Cambria"/>
          <w:color w:val="000000" w:themeColor="text1"/>
          <w:sz w:val="20"/>
          <w:szCs w:val="20"/>
          <w:lang w:val="en-US"/>
        </w:rPr>
        <w:t>in order to</w:t>
      </w:r>
      <w:proofErr w:type="gramEnd"/>
      <w:r w:rsidR="003C4273" w:rsidRPr="00CC562A">
        <w:rPr>
          <w:rFonts w:ascii="Cambria" w:eastAsia="Cambria" w:hAnsi="Cambria" w:cs="Cambria"/>
          <w:color w:val="000000" w:themeColor="text1"/>
          <w:sz w:val="20"/>
          <w:szCs w:val="20"/>
          <w:lang w:val="en-US"/>
        </w:rPr>
        <w:t xml:space="preserve"> address detainees’ concerns, as well as to resolve</w:t>
      </w:r>
      <w:r w:rsidR="00FA59BE" w:rsidRPr="00CC562A">
        <w:rPr>
          <w:rFonts w:ascii="Cambria" w:eastAsia="Cambria" w:hAnsi="Cambria" w:cs="Cambria"/>
          <w:color w:val="000000" w:themeColor="text1"/>
          <w:sz w:val="20"/>
          <w:szCs w:val="20"/>
          <w:lang w:val="en-US"/>
        </w:rPr>
        <w:t xml:space="preserve"> problems with respect to both their conditions of detention and requests for support in some procedure that would allow them to obtain their freedom.</w:t>
      </w:r>
      <w:r w:rsidR="6B4CC215" w:rsidRPr="00CC562A">
        <w:rPr>
          <w:rFonts w:ascii="Cambria" w:eastAsia="Cambria" w:hAnsi="Cambria" w:cs="Cambria"/>
          <w:color w:val="000000" w:themeColor="text1"/>
          <w:sz w:val="20"/>
          <w:szCs w:val="20"/>
          <w:vertAlign w:val="superscript"/>
          <w:lang w:val="en-US"/>
        </w:rPr>
        <w:footnoteReference w:id="260"/>
      </w:r>
    </w:p>
    <w:p w14:paraId="49991FA5" w14:textId="128B5B4E" w:rsidR="00E22795" w:rsidRPr="00CC562A" w:rsidRDefault="00FA59BE"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color w:val="000000" w:themeColor="text1"/>
          <w:sz w:val="20"/>
          <w:szCs w:val="20"/>
          <w:lang w:val="en-US"/>
        </w:rPr>
        <w:t>In addition, the</w:t>
      </w:r>
      <w:r w:rsidR="00752FED" w:rsidRPr="00CC562A">
        <w:rPr>
          <w:rFonts w:ascii="Cambria" w:eastAsia="Cambria" w:hAnsi="Cambria" w:cs="Cambria"/>
          <w:color w:val="000000" w:themeColor="text1"/>
          <w:sz w:val="20"/>
          <w:szCs w:val="20"/>
          <w:lang w:val="en-US"/>
        </w:rPr>
        <w:t xml:space="preserve"> State</w:t>
      </w:r>
      <w:r w:rsidRPr="00CC562A">
        <w:rPr>
          <w:rFonts w:ascii="Cambria" w:eastAsia="Cambria" w:hAnsi="Cambria" w:cs="Cambria"/>
          <w:color w:val="000000" w:themeColor="text1"/>
          <w:sz w:val="20"/>
          <w:szCs w:val="20"/>
          <w:lang w:val="en-US"/>
        </w:rPr>
        <w:t xml:space="preserve"> indicated that various area</w:t>
      </w:r>
      <w:r w:rsidR="009F5F2C" w:rsidRPr="00CC562A">
        <w:rPr>
          <w:rFonts w:ascii="Cambria" w:eastAsia="Cambria" w:hAnsi="Cambria" w:cs="Cambria"/>
          <w:color w:val="000000" w:themeColor="text1"/>
          <w:sz w:val="20"/>
          <w:szCs w:val="20"/>
          <w:lang w:val="en-US"/>
        </w:rPr>
        <w:t>s</w:t>
      </w:r>
      <w:r w:rsidRPr="00CC562A">
        <w:rPr>
          <w:rFonts w:ascii="Cambria" w:eastAsia="Cambria" w:hAnsi="Cambria" w:cs="Cambria"/>
          <w:color w:val="000000" w:themeColor="text1"/>
          <w:sz w:val="20"/>
          <w:szCs w:val="20"/>
          <w:lang w:val="en-US"/>
        </w:rPr>
        <w:t xml:space="preserve"> held meetings and shared information </w:t>
      </w:r>
      <w:proofErr w:type="gramStart"/>
      <w:r w:rsidRPr="00CC562A">
        <w:rPr>
          <w:rFonts w:ascii="Cambria" w:eastAsia="Cambria" w:hAnsi="Cambria" w:cs="Cambria"/>
          <w:color w:val="000000" w:themeColor="text1"/>
          <w:sz w:val="20"/>
          <w:szCs w:val="20"/>
          <w:lang w:val="en-US"/>
        </w:rPr>
        <w:t>in order to</w:t>
      </w:r>
      <w:proofErr w:type="gramEnd"/>
      <w:r w:rsidRPr="00CC562A">
        <w:rPr>
          <w:rFonts w:ascii="Cambria" w:eastAsia="Cambria" w:hAnsi="Cambria" w:cs="Cambria"/>
          <w:color w:val="000000" w:themeColor="text1"/>
          <w:sz w:val="20"/>
          <w:szCs w:val="20"/>
          <w:lang w:val="en-US"/>
        </w:rPr>
        <w:t xml:space="preserve"> identify people held in ex officio pretrial detention the duration of which exceeded the constitutional period. In this scenario, as of September</w:t>
      </w:r>
      <w:r w:rsidR="1D16FEC7" w:rsidRPr="00CC562A">
        <w:rPr>
          <w:rFonts w:ascii="Cambria" w:eastAsia="Cambria" w:hAnsi="Cambria" w:cs="Cambria"/>
          <w:color w:val="000000" w:themeColor="text1"/>
          <w:sz w:val="20"/>
          <w:szCs w:val="20"/>
          <w:lang w:val="en-US"/>
        </w:rPr>
        <w:t xml:space="preserve"> 2022</w:t>
      </w:r>
      <w:r w:rsidR="1BA588E5" w:rsidRPr="00CC562A">
        <w:rPr>
          <w:rFonts w:ascii="Cambria" w:eastAsia="Cambria" w:hAnsi="Cambria" w:cs="Cambria"/>
          <w:color w:val="000000" w:themeColor="text1"/>
          <w:sz w:val="20"/>
          <w:szCs w:val="20"/>
          <w:lang w:val="en-US"/>
        </w:rPr>
        <w:t xml:space="preserve">, 521 </w:t>
      </w:r>
      <w:r w:rsidRPr="00CC562A">
        <w:rPr>
          <w:rFonts w:ascii="Cambria" w:eastAsia="Cambria" w:hAnsi="Cambria" w:cs="Cambria"/>
          <w:color w:val="000000" w:themeColor="text1"/>
          <w:sz w:val="20"/>
          <w:szCs w:val="20"/>
          <w:lang w:val="en-US"/>
        </w:rPr>
        <w:t>motions were filed to amend the precautionary measure. The State also indicated that in September the</w:t>
      </w:r>
      <w:r w:rsidR="1BA588E5" w:rsidRPr="00CC562A">
        <w:rPr>
          <w:rFonts w:ascii="Cambria" w:eastAsia="Cambria" w:hAnsi="Cambria" w:cs="Cambria"/>
          <w:color w:val="000000" w:themeColor="text1"/>
          <w:sz w:val="20"/>
          <w:szCs w:val="20"/>
          <w:lang w:val="en-US"/>
        </w:rPr>
        <w:t xml:space="preserve"> IFDP </w:t>
      </w:r>
      <w:r w:rsidRPr="00CC562A">
        <w:rPr>
          <w:rFonts w:ascii="Cambria" w:eastAsia="Cambria" w:hAnsi="Cambria" w:cs="Cambria"/>
          <w:color w:val="000000" w:themeColor="text1"/>
          <w:sz w:val="20"/>
          <w:szCs w:val="20"/>
          <w:lang w:val="en-US"/>
        </w:rPr>
        <w:t xml:space="preserve">began a strategy to interview all women deprived of liberty at </w:t>
      </w:r>
      <w:r w:rsidR="0043534B" w:rsidRPr="00CC562A">
        <w:rPr>
          <w:rFonts w:ascii="Cambria" w:eastAsia="Cambria" w:hAnsi="Cambria" w:cs="Cambria"/>
          <w:color w:val="000000" w:themeColor="text1"/>
          <w:sz w:val="20"/>
          <w:szCs w:val="20"/>
          <w:lang w:val="en-US"/>
        </w:rPr>
        <w:t>Federal Social Rehabilitation Center No.</w:t>
      </w:r>
      <w:r w:rsidR="1BA588E5" w:rsidRPr="00CC562A">
        <w:rPr>
          <w:rFonts w:ascii="Cambria" w:eastAsia="Cambria" w:hAnsi="Cambria" w:cs="Cambria"/>
          <w:color w:val="000000" w:themeColor="text1"/>
          <w:sz w:val="20"/>
          <w:szCs w:val="20"/>
          <w:lang w:val="en-US"/>
        </w:rPr>
        <w:t xml:space="preserve"> 16 </w:t>
      </w:r>
      <w:r w:rsidR="0043534B" w:rsidRPr="00CC562A">
        <w:rPr>
          <w:rFonts w:ascii="Cambria" w:eastAsia="Cambria" w:hAnsi="Cambria" w:cs="Cambria"/>
          <w:color w:val="000000" w:themeColor="text1"/>
          <w:sz w:val="20"/>
          <w:szCs w:val="20"/>
          <w:lang w:val="en-US"/>
        </w:rPr>
        <w:t>i</w:t>
      </w:r>
      <w:r w:rsidR="1BA588E5" w:rsidRPr="00CC562A">
        <w:rPr>
          <w:rFonts w:ascii="Cambria" w:eastAsia="Cambria" w:hAnsi="Cambria" w:cs="Cambria"/>
          <w:color w:val="000000" w:themeColor="text1"/>
          <w:sz w:val="20"/>
          <w:szCs w:val="20"/>
          <w:lang w:val="en-US"/>
        </w:rPr>
        <w:t>n Morelos</w:t>
      </w:r>
      <w:r w:rsidR="0043534B" w:rsidRPr="00CC562A">
        <w:rPr>
          <w:rFonts w:ascii="Cambria" w:eastAsia="Cambria" w:hAnsi="Cambria" w:cs="Cambria"/>
          <w:color w:val="000000" w:themeColor="text1"/>
          <w:sz w:val="20"/>
          <w:szCs w:val="20"/>
          <w:lang w:val="en-US"/>
        </w:rPr>
        <w:t>, the purpose of which, among other questions, is to promote strategies against the arbitrary use of pretrial detention. As a result, as of late October</w:t>
      </w:r>
      <w:r w:rsidR="1BA588E5" w:rsidRPr="00CC562A">
        <w:rPr>
          <w:rFonts w:ascii="Cambria" w:eastAsia="Cambria" w:hAnsi="Cambria" w:cs="Cambria"/>
          <w:color w:val="000000" w:themeColor="text1"/>
          <w:sz w:val="20"/>
          <w:szCs w:val="20"/>
          <w:lang w:val="en-US"/>
        </w:rPr>
        <w:t xml:space="preserve">, </w:t>
      </w:r>
      <w:r w:rsidR="0043534B" w:rsidRPr="00CC562A">
        <w:rPr>
          <w:rFonts w:ascii="Cambria" w:eastAsia="Cambria" w:hAnsi="Cambria" w:cs="Cambria"/>
          <w:color w:val="000000" w:themeColor="text1"/>
          <w:sz w:val="20"/>
          <w:szCs w:val="20"/>
          <w:lang w:val="en-US"/>
        </w:rPr>
        <w:t>a total of 765 women had been interviewed.</w:t>
      </w:r>
      <w:r w:rsidR="6B4CC215" w:rsidRPr="00CC562A">
        <w:rPr>
          <w:rFonts w:ascii="Cambria" w:eastAsia="Cambria" w:hAnsi="Cambria" w:cs="Cambria"/>
          <w:color w:val="000000" w:themeColor="text1"/>
          <w:sz w:val="20"/>
          <w:szCs w:val="20"/>
          <w:vertAlign w:val="superscript"/>
          <w:lang w:val="en-US"/>
        </w:rPr>
        <w:footnoteReference w:id="261"/>
      </w:r>
    </w:p>
    <w:p w14:paraId="3AB33BD3" w14:textId="5A8D2E12" w:rsidR="001C736F" w:rsidRPr="00CC562A" w:rsidRDefault="0077016A"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color w:val="000000" w:themeColor="text1"/>
          <w:sz w:val="20"/>
          <w:szCs w:val="20"/>
          <w:lang w:val="en-US"/>
        </w:rPr>
        <w:t>For its part, the Commission notes that, according to the most recent data, the total prison population is</w:t>
      </w:r>
      <w:r w:rsidR="1BA588E5" w:rsidRPr="00CC562A">
        <w:rPr>
          <w:rFonts w:ascii="Cambria" w:eastAsia="Cambria" w:hAnsi="Cambria" w:cs="Cambria"/>
          <w:color w:val="000000" w:themeColor="text1"/>
          <w:sz w:val="20"/>
          <w:szCs w:val="20"/>
          <w:lang w:val="en-US"/>
        </w:rPr>
        <w:t xml:space="preserve"> 229</w:t>
      </w:r>
      <w:r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621 person</w:t>
      </w:r>
      <w:r w:rsidRPr="00CC562A">
        <w:rPr>
          <w:rFonts w:ascii="Cambria" w:eastAsia="Cambria" w:hAnsi="Cambria" w:cs="Cambria"/>
          <w:color w:val="000000" w:themeColor="text1"/>
          <w:sz w:val="20"/>
          <w:szCs w:val="20"/>
          <w:lang w:val="en-US"/>
        </w:rPr>
        <w:t xml:space="preserve">s, </w:t>
      </w:r>
      <w:r w:rsidR="1BA588E5" w:rsidRPr="00CC562A">
        <w:rPr>
          <w:rFonts w:ascii="Cambria" w:eastAsia="Cambria" w:hAnsi="Cambria" w:cs="Cambria"/>
          <w:color w:val="000000" w:themeColor="text1"/>
          <w:sz w:val="20"/>
          <w:szCs w:val="20"/>
          <w:lang w:val="en-US"/>
        </w:rPr>
        <w:t>93</w:t>
      </w:r>
      <w:r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 xml:space="preserve">311 </w:t>
      </w:r>
      <w:r w:rsidRPr="00CC562A">
        <w:rPr>
          <w:rFonts w:ascii="Cambria" w:eastAsia="Cambria" w:hAnsi="Cambria" w:cs="Cambria"/>
          <w:color w:val="000000" w:themeColor="text1"/>
          <w:sz w:val="20"/>
          <w:szCs w:val="20"/>
          <w:lang w:val="en-US"/>
        </w:rPr>
        <w:t xml:space="preserve">of </w:t>
      </w:r>
      <w:r w:rsidR="009F5F2C" w:rsidRPr="00CC562A">
        <w:rPr>
          <w:rFonts w:ascii="Cambria" w:eastAsia="Cambria" w:hAnsi="Cambria" w:cs="Cambria"/>
          <w:color w:val="000000" w:themeColor="text1"/>
          <w:sz w:val="20"/>
          <w:szCs w:val="20"/>
          <w:lang w:val="en-US"/>
        </w:rPr>
        <w:t>whom</w:t>
      </w:r>
      <w:r w:rsidRPr="00CC562A">
        <w:rPr>
          <w:rFonts w:ascii="Cambria" w:eastAsia="Cambria" w:hAnsi="Cambria" w:cs="Cambria"/>
          <w:color w:val="000000" w:themeColor="text1"/>
          <w:sz w:val="20"/>
          <w:szCs w:val="20"/>
          <w:lang w:val="en-US"/>
        </w:rPr>
        <w:t xml:space="preserve"> are subject to pretrial detention</w:t>
      </w:r>
      <w:r w:rsidR="00096BB9" w:rsidRPr="00CC562A">
        <w:rPr>
          <w:rFonts w:ascii="Cambria" w:eastAsia="Cambria" w:hAnsi="Cambria" w:cs="Cambria"/>
          <w:color w:val="000000" w:themeColor="text1"/>
          <w:sz w:val="20"/>
          <w:szCs w:val="20"/>
          <w:lang w:val="en-US"/>
        </w:rPr>
        <w:t>, while official capacity allows for</w:t>
      </w:r>
      <w:r w:rsidR="1BA588E5" w:rsidRPr="00CC562A">
        <w:rPr>
          <w:rFonts w:ascii="Cambria" w:eastAsia="Cambria" w:hAnsi="Cambria" w:cs="Cambria"/>
          <w:color w:val="000000" w:themeColor="text1"/>
          <w:sz w:val="20"/>
          <w:szCs w:val="20"/>
          <w:lang w:val="en-US"/>
        </w:rPr>
        <w:t xml:space="preserve"> 217</w:t>
      </w:r>
      <w:r w:rsidR="00096BB9"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018 pe</w:t>
      </w:r>
      <w:r w:rsidR="00096BB9" w:rsidRPr="00CC562A">
        <w:rPr>
          <w:rFonts w:ascii="Cambria" w:eastAsia="Cambria" w:hAnsi="Cambria" w:cs="Cambria"/>
          <w:color w:val="000000" w:themeColor="text1"/>
          <w:sz w:val="20"/>
          <w:szCs w:val="20"/>
          <w:lang w:val="en-US"/>
        </w:rPr>
        <w:t>ople. These figures indicate that the rate of overcrowding is</w:t>
      </w:r>
      <w:r w:rsidR="1BA588E5" w:rsidRPr="00CC562A">
        <w:rPr>
          <w:rFonts w:ascii="Cambria" w:eastAsia="Cambria" w:hAnsi="Cambria" w:cs="Cambria"/>
          <w:color w:val="000000" w:themeColor="text1"/>
          <w:sz w:val="20"/>
          <w:szCs w:val="20"/>
          <w:lang w:val="en-US"/>
        </w:rPr>
        <w:t xml:space="preserve"> 5.5%. </w:t>
      </w:r>
      <w:r w:rsidR="00096BB9" w:rsidRPr="00CC562A">
        <w:rPr>
          <w:rFonts w:ascii="Cambria" w:eastAsia="Cambria" w:hAnsi="Cambria" w:cs="Cambria"/>
          <w:color w:val="000000" w:themeColor="text1"/>
          <w:sz w:val="20"/>
          <w:szCs w:val="20"/>
          <w:lang w:val="en-US"/>
        </w:rPr>
        <w:t xml:space="preserve">The same data also show that </w:t>
      </w:r>
      <w:r w:rsidR="00096BB9" w:rsidRPr="00CC562A">
        <w:rPr>
          <w:rFonts w:ascii="Cambria" w:eastAsia="Cambria" w:hAnsi="Cambria" w:cs="Cambria"/>
          <w:color w:val="000000" w:themeColor="text1"/>
          <w:sz w:val="20"/>
          <w:szCs w:val="20"/>
          <w:lang w:val="en-US"/>
        </w:rPr>
        <w:lastRenderedPageBreak/>
        <w:t>of the</w:t>
      </w:r>
      <w:r w:rsidR="1BA588E5" w:rsidRPr="00CC562A">
        <w:rPr>
          <w:rFonts w:ascii="Cambria" w:eastAsia="Cambria" w:hAnsi="Cambria" w:cs="Cambria"/>
          <w:color w:val="000000" w:themeColor="text1"/>
          <w:sz w:val="20"/>
          <w:szCs w:val="20"/>
          <w:lang w:val="en-US"/>
        </w:rPr>
        <w:t xml:space="preserve"> 285 </w:t>
      </w:r>
      <w:r w:rsidR="00096BB9" w:rsidRPr="00CC562A">
        <w:rPr>
          <w:rFonts w:ascii="Cambria" w:eastAsia="Cambria" w:hAnsi="Cambria" w:cs="Cambria"/>
          <w:color w:val="000000" w:themeColor="text1"/>
          <w:sz w:val="20"/>
          <w:szCs w:val="20"/>
          <w:lang w:val="en-US"/>
        </w:rPr>
        <w:t xml:space="preserve">prisons that make up the total number of prison facilities, </w:t>
      </w:r>
      <w:r w:rsidR="1BA588E5" w:rsidRPr="00CC562A">
        <w:rPr>
          <w:rFonts w:ascii="Cambria" w:eastAsia="Cambria" w:hAnsi="Cambria" w:cs="Cambria"/>
          <w:color w:val="000000" w:themeColor="text1"/>
          <w:sz w:val="20"/>
          <w:szCs w:val="20"/>
          <w:lang w:val="en-US"/>
        </w:rPr>
        <w:t xml:space="preserve">135 </w:t>
      </w:r>
      <w:r w:rsidR="00096BB9" w:rsidRPr="00CC562A">
        <w:rPr>
          <w:rFonts w:ascii="Cambria" w:eastAsia="Cambria" w:hAnsi="Cambria" w:cs="Cambria"/>
          <w:color w:val="000000" w:themeColor="text1"/>
          <w:sz w:val="20"/>
          <w:szCs w:val="20"/>
          <w:lang w:val="en-US"/>
        </w:rPr>
        <w:t>are overcrowded.</w:t>
      </w:r>
      <w:r w:rsidR="6B4CC215" w:rsidRPr="00CC562A">
        <w:rPr>
          <w:rFonts w:ascii="Cambria" w:eastAsia="Cambria" w:hAnsi="Cambria" w:cs="Cambria"/>
          <w:color w:val="000000" w:themeColor="text1"/>
          <w:sz w:val="20"/>
          <w:szCs w:val="20"/>
          <w:vertAlign w:val="superscript"/>
          <w:lang w:val="en-US"/>
        </w:rPr>
        <w:footnoteReference w:id="262"/>
      </w:r>
      <w:r w:rsidR="00096BB9" w:rsidRPr="00CC562A">
        <w:rPr>
          <w:rFonts w:ascii="Cambria" w:eastAsia="Cambria" w:hAnsi="Cambria" w:cs="Cambria"/>
          <w:color w:val="000000" w:themeColor="text1"/>
          <w:sz w:val="20"/>
          <w:szCs w:val="20"/>
          <w:lang w:val="en-US"/>
        </w:rPr>
        <w:t xml:space="preserve"> In addition, with respect to application of the Amnesty Law</w:t>
      </w:r>
      <w:r w:rsidR="1BA588E5" w:rsidRPr="00CC562A">
        <w:rPr>
          <w:rFonts w:ascii="Cambria" w:eastAsia="Cambria" w:hAnsi="Cambria" w:cs="Cambria"/>
          <w:color w:val="000000" w:themeColor="text1"/>
          <w:sz w:val="20"/>
          <w:szCs w:val="20"/>
          <w:lang w:val="en-US"/>
        </w:rPr>
        <w:t xml:space="preserve">, </w:t>
      </w:r>
      <w:r w:rsidR="00276638" w:rsidRPr="00CC562A">
        <w:rPr>
          <w:rFonts w:ascii="Cambria" w:eastAsia="Cambria" w:hAnsi="Cambria" w:cs="Cambria"/>
          <w:color w:val="000000" w:themeColor="text1"/>
          <w:sz w:val="20"/>
          <w:szCs w:val="20"/>
          <w:lang w:val="en-US"/>
        </w:rPr>
        <w:t>the IACHR</w:t>
      </w:r>
      <w:r w:rsidR="1BA588E5" w:rsidRPr="00CC562A">
        <w:rPr>
          <w:rFonts w:ascii="Cambria" w:eastAsia="Cambria" w:hAnsi="Cambria" w:cs="Cambria"/>
          <w:color w:val="000000" w:themeColor="text1"/>
          <w:sz w:val="20"/>
          <w:szCs w:val="20"/>
          <w:lang w:val="en-US"/>
        </w:rPr>
        <w:t xml:space="preserve"> </w:t>
      </w:r>
      <w:r w:rsidR="00096BB9" w:rsidRPr="00CC562A">
        <w:rPr>
          <w:rFonts w:ascii="Cambria" w:eastAsia="Cambria" w:hAnsi="Cambria" w:cs="Cambria"/>
          <w:color w:val="000000" w:themeColor="text1"/>
          <w:sz w:val="20"/>
          <w:szCs w:val="20"/>
          <w:lang w:val="en-US"/>
        </w:rPr>
        <w:t>notes that, according to official data, as of November</w:t>
      </w:r>
      <w:r w:rsidR="1BA588E5" w:rsidRPr="00CC562A">
        <w:rPr>
          <w:rFonts w:ascii="Cambria" w:eastAsia="Cambria" w:hAnsi="Cambria" w:cs="Cambria"/>
          <w:color w:val="000000" w:themeColor="text1"/>
          <w:sz w:val="20"/>
          <w:szCs w:val="20"/>
          <w:lang w:val="en-US"/>
        </w:rPr>
        <w:t xml:space="preserve"> 28</w:t>
      </w:r>
      <w:r w:rsidR="00096BB9"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 xml:space="preserve"> 2022, 2</w:t>
      </w:r>
      <w:r w:rsidR="00096BB9"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097</w:t>
      </w:r>
      <w:r w:rsidR="00096BB9" w:rsidRPr="00CC562A">
        <w:rPr>
          <w:rFonts w:ascii="Cambria" w:eastAsia="Cambria" w:hAnsi="Cambria" w:cs="Cambria"/>
          <w:color w:val="000000" w:themeColor="text1"/>
          <w:sz w:val="20"/>
          <w:szCs w:val="20"/>
          <w:lang w:val="en-US"/>
        </w:rPr>
        <w:t xml:space="preserve"> petitions were received, </w:t>
      </w:r>
      <w:r w:rsidR="1BA588E5" w:rsidRPr="00CC562A">
        <w:rPr>
          <w:rFonts w:ascii="Cambria" w:eastAsia="Cambria" w:hAnsi="Cambria" w:cs="Cambria"/>
          <w:color w:val="000000" w:themeColor="text1"/>
          <w:sz w:val="20"/>
          <w:szCs w:val="20"/>
          <w:lang w:val="en-US"/>
        </w:rPr>
        <w:t>1</w:t>
      </w:r>
      <w:r w:rsidR="00096BB9"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489</w:t>
      </w:r>
      <w:r w:rsidR="00B72531" w:rsidRPr="00CC562A">
        <w:rPr>
          <w:rFonts w:ascii="Cambria" w:eastAsia="Cambria" w:hAnsi="Cambria" w:cs="Cambria"/>
          <w:color w:val="000000" w:themeColor="text1"/>
          <w:sz w:val="20"/>
          <w:szCs w:val="20"/>
          <w:lang w:val="en-US"/>
        </w:rPr>
        <w:t xml:space="preserve"> were heard, </w:t>
      </w:r>
      <w:r w:rsidR="1BA588E5" w:rsidRPr="00CC562A">
        <w:rPr>
          <w:rFonts w:ascii="Cambria" w:eastAsia="Cambria" w:hAnsi="Cambria" w:cs="Cambria"/>
          <w:color w:val="000000" w:themeColor="text1"/>
          <w:sz w:val="20"/>
          <w:szCs w:val="20"/>
          <w:lang w:val="en-US"/>
        </w:rPr>
        <w:t xml:space="preserve">531 </w:t>
      </w:r>
      <w:r w:rsidR="00B72531" w:rsidRPr="00CC562A">
        <w:rPr>
          <w:rFonts w:ascii="Cambria" w:eastAsia="Cambria" w:hAnsi="Cambria" w:cs="Cambria"/>
          <w:color w:val="000000" w:themeColor="text1"/>
          <w:sz w:val="20"/>
          <w:szCs w:val="20"/>
          <w:lang w:val="en-US"/>
        </w:rPr>
        <w:t>are pending, and</w:t>
      </w:r>
      <w:r w:rsidR="1BA588E5" w:rsidRPr="00CC562A">
        <w:rPr>
          <w:rFonts w:ascii="Cambria" w:eastAsia="Cambria" w:hAnsi="Cambria" w:cs="Cambria"/>
          <w:color w:val="000000" w:themeColor="text1"/>
          <w:sz w:val="20"/>
          <w:szCs w:val="20"/>
          <w:lang w:val="en-US"/>
        </w:rPr>
        <w:t xml:space="preserve"> 77 </w:t>
      </w:r>
      <w:r w:rsidR="00B72531" w:rsidRPr="00CC562A">
        <w:rPr>
          <w:rFonts w:ascii="Cambria" w:eastAsia="Cambria" w:hAnsi="Cambria" w:cs="Cambria"/>
          <w:color w:val="000000" w:themeColor="text1"/>
          <w:sz w:val="20"/>
          <w:szCs w:val="20"/>
          <w:lang w:val="en-US"/>
        </w:rPr>
        <w:t>were concluded, postponed, or referred to other areas. Of the cases that were heard,</w:t>
      </w:r>
      <w:r w:rsidR="1BA588E5" w:rsidRPr="00CC562A">
        <w:rPr>
          <w:rFonts w:ascii="Cambria" w:eastAsia="Cambria" w:hAnsi="Cambria" w:cs="Cambria"/>
          <w:color w:val="000000" w:themeColor="text1"/>
          <w:sz w:val="20"/>
          <w:szCs w:val="20"/>
          <w:lang w:val="en-US"/>
        </w:rPr>
        <w:t xml:space="preserve"> 1</w:t>
      </w:r>
      <w:r w:rsidR="00B72531" w:rsidRPr="00CC562A">
        <w:rPr>
          <w:rFonts w:ascii="Cambria" w:eastAsia="Cambria" w:hAnsi="Cambria" w:cs="Cambria"/>
          <w:color w:val="000000" w:themeColor="text1"/>
          <w:sz w:val="20"/>
          <w:szCs w:val="20"/>
          <w:lang w:val="en-US"/>
        </w:rPr>
        <w:t>,</w:t>
      </w:r>
      <w:r w:rsidR="1BA588E5" w:rsidRPr="00CC562A">
        <w:rPr>
          <w:rFonts w:ascii="Cambria" w:eastAsia="Cambria" w:hAnsi="Cambria" w:cs="Cambria"/>
          <w:color w:val="000000" w:themeColor="text1"/>
          <w:sz w:val="20"/>
          <w:szCs w:val="20"/>
          <w:lang w:val="en-US"/>
        </w:rPr>
        <w:t xml:space="preserve">239 </w:t>
      </w:r>
      <w:r w:rsidR="00B72531" w:rsidRPr="00CC562A">
        <w:rPr>
          <w:rFonts w:ascii="Cambria" w:eastAsia="Cambria" w:hAnsi="Cambria" w:cs="Cambria"/>
          <w:color w:val="000000" w:themeColor="text1"/>
          <w:sz w:val="20"/>
          <w:szCs w:val="20"/>
          <w:lang w:val="en-US"/>
        </w:rPr>
        <w:t xml:space="preserve">were rejected and </w:t>
      </w:r>
      <w:r w:rsidR="1BA588E5" w:rsidRPr="00CC562A">
        <w:rPr>
          <w:rFonts w:ascii="Cambria" w:eastAsia="Cambria" w:hAnsi="Cambria" w:cs="Cambria"/>
          <w:color w:val="000000" w:themeColor="text1"/>
          <w:sz w:val="20"/>
          <w:szCs w:val="20"/>
          <w:lang w:val="en-US"/>
        </w:rPr>
        <w:t xml:space="preserve">250 </w:t>
      </w:r>
      <w:r w:rsidR="00B72531" w:rsidRPr="00CC562A">
        <w:rPr>
          <w:rFonts w:ascii="Cambria" w:eastAsia="Cambria" w:hAnsi="Cambria" w:cs="Cambria"/>
          <w:color w:val="000000" w:themeColor="text1"/>
          <w:sz w:val="20"/>
          <w:szCs w:val="20"/>
          <w:lang w:val="en-US"/>
        </w:rPr>
        <w:t xml:space="preserve">were declared admissible. With respect to this latter group, the judges granted amnesty in </w:t>
      </w:r>
      <w:r w:rsidR="1BA588E5" w:rsidRPr="00CC562A">
        <w:rPr>
          <w:rFonts w:ascii="Cambria" w:eastAsia="Cambria" w:hAnsi="Cambria" w:cs="Cambria"/>
          <w:color w:val="000000" w:themeColor="text1"/>
          <w:sz w:val="20"/>
          <w:szCs w:val="20"/>
          <w:lang w:val="en-US"/>
        </w:rPr>
        <w:t>194 cas</w:t>
      </w:r>
      <w:r w:rsidR="00B72531" w:rsidRPr="00CC562A">
        <w:rPr>
          <w:rFonts w:ascii="Cambria" w:eastAsia="Cambria" w:hAnsi="Cambria" w:cs="Cambria"/>
          <w:color w:val="000000" w:themeColor="text1"/>
          <w:sz w:val="20"/>
          <w:szCs w:val="20"/>
          <w:lang w:val="en-US"/>
        </w:rPr>
        <w:t>es.</w:t>
      </w:r>
      <w:r w:rsidR="6B4CC215" w:rsidRPr="00CC562A">
        <w:rPr>
          <w:rFonts w:ascii="Cambria" w:eastAsia="Cambria" w:hAnsi="Cambria" w:cs="Cambria"/>
          <w:color w:val="000000" w:themeColor="text1"/>
          <w:sz w:val="20"/>
          <w:szCs w:val="20"/>
          <w:vertAlign w:val="superscript"/>
          <w:lang w:val="en-US"/>
        </w:rPr>
        <w:footnoteReference w:id="263"/>
      </w:r>
      <w:r w:rsidR="00B72531" w:rsidRPr="00CC562A">
        <w:rPr>
          <w:rFonts w:ascii="Cambria" w:eastAsia="Cambria" w:hAnsi="Cambria" w:cs="Cambria"/>
          <w:color w:val="000000" w:themeColor="text1"/>
          <w:sz w:val="20"/>
          <w:szCs w:val="20"/>
          <w:lang w:val="en-US"/>
        </w:rPr>
        <w:t xml:space="preserve"> In this regard, the Commission notes that these figures indicate that of the total number of cases heard, </w:t>
      </w:r>
      <w:r w:rsidR="1BA588E5" w:rsidRPr="00CC562A">
        <w:rPr>
          <w:rFonts w:ascii="Cambria" w:eastAsia="Cambria" w:hAnsi="Cambria" w:cs="Cambria"/>
          <w:color w:val="000000" w:themeColor="text1"/>
          <w:sz w:val="20"/>
          <w:szCs w:val="20"/>
          <w:lang w:val="en-US"/>
        </w:rPr>
        <w:t xml:space="preserve">13% </w:t>
      </w:r>
      <w:r w:rsidR="00B72531" w:rsidRPr="00CC562A">
        <w:rPr>
          <w:rFonts w:ascii="Cambria" w:eastAsia="Cambria" w:hAnsi="Cambria" w:cs="Cambria"/>
          <w:color w:val="000000" w:themeColor="text1"/>
          <w:sz w:val="20"/>
          <w:szCs w:val="20"/>
          <w:lang w:val="en-US"/>
        </w:rPr>
        <w:t>benefitted the petitioners</w:t>
      </w:r>
      <w:r w:rsidR="1BA588E5" w:rsidRPr="00CC562A">
        <w:rPr>
          <w:rFonts w:ascii="Cambria" w:eastAsia="Cambria" w:hAnsi="Cambria" w:cs="Cambria"/>
          <w:color w:val="000000" w:themeColor="text1"/>
          <w:sz w:val="20"/>
          <w:szCs w:val="20"/>
          <w:lang w:val="en-US"/>
        </w:rPr>
        <w:t xml:space="preserve">.  </w:t>
      </w:r>
    </w:p>
    <w:p w14:paraId="1856C033" w14:textId="6A6199AF" w:rsidR="00522749" w:rsidRPr="00CC562A" w:rsidRDefault="0074370A" w:rsidP="00E529E8">
      <w:pPr>
        <w:numPr>
          <w:ilvl w:val="0"/>
          <w:numId w:val="2"/>
        </w:numPr>
        <w:shd w:val="clear" w:color="auto" w:fill="FFFFFF" w:themeFill="background1"/>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color w:val="000000" w:themeColor="text1"/>
          <w:sz w:val="20"/>
          <w:szCs w:val="20"/>
          <w:lang w:val="en-US"/>
        </w:rPr>
        <w:t xml:space="preserve">The Commission commends </w:t>
      </w:r>
      <w:r w:rsidR="009F5F2C" w:rsidRPr="00CC562A">
        <w:rPr>
          <w:rFonts w:ascii="Cambria" w:eastAsia="Cambria" w:hAnsi="Cambria" w:cs="Cambria"/>
          <w:color w:val="000000" w:themeColor="text1"/>
          <w:sz w:val="20"/>
          <w:szCs w:val="20"/>
          <w:lang w:val="en-US"/>
        </w:rPr>
        <w:t>the</w:t>
      </w:r>
      <w:r w:rsidRPr="00CC562A">
        <w:rPr>
          <w:rFonts w:ascii="Cambria" w:eastAsia="Cambria" w:hAnsi="Cambria" w:cs="Cambria"/>
          <w:color w:val="000000" w:themeColor="text1"/>
          <w:sz w:val="20"/>
          <w:szCs w:val="20"/>
          <w:lang w:val="en-US"/>
        </w:rPr>
        <w:t xml:space="preserve"> actions taken by the </w:t>
      </w:r>
      <w:r w:rsidR="2E40AAC3" w:rsidRPr="00CC562A">
        <w:rPr>
          <w:rFonts w:ascii="Cambria" w:eastAsia="Cambria" w:hAnsi="Cambria" w:cs="Cambria"/>
          <w:color w:val="000000" w:themeColor="text1"/>
          <w:sz w:val="20"/>
          <w:szCs w:val="20"/>
          <w:lang w:val="en-US"/>
        </w:rPr>
        <w:t xml:space="preserve">IFDP </w:t>
      </w:r>
      <w:r w:rsidRPr="00CC562A">
        <w:rPr>
          <w:rFonts w:ascii="Cambria" w:eastAsia="Cambria" w:hAnsi="Cambria" w:cs="Cambria"/>
          <w:color w:val="000000" w:themeColor="text1"/>
          <w:sz w:val="20"/>
          <w:szCs w:val="20"/>
          <w:lang w:val="en-US"/>
        </w:rPr>
        <w:t xml:space="preserve">in the legal defense of persons deprived of liberty, as well as the measures for documenting </w:t>
      </w:r>
      <w:r w:rsidR="004607EA" w:rsidRPr="00CC562A">
        <w:rPr>
          <w:rFonts w:ascii="Cambria" w:eastAsia="Cambria" w:hAnsi="Cambria" w:cs="Cambria"/>
          <w:color w:val="000000" w:themeColor="text1"/>
          <w:sz w:val="20"/>
          <w:szCs w:val="20"/>
          <w:lang w:val="en-US"/>
        </w:rPr>
        <w:t>evidence for a comprehensive defense</w:t>
      </w:r>
      <w:r w:rsidR="37824DF5" w:rsidRPr="00CC562A">
        <w:rPr>
          <w:rFonts w:ascii="Cambria" w:eastAsia="Cambria" w:hAnsi="Cambria" w:cs="Cambria"/>
          <w:color w:val="000000" w:themeColor="text1"/>
          <w:sz w:val="20"/>
          <w:szCs w:val="20"/>
          <w:lang w:val="en-US"/>
        </w:rPr>
        <w:t xml:space="preserve">. </w:t>
      </w:r>
      <w:r w:rsidR="00752FED" w:rsidRPr="00CC562A">
        <w:rPr>
          <w:rFonts w:ascii="Cambria" w:eastAsia="Cambria" w:hAnsi="Cambria" w:cs="Cambria"/>
          <w:color w:val="000000" w:themeColor="text1"/>
          <w:sz w:val="20"/>
          <w:szCs w:val="20"/>
          <w:lang w:val="en-US"/>
        </w:rPr>
        <w:t>Nonetheless,</w:t>
      </w:r>
      <w:r w:rsidR="37824DF5" w:rsidRPr="00CC562A">
        <w:rPr>
          <w:rFonts w:ascii="Cambria" w:eastAsia="Cambria" w:hAnsi="Cambria" w:cs="Cambria"/>
          <w:color w:val="000000" w:themeColor="text1"/>
          <w:sz w:val="20"/>
          <w:szCs w:val="20"/>
          <w:lang w:val="en-US"/>
        </w:rPr>
        <w:t xml:space="preserve"> </w:t>
      </w:r>
      <w:r w:rsidR="004607EA" w:rsidRPr="00CC562A">
        <w:rPr>
          <w:rFonts w:ascii="Cambria" w:eastAsia="Cambria" w:hAnsi="Cambria" w:cs="Cambria"/>
          <w:color w:val="000000" w:themeColor="text1"/>
          <w:sz w:val="20"/>
          <w:szCs w:val="20"/>
          <w:lang w:val="en-US"/>
        </w:rPr>
        <w:t>the Commission notes with concern that, according to the Ministry of the Interior’s Decentralized Administrative Body for Prevention and Social</w:t>
      </w:r>
      <w:r w:rsidR="009F5F2C" w:rsidRPr="00CC562A">
        <w:rPr>
          <w:rFonts w:ascii="Cambria" w:eastAsia="Cambria" w:hAnsi="Cambria" w:cs="Cambria"/>
          <w:color w:val="000000" w:themeColor="text1"/>
          <w:sz w:val="20"/>
          <w:szCs w:val="20"/>
          <w:lang w:val="en-US"/>
        </w:rPr>
        <w:t xml:space="preserve"> Rehabilitation</w:t>
      </w:r>
      <w:r w:rsidR="004607EA" w:rsidRPr="00CC562A">
        <w:rPr>
          <w:rFonts w:ascii="Cambria" w:eastAsia="Cambria" w:hAnsi="Cambria" w:cs="Cambria"/>
          <w:color w:val="000000" w:themeColor="text1"/>
          <w:sz w:val="20"/>
          <w:szCs w:val="20"/>
          <w:lang w:val="en-US"/>
        </w:rPr>
        <w:t xml:space="preserve"> (</w:t>
      </w:r>
      <w:proofErr w:type="spellStart"/>
      <w:r w:rsidR="37824DF5" w:rsidRPr="00CC562A">
        <w:rPr>
          <w:rFonts w:ascii="Cambria" w:eastAsia="Cambria" w:hAnsi="Cambria" w:cs="Cambria"/>
          <w:i/>
          <w:iCs/>
          <w:color w:val="000000" w:themeColor="text1"/>
          <w:sz w:val="20"/>
          <w:szCs w:val="20"/>
          <w:lang w:val="en-US"/>
        </w:rPr>
        <w:t>Órgano</w:t>
      </w:r>
      <w:proofErr w:type="spellEnd"/>
      <w:r w:rsidR="37824DF5" w:rsidRPr="00CC562A">
        <w:rPr>
          <w:rFonts w:ascii="Cambria" w:eastAsia="Cambria" w:hAnsi="Cambria" w:cs="Cambria"/>
          <w:i/>
          <w:iCs/>
          <w:color w:val="000000" w:themeColor="text1"/>
          <w:sz w:val="20"/>
          <w:szCs w:val="20"/>
          <w:lang w:val="en-US"/>
        </w:rPr>
        <w:t xml:space="preserve"> </w:t>
      </w:r>
      <w:proofErr w:type="spellStart"/>
      <w:r w:rsidR="37824DF5" w:rsidRPr="00CC562A">
        <w:rPr>
          <w:rFonts w:ascii="Cambria" w:eastAsia="Cambria" w:hAnsi="Cambria" w:cs="Cambria"/>
          <w:i/>
          <w:iCs/>
          <w:color w:val="000000" w:themeColor="text1"/>
          <w:sz w:val="20"/>
          <w:szCs w:val="20"/>
          <w:lang w:val="en-US"/>
        </w:rPr>
        <w:t>Administrativo</w:t>
      </w:r>
      <w:proofErr w:type="spellEnd"/>
      <w:r w:rsidR="37824DF5" w:rsidRPr="00CC562A">
        <w:rPr>
          <w:rFonts w:ascii="Cambria" w:eastAsia="Cambria" w:hAnsi="Cambria" w:cs="Cambria"/>
          <w:i/>
          <w:iCs/>
          <w:color w:val="000000" w:themeColor="text1"/>
          <w:sz w:val="20"/>
          <w:szCs w:val="20"/>
          <w:lang w:val="en-US"/>
        </w:rPr>
        <w:t xml:space="preserve"> </w:t>
      </w:r>
      <w:proofErr w:type="spellStart"/>
      <w:r w:rsidR="37824DF5" w:rsidRPr="00CC562A">
        <w:rPr>
          <w:rFonts w:ascii="Cambria" w:eastAsia="Cambria" w:hAnsi="Cambria" w:cs="Cambria"/>
          <w:i/>
          <w:iCs/>
          <w:color w:val="000000" w:themeColor="text1"/>
          <w:sz w:val="20"/>
          <w:szCs w:val="20"/>
          <w:lang w:val="en-US"/>
        </w:rPr>
        <w:t>Desconcentrado</w:t>
      </w:r>
      <w:proofErr w:type="spellEnd"/>
      <w:r w:rsidR="37824DF5" w:rsidRPr="00CC562A">
        <w:rPr>
          <w:rFonts w:ascii="Cambria" w:eastAsia="Cambria" w:hAnsi="Cambria" w:cs="Cambria"/>
          <w:i/>
          <w:iCs/>
          <w:color w:val="000000" w:themeColor="text1"/>
          <w:sz w:val="20"/>
          <w:szCs w:val="20"/>
          <w:lang w:val="en-US"/>
        </w:rPr>
        <w:t xml:space="preserve"> </w:t>
      </w:r>
      <w:r w:rsidR="00BD5895" w:rsidRPr="00CC562A">
        <w:rPr>
          <w:rFonts w:ascii="Cambria" w:eastAsia="Cambria" w:hAnsi="Cambria" w:cs="Cambria"/>
          <w:i/>
          <w:iCs/>
          <w:color w:val="000000" w:themeColor="text1"/>
          <w:sz w:val="20"/>
          <w:szCs w:val="20"/>
          <w:lang w:val="en-US"/>
        </w:rPr>
        <w:t xml:space="preserve">de </w:t>
      </w:r>
      <w:proofErr w:type="spellStart"/>
      <w:r w:rsidR="37824DF5" w:rsidRPr="00CC562A">
        <w:rPr>
          <w:rFonts w:ascii="Cambria" w:eastAsia="Cambria" w:hAnsi="Cambria" w:cs="Cambria"/>
          <w:i/>
          <w:iCs/>
          <w:color w:val="000000" w:themeColor="text1"/>
          <w:sz w:val="20"/>
          <w:szCs w:val="20"/>
          <w:lang w:val="en-US"/>
        </w:rPr>
        <w:t>Prevención</w:t>
      </w:r>
      <w:proofErr w:type="spellEnd"/>
      <w:r w:rsidR="37824DF5" w:rsidRPr="00CC562A">
        <w:rPr>
          <w:rFonts w:ascii="Cambria" w:eastAsia="Cambria" w:hAnsi="Cambria" w:cs="Cambria"/>
          <w:i/>
          <w:iCs/>
          <w:color w:val="000000" w:themeColor="text1"/>
          <w:sz w:val="20"/>
          <w:szCs w:val="20"/>
          <w:lang w:val="en-US"/>
        </w:rPr>
        <w:t xml:space="preserve"> y </w:t>
      </w:r>
      <w:proofErr w:type="spellStart"/>
      <w:r w:rsidR="37824DF5" w:rsidRPr="00CC562A">
        <w:rPr>
          <w:rFonts w:ascii="Cambria" w:eastAsia="Cambria" w:hAnsi="Cambria" w:cs="Cambria"/>
          <w:i/>
          <w:iCs/>
          <w:color w:val="000000" w:themeColor="text1"/>
          <w:sz w:val="20"/>
          <w:szCs w:val="20"/>
          <w:lang w:val="en-US"/>
        </w:rPr>
        <w:t>Readaptación</w:t>
      </w:r>
      <w:proofErr w:type="spellEnd"/>
      <w:r w:rsidR="37824DF5" w:rsidRPr="00CC562A">
        <w:rPr>
          <w:rFonts w:ascii="Cambria" w:eastAsia="Cambria" w:hAnsi="Cambria" w:cs="Cambria"/>
          <w:i/>
          <w:iCs/>
          <w:color w:val="000000" w:themeColor="text1"/>
          <w:sz w:val="20"/>
          <w:szCs w:val="20"/>
          <w:lang w:val="en-US"/>
        </w:rPr>
        <w:t xml:space="preserve"> Social</w:t>
      </w:r>
      <w:r w:rsidR="004607EA" w:rsidRPr="00CC562A">
        <w:rPr>
          <w:rFonts w:ascii="Cambria" w:eastAsia="Cambria" w:hAnsi="Cambria" w:cs="Cambria"/>
          <w:color w:val="000000" w:themeColor="text1"/>
          <w:sz w:val="20"/>
          <w:szCs w:val="20"/>
          <w:lang w:val="en-US"/>
        </w:rPr>
        <w:t>)</w:t>
      </w:r>
      <w:r w:rsidR="0020257A" w:rsidRPr="00CC562A">
        <w:rPr>
          <w:rFonts w:ascii="Cambria" w:eastAsia="Cambria" w:hAnsi="Cambria" w:cs="Cambria"/>
          <w:color w:val="000000" w:themeColor="text1"/>
          <w:sz w:val="20"/>
          <w:szCs w:val="20"/>
          <w:vertAlign w:val="superscript"/>
          <w:lang w:val="en-US"/>
        </w:rPr>
        <w:footnoteReference w:id="264"/>
      </w:r>
      <w:r w:rsidR="37824DF5" w:rsidRPr="00CC562A">
        <w:rPr>
          <w:rFonts w:ascii="Cambria" w:eastAsia="Cambria" w:hAnsi="Cambria" w:cs="Cambria"/>
          <w:color w:val="000000" w:themeColor="text1"/>
          <w:sz w:val="20"/>
          <w:szCs w:val="20"/>
          <w:lang w:val="en-US"/>
        </w:rPr>
        <w:t xml:space="preserve"> </w:t>
      </w:r>
      <w:r w:rsidR="004607EA" w:rsidRPr="00CC562A">
        <w:rPr>
          <w:rFonts w:ascii="Cambria" w:eastAsia="Cambria" w:hAnsi="Cambria" w:cs="Cambria"/>
          <w:color w:val="000000" w:themeColor="text1"/>
          <w:sz w:val="20"/>
          <w:szCs w:val="20"/>
          <w:lang w:val="en-US"/>
        </w:rPr>
        <w:t xml:space="preserve">between </w:t>
      </w:r>
      <w:r w:rsidR="37824DF5" w:rsidRPr="00CC562A">
        <w:rPr>
          <w:rFonts w:ascii="Cambria" w:eastAsia="Cambria" w:hAnsi="Cambria" w:cs="Cambria"/>
          <w:color w:val="000000" w:themeColor="text1"/>
          <w:sz w:val="20"/>
          <w:szCs w:val="20"/>
          <w:lang w:val="en-US"/>
        </w:rPr>
        <w:t xml:space="preserve">2020 </w:t>
      </w:r>
      <w:r w:rsidR="004607EA" w:rsidRPr="00CC562A">
        <w:rPr>
          <w:rFonts w:ascii="Cambria" w:eastAsia="Cambria" w:hAnsi="Cambria" w:cs="Cambria"/>
          <w:color w:val="000000" w:themeColor="text1"/>
          <w:sz w:val="20"/>
          <w:szCs w:val="20"/>
          <w:lang w:val="en-US"/>
        </w:rPr>
        <w:t>and</w:t>
      </w:r>
      <w:r w:rsidR="37824DF5" w:rsidRPr="00CC562A">
        <w:rPr>
          <w:rFonts w:ascii="Cambria" w:eastAsia="Cambria" w:hAnsi="Cambria" w:cs="Cambria"/>
          <w:color w:val="000000" w:themeColor="text1"/>
          <w:sz w:val="20"/>
          <w:szCs w:val="20"/>
          <w:lang w:val="en-US"/>
        </w:rPr>
        <w:t xml:space="preserve"> 2022, </w:t>
      </w:r>
      <w:r w:rsidR="004607EA" w:rsidRPr="00CC562A">
        <w:rPr>
          <w:rFonts w:ascii="Cambria" w:eastAsia="Cambria" w:hAnsi="Cambria" w:cs="Cambria"/>
          <w:color w:val="000000" w:themeColor="text1"/>
          <w:sz w:val="20"/>
          <w:szCs w:val="20"/>
          <w:lang w:val="en-US"/>
        </w:rPr>
        <w:t xml:space="preserve">the number of persons in prison in the country who have not been sentenced increased, </w:t>
      </w:r>
      <w:r w:rsidR="00BD5895" w:rsidRPr="00CC562A">
        <w:rPr>
          <w:rFonts w:ascii="Cambria" w:eastAsia="Cambria" w:hAnsi="Cambria" w:cs="Cambria"/>
          <w:color w:val="000000" w:themeColor="text1"/>
          <w:sz w:val="20"/>
          <w:szCs w:val="20"/>
          <w:lang w:val="en-US"/>
        </w:rPr>
        <w:t xml:space="preserve">on a par with </w:t>
      </w:r>
      <w:r w:rsidR="004607EA" w:rsidRPr="00CC562A">
        <w:rPr>
          <w:rFonts w:ascii="Cambria" w:eastAsia="Cambria" w:hAnsi="Cambria" w:cs="Cambria"/>
          <w:color w:val="000000" w:themeColor="text1"/>
          <w:sz w:val="20"/>
          <w:szCs w:val="20"/>
          <w:lang w:val="en-US"/>
        </w:rPr>
        <w:t>overcrowding in state prison facilities. During the same period, the number of states</w:t>
      </w:r>
      <w:r w:rsidR="37824DF5" w:rsidRPr="00CC562A">
        <w:rPr>
          <w:rFonts w:ascii="Cambria" w:eastAsia="Cambria" w:hAnsi="Cambria" w:cs="Cambria"/>
          <w:color w:val="000000" w:themeColor="text1"/>
          <w:sz w:val="20"/>
          <w:szCs w:val="20"/>
          <w:lang w:val="en-US"/>
        </w:rPr>
        <w:t xml:space="preserve"> </w:t>
      </w:r>
      <w:r w:rsidR="004607EA" w:rsidRPr="00CC562A">
        <w:rPr>
          <w:rFonts w:ascii="Cambria" w:eastAsia="Cambria" w:hAnsi="Cambria" w:cs="Cambria"/>
          <w:color w:val="000000" w:themeColor="text1"/>
          <w:sz w:val="20"/>
          <w:szCs w:val="20"/>
          <w:lang w:val="en-US"/>
        </w:rPr>
        <w:t>with overcrowding in their state prisons increased from</w:t>
      </w:r>
      <w:r w:rsidR="37824DF5" w:rsidRPr="00CC562A">
        <w:rPr>
          <w:rFonts w:ascii="Cambria" w:eastAsia="Cambria" w:hAnsi="Cambria" w:cs="Cambria"/>
          <w:color w:val="000000" w:themeColor="text1"/>
          <w:sz w:val="20"/>
          <w:szCs w:val="20"/>
          <w:lang w:val="en-US"/>
        </w:rPr>
        <w:t xml:space="preserve"> 13 </w:t>
      </w:r>
      <w:r w:rsidR="004607EA" w:rsidRPr="00CC562A">
        <w:rPr>
          <w:rFonts w:ascii="Cambria" w:eastAsia="Cambria" w:hAnsi="Cambria" w:cs="Cambria"/>
          <w:color w:val="000000" w:themeColor="text1"/>
          <w:sz w:val="20"/>
          <w:szCs w:val="20"/>
          <w:lang w:val="en-US"/>
        </w:rPr>
        <w:t>to</w:t>
      </w:r>
      <w:r w:rsidR="37824DF5" w:rsidRPr="00CC562A">
        <w:rPr>
          <w:rFonts w:ascii="Cambria" w:eastAsia="Cambria" w:hAnsi="Cambria" w:cs="Cambria"/>
          <w:color w:val="000000" w:themeColor="text1"/>
          <w:sz w:val="20"/>
          <w:szCs w:val="20"/>
          <w:lang w:val="en-US"/>
        </w:rPr>
        <w:t xml:space="preserve"> 18. </w:t>
      </w:r>
      <w:r w:rsidR="004607EA" w:rsidRPr="00CC562A">
        <w:rPr>
          <w:rFonts w:ascii="Cambria" w:eastAsia="Cambria" w:hAnsi="Cambria" w:cs="Cambria"/>
          <w:color w:val="000000" w:themeColor="text1"/>
          <w:sz w:val="20"/>
          <w:szCs w:val="20"/>
          <w:lang w:val="en-US"/>
        </w:rPr>
        <w:t xml:space="preserve">By June of </w:t>
      </w:r>
      <w:r w:rsidR="37824DF5" w:rsidRPr="00CC562A">
        <w:rPr>
          <w:rFonts w:ascii="Cambria" w:eastAsia="Cambria" w:hAnsi="Cambria" w:cs="Cambria"/>
          <w:color w:val="000000" w:themeColor="text1"/>
          <w:sz w:val="20"/>
          <w:szCs w:val="20"/>
          <w:lang w:val="en-US"/>
        </w:rPr>
        <w:t xml:space="preserve">2022, </w:t>
      </w:r>
      <w:r w:rsidR="004607EA" w:rsidRPr="00CC562A">
        <w:rPr>
          <w:rFonts w:ascii="Cambria" w:eastAsia="Cambria" w:hAnsi="Cambria" w:cs="Cambria"/>
          <w:color w:val="000000" w:themeColor="text1"/>
          <w:sz w:val="20"/>
          <w:szCs w:val="20"/>
          <w:lang w:val="en-US"/>
        </w:rPr>
        <w:t xml:space="preserve">the five states with the most overcrowding were </w:t>
      </w:r>
      <w:r w:rsidR="00E15F4F" w:rsidRPr="00CC562A">
        <w:rPr>
          <w:rFonts w:ascii="Cambria" w:eastAsia="Cambria" w:hAnsi="Cambria" w:cs="Cambria"/>
          <w:color w:val="000000" w:themeColor="text1"/>
          <w:sz w:val="20"/>
          <w:szCs w:val="20"/>
          <w:lang w:val="en-US"/>
        </w:rPr>
        <w:t>Mexico</w:t>
      </w:r>
      <w:r w:rsidR="37824DF5" w:rsidRPr="00CC562A">
        <w:rPr>
          <w:rFonts w:ascii="Cambria" w:eastAsia="Cambria" w:hAnsi="Cambria" w:cs="Cambria"/>
          <w:color w:val="000000" w:themeColor="text1"/>
          <w:sz w:val="20"/>
          <w:szCs w:val="20"/>
          <w:lang w:val="en-US"/>
        </w:rPr>
        <w:t xml:space="preserve"> (136</w:t>
      </w:r>
      <w:r w:rsidR="00E15F4F" w:rsidRPr="00CC562A">
        <w:rPr>
          <w:rFonts w:ascii="Cambria" w:eastAsia="Cambria" w:hAnsi="Cambria" w:cs="Cambria"/>
          <w:color w:val="000000" w:themeColor="text1"/>
          <w:sz w:val="20"/>
          <w:szCs w:val="20"/>
          <w:lang w:val="en-US"/>
        </w:rPr>
        <w:t>.</w:t>
      </w:r>
      <w:r w:rsidR="37824DF5" w:rsidRPr="00CC562A">
        <w:rPr>
          <w:rFonts w:ascii="Cambria" w:eastAsia="Cambria" w:hAnsi="Cambria" w:cs="Cambria"/>
          <w:color w:val="000000" w:themeColor="text1"/>
          <w:sz w:val="20"/>
          <w:szCs w:val="20"/>
          <w:lang w:val="en-US"/>
        </w:rPr>
        <w:t>7%); Morelos (92.7%); Nayarit (92.3%); Durango (66.1%)</w:t>
      </w:r>
      <w:r w:rsidR="00BD5895" w:rsidRPr="00CC562A">
        <w:rPr>
          <w:rFonts w:ascii="Cambria" w:eastAsia="Cambria" w:hAnsi="Cambria" w:cs="Cambria"/>
          <w:color w:val="000000" w:themeColor="text1"/>
          <w:sz w:val="20"/>
          <w:szCs w:val="20"/>
          <w:lang w:val="en-US"/>
        </w:rPr>
        <w:t>’</w:t>
      </w:r>
      <w:r w:rsidR="00E15F4F" w:rsidRPr="00CC562A">
        <w:rPr>
          <w:rFonts w:ascii="Cambria" w:eastAsia="Cambria" w:hAnsi="Cambria" w:cs="Cambria"/>
          <w:color w:val="000000" w:themeColor="text1"/>
          <w:sz w:val="20"/>
          <w:szCs w:val="20"/>
          <w:lang w:val="en-US"/>
        </w:rPr>
        <w:t xml:space="preserve"> and</w:t>
      </w:r>
      <w:r w:rsidR="37824DF5" w:rsidRPr="00CC562A">
        <w:rPr>
          <w:rFonts w:ascii="Cambria" w:eastAsia="Cambria" w:hAnsi="Cambria" w:cs="Cambria"/>
          <w:color w:val="000000" w:themeColor="text1"/>
          <w:sz w:val="20"/>
          <w:szCs w:val="20"/>
          <w:lang w:val="en-US"/>
        </w:rPr>
        <w:t xml:space="preserve"> Tabasco (42.2%). </w:t>
      </w:r>
      <w:r w:rsidR="00E15F4F" w:rsidRPr="00A63873">
        <w:rPr>
          <w:rFonts w:ascii="Cambria" w:eastAsia="Cambria" w:hAnsi="Cambria" w:cs="Cambria"/>
          <w:color w:val="000000" w:themeColor="text1"/>
          <w:sz w:val="20"/>
          <w:szCs w:val="20"/>
          <w:lang w:val="en-US"/>
        </w:rPr>
        <w:t>These were followed by</w:t>
      </w:r>
      <w:r w:rsidR="37824DF5" w:rsidRPr="00A63873">
        <w:rPr>
          <w:rFonts w:ascii="Cambria" w:eastAsia="Cambria" w:hAnsi="Cambria" w:cs="Cambria"/>
          <w:color w:val="000000" w:themeColor="text1"/>
          <w:sz w:val="20"/>
          <w:szCs w:val="20"/>
          <w:lang w:val="en-US"/>
        </w:rPr>
        <w:t xml:space="preserve"> Coahuila (41.4%); Puebla (34.1%); Sonora (33%); Hidalgo (31.6%); Quintana Roo (28.2%); Guanajuato (19.8%); Chihuahua (19.2%); Aguascalientes (17.5%); Nuevo León (8.1%); Guerrero (7.3%); Veracruz (4.1%); Chiapas (1.5%); </w:t>
      </w:r>
      <w:r w:rsidR="00E15F4F" w:rsidRPr="00A63873">
        <w:rPr>
          <w:rFonts w:ascii="Cambria" w:eastAsia="Cambria" w:hAnsi="Cambria" w:cs="Cambria"/>
          <w:color w:val="000000" w:themeColor="text1"/>
          <w:sz w:val="20"/>
          <w:szCs w:val="20"/>
          <w:lang w:val="en-US"/>
        </w:rPr>
        <w:t xml:space="preserve">and </w:t>
      </w:r>
      <w:r w:rsidR="37824DF5" w:rsidRPr="00A63873">
        <w:rPr>
          <w:rFonts w:ascii="Cambria" w:eastAsia="Cambria" w:hAnsi="Cambria" w:cs="Cambria"/>
          <w:color w:val="000000" w:themeColor="text1"/>
          <w:sz w:val="20"/>
          <w:szCs w:val="20"/>
          <w:lang w:val="en-US"/>
        </w:rPr>
        <w:t>Jalisco (0.49%)</w:t>
      </w:r>
      <w:r w:rsidR="00E15F4F" w:rsidRPr="00A63873">
        <w:rPr>
          <w:rFonts w:ascii="Cambria" w:eastAsia="Cambria" w:hAnsi="Cambria" w:cs="Cambria"/>
          <w:color w:val="000000" w:themeColor="text1"/>
          <w:sz w:val="20"/>
          <w:szCs w:val="20"/>
          <w:lang w:val="en-US"/>
        </w:rPr>
        <w:t>.</w:t>
      </w:r>
      <w:r w:rsidR="00C95C02" w:rsidRPr="00CC562A">
        <w:rPr>
          <w:rFonts w:ascii="Cambria" w:eastAsia="Cambria" w:hAnsi="Cambria" w:cs="Cambria"/>
          <w:color w:val="000000" w:themeColor="text1"/>
          <w:sz w:val="20"/>
          <w:szCs w:val="20"/>
          <w:lang w:val="en-US"/>
        </w:rPr>
        <w:footnoteReference w:id="265"/>
      </w:r>
      <w:r w:rsidR="00E15F4F" w:rsidRPr="00A63873">
        <w:rPr>
          <w:rFonts w:ascii="Cambria" w:eastAsia="Cambria" w:hAnsi="Cambria" w:cs="Cambria"/>
          <w:color w:val="000000" w:themeColor="text1"/>
          <w:sz w:val="20"/>
          <w:szCs w:val="20"/>
          <w:lang w:val="en-US"/>
        </w:rPr>
        <w:t xml:space="preserve"> </w:t>
      </w:r>
      <w:r w:rsidR="00E15F4F" w:rsidRPr="00CC562A">
        <w:rPr>
          <w:rFonts w:ascii="Cambria" w:eastAsia="Cambria" w:hAnsi="Cambria" w:cs="Cambria"/>
          <w:color w:val="000000" w:themeColor="text1"/>
          <w:sz w:val="20"/>
          <w:szCs w:val="20"/>
          <w:lang w:val="en-US"/>
        </w:rPr>
        <w:t>These figures point to an overcrowding problem with challenges yet to be addressed.</w:t>
      </w:r>
      <w:r w:rsidR="00923C62" w:rsidRPr="00CC562A">
        <w:rPr>
          <w:rFonts w:ascii="Cambria" w:eastAsia="Cambria" w:hAnsi="Cambria" w:cs="Cambria"/>
          <w:color w:val="000000" w:themeColor="text1"/>
          <w:sz w:val="20"/>
          <w:szCs w:val="20"/>
          <w:lang w:val="en-US"/>
        </w:rPr>
        <w:t xml:space="preserve"> In addition, the</w:t>
      </w:r>
      <w:r w:rsidR="00276638" w:rsidRPr="00CC562A">
        <w:rPr>
          <w:rFonts w:ascii="Cambria" w:eastAsia="Cambria" w:hAnsi="Cambria" w:cs="Cambria"/>
          <w:color w:val="000000" w:themeColor="text1"/>
          <w:sz w:val="20"/>
          <w:szCs w:val="20"/>
          <w:lang w:val="en-US"/>
        </w:rPr>
        <w:t xml:space="preserve"> IACHR</w:t>
      </w:r>
      <w:r w:rsidR="00923C62" w:rsidRPr="00CC562A">
        <w:rPr>
          <w:rFonts w:ascii="Cambria" w:eastAsia="Cambria" w:hAnsi="Cambria" w:cs="Cambria"/>
          <w:color w:val="000000" w:themeColor="text1"/>
          <w:sz w:val="20"/>
          <w:szCs w:val="20"/>
          <w:lang w:val="en-US"/>
        </w:rPr>
        <w:t xml:space="preserve"> notes that during </w:t>
      </w:r>
      <w:r w:rsidR="6CC997AD" w:rsidRPr="00CC562A">
        <w:rPr>
          <w:rFonts w:ascii="Cambria" w:eastAsia="Cambria" w:hAnsi="Cambria" w:cs="Cambria"/>
          <w:color w:val="000000" w:themeColor="text1"/>
          <w:sz w:val="20"/>
          <w:szCs w:val="20"/>
          <w:lang w:val="en-US"/>
        </w:rPr>
        <w:t xml:space="preserve">2022 </w:t>
      </w:r>
      <w:r w:rsidR="00923C62" w:rsidRPr="00CC562A">
        <w:rPr>
          <w:rFonts w:ascii="Cambria" w:eastAsia="Cambria" w:hAnsi="Cambria" w:cs="Cambria"/>
          <w:color w:val="000000" w:themeColor="text1"/>
          <w:sz w:val="20"/>
          <w:szCs w:val="20"/>
          <w:lang w:val="en-US"/>
        </w:rPr>
        <w:t xml:space="preserve">there were </w:t>
      </w:r>
      <w:r w:rsidR="6CC997AD" w:rsidRPr="00CC562A">
        <w:rPr>
          <w:rFonts w:ascii="Cambria" w:eastAsia="Cambria" w:hAnsi="Cambria" w:cs="Cambria"/>
          <w:color w:val="000000" w:themeColor="text1"/>
          <w:sz w:val="20"/>
          <w:szCs w:val="20"/>
          <w:lang w:val="en-US"/>
        </w:rPr>
        <w:t xml:space="preserve">50 </w:t>
      </w:r>
      <w:r w:rsidR="00923C62" w:rsidRPr="00CC562A">
        <w:rPr>
          <w:rFonts w:ascii="Cambria" w:eastAsia="Cambria" w:hAnsi="Cambria" w:cs="Cambria"/>
          <w:color w:val="000000" w:themeColor="text1"/>
          <w:sz w:val="20"/>
          <w:szCs w:val="20"/>
          <w:lang w:val="en-US"/>
        </w:rPr>
        <w:t>amnesty petitions filed based on the Amnesty Law.</w:t>
      </w:r>
      <w:r w:rsidR="00D701CC" w:rsidRPr="00CC562A">
        <w:rPr>
          <w:rFonts w:ascii="Cambria" w:eastAsia="Cambria" w:hAnsi="Cambria" w:cs="Cambria"/>
          <w:color w:val="000000" w:themeColor="text1"/>
          <w:sz w:val="20"/>
          <w:szCs w:val="20"/>
          <w:lang w:val="en-US"/>
        </w:rPr>
        <w:footnoteReference w:id="266"/>
      </w:r>
      <w:r w:rsidR="6CC997AD" w:rsidRPr="00CC562A">
        <w:rPr>
          <w:rFonts w:ascii="Cambria" w:eastAsia="Cambria" w:hAnsi="Cambria" w:cs="Cambria"/>
          <w:color w:val="000000" w:themeColor="text1"/>
          <w:sz w:val="20"/>
          <w:szCs w:val="20"/>
          <w:lang w:val="en-US"/>
        </w:rPr>
        <w:t xml:space="preserve">, </w:t>
      </w:r>
      <w:r w:rsidR="00923C62" w:rsidRPr="00CC562A">
        <w:rPr>
          <w:rFonts w:ascii="Cambria" w:eastAsia="Cambria" w:hAnsi="Cambria" w:cs="Cambria"/>
          <w:color w:val="000000" w:themeColor="text1"/>
          <w:sz w:val="20"/>
          <w:szCs w:val="20"/>
          <w:lang w:val="en-US"/>
        </w:rPr>
        <w:t>although the information provided does not make clear the status of the resolution of these petitions. Based on developments, the IACHR appreciates the measures adopted by the State to address overcrowding levels, by increasing the number of criminal enforcement judges, reviewing case files, and granting amnesties. However, it is concerned by the high number of people held in pretrial detention. Based on this analysis,</w:t>
      </w:r>
      <w:r w:rsidR="326185A6" w:rsidRPr="00CC562A">
        <w:rPr>
          <w:rFonts w:ascii="Cambria" w:eastAsia="Cambria" w:hAnsi="Cambria" w:cs="Cambria"/>
          <w:color w:val="000000" w:themeColor="text1"/>
          <w:sz w:val="20"/>
          <w:szCs w:val="20"/>
          <w:lang w:val="en-US"/>
        </w:rPr>
        <w:t xml:space="preserve"> </w:t>
      </w:r>
      <w:r w:rsidR="00276638" w:rsidRPr="00CC562A">
        <w:rPr>
          <w:rFonts w:ascii="Cambria" w:eastAsia="Cambria" w:hAnsi="Cambria" w:cs="Cambria"/>
          <w:color w:val="000000" w:themeColor="text1"/>
          <w:sz w:val="20"/>
          <w:szCs w:val="20"/>
          <w:lang w:val="en-US"/>
        </w:rPr>
        <w:t>the IACHR</w:t>
      </w:r>
      <w:r w:rsidR="326185A6" w:rsidRPr="00CC562A">
        <w:rPr>
          <w:rFonts w:ascii="Cambria" w:eastAsia="Cambria" w:hAnsi="Cambria" w:cs="Cambria"/>
          <w:color w:val="000000" w:themeColor="text1"/>
          <w:sz w:val="20"/>
          <w:szCs w:val="20"/>
          <w:lang w:val="en-US"/>
        </w:rPr>
        <w:t xml:space="preserve"> </w:t>
      </w:r>
      <w:r w:rsidR="00923C62" w:rsidRPr="00CC562A">
        <w:rPr>
          <w:rFonts w:ascii="Cambria" w:eastAsia="Cambria" w:hAnsi="Cambria" w:cs="Cambria"/>
          <w:color w:val="000000" w:themeColor="text1"/>
          <w:sz w:val="20"/>
          <w:szCs w:val="20"/>
          <w:lang w:val="en-US"/>
        </w:rPr>
        <w:t xml:space="preserve">concludes that there is </w:t>
      </w:r>
      <w:r w:rsidR="00923C62" w:rsidRPr="00CC562A">
        <w:rPr>
          <w:rFonts w:ascii="Cambria" w:eastAsia="Cambria" w:hAnsi="Cambria" w:cs="Cambria"/>
          <w:b/>
          <w:bCs/>
          <w:color w:val="000000" w:themeColor="text1"/>
          <w:sz w:val="20"/>
          <w:szCs w:val="20"/>
          <w:lang w:val="en-US"/>
        </w:rPr>
        <w:t xml:space="preserve">partial compliance </w:t>
      </w:r>
      <w:r w:rsidR="00923C62" w:rsidRPr="00CC562A">
        <w:rPr>
          <w:rFonts w:ascii="Cambria" w:eastAsia="Cambria" w:hAnsi="Cambria" w:cs="Cambria"/>
          <w:color w:val="000000" w:themeColor="text1"/>
          <w:sz w:val="20"/>
          <w:szCs w:val="20"/>
          <w:lang w:val="en-US"/>
        </w:rPr>
        <w:t>with the recommendation</w:t>
      </w:r>
      <w:r w:rsidR="326185A6" w:rsidRPr="00CC562A">
        <w:rPr>
          <w:rFonts w:ascii="Cambria" w:eastAsia="Cambria" w:hAnsi="Cambria" w:cs="Cambria"/>
          <w:color w:val="000000" w:themeColor="text1"/>
          <w:sz w:val="20"/>
          <w:szCs w:val="20"/>
          <w:lang w:val="en-US"/>
        </w:rPr>
        <w:t>.</w:t>
      </w:r>
    </w:p>
    <w:p w14:paraId="0C00C5A9" w14:textId="2B9D337F" w:rsidR="008A4D49" w:rsidRPr="00CC562A" w:rsidRDefault="00923C62" w:rsidP="00E529E8">
      <w:pPr>
        <w:numPr>
          <w:ilvl w:val="0"/>
          <w:numId w:val="2"/>
        </w:numPr>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process of implementing this recommendation, the Commission sees fit to emphasize the importance of adopting state measures to address problems relating to the indiscriminate use of pretrial detention</w:t>
      </w:r>
      <w:r w:rsidR="51179C26"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51179C26"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it will be useful for the State to develop, </w:t>
      </w:r>
      <w:r w:rsidR="00347ACA" w:rsidRPr="00CC562A">
        <w:rPr>
          <w:rFonts w:ascii="Cambria" w:eastAsia="Cambria" w:hAnsi="Cambria" w:cs="Cambria"/>
          <w:sz w:val="20"/>
          <w:szCs w:val="20"/>
          <w:lang w:val="en-US"/>
        </w:rPr>
        <w:t>as</w:t>
      </w:r>
      <w:r w:rsidRPr="00CC562A">
        <w:rPr>
          <w:rFonts w:ascii="Cambria" w:eastAsia="Cambria" w:hAnsi="Cambria" w:cs="Cambria"/>
          <w:sz w:val="20"/>
          <w:szCs w:val="20"/>
          <w:lang w:val="en-US"/>
        </w:rPr>
        <w:t xml:space="preserve"> applicable, diagnoses of the overcrowding problem so that, based on this information, measures are adopted to reduce it. On this basis, the Commission asks the State to design measures and strategies aimed at addressing these problems at the state level.</w:t>
      </w:r>
    </w:p>
    <w:p w14:paraId="52F86406" w14:textId="23CD8EB0" w:rsidR="008A4D49" w:rsidRPr="00CC562A" w:rsidRDefault="2D308A46"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b/>
          <w:bCs/>
          <w:sz w:val="20"/>
          <w:szCs w:val="20"/>
          <w:lang w:val="en-US"/>
        </w:rPr>
        <w:t xml:space="preserve"> </w:t>
      </w:r>
      <w:proofErr w:type="gramStart"/>
      <w:r w:rsidR="008A5A76" w:rsidRPr="00CC562A">
        <w:rPr>
          <w:rFonts w:ascii="Cambria" w:eastAsia="Cambria" w:hAnsi="Cambria" w:cs="Cambria"/>
          <w:sz w:val="20"/>
          <w:szCs w:val="20"/>
          <w:lang w:val="en-US"/>
        </w:rPr>
        <w:t>With regard to</w:t>
      </w:r>
      <w:proofErr w:type="gramEnd"/>
      <w:r w:rsidR="008A5A76" w:rsidRPr="00CC562A">
        <w:rPr>
          <w:rFonts w:ascii="Cambria" w:eastAsia="Cambria" w:hAnsi="Cambria" w:cs="Cambria"/>
          <w:sz w:val="20"/>
          <w:szCs w:val="20"/>
          <w:lang w:val="en-US"/>
        </w:rPr>
        <w:t xml:space="preserve"> ensuring that the </w:t>
      </w:r>
      <w:r w:rsidR="008A5A76" w:rsidRPr="00CC562A">
        <w:rPr>
          <w:rFonts w:ascii="Cambria" w:eastAsia="Cambria" w:hAnsi="Cambria" w:cs="Cambria"/>
          <w:b/>
          <w:bCs/>
          <w:sz w:val="20"/>
          <w:szCs w:val="20"/>
          <w:lang w:val="en-US"/>
        </w:rPr>
        <w:t>National Criminal Enforcement Law includes international standards that guarantee the rights of persons deprived of liberty with emphasis on due criminal process and social reintegration</w:t>
      </w:r>
      <w:r w:rsidR="0ED6A699" w:rsidRPr="00CC562A">
        <w:rPr>
          <w:rFonts w:ascii="Cambria" w:hAnsi="Cambria"/>
          <w:b/>
          <w:bCs/>
          <w:sz w:val="20"/>
          <w:szCs w:val="20"/>
          <w:lang w:val="en-US"/>
        </w:rPr>
        <w:t xml:space="preserve">, </w:t>
      </w:r>
      <w:r w:rsidR="005E725F" w:rsidRPr="00CC562A">
        <w:rPr>
          <w:rFonts w:ascii="Cambria" w:eastAsia="Cambria" w:hAnsi="Cambria" w:cs="Cambria"/>
          <w:sz w:val="20"/>
          <w:szCs w:val="20"/>
          <w:lang w:val="en-US"/>
        </w:rPr>
        <w:t xml:space="preserve">in its report, </w:t>
      </w:r>
      <w:r w:rsidR="00752FED" w:rsidRPr="00CC562A">
        <w:rPr>
          <w:rFonts w:ascii="Cambria" w:eastAsia="Cambria" w:hAnsi="Cambria" w:cs="Cambria"/>
          <w:sz w:val="20"/>
          <w:szCs w:val="20"/>
          <w:lang w:val="en-US"/>
        </w:rPr>
        <w:t>the State</w:t>
      </w:r>
      <w:r w:rsidR="7A437BE4" w:rsidRPr="00CC562A">
        <w:rPr>
          <w:rFonts w:ascii="Cambria" w:eastAsia="Cambria" w:hAnsi="Cambria" w:cs="Cambria"/>
          <w:sz w:val="20"/>
          <w:szCs w:val="20"/>
          <w:lang w:val="en-US"/>
        </w:rPr>
        <w:t xml:space="preserve"> </w:t>
      </w:r>
      <w:r w:rsidR="004A7D01" w:rsidRPr="00CC562A">
        <w:rPr>
          <w:rFonts w:ascii="Cambria" w:eastAsia="Cambria" w:hAnsi="Cambria" w:cs="Cambria"/>
          <w:sz w:val="20"/>
          <w:szCs w:val="20"/>
          <w:lang w:val="en-US"/>
        </w:rPr>
        <w:t xml:space="preserve">indicated that within the </w:t>
      </w:r>
      <w:r w:rsidR="26B10ED9" w:rsidRPr="00CC562A">
        <w:rPr>
          <w:rFonts w:ascii="Cambria" w:eastAsia="Cambria" w:hAnsi="Cambria" w:cs="Cambria"/>
          <w:sz w:val="20"/>
          <w:szCs w:val="20"/>
          <w:lang w:val="en-US"/>
        </w:rPr>
        <w:t xml:space="preserve">SCJN </w:t>
      </w:r>
      <w:r w:rsidR="004A7D01" w:rsidRPr="00CC562A">
        <w:rPr>
          <w:rFonts w:ascii="Cambria" w:eastAsia="Cambria" w:hAnsi="Cambria" w:cs="Cambria"/>
          <w:sz w:val="20"/>
          <w:szCs w:val="20"/>
          <w:lang w:val="en-US"/>
        </w:rPr>
        <w:t>some procedural measures related to alternative measures for the deprivation of liberty were reviewed, as well as the transfer of private persons to other prison centers without judicial authorization.</w:t>
      </w:r>
      <w:r w:rsidR="00070D01" w:rsidRPr="00CC562A">
        <w:rPr>
          <w:rStyle w:val="FootnoteReference"/>
          <w:rFonts w:ascii="Cambria" w:eastAsia="Cambria" w:hAnsi="Cambria" w:cs="Cambria"/>
          <w:sz w:val="20"/>
          <w:szCs w:val="20"/>
          <w:lang w:val="en-US"/>
        </w:rPr>
        <w:footnoteReference w:id="267"/>
      </w:r>
    </w:p>
    <w:p w14:paraId="73C5DC4C" w14:textId="149F2D48" w:rsidR="00522749" w:rsidRPr="00CC562A" w:rsidRDefault="49482271" w:rsidP="00E529E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Re</w:t>
      </w:r>
      <w:r w:rsidR="004A7D01" w:rsidRPr="00CC562A">
        <w:rPr>
          <w:rFonts w:ascii="Cambria" w:eastAsia="Cambria" w:hAnsi="Cambria" w:cs="Cambria"/>
          <w:sz w:val="20"/>
          <w:szCs w:val="20"/>
          <w:lang w:val="en-US"/>
        </w:rPr>
        <w:t>garding this recommendation, the Commission reiterates that in</w:t>
      </w:r>
      <w:r w:rsidRPr="00CC562A">
        <w:rPr>
          <w:rFonts w:ascii="Cambria" w:hAnsi="Cambria"/>
          <w:sz w:val="20"/>
          <w:szCs w:val="20"/>
          <w:lang w:val="en-US"/>
        </w:rPr>
        <w:t xml:space="preserve"> 2018 </w:t>
      </w:r>
      <w:r w:rsidR="004A7D01" w:rsidRPr="00CC562A">
        <w:rPr>
          <w:rFonts w:ascii="Cambria" w:hAnsi="Cambria"/>
          <w:sz w:val="20"/>
          <w:szCs w:val="20"/>
          <w:lang w:val="en-US"/>
        </w:rPr>
        <w:t xml:space="preserve">it rated its status as </w:t>
      </w:r>
      <w:r w:rsidR="004A7D01" w:rsidRPr="00CC562A">
        <w:rPr>
          <w:rFonts w:ascii="Cambria" w:hAnsi="Cambria"/>
          <w:b/>
          <w:bCs/>
          <w:sz w:val="20"/>
          <w:szCs w:val="20"/>
          <w:lang w:val="en-US"/>
        </w:rPr>
        <w:t>total compliance.</w:t>
      </w:r>
      <w:r w:rsidR="00F34952" w:rsidRPr="00CC562A">
        <w:rPr>
          <w:rStyle w:val="FootnoteReference"/>
          <w:rFonts w:ascii="Cambria" w:hAnsi="Cambria"/>
          <w:sz w:val="20"/>
          <w:szCs w:val="20"/>
          <w:lang w:val="en-US"/>
        </w:rPr>
        <w:footnoteReference w:id="268"/>
      </w:r>
    </w:p>
    <w:p w14:paraId="19F8F4A8" w14:textId="458D1D4E" w:rsidR="008A4D49" w:rsidRPr="00CC562A" w:rsidRDefault="008A4D49" w:rsidP="00564FAC">
      <w:pPr>
        <w:pStyle w:val="Heading3"/>
        <w:numPr>
          <w:ilvl w:val="0"/>
          <w:numId w:val="31"/>
        </w:numPr>
        <w:spacing w:before="240" w:after="200" w:line="240" w:lineRule="auto"/>
        <w:ind w:left="1440"/>
        <w:rPr>
          <w:sz w:val="20"/>
          <w:szCs w:val="20"/>
          <w:lang w:val="en-US"/>
        </w:rPr>
      </w:pPr>
      <w:r w:rsidRPr="00CC562A">
        <w:rPr>
          <w:sz w:val="20"/>
          <w:szCs w:val="20"/>
          <w:lang w:val="en-US"/>
        </w:rPr>
        <w:t>Migrant</w:t>
      </w:r>
      <w:r w:rsidR="004A7D01" w:rsidRPr="00CC562A">
        <w:rPr>
          <w:sz w:val="20"/>
          <w:szCs w:val="20"/>
          <w:lang w:val="en-US"/>
        </w:rPr>
        <w:t>s and Forced Internal Displacement</w:t>
      </w:r>
    </w:p>
    <w:p w14:paraId="3EC399AA" w14:textId="51B15A7C" w:rsidR="00C83114" w:rsidRPr="00CC562A" w:rsidRDefault="008A4D49" w:rsidP="00564FAC">
      <w:pPr>
        <w:numPr>
          <w:ilvl w:val="0"/>
          <w:numId w:val="16"/>
        </w:numPr>
        <w:pBdr>
          <w:top w:val="nil"/>
          <w:left w:val="nil"/>
          <w:bottom w:val="nil"/>
          <w:right w:val="nil"/>
          <w:between w:val="nil"/>
        </w:pBdr>
        <w:shd w:val="clear" w:color="auto" w:fill="D9D9D9" w:themeFill="background1" w:themeFillShade="D9"/>
        <w:spacing w:before="240" w:line="240" w:lineRule="auto"/>
        <w:ind w:left="1440"/>
        <w:jc w:val="both"/>
        <w:rPr>
          <w:rFonts w:ascii="Cambria" w:eastAsia="Cambria" w:hAnsi="Cambria" w:cs="Cambria"/>
          <w:sz w:val="20"/>
          <w:szCs w:val="20"/>
          <w:lang w:val="en-US"/>
        </w:rPr>
      </w:pPr>
      <w:r w:rsidRPr="00CC562A">
        <w:rPr>
          <w:rFonts w:ascii="Cambria" w:eastAsia="Cambria" w:hAnsi="Cambria" w:cs="Cambria"/>
          <w:sz w:val="20"/>
          <w:szCs w:val="20"/>
          <w:lang w:val="en-US"/>
        </w:rPr>
        <w:t>C</w:t>
      </w:r>
      <w:r w:rsidR="004A7D01" w:rsidRPr="00CC562A">
        <w:rPr>
          <w:rFonts w:ascii="Cambria" w:eastAsia="Cambria" w:hAnsi="Cambria" w:cs="Cambria"/>
          <w:sz w:val="20"/>
          <w:szCs w:val="20"/>
          <w:lang w:val="en-US"/>
        </w:rPr>
        <w:t>omply with all recommendations made in the Report on the Human Rights Situation of Migrants and Other Persons in the Context of Human Mobility in Mexico</w:t>
      </w:r>
      <w:r w:rsidRPr="00CC562A">
        <w:rPr>
          <w:rFonts w:ascii="Cambria" w:eastAsia="Cambria" w:hAnsi="Cambria" w:cs="Cambria"/>
          <w:sz w:val="20"/>
          <w:szCs w:val="20"/>
          <w:lang w:val="en-US"/>
        </w:rPr>
        <w:t>.</w:t>
      </w:r>
    </w:p>
    <w:p w14:paraId="26FD54BB" w14:textId="6BAFB99E" w:rsidR="00C83114" w:rsidRPr="00CC562A" w:rsidRDefault="004A7D01" w:rsidP="00564FAC">
      <w:pPr>
        <w:numPr>
          <w:ilvl w:val="0"/>
          <w:numId w:val="16"/>
        </w:numPr>
        <w:pBdr>
          <w:top w:val="nil"/>
          <w:left w:val="nil"/>
          <w:bottom w:val="nil"/>
          <w:right w:val="nil"/>
          <w:between w:val="nil"/>
        </w:pBdr>
        <w:shd w:val="clear" w:color="auto" w:fill="D9D9D9" w:themeFill="background1" w:themeFillShade="D9"/>
        <w:spacing w:before="240" w:line="240" w:lineRule="auto"/>
        <w:ind w:left="1440"/>
        <w:jc w:val="both"/>
        <w:rPr>
          <w:rFonts w:ascii="Cambria" w:eastAsia="Cambria" w:hAnsi="Cambria" w:cs="Cambria"/>
          <w:sz w:val="20"/>
          <w:szCs w:val="20"/>
          <w:lang w:val="en-US"/>
        </w:rPr>
      </w:pPr>
      <w:r w:rsidRPr="00CC562A">
        <w:rPr>
          <w:rFonts w:ascii="Cambria" w:hAnsi="Cambria"/>
          <w:sz w:val="20"/>
          <w:szCs w:val="20"/>
          <w:lang w:val="en-US"/>
        </w:rPr>
        <w:t>Conduct a countrywide diagnostic assessment of internal displacement in Mexico and, on the basis thereof, adopt a national policy and measures to address the issue in accordance with international standards on the matter, particularly the Guiding Principles on Internal Displacement.</w:t>
      </w:r>
      <w:r w:rsidR="00C83114" w:rsidRPr="00CC562A">
        <w:rPr>
          <w:rFonts w:ascii="Cambria" w:hAnsi="Cambria"/>
          <w:sz w:val="20"/>
          <w:szCs w:val="20"/>
          <w:lang w:val="en-US"/>
        </w:rPr>
        <w:t xml:space="preserve"> </w:t>
      </w:r>
    </w:p>
    <w:p w14:paraId="23C162F9" w14:textId="60DCCF27" w:rsidR="00C83114" w:rsidRPr="00CC562A" w:rsidRDefault="00C83114" w:rsidP="00564FAC">
      <w:pPr>
        <w:numPr>
          <w:ilvl w:val="0"/>
          <w:numId w:val="16"/>
        </w:numPr>
        <w:pBdr>
          <w:top w:val="nil"/>
          <w:left w:val="nil"/>
          <w:bottom w:val="nil"/>
          <w:right w:val="nil"/>
          <w:between w:val="nil"/>
        </w:pBdr>
        <w:shd w:val="clear" w:color="auto" w:fill="D9D9D9" w:themeFill="background1" w:themeFillShade="D9"/>
        <w:spacing w:before="240" w:line="240" w:lineRule="auto"/>
        <w:ind w:left="1440"/>
        <w:jc w:val="both"/>
        <w:rPr>
          <w:rFonts w:ascii="Cambria" w:eastAsia="Cambria" w:hAnsi="Cambria" w:cs="Cambria"/>
          <w:sz w:val="20"/>
          <w:szCs w:val="20"/>
          <w:lang w:val="en-US"/>
        </w:rPr>
      </w:pPr>
      <w:r w:rsidRPr="00CC562A">
        <w:rPr>
          <w:rFonts w:ascii="Cambria" w:hAnsi="Cambria"/>
          <w:sz w:val="20"/>
          <w:szCs w:val="20"/>
          <w:lang w:val="en-US"/>
        </w:rPr>
        <w:t>Adopt</w:t>
      </w:r>
      <w:r w:rsidR="004A7D01" w:rsidRPr="00CC562A">
        <w:rPr>
          <w:rFonts w:ascii="Cambria" w:hAnsi="Cambria"/>
          <w:sz w:val="20"/>
          <w:szCs w:val="20"/>
          <w:lang w:val="en-US"/>
        </w:rPr>
        <w:t xml:space="preserve"> specific legislation at the federal and state levels to address internal displacement, in accordance with the Guiding Principles on Internal Displacement.</w:t>
      </w:r>
      <w:r w:rsidRPr="00CC562A">
        <w:rPr>
          <w:rFonts w:ascii="Cambria" w:hAnsi="Cambria"/>
          <w:sz w:val="20"/>
          <w:szCs w:val="20"/>
          <w:lang w:val="en-US"/>
        </w:rPr>
        <w:t xml:space="preserve"> </w:t>
      </w:r>
    </w:p>
    <w:p w14:paraId="0640118F" w14:textId="48B10E74" w:rsidR="008A4D49" w:rsidRPr="00CC562A" w:rsidRDefault="004A7D01" w:rsidP="00564FAC">
      <w:pPr>
        <w:numPr>
          <w:ilvl w:val="0"/>
          <w:numId w:val="16"/>
        </w:numPr>
        <w:pBdr>
          <w:top w:val="nil"/>
          <w:left w:val="nil"/>
          <w:bottom w:val="nil"/>
          <w:right w:val="nil"/>
          <w:between w:val="nil"/>
        </w:pBdr>
        <w:shd w:val="clear" w:color="auto" w:fill="D9D9D9" w:themeFill="background1" w:themeFillShade="D9"/>
        <w:spacing w:before="240" w:line="240" w:lineRule="auto"/>
        <w:ind w:left="1440"/>
        <w:jc w:val="both"/>
        <w:rPr>
          <w:rFonts w:ascii="Cambria" w:eastAsia="Cambria" w:hAnsi="Cambria" w:cs="Cambria"/>
          <w:sz w:val="20"/>
          <w:szCs w:val="20"/>
          <w:lang w:val="en-US"/>
        </w:rPr>
      </w:pPr>
      <w:r w:rsidRPr="00CC562A">
        <w:rPr>
          <w:rFonts w:ascii="Cambria" w:hAnsi="Cambria"/>
          <w:sz w:val="20"/>
          <w:szCs w:val="20"/>
          <w:lang w:val="en-US"/>
        </w:rPr>
        <w:t>Ensure that at the federal level there is an institution in charge of protecting people from forced displacement</w:t>
      </w:r>
      <w:r w:rsidR="00C83114" w:rsidRPr="00CC562A">
        <w:rPr>
          <w:rFonts w:ascii="Cambria" w:hAnsi="Cambria"/>
          <w:sz w:val="20"/>
          <w:szCs w:val="20"/>
          <w:lang w:val="en-US"/>
        </w:rPr>
        <w:t xml:space="preserve">. </w:t>
      </w:r>
    </w:p>
    <w:p w14:paraId="68396BC0" w14:textId="28ABC716" w:rsidR="00D12519" w:rsidRPr="00CC562A" w:rsidRDefault="2D308A46"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1439F9" w:rsidRPr="00CC562A">
        <w:rPr>
          <w:rFonts w:ascii="Cambria" w:eastAsia="Cambria" w:hAnsi="Cambria" w:cs="Cambria"/>
          <w:sz w:val="20"/>
          <w:szCs w:val="20"/>
          <w:lang w:val="en-US"/>
        </w:rPr>
        <w:t xml:space="preserve">Regarding the recommendation to </w:t>
      </w:r>
      <w:r w:rsidR="0ED6A699" w:rsidRPr="00CC562A">
        <w:rPr>
          <w:rFonts w:ascii="Cambria" w:hAnsi="Cambria"/>
          <w:b/>
          <w:bCs/>
          <w:sz w:val="20"/>
          <w:szCs w:val="20"/>
          <w:lang w:val="en-US"/>
        </w:rPr>
        <w:t>c</w:t>
      </w:r>
      <w:r w:rsidR="001439F9" w:rsidRPr="00CC562A">
        <w:rPr>
          <w:rFonts w:ascii="Cambria" w:hAnsi="Cambria"/>
          <w:b/>
          <w:bCs/>
          <w:sz w:val="20"/>
          <w:szCs w:val="20"/>
          <w:lang w:val="en-US"/>
        </w:rPr>
        <w:t>omply with the set of recommendations made in the Report on the Human Rights of Migrants and Other Persons in the Context of Human Mobility in Mexico</w:t>
      </w:r>
      <w:r w:rsidR="0ED6A699"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0807620B" w:rsidRPr="00CC562A">
        <w:rPr>
          <w:rFonts w:ascii="Cambria" w:eastAsia="Cambria" w:hAnsi="Cambria" w:cs="Cambria"/>
          <w:sz w:val="20"/>
          <w:szCs w:val="20"/>
          <w:lang w:val="en-US"/>
        </w:rPr>
        <w:t xml:space="preserve"> </w:t>
      </w:r>
      <w:r w:rsidR="001439F9" w:rsidRPr="00CC562A">
        <w:rPr>
          <w:rFonts w:ascii="Cambria" w:eastAsia="Cambria" w:hAnsi="Cambria" w:cs="Cambria"/>
          <w:sz w:val="20"/>
          <w:szCs w:val="20"/>
          <w:lang w:val="en-US"/>
        </w:rPr>
        <w:t>indicated that, on the subjection of actions related to immigration review, verification, and control, specifically recommendation</w:t>
      </w:r>
      <w:r w:rsidR="019FB4CE" w:rsidRPr="00CC562A">
        <w:rPr>
          <w:rFonts w:ascii="Cambria" w:eastAsia="Cambria" w:hAnsi="Cambria" w:cs="Cambria"/>
          <w:sz w:val="20"/>
          <w:szCs w:val="20"/>
          <w:lang w:val="en-US"/>
        </w:rPr>
        <w:t xml:space="preserve"> 1:</w:t>
      </w:r>
      <w:r w:rsidR="0807620B" w:rsidRPr="00CC562A">
        <w:rPr>
          <w:rFonts w:ascii="Cambria" w:eastAsia="Cambria" w:hAnsi="Cambria" w:cs="Cambria"/>
          <w:sz w:val="20"/>
          <w:szCs w:val="20"/>
          <w:lang w:val="en-US"/>
        </w:rPr>
        <w:t xml:space="preserve"> </w:t>
      </w:r>
      <w:r w:rsidR="001439F9" w:rsidRPr="00CC562A">
        <w:rPr>
          <w:rFonts w:ascii="Cambria" w:eastAsia="Cambria" w:hAnsi="Cambria" w:cs="Cambria"/>
          <w:sz w:val="20"/>
          <w:szCs w:val="20"/>
          <w:lang w:val="en-US"/>
        </w:rPr>
        <w:t xml:space="preserve">The National Migration Institute performs its functions in compliance with the principles established in Article </w:t>
      </w:r>
      <w:r w:rsidR="019FB4CE" w:rsidRPr="00CC562A">
        <w:rPr>
          <w:rFonts w:ascii="Cambria" w:eastAsia="Cambria" w:hAnsi="Cambria" w:cs="Cambria"/>
          <w:sz w:val="20"/>
          <w:szCs w:val="20"/>
          <w:lang w:val="en-US"/>
        </w:rPr>
        <w:t xml:space="preserve">22 </w:t>
      </w:r>
      <w:r w:rsidR="001439F9" w:rsidRPr="00CC562A">
        <w:rPr>
          <w:rFonts w:ascii="Cambria" w:eastAsia="Cambria" w:hAnsi="Cambria" w:cs="Cambria"/>
          <w:sz w:val="20"/>
          <w:szCs w:val="20"/>
          <w:lang w:val="en-US"/>
        </w:rPr>
        <w:t>of the Migration Law, giving particular attention to unrestricted respect for the human rights of persons in the context of mobility. It is for this reason that conducting migration verification actions and migration controls are not based on racial profiling, but rather on the Migration Law, putting into practice the provisions of the Guide for the Prevention of Racial Profiling Practices developed jointly with the National Council for the Prevention of Discrimination</w:t>
      </w:r>
      <w:r w:rsidR="00DC5772" w:rsidRPr="00CC562A">
        <w:rPr>
          <w:rFonts w:ascii="Cambria" w:eastAsia="Cambria" w:hAnsi="Cambria" w:cs="Cambria"/>
          <w:sz w:val="20"/>
          <w:szCs w:val="20"/>
          <w:lang w:val="en-US"/>
        </w:rPr>
        <w:t xml:space="preserve"> </w:t>
      </w:r>
      <w:r w:rsidR="00F54167" w:rsidRPr="00CC562A">
        <w:rPr>
          <w:rFonts w:ascii="Cambria" w:hAnsi="Cambria"/>
          <w:sz w:val="20"/>
          <w:lang w:val="en-US"/>
        </w:rPr>
        <w:t>(C</w:t>
      </w:r>
      <w:r w:rsidR="00DC5772" w:rsidRPr="00CC562A">
        <w:rPr>
          <w:rFonts w:ascii="Cambria" w:hAnsi="Cambria"/>
          <w:sz w:val="20"/>
          <w:lang w:val="en-US"/>
        </w:rPr>
        <w:t>ONAPRED)</w:t>
      </w:r>
      <w:r w:rsidR="019FB4CE" w:rsidRPr="00CC562A">
        <w:rPr>
          <w:rFonts w:ascii="Cambria" w:eastAsia="Cambria" w:hAnsi="Cambria" w:cs="Cambria"/>
          <w:sz w:val="20"/>
          <w:szCs w:val="20"/>
          <w:lang w:val="en-US"/>
        </w:rPr>
        <w:t>.</w:t>
      </w:r>
      <w:r w:rsidR="00DC5772" w:rsidRPr="00CC562A">
        <w:rPr>
          <w:rFonts w:ascii="Cambria" w:hAnsi="Cambria"/>
          <w:sz w:val="20"/>
          <w:lang w:val="en-US"/>
        </w:rPr>
        <w:t xml:space="preserve"> </w:t>
      </w:r>
      <w:r w:rsidR="00F54167" w:rsidRPr="00CC562A">
        <w:rPr>
          <w:rFonts w:ascii="Cambria" w:hAnsi="Cambria"/>
          <w:sz w:val="20"/>
          <w:lang w:val="en-US"/>
        </w:rPr>
        <w:t xml:space="preserve">In this regard, the State indicated that training for staff attached to this Institute is being strengthened through courses </w:t>
      </w:r>
      <w:proofErr w:type="gramStart"/>
      <w:r w:rsidR="00F54167" w:rsidRPr="00CC562A">
        <w:rPr>
          <w:rFonts w:ascii="Cambria" w:hAnsi="Cambria"/>
          <w:sz w:val="20"/>
          <w:lang w:val="en-US"/>
        </w:rPr>
        <w:t>on the subject of Prevention</w:t>
      </w:r>
      <w:proofErr w:type="gramEnd"/>
      <w:r w:rsidR="00F54167" w:rsidRPr="00CC562A">
        <w:rPr>
          <w:rFonts w:ascii="Cambria" w:hAnsi="Cambria"/>
          <w:sz w:val="20"/>
          <w:lang w:val="en-US"/>
        </w:rPr>
        <w:t xml:space="preserve"> of Racial Profiling and Human Rights</w:t>
      </w:r>
      <w:r w:rsidR="00DC5772" w:rsidRPr="00CC562A">
        <w:rPr>
          <w:rFonts w:ascii="Cambria" w:hAnsi="Cambria"/>
          <w:sz w:val="20"/>
          <w:lang w:val="en-US"/>
        </w:rPr>
        <w:t>.</w:t>
      </w:r>
    </w:p>
    <w:p w14:paraId="56F0370A" w14:textId="01CFC73A" w:rsidR="00D12519" w:rsidRPr="00CC562A" w:rsidRDefault="00DF791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this regard, </w:t>
      </w:r>
      <w:r w:rsidR="00752FED" w:rsidRPr="00CC562A">
        <w:rPr>
          <w:rFonts w:ascii="Cambria" w:eastAsia="Cambria" w:hAnsi="Cambria" w:cs="Cambria"/>
          <w:sz w:val="20"/>
          <w:szCs w:val="20"/>
          <w:lang w:val="en-US"/>
        </w:rPr>
        <w:t>the State</w:t>
      </w:r>
      <w:r w:rsidR="49569CA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indicated that training for civil service personnel attached to this Institute is being strengthened through courses </w:t>
      </w:r>
      <w:proofErr w:type="gramStart"/>
      <w:r w:rsidRPr="00CC562A">
        <w:rPr>
          <w:rFonts w:ascii="Cambria" w:eastAsia="Cambria" w:hAnsi="Cambria" w:cs="Cambria"/>
          <w:sz w:val="20"/>
          <w:szCs w:val="20"/>
          <w:lang w:val="en-US"/>
        </w:rPr>
        <w:t>on the subject of Preventing</w:t>
      </w:r>
      <w:proofErr w:type="gramEnd"/>
      <w:r w:rsidRPr="00CC562A">
        <w:rPr>
          <w:rFonts w:ascii="Cambria" w:eastAsia="Cambria" w:hAnsi="Cambria" w:cs="Cambria"/>
          <w:sz w:val="20"/>
          <w:szCs w:val="20"/>
          <w:lang w:val="en-US"/>
        </w:rPr>
        <w:t xml:space="preserve"> Racial Profiling and on Human Rights.</w:t>
      </w:r>
      <w:r w:rsidR="49569CAE"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49569CAE"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49569CA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on the subject of migration detention, recommendation 4 incudes the program on alternative housing in migrant stations for persons seeking recognition of </w:t>
      </w:r>
      <w:r w:rsidR="00C3669B" w:rsidRPr="00CC562A">
        <w:rPr>
          <w:rFonts w:ascii="Cambria" w:eastAsia="Cambria" w:hAnsi="Cambria" w:cs="Cambria"/>
          <w:sz w:val="20"/>
          <w:szCs w:val="20"/>
          <w:lang w:val="en-US"/>
        </w:rPr>
        <w:t xml:space="preserve">their </w:t>
      </w:r>
      <w:r w:rsidRPr="00CC562A">
        <w:rPr>
          <w:rFonts w:ascii="Cambria" w:eastAsia="Cambria" w:hAnsi="Cambria" w:cs="Cambria"/>
          <w:sz w:val="20"/>
          <w:szCs w:val="20"/>
          <w:lang w:val="en-US"/>
        </w:rPr>
        <w:t>refugee status, which is  a measure established by the</w:t>
      </w:r>
      <w:r w:rsidR="4520D4A9" w:rsidRPr="00CC562A">
        <w:rPr>
          <w:rFonts w:ascii="Cambria" w:eastAsia="Cambria" w:hAnsi="Cambria" w:cs="Cambria"/>
          <w:sz w:val="20"/>
          <w:szCs w:val="20"/>
          <w:lang w:val="en-US"/>
        </w:rPr>
        <w:t xml:space="preserve"> </w:t>
      </w:r>
      <w:r w:rsidR="0331A368" w:rsidRPr="00CC562A">
        <w:rPr>
          <w:rFonts w:ascii="Cambria" w:eastAsia="Cambria" w:hAnsi="Cambria" w:cs="Cambria"/>
          <w:sz w:val="20"/>
          <w:szCs w:val="20"/>
          <w:lang w:val="en-US"/>
        </w:rPr>
        <w:t>INM</w:t>
      </w:r>
      <w:r w:rsidR="4520D4A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 conjunction with the National Commission for Refugee Aid (</w:t>
      </w:r>
      <w:r w:rsidR="0331A368" w:rsidRPr="00CC562A">
        <w:rPr>
          <w:rFonts w:ascii="Cambria" w:eastAsia="Cambria" w:hAnsi="Cambria" w:cs="Cambria"/>
          <w:sz w:val="20"/>
          <w:szCs w:val="20"/>
          <w:lang w:val="en-US"/>
        </w:rPr>
        <w:t>COMAR</w:t>
      </w:r>
      <w:r w:rsidRPr="00CC562A">
        <w:rPr>
          <w:rFonts w:ascii="Cambria" w:eastAsia="Cambria" w:hAnsi="Cambria" w:cs="Cambria"/>
          <w:sz w:val="20"/>
          <w:szCs w:val="20"/>
          <w:lang w:val="en-US"/>
        </w:rPr>
        <w:t xml:space="preserve">) and technical assistance from </w:t>
      </w:r>
      <w:r w:rsidR="00C3669B" w:rsidRPr="00CC562A">
        <w:rPr>
          <w:rFonts w:ascii="Cambria" w:eastAsia="Cambria" w:hAnsi="Cambria" w:cs="Cambria"/>
          <w:sz w:val="20"/>
          <w:szCs w:val="20"/>
          <w:lang w:val="en-US"/>
        </w:rPr>
        <w:t>the United Nations High Commissioner for Refugees (UNHCR)</w:t>
      </w:r>
      <w:r w:rsidR="4520D4A9" w:rsidRPr="00CC562A">
        <w:rPr>
          <w:rFonts w:ascii="Cambria" w:eastAsia="Cambria" w:hAnsi="Cambria" w:cs="Cambria"/>
          <w:sz w:val="20"/>
          <w:szCs w:val="20"/>
          <w:lang w:val="en-US"/>
        </w:rPr>
        <w:t>,</w:t>
      </w:r>
      <w:r w:rsidR="00C3669B" w:rsidRPr="00CC562A">
        <w:rPr>
          <w:rFonts w:ascii="Cambria" w:eastAsia="Cambria" w:hAnsi="Cambria" w:cs="Cambria"/>
          <w:sz w:val="20"/>
          <w:szCs w:val="20"/>
          <w:lang w:val="en-US"/>
        </w:rPr>
        <w:t xml:space="preserve"> that allow foreigners who belong to a vulnerable group and are found in INM migration stations</w:t>
      </w:r>
      <w:r w:rsidR="4520D4A9" w:rsidRPr="00CC562A">
        <w:rPr>
          <w:rFonts w:ascii="Cambria" w:eastAsia="Cambria" w:hAnsi="Cambria" w:cs="Cambria"/>
          <w:sz w:val="20"/>
          <w:szCs w:val="20"/>
          <w:lang w:val="en-US"/>
        </w:rPr>
        <w:t xml:space="preserve"> </w:t>
      </w:r>
      <w:r w:rsidR="00C3669B" w:rsidRPr="00CC562A">
        <w:rPr>
          <w:rFonts w:ascii="Cambria" w:eastAsia="Cambria" w:hAnsi="Cambria" w:cs="Cambria"/>
          <w:sz w:val="20"/>
          <w:szCs w:val="20"/>
          <w:lang w:val="en-US"/>
        </w:rPr>
        <w:t>because they are subject to Migration Administration Procedure can continue their procedures in social assistance shelters  since they are not legal residents in Mexico</w:t>
      </w:r>
      <w:r w:rsidR="0B901C7F" w:rsidRPr="00CC562A">
        <w:rPr>
          <w:rFonts w:ascii="Cambria" w:eastAsia="Cambria" w:hAnsi="Cambria" w:cs="Cambria"/>
          <w:sz w:val="20"/>
          <w:szCs w:val="20"/>
          <w:lang w:val="en-US"/>
        </w:rPr>
        <w:t>.</w:t>
      </w:r>
      <w:r w:rsidR="4520D4A9" w:rsidRPr="00CC562A">
        <w:rPr>
          <w:rFonts w:ascii="Cambria" w:eastAsia="Cambria" w:hAnsi="Cambria" w:cs="Cambria"/>
          <w:sz w:val="20"/>
          <w:szCs w:val="20"/>
          <w:lang w:val="en-US"/>
        </w:rPr>
        <w:t xml:space="preserve"> </w:t>
      </w:r>
    </w:p>
    <w:p w14:paraId="408D404A" w14:textId="2212C1D7" w:rsidR="00D12519" w:rsidRPr="00CC562A" w:rsidRDefault="00752FE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0807620B" w:rsidRPr="00CC562A">
        <w:rPr>
          <w:rFonts w:ascii="Cambria" w:eastAsia="Cambria" w:hAnsi="Cambria" w:cs="Cambria"/>
          <w:sz w:val="20"/>
          <w:szCs w:val="20"/>
          <w:lang w:val="en-US"/>
        </w:rPr>
        <w:t xml:space="preserve"> </w:t>
      </w:r>
      <w:r w:rsidR="00B406E0" w:rsidRPr="00CC562A">
        <w:rPr>
          <w:rFonts w:ascii="Cambria" w:eastAsia="Cambria" w:hAnsi="Cambria" w:cs="Cambria"/>
          <w:sz w:val="20"/>
          <w:szCs w:val="20"/>
          <w:lang w:val="en-US"/>
        </w:rPr>
        <w:t xml:space="preserve">indicated that this instrument is consistent with the “Protocol to Prevent, </w:t>
      </w:r>
      <w:r w:rsidR="0012177A" w:rsidRPr="00CC562A">
        <w:rPr>
          <w:rFonts w:ascii="Cambria" w:eastAsia="Cambria" w:hAnsi="Cambria" w:cs="Cambria"/>
          <w:sz w:val="20"/>
          <w:szCs w:val="20"/>
          <w:lang w:val="en-US"/>
        </w:rPr>
        <w:t>Su</w:t>
      </w:r>
      <w:r w:rsidR="00B406E0" w:rsidRPr="00CC562A">
        <w:rPr>
          <w:rFonts w:ascii="Cambria" w:eastAsia="Cambria" w:hAnsi="Cambria" w:cs="Cambria"/>
          <w:sz w:val="20"/>
          <w:szCs w:val="20"/>
          <w:lang w:val="en-US"/>
        </w:rPr>
        <w:t>p</w:t>
      </w:r>
      <w:r w:rsidR="0012177A" w:rsidRPr="00CC562A">
        <w:rPr>
          <w:rFonts w:ascii="Cambria" w:eastAsia="Cambria" w:hAnsi="Cambria" w:cs="Cambria"/>
          <w:sz w:val="20"/>
          <w:szCs w:val="20"/>
          <w:lang w:val="en-US"/>
        </w:rPr>
        <w:t>p</w:t>
      </w:r>
      <w:r w:rsidR="00B406E0" w:rsidRPr="00CC562A">
        <w:rPr>
          <w:rFonts w:ascii="Cambria" w:eastAsia="Cambria" w:hAnsi="Cambria" w:cs="Cambria"/>
          <w:sz w:val="20"/>
          <w:szCs w:val="20"/>
          <w:lang w:val="en-US"/>
        </w:rPr>
        <w:t xml:space="preserve">ress, and </w:t>
      </w:r>
      <w:r w:rsidR="0012177A" w:rsidRPr="00CC562A">
        <w:rPr>
          <w:rFonts w:ascii="Cambria" w:eastAsia="Cambria" w:hAnsi="Cambria" w:cs="Cambria"/>
          <w:sz w:val="20"/>
          <w:szCs w:val="20"/>
          <w:lang w:val="en-US"/>
        </w:rPr>
        <w:t>Punish</w:t>
      </w:r>
      <w:r w:rsidR="00B406E0" w:rsidRPr="00CC562A">
        <w:rPr>
          <w:rFonts w:ascii="Cambria" w:eastAsia="Cambria" w:hAnsi="Cambria" w:cs="Cambria"/>
          <w:sz w:val="20"/>
          <w:szCs w:val="20"/>
          <w:lang w:val="en-US"/>
        </w:rPr>
        <w:t xml:space="preserve"> Trafficking</w:t>
      </w:r>
      <w:r w:rsidR="0012177A" w:rsidRPr="00CC562A">
        <w:rPr>
          <w:rFonts w:ascii="Cambria" w:eastAsia="Cambria" w:hAnsi="Cambria" w:cs="Cambria"/>
          <w:sz w:val="20"/>
          <w:szCs w:val="20"/>
          <w:lang w:val="en-US"/>
        </w:rPr>
        <w:t xml:space="preserve"> in Persons,</w:t>
      </w:r>
      <w:r w:rsidR="00B406E0" w:rsidRPr="00CC562A">
        <w:rPr>
          <w:rFonts w:ascii="Cambria" w:eastAsia="Cambria" w:hAnsi="Cambria" w:cs="Cambria"/>
          <w:sz w:val="20"/>
          <w:szCs w:val="20"/>
          <w:lang w:val="en-US"/>
        </w:rPr>
        <w:t xml:space="preserve"> </w:t>
      </w:r>
      <w:r w:rsidR="0012177A" w:rsidRPr="00CC562A">
        <w:rPr>
          <w:rFonts w:ascii="Cambria" w:eastAsia="Cambria" w:hAnsi="Cambria" w:cs="Cambria"/>
          <w:sz w:val="20"/>
          <w:szCs w:val="20"/>
          <w:lang w:val="en-US"/>
        </w:rPr>
        <w:t>Especially</w:t>
      </w:r>
      <w:r w:rsidR="00B406E0" w:rsidRPr="00CC562A">
        <w:rPr>
          <w:rFonts w:ascii="Cambria" w:eastAsia="Cambria" w:hAnsi="Cambria" w:cs="Cambria"/>
          <w:sz w:val="20"/>
          <w:szCs w:val="20"/>
          <w:lang w:val="en-US"/>
        </w:rPr>
        <w:t xml:space="preserve"> Women and Children” (Palermo Protocol) of the United Nations Convention against Transnational Organized Crime, </w:t>
      </w:r>
      <w:r w:rsidR="0012177A" w:rsidRPr="00CC562A">
        <w:rPr>
          <w:rFonts w:ascii="Cambria" w:eastAsia="Cambria" w:hAnsi="Cambria" w:cs="Cambria"/>
          <w:sz w:val="20"/>
          <w:szCs w:val="20"/>
          <w:lang w:val="en-US"/>
        </w:rPr>
        <w:t>which</w:t>
      </w:r>
      <w:r w:rsidR="00B406E0" w:rsidRPr="00CC562A">
        <w:rPr>
          <w:rFonts w:ascii="Cambria" w:eastAsia="Cambria" w:hAnsi="Cambria" w:cs="Cambria"/>
          <w:sz w:val="20"/>
          <w:szCs w:val="20"/>
          <w:lang w:val="en-US"/>
        </w:rPr>
        <w:t xml:space="preserve"> </w:t>
      </w:r>
      <w:r w:rsidR="0012177A" w:rsidRPr="00CC562A">
        <w:rPr>
          <w:rFonts w:ascii="Cambria" w:eastAsia="Cambria" w:hAnsi="Cambria" w:cs="Cambria"/>
          <w:sz w:val="20"/>
          <w:szCs w:val="20"/>
          <w:lang w:val="en-US"/>
        </w:rPr>
        <w:t xml:space="preserve">provides the </w:t>
      </w:r>
      <w:r w:rsidR="00B406E0" w:rsidRPr="00CC562A">
        <w:rPr>
          <w:rFonts w:ascii="Cambria" w:eastAsia="Cambria" w:hAnsi="Cambria" w:cs="Cambria"/>
          <w:sz w:val="20"/>
          <w:szCs w:val="20"/>
          <w:lang w:val="en-US"/>
        </w:rPr>
        <w:t>definition of “</w:t>
      </w:r>
      <w:r w:rsidR="0012177A" w:rsidRPr="00CC562A">
        <w:rPr>
          <w:rFonts w:ascii="Cambria" w:eastAsia="Cambria" w:hAnsi="Cambria" w:cs="Cambria"/>
          <w:sz w:val="20"/>
          <w:szCs w:val="20"/>
          <w:lang w:val="en-US"/>
        </w:rPr>
        <w:t>h</w:t>
      </w:r>
      <w:r w:rsidR="00B406E0" w:rsidRPr="00CC562A">
        <w:rPr>
          <w:rFonts w:ascii="Cambria" w:eastAsia="Cambria" w:hAnsi="Cambria" w:cs="Cambria"/>
          <w:sz w:val="20"/>
          <w:szCs w:val="20"/>
          <w:lang w:val="en-US"/>
        </w:rPr>
        <w:t xml:space="preserve">uman </w:t>
      </w:r>
      <w:r w:rsidR="0012177A" w:rsidRPr="00CC562A">
        <w:rPr>
          <w:rFonts w:ascii="Cambria" w:eastAsia="Cambria" w:hAnsi="Cambria" w:cs="Cambria"/>
          <w:sz w:val="20"/>
          <w:szCs w:val="20"/>
          <w:lang w:val="en-US"/>
        </w:rPr>
        <w:t>t</w:t>
      </w:r>
      <w:r w:rsidR="00B406E0" w:rsidRPr="00CC562A">
        <w:rPr>
          <w:rFonts w:ascii="Cambria" w:eastAsia="Cambria" w:hAnsi="Cambria" w:cs="Cambria"/>
          <w:sz w:val="20"/>
          <w:szCs w:val="20"/>
          <w:lang w:val="en-US"/>
        </w:rPr>
        <w:t xml:space="preserve">rafficking” </w:t>
      </w:r>
      <w:r w:rsidR="0012177A" w:rsidRPr="00CC562A">
        <w:rPr>
          <w:rFonts w:ascii="Cambria" w:eastAsia="Cambria" w:hAnsi="Cambria" w:cs="Cambria"/>
          <w:sz w:val="20"/>
          <w:szCs w:val="20"/>
          <w:lang w:val="en-US"/>
        </w:rPr>
        <w:t xml:space="preserve">and forms the basis for the </w:t>
      </w:r>
      <w:r w:rsidR="00B406E0" w:rsidRPr="00CC562A">
        <w:rPr>
          <w:rFonts w:ascii="Cambria" w:eastAsia="Cambria" w:hAnsi="Cambria" w:cs="Cambria"/>
          <w:sz w:val="20"/>
          <w:szCs w:val="20"/>
          <w:lang w:val="en-US"/>
        </w:rPr>
        <w:t xml:space="preserve">General Law to Prevent, Punish, and Eradicate Crimes of Human Trafficking and </w:t>
      </w:r>
      <w:r w:rsidR="0012177A" w:rsidRPr="00CC562A">
        <w:rPr>
          <w:rFonts w:ascii="Cambria" w:eastAsia="Cambria" w:hAnsi="Cambria" w:cs="Cambria"/>
          <w:sz w:val="20"/>
          <w:szCs w:val="20"/>
          <w:lang w:val="en-US"/>
        </w:rPr>
        <w:t>for the</w:t>
      </w:r>
      <w:r w:rsidR="00B406E0" w:rsidRPr="00CC562A">
        <w:rPr>
          <w:rFonts w:ascii="Cambria" w:eastAsia="Cambria" w:hAnsi="Cambria" w:cs="Cambria"/>
          <w:sz w:val="20"/>
          <w:szCs w:val="20"/>
          <w:lang w:val="en-US"/>
        </w:rPr>
        <w:t xml:space="preserve"> Protection and Assistance </w:t>
      </w:r>
      <w:r w:rsidR="0012177A" w:rsidRPr="00CC562A">
        <w:rPr>
          <w:rFonts w:ascii="Cambria" w:eastAsia="Cambria" w:hAnsi="Cambria" w:cs="Cambria"/>
          <w:sz w:val="20"/>
          <w:szCs w:val="20"/>
          <w:lang w:val="en-US"/>
        </w:rPr>
        <w:t>of</w:t>
      </w:r>
      <w:r w:rsidR="00B406E0" w:rsidRPr="00CC562A">
        <w:rPr>
          <w:rFonts w:ascii="Cambria" w:eastAsia="Cambria" w:hAnsi="Cambria" w:cs="Cambria"/>
          <w:sz w:val="20"/>
          <w:szCs w:val="20"/>
          <w:lang w:val="en-US"/>
        </w:rPr>
        <w:t xml:space="preserve"> the Victims of </w:t>
      </w:r>
      <w:r w:rsidR="0012177A" w:rsidRPr="00CC562A">
        <w:rPr>
          <w:rFonts w:ascii="Cambria" w:eastAsia="Cambria" w:hAnsi="Cambria" w:cs="Cambria"/>
          <w:sz w:val="20"/>
          <w:szCs w:val="20"/>
          <w:lang w:val="en-US"/>
        </w:rPr>
        <w:t>Such</w:t>
      </w:r>
      <w:r w:rsidR="00B406E0" w:rsidRPr="00CC562A">
        <w:rPr>
          <w:rFonts w:ascii="Cambria" w:eastAsia="Cambria" w:hAnsi="Cambria" w:cs="Cambria"/>
          <w:sz w:val="20"/>
          <w:szCs w:val="20"/>
          <w:lang w:val="en-US"/>
        </w:rPr>
        <w:t xml:space="preserve"> Crimes, and the General Law on Victims, as well as their </w:t>
      </w:r>
      <w:r w:rsidR="00B406E0" w:rsidRPr="00CC562A">
        <w:rPr>
          <w:rFonts w:ascii="Cambria" w:eastAsia="Cambria" w:hAnsi="Cambria" w:cs="Cambria"/>
          <w:sz w:val="20"/>
          <w:szCs w:val="20"/>
          <w:lang w:val="en-US"/>
        </w:rPr>
        <w:lastRenderedPageBreak/>
        <w:t>respective regulations, successfully b</w:t>
      </w:r>
      <w:r w:rsidR="0012177A" w:rsidRPr="00CC562A">
        <w:rPr>
          <w:rFonts w:ascii="Cambria" w:eastAsia="Cambria" w:hAnsi="Cambria" w:cs="Cambria"/>
          <w:sz w:val="20"/>
          <w:szCs w:val="20"/>
          <w:lang w:val="en-US"/>
        </w:rPr>
        <w:t xml:space="preserve">ecoming </w:t>
      </w:r>
      <w:r w:rsidR="00B406E0" w:rsidRPr="00CC562A">
        <w:rPr>
          <w:rFonts w:ascii="Cambria" w:eastAsia="Cambria" w:hAnsi="Cambria" w:cs="Cambria"/>
          <w:sz w:val="20"/>
          <w:szCs w:val="20"/>
          <w:lang w:val="en-US"/>
        </w:rPr>
        <w:t xml:space="preserve">the mechanism </w:t>
      </w:r>
      <w:r w:rsidR="00F1489D" w:rsidRPr="00CC562A">
        <w:rPr>
          <w:rFonts w:ascii="Cambria" w:eastAsia="Cambria" w:hAnsi="Cambria" w:cs="Cambria"/>
          <w:sz w:val="20"/>
          <w:szCs w:val="20"/>
          <w:lang w:val="en-US"/>
        </w:rPr>
        <w:t>providing</w:t>
      </w:r>
      <w:r w:rsidR="00B406E0" w:rsidRPr="00CC562A">
        <w:rPr>
          <w:rFonts w:ascii="Cambria" w:eastAsia="Cambria" w:hAnsi="Cambria" w:cs="Cambria"/>
          <w:sz w:val="20"/>
          <w:szCs w:val="20"/>
          <w:lang w:val="en-US"/>
        </w:rPr>
        <w:t xml:space="preserve"> the basis for the Mexican State’s efforts to provide protection for that group in vulnerable situations</w:t>
      </w:r>
      <w:r w:rsidR="019FB4CE" w:rsidRPr="00CC562A">
        <w:rPr>
          <w:rFonts w:ascii="Cambria" w:eastAsia="Cambria" w:hAnsi="Cambria" w:cs="Cambria"/>
          <w:sz w:val="20"/>
          <w:szCs w:val="20"/>
          <w:lang w:val="en-US"/>
        </w:rPr>
        <w:t>.</w:t>
      </w:r>
    </w:p>
    <w:p w14:paraId="2D3CEBCB" w14:textId="76C33722" w:rsidR="00865D51"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127B2AD9" w:rsidRPr="00CC562A">
        <w:rPr>
          <w:rFonts w:ascii="Cambria" w:eastAsia="Cambria" w:hAnsi="Cambria" w:cs="Cambria"/>
          <w:sz w:val="20"/>
          <w:szCs w:val="20"/>
          <w:lang w:val="en-US"/>
        </w:rPr>
        <w:t xml:space="preserve"> </w:t>
      </w:r>
      <w:r w:rsidR="00F1489D" w:rsidRPr="00CC562A">
        <w:rPr>
          <w:rFonts w:ascii="Cambria" w:eastAsia="Cambria" w:hAnsi="Cambria" w:cs="Cambria"/>
          <w:sz w:val="20"/>
          <w:szCs w:val="20"/>
          <w:lang w:val="en-US"/>
        </w:rPr>
        <w:t>the</w:t>
      </w:r>
      <w:r w:rsidR="127B2AD9" w:rsidRPr="00CC562A">
        <w:rPr>
          <w:rFonts w:ascii="Cambria" w:eastAsia="Cambria" w:hAnsi="Cambria" w:cs="Cambria"/>
          <w:sz w:val="20"/>
          <w:szCs w:val="20"/>
          <w:lang w:val="en-US"/>
        </w:rPr>
        <w:t xml:space="preserve"> CNDH</w:t>
      </w:r>
      <w:r w:rsidR="00F1489D" w:rsidRPr="00CC562A">
        <w:rPr>
          <w:rFonts w:ascii="Cambria" w:eastAsia="Cambria" w:hAnsi="Cambria" w:cs="Cambria"/>
          <w:sz w:val="20"/>
          <w:szCs w:val="20"/>
          <w:lang w:val="en-US"/>
        </w:rPr>
        <w:t xml:space="preserve"> stated that, in May</w:t>
      </w:r>
      <w:r w:rsidR="72893E86" w:rsidRPr="00CC562A">
        <w:rPr>
          <w:rFonts w:ascii="Cambria" w:eastAsia="Cambria" w:hAnsi="Cambria" w:cs="Cambria"/>
          <w:sz w:val="20"/>
          <w:szCs w:val="20"/>
          <w:lang w:val="en-US"/>
        </w:rPr>
        <w:t xml:space="preserve"> 2022,</w:t>
      </w:r>
      <w:r w:rsidR="127B2AD9" w:rsidRPr="00CC562A">
        <w:rPr>
          <w:rFonts w:ascii="Cambria" w:eastAsia="Cambria" w:hAnsi="Cambria" w:cs="Cambria"/>
          <w:sz w:val="20"/>
          <w:szCs w:val="20"/>
          <w:lang w:val="en-US"/>
        </w:rPr>
        <w:t xml:space="preserve"> </w:t>
      </w:r>
      <w:r w:rsidR="00F1489D" w:rsidRPr="00CC562A">
        <w:rPr>
          <w:rFonts w:ascii="Cambria" w:eastAsia="Cambria" w:hAnsi="Cambria" w:cs="Cambria"/>
          <w:sz w:val="20"/>
          <w:szCs w:val="20"/>
          <w:lang w:val="en-US"/>
        </w:rPr>
        <w:t>it published the “2021 Caravans Report. New Challenges for Mobility in Mexico,” which presents the nuances of caravans in 2021 with particular attention to increase</w:t>
      </w:r>
      <w:r w:rsidR="00347ACA" w:rsidRPr="00CC562A">
        <w:rPr>
          <w:rFonts w:ascii="Cambria" w:eastAsia="Cambria" w:hAnsi="Cambria" w:cs="Cambria"/>
          <w:sz w:val="20"/>
          <w:szCs w:val="20"/>
          <w:lang w:val="en-US"/>
        </w:rPr>
        <w:t>d</w:t>
      </w:r>
      <w:r w:rsidR="00F1489D" w:rsidRPr="00CC562A">
        <w:rPr>
          <w:rFonts w:ascii="Cambria" w:eastAsia="Cambria" w:hAnsi="Cambria" w:cs="Cambria"/>
          <w:sz w:val="20"/>
          <w:szCs w:val="20"/>
          <w:lang w:val="en-US"/>
        </w:rPr>
        <w:t xml:space="preserve"> </w:t>
      </w:r>
      <w:r w:rsidR="00F936F1" w:rsidRPr="00CC562A">
        <w:rPr>
          <w:rFonts w:ascii="Cambria" w:eastAsia="Cambria" w:hAnsi="Cambria" w:cs="Cambria"/>
          <w:sz w:val="20"/>
          <w:szCs w:val="20"/>
          <w:lang w:val="en-US"/>
        </w:rPr>
        <w:t xml:space="preserve">applications for refugee status, </w:t>
      </w:r>
      <w:proofErr w:type="gramStart"/>
      <w:r w:rsidR="00F936F1" w:rsidRPr="00CC562A">
        <w:rPr>
          <w:rFonts w:ascii="Cambria" w:eastAsia="Cambria" w:hAnsi="Cambria" w:cs="Cambria"/>
          <w:sz w:val="20"/>
          <w:szCs w:val="20"/>
          <w:lang w:val="en-US"/>
        </w:rPr>
        <w:t>in order to</w:t>
      </w:r>
      <w:proofErr w:type="gramEnd"/>
      <w:r w:rsidR="00F936F1" w:rsidRPr="00CC562A">
        <w:rPr>
          <w:rFonts w:ascii="Cambria" w:eastAsia="Cambria" w:hAnsi="Cambria" w:cs="Cambria"/>
          <w:sz w:val="20"/>
          <w:szCs w:val="20"/>
          <w:lang w:val="en-US"/>
        </w:rPr>
        <w:t xml:space="preserve"> identify problems associated with the established timeframes, in a context of people fleeing from their communities and countries of origin.</w:t>
      </w:r>
      <w:r w:rsidR="00865D51" w:rsidRPr="00CC562A">
        <w:rPr>
          <w:vertAlign w:val="superscript"/>
          <w:lang w:val="en-US"/>
        </w:rPr>
        <w:footnoteReference w:id="269"/>
      </w:r>
    </w:p>
    <w:p w14:paraId="5A652AAD" w14:textId="39F80616" w:rsidR="004E1925" w:rsidRPr="00CC562A" w:rsidRDefault="00C46466"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For its part, the PRODH Center stated that the National Guard’s </w:t>
      </w:r>
      <w:r w:rsidR="008363F6" w:rsidRPr="00CC562A">
        <w:rPr>
          <w:rFonts w:ascii="Cambria" w:eastAsia="Cambria" w:hAnsi="Cambria" w:cs="Cambria"/>
          <w:sz w:val="20"/>
          <w:szCs w:val="20"/>
          <w:lang w:val="en-US"/>
        </w:rPr>
        <w:t>latest activities report indicated, in the context of the government’s migration policy, that it deployed</w:t>
      </w:r>
      <w:r w:rsidR="22DF9E7D" w:rsidRPr="00CC562A">
        <w:rPr>
          <w:rFonts w:ascii="Cambria" w:eastAsia="Cambria" w:hAnsi="Cambria" w:cs="Cambria"/>
          <w:sz w:val="20"/>
          <w:szCs w:val="20"/>
          <w:lang w:val="en-US"/>
        </w:rPr>
        <w:t xml:space="preserve"> 913 </w:t>
      </w:r>
      <w:r w:rsidR="008363F6" w:rsidRPr="00CC562A">
        <w:rPr>
          <w:rFonts w:ascii="Cambria" w:eastAsia="Cambria" w:hAnsi="Cambria" w:cs="Cambria"/>
          <w:sz w:val="20"/>
          <w:szCs w:val="20"/>
          <w:lang w:val="en-US"/>
        </w:rPr>
        <w:t xml:space="preserve">units and </w:t>
      </w:r>
      <w:r w:rsidR="22DF9E7D" w:rsidRPr="00CC562A">
        <w:rPr>
          <w:rFonts w:ascii="Cambria" w:eastAsia="Cambria" w:hAnsi="Cambria" w:cs="Cambria"/>
          <w:sz w:val="20"/>
          <w:szCs w:val="20"/>
          <w:lang w:val="en-US"/>
        </w:rPr>
        <w:t>75 veh</w:t>
      </w:r>
      <w:r w:rsidR="008363F6" w:rsidRPr="00CC562A">
        <w:rPr>
          <w:rFonts w:ascii="Cambria" w:eastAsia="Cambria" w:hAnsi="Cambria" w:cs="Cambria"/>
          <w:sz w:val="20"/>
          <w:szCs w:val="20"/>
          <w:lang w:val="en-US"/>
        </w:rPr>
        <w:t>icles on the northern border and</w:t>
      </w:r>
      <w:r w:rsidR="22DF9E7D" w:rsidRPr="00CC562A">
        <w:rPr>
          <w:rFonts w:ascii="Cambria" w:eastAsia="Cambria" w:hAnsi="Cambria" w:cs="Cambria"/>
          <w:sz w:val="20"/>
          <w:szCs w:val="20"/>
          <w:lang w:val="en-US"/>
        </w:rPr>
        <w:t xml:space="preserve"> 1</w:t>
      </w:r>
      <w:r w:rsidR="008363F6" w:rsidRPr="00CC562A">
        <w:rPr>
          <w:rFonts w:ascii="Cambria" w:eastAsia="Cambria" w:hAnsi="Cambria" w:cs="Cambria"/>
          <w:sz w:val="20"/>
          <w:szCs w:val="20"/>
          <w:lang w:val="en-US"/>
        </w:rPr>
        <w:t>,</w:t>
      </w:r>
      <w:r w:rsidR="22DF9E7D" w:rsidRPr="00CC562A">
        <w:rPr>
          <w:rFonts w:ascii="Cambria" w:eastAsia="Cambria" w:hAnsi="Cambria" w:cs="Cambria"/>
          <w:sz w:val="20"/>
          <w:szCs w:val="20"/>
          <w:lang w:val="en-US"/>
        </w:rPr>
        <w:t xml:space="preserve">235 </w:t>
      </w:r>
      <w:r w:rsidR="008363F6" w:rsidRPr="00CC562A">
        <w:rPr>
          <w:rFonts w:ascii="Cambria" w:eastAsia="Cambria" w:hAnsi="Cambria" w:cs="Cambria"/>
          <w:sz w:val="20"/>
          <w:szCs w:val="20"/>
          <w:lang w:val="en-US"/>
        </w:rPr>
        <w:t xml:space="preserve">units and </w:t>
      </w:r>
      <w:r w:rsidR="22DF9E7D" w:rsidRPr="00CC562A">
        <w:rPr>
          <w:rFonts w:ascii="Cambria" w:eastAsia="Cambria" w:hAnsi="Cambria" w:cs="Cambria"/>
          <w:sz w:val="20"/>
          <w:szCs w:val="20"/>
          <w:lang w:val="en-US"/>
        </w:rPr>
        <w:t>57 veh</w:t>
      </w:r>
      <w:r w:rsidR="008363F6" w:rsidRPr="00CC562A">
        <w:rPr>
          <w:rFonts w:ascii="Cambria" w:eastAsia="Cambria" w:hAnsi="Cambria" w:cs="Cambria"/>
          <w:sz w:val="20"/>
          <w:szCs w:val="20"/>
          <w:lang w:val="en-US"/>
        </w:rPr>
        <w:t>icles on the southern border.</w:t>
      </w:r>
      <w:r w:rsidR="005D39BF" w:rsidRPr="00CC562A">
        <w:rPr>
          <w:rFonts w:ascii="Cambria" w:eastAsia="Cambria" w:hAnsi="Cambria" w:cs="Cambria"/>
          <w:sz w:val="20"/>
          <w:szCs w:val="20"/>
          <w:vertAlign w:val="superscript"/>
          <w:lang w:val="en-US"/>
        </w:rPr>
        <w:footnoteReference w:id="270"/>
      </w:r>
      <w:r w:rsidR="008363F6" w:rsidRPr="00CC562A">
        <w:rPr>
          <w:rFonts w:ascii="Cambria" w:eastAsia="Cambria" w:hAnsi="Cambria" w:cs="Cambria"/>
          <w:sz w:val="20"/>
          <w:szCs w:val="20"/>
          <w:lang w:val="en-US"/>
        </w:rPr>
        <w:t xml:space="preserve"> It also reported having handled</w:t>
      </w:r>
      <w:r w:rsidR="22DF9E7D" w:rsidRPr="00CC562A">
        <w:rPr>
          <w:rFonts w:ascii="Cambria" w:eastAsia="Cambria" w:hAnsi="Cambria" w:cs="Cambria"/>
          <w:sz w:val="20"/>
          <w:szCs w:val="20"/>
          <w:lang w:val="en-US"/>
        </w:rPr>
        <w:t xml:space="preserve"> 7,383 </w:t>
      </w:r>
      <w:r w:rsidR="008363F6" w:rsidRPr="00CC562A">
        <w:rPr>
          <w:rFonts w:ascii="Cambria" w:eastAsia="Cambria" w:hAnsi="Cambria" w:cs="Cambria"/>
          <w:sz w:val="20"/>
          <w:szCs w:val="20"/>
          <w:lang w:val="en-US"/>
        </w:rPr>
        <w:t>requests for support from migration authorities during the year</w:t>
      </w:r>
      <w:r w:rsidR="005D39BF" w:rsidRPr="00CC562A">
        <w:rPr>
          <w:rFonts w:ascii="Cambria" w:eastAsia="Cambria" w:hAnsi="Cambria" w:cs="Cambria"/>
          <w:sz w:val="20"/>
          <w:szCs w:val="20"/>
          <w:vertAlign w:val="superscript"/>
          <w:lang w:val="en-US"/>
        </w:rPr>
        <w:footnoteReference w:id="271"/>
      </w:r>
      <w:r w:rsidR="008363F6" w:rsidRPr="00CC562A">
        <w:rPr>
          <w:rFonts w:ascii="Cambria" w:eastAsia="Cambria" w:hAnsi="Cambria" w:cs="Cambria"/>
          <w:sz w:val="20"/>
          <w:szCs w:val="20"/>
          <w:lang w:val="en-US"/>
        </w:rPr>
        <w:t xml:space="preserve"> and that the activities carried out on both frontiers included </w:t>
      </w:r>
      <w:r w:rsidR="22DF9E7D" w:rsidRPr="00CC562A">
        <w:rPr>
          <w:rFonts w:ascii="Cambria" w:eastAsia="Cambria" w:hAnsi="Cambria" w:cs="Cambria"/>
          <w:sz w:val="20"/>
          <w:szCs w:val="20"/>
          <w:lang w:val="en-US"/>
        </w:rPr>
        <w:t xml:space="preserve">41 </w:t>
      </w:r>
      <w:r w:rsidR="008363F6" w:rsidRPr="00CC562A">
        <w:rPr>
          <w:rFonts w:ascii="Cambria" w:eastAsia="Cambria" w:hAnsi="Cambria" w:cs="Cambria"/>
          <w:sz w:val="20"/>
          <w:szCs w:val="20"/>
          <w:lang w:val="en-US"/>
        </w:rPr>
        <w:t>repatriation flights</w:t>
      </w:r>
      <w:r w:rsidR="00347ACA" w:rsidRPr="00CC562A">
        <w:rPr>
          <w:rFonts w:ascii="Cambria" w:eastAsia="Cambria" w:hAnsi="Cambria" w:cs="Cambria"/>
          <w:sz w:val="20"/>
          <w:szCs w:val="20"/>
          <w:lang w:val="en-US"/>
        </w:rPr>
        <w:t>;</w:t>
      </w:r>
      <w:r w:rsidR="22DF9E7D" w:rsidRPr="00CC562A">
        <w:rPr>
          <w:rFonts w:ascii="Cambria" w:eastAsia="Cambria" w:hAnsi="Cambria" w:cs="Cambria"/>
          <w:sz w:val="20"/>
          <w:szCs w:val="20"/>
          <w:lang w:val="en-US"/>
        </w:rPr>
        <w:t xml:space="preserve"> 2,419 </w:t>
      </w:r>
      <w:r w:rsidR="008363F6" w:rsidRPr="00CC562A">
        <w:rPr>
          <w:rFonts w:ascii="Cambria" w:eastAsia="Cambria" w:hAnsi="Cambria" w:cs="Cambria"/>
          <w:sz w:val="20"/>
          <w:szCs w:val="20"/>
          <w:lang w:val="en-US"/>
        </w:rPr>
        <w:t>migrants transported;</w:t>
      </w:r>
      <w:r w:rsidR="22DF9E7D" w:rsidRPr="00CC562A">
        <w:rPr>
          <w:rFonts w:ascii="Cambria" w:eastAsia="Cambria" w:hAnsi="Cambria" w:cs="Cambria"/>
          <w:sz w:val="20"/>
          <w:szCs w:val="20"/>
          <w:lang w:val="en-US"/>
        </w:rPr>
        <w:t xml:space="preserve"> 269 </w:t>
      </w:r>
      <w:r w:rsidR="008363F6" w:rsidRPr="00CC562A">
        <w:rPr>
          <w:rFonts w:ascii="Cambria" w:eastAsia="Cambria" w:hAnsi="Cambria" w:cs="Cambria"/>
          <w:sz w:val="20"/>
          <w:szCs w:val="20"/>
          <w:lang w:val="en-US"/>
        </w:rPr>
        <w:t>border surveillance flights; and</w:t>
      </w:r>
      <w:r w:rsidR="22DF9E7D" w:rsidRPr="00CC562A">
        <w:rPr>
          <w:rFonts w:ascii="Cambria" w:eastAsia="Cambria" w:hAnsi="Cambria" w:cs="Cambria"/>
          <w:sz w:val="20"/>
          <w:szCs w:val="20"/>
          <w:lang w:val="en-US"/>
        </w:rPr>
        <w:t xml:space="preserve"> 732 </w:t>
      </w:r>
      <w:r w:rsidR="008363F6" w:rsidRPr="00CC562A">
        <w:rPr>
          <w:rFonts w:ascii="Cambria" w:eastAsia="Cambria" w:hAnsi="Cambria" w:cs="Cambria"/>
          <w:sz w:val="20"/>
          <w:szCs w:val="20"/>
          <w:lang w:val="en-US"/>
        </w:rPr>
        <w:t>operations providing security support to INM personnel.</w:t>
      </w:r>
      <w:r w:rsidR="005D39BF" w:rsidRPr="00CC562A">
        <w:rPr>
          <w:rFonts w:ascii="Cambria" w:eastAsia="Cambria" w:hAnsi="Cambria" w:cs="Cambria"/>
          <w:sz w:val="20"/>
          <w:szCs w:val="20"/>
          <w:vertAlign w:val="superscript"/>
          <w:lang w:val="en-US"/>
        </w:rPr>
        <w:footnoteReference w:id="272"/>
      </w:r>
      <w:r w:rsidR="008363F6" w:rsidRPr="00CC562A">
        <w:rPr>
          <w:rFonts w:ascii="Cambria" w:eastAsia="Cambria" w:hAnsi="Cambria" w:cs="Cambria"/>
          <w:sz w:val="20"/>
          <w:szCs w:val="20"/>
          <w:lang w:val="en-US"/>
        </w:rPr>
        <w:t xml:space="preserve"> In that regard, the PRODH Center emphasized the persistent deployment of the National Guard in migration control and verification tasks at reviewing points within the country such as roadblocks, bus stations</w:t>
      </w:r>
      <w:r w:rsidR="00347ACA" w:rsidRPr="00CC562A">
        <w:rPr>
          <w:rFonts w:ascii="Cambria" w:eastAsia="Cambria" w:hAnsi="Cambria" w:cs="Cambria"/>
          <w:sz w:val="20"/>
          <w:szCs w:val="20"/>
          <w:lang w:val="en-US"/>
        </w:rPr>
        <w:t xml:space="preserve">, </w:t>
      </w:r>
      <w:r w:rsidR="008363F6" w:rsidRPr="00CC562A">
        <w:rPr>
          <w:rFonts w:ascii="Cambria" w:eastAsia="Cambria" w:hAnsi="Cambria" w:cs="Cambria"/>
          <w:sz w:val="20"/>
          <w:szCs w:val="20"/>
          <w:lang w:val="en-US"/>
        </w:rPr>
        <w:t>and airports, in addition to guarding the country’s</w:t>
      </w:r>
      <w:r w:rsidR="22DF9E7D" w:rsidRPr="00CC562A">
        <w:rPr>
          <w:rFonts w:ascii="Cambria" w:eastAsia="Cambria" w:hAnsi="Cambria" w:cs="Cambria"/>
          <w:sz w:val="20"/>
          <w:szCs w:val="20"/>
          <w:lang w:val="en-US"/>
        </w:rPr>
        <w:t xml:space="preserve"> </w:t>
      </w:r>
      <w:r w:rsidR="00CE7250" w:rsidRPr="00CC562A">
        <w:rPr>
          <w:rFonts w:ascii="Cambria" w:eastAsia="Cambria" w:hAnsi="Cambria" w:cs="Cambria"/>
          <w:sz w:val="20"/>
          <w:szCs w:val="20"/>
          <w:lang w:val="en-US"/>
        </w:rPr>
        <w:t>migrant stations.</w:t>
      </w:r>
    </w:p>
    <w:p w14:paraId="673904B9" w14:textId="2302FD8B" w:rsidR="004E1925" w:rsidRPr="00CC562A" w:rsidRDefault="00CE7250"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Civil society organizations also noted that the permanent </w:t>
      </w:r>
      <w:r w:rsidR="00D5781D" w:rsidRPr="00CC562A">
        <w:rPr>
          <w:rFonts w:ascii="Cambria" w:eastAsia="Cambria" w:hAnsi="Cambria" w:cs="Cambria"/>
          <w:sz w:val="20"/>
          <w:szCs w:val="20"/>
          <w:lang w:val="en-US"/>
        </w:rPr>
        <w:t>armed forces</w:t>
      </w:r>
      <w:r w:rsidRPr="00CC562A">
        <w:rPr>
          <w:rFonts w:ascii="Cambria" w:eastAsia="Cambria" w:hAnsi="Cambria" w:cs="Cambria"/>
          <w:sz w:val="20"/>
          <w:szCs w:val="20"/>
          <w:lang w:val="en-US"/>
        </w:rPr>
        <w:t xml:space="preserve"> continue active in tasks related to migration, In this regard, the organizations indicated that in March</w:t>
      </w:r>
      <w:r w:rsidR="22DF9E7D"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the</w:t>
      </w:r>
      <w:r w:rsidR="22DF9E7D" w:rsidRPr="00CC562A">
        <w:rPr>
          <w:rFonts w:ascii="Cambria" w:eastAsia="Cambria" w:hAnsi="Cambria" w:cs="Cambria"/>
          <w:sz w:val="20"/>
          <w:szCs w:val="20"/>
          <w:lang w:val="en-US"/>
        </w:rPr>
        <w:t xml:space="preserve"> SEDENA </w:t>
      </w:r>
      <w:r w:rsidRPr="00CC562A">
        <w:rPr>
          <w:rFonts w:ascii="Cambria" w:eastAsia="Cambria" w:hAnsi="Cambria" w:cs="Cambria"/>
          <w:sz w:val="20"/>
          <w:szCs w:val="20"/>
          <w:lang w:val="en-US"/>
        </w:rPr>
        <w:t xml:space="preserve">sent about </w:t>
      </w:r>
      <w:r w:rsidR="22DF9E7D" w:rsidRPr="00CC562A">
        <w:rPr>
          <w:rFonts w:ascii="Cambria" w:eastAsia="Cambria" w:hAnsi="Cambria" w:cs="Cambria"/>
          <w:sz w:val="20"/>
          <w:szCs w:val="20"/>
          <w:lang w:val="en-US"/>
        </w:rPr>
        <w:t>250</w:t>
      </w:r>
      <w:r w:rsidRPr="00CC562A">
        <w:rPr>
          <w:rFonts w:ascii="Cambria" w:eastAsia="Cambria" w:hAnsi="Cambria" w:cs="Cambria"/>
          <w:sz w:val="20"/>
          <w:szCs w:val="20"/>
          <w:lang w:val="en-US"/>
        </w:rPr>
        <w:t xml:space="preserve"> units to the state of </w:t>
      </w:r>
      <w:r w:rsidR="22DF9E7D" w:rsidRPr="00CC562A">
        <w:rPr>
          <w:rFonts w:ascii="Cambria" w:eastAsia="Cambria" w:hAnsi="Cambria" w:cs="Cambria"/>
          <w:sz w:val="20"/>
          <w:szCs w:val="20"/>
          <w:lang w:val="en-US"/>
        </w:rPr>
        <w:t xml:space="preserve">Tamaulipas </w:t>
      </w:r>
      <w:r w:rsidRPr="00CC562A">
        <w:rPr>
          <w:rFonts w:ascii="Cambria" w:eastAsia="Cambria" w:hAnsi="Cambria" w:cs="Cambria"/>
          <w:sz w:val="20"/>
          <w:szCs w:val="20"/>
          <w:lang w:val="en-US"/>
        </w:rPr>
        <w:t>to strengthen security at the border with the United States.</w:t>
      </w:r>
      <w:r w:rsidR="005D39BF" w:rsidRPr="00CC562A">
        <w:rPr>
          <w:rFonts w:ascii="Cambria" w:eastAsia="Cambria" w:hAnsi="Cambria" w:cs="Cambria"/>
          <w:sz w:val="20"/>
          <w:szCs w:val="20"/>
          <w:vertAlign w:val="superscript"/>
          <w:lang w:val="en-US"/>
        </w:rPr>
        <w:footnoteReference w:id="273"/>
      </w:r>
      <w:r w:rsidRPr="00CC562A">
        <w:rPr>
          <w:rFonts w:ascii="Cambria" w:eastAsia="Cambria" w:hAnsi="Cambria" w:cs="Cambria"/>
          <w:sz w:val="20"/>
          <w:szCs w:val="20"/>
          <w:lang w:val="en-US"/>
        </w:rPr>
        <w:t xml:space="preserve"> In addition, as of the month of August</w:t>
      </w:r>
      <w:r w:rsidR="22DF9E7D" w:rsidRPr="00CC562A">
        <w:rPr>
          <w:rFonts w:ascii="Cambria" w:eastAsia="Cambria" w:hAnsi="Cambria" w:cs="Cambria"/>
          <w:sz w:val="20"/>
          <w:szCs w:val="20"/>
          <w:lang w:val="en-US"/>
        </w:rPr>
        <w:t xml:space="preserve"> 2021</w:t>
      </w:r>
      <w:r w:rsidR="00D07E4E" w:rsidRPr="00CC562A">
        <w:rPr>
          <w:rFonts w:ascii="Cambria" w:eastAsia="Cambria" w:hAnsi="Cambria" w:cs="Cambria"/>
          <w:sz w:val="20"/>
          <w:szCs w:val="20"/>
          <w:lang w:val="en-US"/>
        </w:rPr>
        <w:t xml:space="preserve"> t</w:t>
      </w:r>
      <w:r w:rsidR="00752FED" w:rsidRPr="00CC562A">
        <w:rPr>
          <w:rFonts w:ascii="Cambria" w:eastAsia="Cambria" w:hAnsi="Cambria" w:cs="Cambria"/>
          <w:sz w:val="20"/>
          <w:szCs w:val="20"/>
          <w:lang w:val="en-US"/>
        </w:rPr>
        <w:t xml:space="preserve">he </w:t>
      </w:r>
      <w:r w:rsidRPr="00CC562A">
        <w:rPr>
          <w:rFonts w:ascii="Cambria" w:eastAsia="Cambria" w:hAnsi="Cambria" w:cs="Cambria"/>
          <w:sz w:val="20"/>
          <w:szCs w:val="20"/>
          <w:lang w:val="en-US"/>
        </w:rPr>
        <w:t>Mexican State had deployed seven times more military personnel to detain migrants than for tasks such as airspace surveillance.</w:t>
      </w:r>
      <w:r w:rsidR="005D39BF" w:rsidRPr="00CC562A">
        <w:rPr>
          <w:rFonts w:ascii="Cambria" w:eastAsia="Cambria" w:hAnsi="Cambria" w:cs="Cambria"/>
          <w:sz w:val="20"/>
          <w:szCs w:val="20"/>
          <w:vertAlign w:val="superscript"/>
          <w:lang w:val="en-US"/>
        </w:rPr>
        <w:footnoteReference w:id="274"/>
      </w:r>
      <w:r w:rsidRPr="00CC562A">
        <w:rPr>
          <w:rFonts w:ascii="Cambria" w:eastAsia="Cambria" w:hAnsi="Cambria" w:cs="Cambria"/>
          <w:sz w:val="20"/>
          <w:szCs w:val="20"/>
          <w:lang w:val="en-US"/>
        </w:rPr>
        <w:t xml:space="preserve"> In its latest report on its work, the</w:t>
      </w:r>
      <w:r w:rsidR="22DF9E7D" w:rsidRPr="00CC562A">
        <w:rPr>
          <w:rFonts w:ascii="Cambria" w:eastAsia="Cambria" w:hAnsi="Cambria" w:cs="Cambria"/>
          <w:sz w:val="20"/>
          <w:szCs w:val="20"/>
          <w:lang w:val="en-US"/>
        </w:rPr>
        <w:t xml:space="preserve"> SEDENA </w:t>
      </w:r>
      <w:r w:rsidRPr="00CC562A">
        <w:rPr>
          <w:rFonts w:ascii="Cambria" w:eastAsia="Cambria" w:hAnsi="Cambria" w:cs="Cambria"/>
          <w:sz w:val="20"/>
          <w:szCs w:val="20"/>
          <w:lang w:val="en-US"/>
        </w:rPr>
        <w:t xml:space="preserve">indicated that it deployed </w:t>
      </w:r>
      <w:r w:rsidR="22DF9E7D" w:rsidRPr="00CC562A">
        <w:rPr>
          <w:rFonts w:ascii="Cambria" w:eastAsia="Cambria" w:hAnsi="Cambria" w:cs="Cambria"/>
          <w:sz w:val="20"/>
          <w:szCs w:val="20"/>
          <w:lang w:val="en-US"/>
        </w:rPr>
        <w:t xml:space="preserve">14,013 </w:t>
      </w:r>
      <w:r w:rsidRPr="00CC562A">
        <w:rPr>
          <w:rFonts w:ascii="Cambria" w:eastAsia="Cambria" w:hAnsi="Cambria" w:cs="Cambria"/>
          <w:sz w:val="20"/>
          <w:szCs w:val="20"/>
          <w:lang w:val="en-US"/>
        </w:rPr>
        <w:t>units at both borders</w:t>
      </w:r>
      <w:r w:rsidR="22DF9E7D" w:rsidRPr="00CC562A">
        <w:rPr>
          <w:rFonts w:ascii="Cambria" w:eastAsia="Cambria" w:hAnsi="Cambria" w:cs="Cambria"/>
          <w:sz w:val="20"/>
          <w:szCs w:val="20"/>
          <w:lang w:val="en-US"/>
        </w:rPr>
        <w:t xml:space="preserve"> (6,594</w:t>
      </w:r>
      <w:r w:rsidRPr="00CC562A">
        <w:rPr>
          <w:rFonts w:ascii="Cambria" w:eastAsia="Cambria" w:hAnsi="Cambria" w:cs="Cambria"/>
          <w:sz w:val="20"/>
          <w:szCs w:val="20"/>
          <w:lang w:val="en-US"/>
        </w:rPr>
        <w:t xml:space="preserve"> in the south and </w:t>
      </w:r>
      <w:r w:rsidR="22DF9E7D" w:rsidRPr="00CC562A">
        <w:rPr>
          <w:rFonts w:ascii="Cambria" w:eastAsia="Cambria" w:hAnsi="Cambria" w:cs="Cambria"/>
          <w:sz w:val="20"/>
          <w:szCs w:val="20"/>
          <w:lang w:val="en-US"/>
        </w:rPr>
        <w:t xml:space="preserve">7,419 </w:t>
      </w:r>
      <w:r w:rsidRPr="00CC562A">
        <w:rPr>
          <w:rFonts w:ascii="Cambria" w:eastAsia="Cambria" w:hAnsi="Cambria" w:cs="Cambria"/>
          <w:sz w:val="20"/>
          <w:szCs w:val="20"/>
          <w:lang w:val="en-US"/>
        </w:rPr>
        <w:t>in the north</w:t>
      </w:r>
      <w:r w:rsidR="22DF9E7D" w:rsidRPr="00CC562A">
        <w:rPr>
          <w:rFonts w:ascii="Cambria" w:eastAsia="Cambria" w:hAnsi="Cambria" w:cs="Cambria"/>
          <w:sz w:val="20"/>
          <w:szCs w:val="20"/>
          <w:lang w:val="en-US"/>
        </w:rPr>
        <w:t>), as</w:t>
      </w:r>
      <w:r w:rsidRPr="00CC562A">
        <w:rPr>
          <w:rFonts w:ascii="Cambria" w:eastAsia="Cambria" w:hAnsi="Cambria" w:cs="Cambria"/>
          <w:sz w:val="20"/>
          <w:szCs w:val="20"/>
          <w:lang w:val="en-US"/>
        </w:rPr>
        <w:t xml:space="preserve"> well as </w:t>
      </w:r>
      <w:r w:rsidR="22DF9E7D" w:rsidRPr="00CC562A">
        <w:rPr>
          <w:rFonts w:ascii="Cambria" w:eastAsia="Cambria" w:hAnsi="Cambria" w:cs="Cambria"/>
          <w:sz w:val="20"/>
          <w:szCs w:val="20"/>
          <w:lang w:val="en-US"/>
        </w:rPr>
        <w:t>33 a</w:t>
      </w:r>
      <w:r w:rsidRPr="00CC562A">
        <w:rPr>
          <w:rFonts w:ascii="Cambria" w:eastAsia="Cambria" w:hAnsi="Cambria" w:cs="Cambria"/>
          <w:sz w:val="20"/>
          <w:szCs w:val="20"/>
          <w:lang w:val="en-US"/>
        </w:rPr>
        <w:t>ircraft</w:t>
      </w:r>
      <w:r w:rsidR="22DF9E7D" w:rsidRPr="00CC562A">
        <w:rPr>
          <w:rFonts w:ascii="Cambria" w:eastAsia="Cambria" w:hAnsi="Cambria" w:cs="Cambria"/>
          <w:sz w:val="20"/>
          <w:szCs w:val="20"/>
          <w:lang w:val="en-US"/>
        </w:rPr>
        <w:t xml:space="preserve"> (15 </w:t>
      </w:r>
      <w:r w:rsidRPr="00CC562A">
        <w:rPr>
          <w:rFonts w:ascii="Cambria" w:eastAsia="Cambria" w:hAnsi="Cambria" w:cs="Cambria"/>
          <w:sz w:val="20"/>
          <w:szCs w:val="20"/>
          <w:lang w:val="en-US"/>
        </w:rPr>
        <w:t xml:space="preserve">in the south and </w:t>
      </w:r>
      <w:r w:rsidR="22DF9E7D" w:rsidRPr="00CC562A">
        <w:rPr>
          <w:rFonts w:ascii="Cambria" w:eastAsia="Cambria" w:hAnsi="Cambria" w:cs="Cambria"/>
          <w:sz w:val="20"/>
          <w:szCs w:val="20"/>
          <w:lang w:val="en-US"/>
        </w:rPr>
        <w:t xml:space="preserve">19 </w:t>
      </w:r>
      <w:r w:rsidRPr="00CC562A">
        <w:rPr>
          <w:rFonts w:ascii="Cambria" w:eastAsia="Cambria" w:hAnsi="Cambria" w:cs="Cambria"/>
          <w:sz w:val="20"/>
          <w:szCs w:val="20"/>
          <w:lang w:val="en-US"/>
        </w:rPr>
        <w:t>in the north</w:t>
      </w:r>
      <w:r w:rsidR="22DF9E7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and that from September 1, 2021 to July 31, 2022 it c</w:t>
      </w:r>
      <w:r w:rsidR="0076322D" w:rsidRPr="00CC562A">
        <w:rPr>
          <w:rFonts w:ascii="Cambria" w:eastAsia="Cambria" w:hAnsi="Cambria" w:cs="Cambria"/>
          <w:sz w:val="20"/>
          <w:szCs w:val="20"/>
          <w:lang w:val="en-US"/>
        </w:rPr>
        <w:t xml:space="preserve">arried out </w:t>
      </w:r>
      <w:r w:rsidRPr="00CC562A">
        <w:rPr>
          <w:rFonts w:ascii="Cambria" w:eastAsia="Cambria" w:hAnsi="Cambria" w:cs="Cambria"/>
          <w:sz w:val="20"/>
          <w:szCs w:val="20"/>
          <w:lang w:val="en-US"/>
        </w:rPr>
        <w:t xml:space="preserve">“humanitarian rescues” </w:t>
      </w:r>
      <w:r w:rsidR="0076322D" w:rsidRPr="00CC562A">
        <w:rPr>
          <w:rFonts w:ascii="Cambria" w:eastAsia="Cambria" w:hAnsi="Cambria" w:cs="Cambria"/>
          <w:sz w:val="20"/>
          <w:szCs w:val="20"/>
          <w:lang w:val="en-US"/>
        </w:rPr>
        <w:t>for</w:t>
      </w:r>
      <w:r w:rsidR="22DF9E7D" w:rsidRPr="00CC562A">
        <w:rPr>
          <w:rFonts w:ascii="Cambria" w:eastAsia="Cambria" w:hAnsi="Cambria" w:cs="Cambria"/>
          <w:sz w:val="20"/>
          <w:szCs w:val="20"/>
          <w:lang w:val="en-US"/>
        </w:rPr>
        <w:t xml:space="preserve"> 569,151 migrants (479,238 </w:t>
      </w:r>
      <w:r w:rsidR="0076322D" w:rsidRPr="00CC562A">
        <w:rPr>
          <w:rFonts w:ascii="Cambria" w:eastAsia="Cambria" w:hAnsi="Cambria" w:cs="Cambria"/>
          <w:sz w:val="20"/>
          <w:szCs w:val="20"/>
          <w:lang w:val="en-US"/>
        </w:rPr>
        <w:t>on the southern border and</w:t>
      </w:r>
      <w:r w:rsidR="22DF9E7D" w:rsidRPr="00CC562A">
        <w:rPr>
          <w:rFonts w:ascii="Cambria" w:eastAsia="Cambria" w:hAnsi="Cambria" w:cs="Cambria"/>
          <w:sz w:val="20"/>
          <w:szCs w:val="20"/>
          <w:lang w:val="en-US"/>
        </w:rPr>
        <w:t xml:space="preserve"> 89,913 </w:t>
      </w:r>
      <w:r w:rsidR="0076322D" w:rsidRPr="00CC562A">
        <w:rPr>
          <w:rFonts w:ascii="Cambria" w:eastAsia="Cambria" w:hAnsi="Cambria" w:cs="Cambria"/>
          <w:sz w:val="20"/>
          <w:szCs w:val="20"/>
          <w:lang w:val="en-US"/>
        </w:rPr>
        <w:t>in the north</w:t>
      </w:r>
      <w:r w:rsidR="22DF9E7D" w:rsidRPr="00CC562A">
        <w:rPr>
          <w:rFonts w:ascii="Cambria" w:eastAsia="Cambria" w:hAnsi="Cambria" w:cs="Cambria"/>
          <w:sz w:val="20"/>
          <w:szCs w:val="20"/>
          <w:lang w:val="en-US"/>
        </w:rPr>
        <w:t>)</w:t>
      </w:r>
      <w:r w:rsidR="0076322D" w:rsidRPr="00CC562A">
        <w:rPr>
          <w:rFonts w:ascii="Cambria" w:eastAsia="Cambria" w:hAnsi="Cambria" w:cs="Cambria"/>
          <w:sz w:val="20"/>
          <w:szCs w:val="20"/>
          <w:lang w:val="en-US"/>
        </w:rPr>
        <w:t>.</w:t>
      </w:r>
      <w:r w:rsidR="005D39BF" w:rsidRPr="00CC562A">
        <w:rPr>
          <w:rFonts w:ascii="Cambria" w:eastAsia="Cambria" w:hAnsi="Cambria" w:cs="Cambria"/>
          <w:sz w:val="20"/>
          <w:szCs w:val="20"/>
          <w:vertAlign w:val="superscript"/>
          <w:lang w:val="en-US"/>
        </w:rPr>
        <w:footnoteReference w:id="275"/>
      </w:r>
      <w:r w:rsidR="22DF9E7D" w:rsidRPr="00CC562A">
        <w:rPr>
          <w:rFonts w:ascii="Cambria" w:eastAsia="Cambria" w:hAnsi="Cambria" w:cs="Cambria"/>
          <w:sz w:val="20"/>
          <w:szCs w:val="20"/>
          <w:lang w:val="en-US"/>
        </w:rPr>
        <w:t xml:space="preserve"> </w:t>
      </w:r>
    </w:p>
    <w:p w14:paraId="41F73E28" w14:textId="417FADD6" w:rsidR="004E1925" w:rsidRPr="00CC562A" w:rsidRDefault="0076322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PRODH Center emphasizes that the </w:t>
      </w:r>
      <w:r w:rsidR="22DF9E7D" w:rsidRPr="00CC562A">
        <w:rPr>
          <w:rFonts w:ascii="Cambria" w:eastAsia="Cambria" w:hAnsi="Cambria" w:cs="Cambria"/>
          <w:sz w:val="20"/>
          <w:szCs w:val="20"/>
          <w:lang w:val="en-US"/>
        </w:rPr>
        <w:t>SEMAR report</w:t>
      </w:r>
      <w:r w:rsidR="007231D3" w:rsidRPr="00CC562A">
        <w:rPr>
          <w:rFonts w:ascii="Cambria" w:eastAsia="Cambria" w:hAnsi="Cambria" w:cs="Cambria"/>
          <w:sz w:val="20"/>
          <w:szCs w:val="20"/>
          <w:lang w:val="en-US"/>
        </w:rPr>
        <w:t>ed that between September 2021 and August 2022 it conducted various operations in support of the</w:t>
      </w:r>
      <w:r w:rsidR="22DF9E7D" w:rsidRPr="00CC562A">
        <w:rPr>
          <w:rFonts w:ascii="Cambria" w:eastAsia="Cambria" w:hAnsi="Cambria" w:cs="Cambria"/>
          <w:sz w:val="20"/>
          <w:szCs w:val="20"/>
          <w:lang w:val="en-US"/>
        </w:rPr>
        <w:t xml:space="preserve"> INM </w:t>
      </w:r>
      <w:r w:rsidR="007231D3" w:rsidRPr="00CC562A">
        <w:rPr>
          <w:rFonts w:ascii="Cambria" w:eastAsia="Cambria" w:hAnsi="Cambria" w:cs="Cambria"/>
          <w:sz w:val="20"/>
          <w:szCs w:val="20"/>
          <w:lang w:val="en-US"/>
        </w:rPr>
        <w:t>to develop the Repatriation Program at points such as customs and highways in various states in the country and that it successfully concluded “humanitarian rescues” for</w:t>
      </w:r>
      <w:r w:rsidR="22DF9E7D" w:rsidRPr="00CC562A">
        <w:rPr>
          <w:rFonts w:ascii="Cambria" w:eastAsia="Cambria" w:hAnsi="Cambria" w:cs="Cambria"/>
          <w:sz w:val="20"/>
          <w:szCs w:val="20"/>
          <w:lang w:val="en-US"/>
        </w:rPr>
        <w:t xml:space="preserve"> 31,060 </w:t>
      </w:r>
      <w:r w:rsidR="007231D3" w:rsidRPr="00CC562A">
        <w:rPr>
          <w:rFonts w:ascii="Cambria" w:eastAsia="Cambria" w:hAnsi="Cambria" w:cs="Cambria"/>
          <w:sz w:val="20"/>
          <w:szCs w:val="20"/>
          <w:lang w:val="en-US"/>
        </w:rPr>
        <w:t>migrants.</w:t>
      </w:r>
      <w:r w:rsidR="005D39BF" w:rsidRPr="00CC562A">
        <w:rPr>
          <w:rFonts w:ascii="Cambria" w:eastAsia="Cambria" w:hAnsi="Cambria" w:cs="Cambria"/>
          <w:sz w:val="20"/>
          <w:szCs w:val="20"/>
          <w:vertAlign w:val="superscript"/>
          <w:lang w:val="en-US"/>
        </w:rPr>
        <w:footnoteReference w:id="276"/>
      </w:r>
      <w:r w:rsidR="007231D3" w:rsidRPr="00CC562A">
        <w:rPr>
          <w:rFonts w:ascii="Cambria" w:eastAsia="Cambria" w:hAnsi="Cambria" w:cs="Cambria"/>
          <w:sz w:val="20"/>
          <w:szCs w:val="20"/>
          <w:lang w:val="en-US"/>
        </w:rPr>
        <w:t xml:space="preserve"> Finally, the organization reported that in the first seven months of</w:t>
      </w:r>
      <w:r w:rsidR="22DF9E7D" w:rsidRPr="00CC562A">
        <w:rPr>
          <w:rFonts w:ascii="Cambria" w:eastAsia="Cambria" w:hAnsi="Cambria" w:cs="Cambria"/>
          <w:sz w:val="20"/>
          <w:szCs w:val="20"/>
          <w:lang w:val="en-US"/>
        </w:rPr>
        <w:t xml:space="preserve"> 2022</w:t>
      </w:r>
      <w:r w:rsidR="00D07E4E" w:rsidRPr="00CC562A">
        <w:rPr>
          <w:rFonts w:ascii="Cambria" w:eastAsia="Cambria" w:hAnsi="Cambria" w:cs="Cambria"/>
          <w:sz w:val="20"/>
          <w:szCs w:val="20"/>
          <w:lang w:val="en-US"/>
        </w:rPr>
        <w:t xml:space="preserve"> </w:t>
      </w:r>
      <w:r w:rsidR="22DF9E7D" w:rsidRPr="00CC562A">
        <w:rPr>
          <w:rFonts w:ascii="Cambria" w:eastAsia="Cambria" w:hAnsi="Cambria" w:cs="Cambria"/>
          <w:sz w:val="20"/>
          <w:szCs w:val="20"/>
          <w:lang w:val="en-US"/>
        </w:rPr>
        <w:t>M</w:t>
      </w:r>
      <w:r w:rsidR="007231D3" w:rsidRPr="00CC562A">
        <w:rPr>
          <w:rFonts w:ascii="Cambria" w:eastAsia="Cambria" w:hAnsi="Cambria" w:cs="Cambria"/>
          <w:sz w:val="20"/>
          <w:szCs w:val="20"/>
          <w:lang w:val="en-US"/>
        </w:rPr>
        <w:t xml:space="preserve">exico broke the record for migrant detentions, with a total of </w:t>
      </w:r>
      <w:r w:rsidR="22DF9E7D" w:rsidRPr="00CC562A">
        <w:rPr>
          <w:rFonts w:ascii="Cambria" w:eastAsia="Cambria" w:hAnsi="Cambria" w:cs="Cambria"/>
          <w:sz w:val="20"/>
          <w:szCs w:val="20"/>
          <w:lang w:val="en-US"/>
        </w:rPr>
        <w:t xml:space="preserve">206,885 (985 </w:t>
      </w:r>
      <w:r w:rsidR="007231D3" w:rsidRPr="00CC562A">
        <w:rPr>
          <w:rFonts w:ascii="Cambria" w:eastAsia="Cambria" w:hAnsi="Cambria" w:cs="Cambria"/>
          <w:sz w:val="20"/>
          <w:szCs w:val="20"/>
          <w:lang w:val="en-US"/>
        </w:rPr>
        <w:t>per day</w:t>
      </w:r>
      <w:r w:rsidR="22DF9E7D" w:rsidRPr="00CC562A">
        <w:rPr>
          <w:rFonts w:ascii="Cambria" w:eastAsia="Cambria" w:hAnsi="Cambria" w:cs="Cambria"/>
          <w:sz w:val="20"/>
          <w:szCs w:val="20"/>
          <w:lang w:val="en-US"/>
        </w:rPr>
        <w:t xml:space="preserve">), </w:t>
      </w:r>
      <w:r w:rsidR="007231D3" w:rsidRPr="00CC562A">
        <w:rPr>
          <w:rFonts w:ascii="Cambria" w:eastAsia="Cambria" w:hAnsi="Cambria" w:cs="Cambria"/>
          <w:sz w:val="20"/>
          <w:szCs w:val="20"/>
          <w:lang w:val="en-US"/>
        </w:rPr>
        <w:t>particularly in joint operations between the National Guard and the INM.</w:t>
      </w:r>
      <w:r w:rsidR="005D39BF" w:rsidRPr="00CC562A">
        <w:rPr>
          <w:rFonts w:ascii="Cambria" w:eastAsia="Cambria" w:hAnsi="Cambria" w:cs="Cambria"/>
          <w:sz w:val="20"/>
          <w:szCs w:val="20"/>
          <w:vertAlign w:val="superscript"/>
          <w:lang w:val="en-US"/>
        </w:rPr>
        <w:footnoteReference w:id="277"/>
      </w:r>
      <w:r w:rsidR="007231D3" w:rsidRPr="00CC562A">
        <w:rPr>
          <w:rFonts w:ascii="Cambria" w:eastAsia="Cambria" w:hAnsi="Cambria" w:cs="Cambria"/>
          <w:sz w:val="20"/>
          <w:szCs w:val="20"/>
          <w:lang w:val="en-US"/>
        </w:rPr>
        <w:t xml:space="preserve"> The organization concluded that these figures provide evidence of the way policy in the area of migration has been directed in recent years to containing migratory flows and deploying the security forces, including the National Guard, using a militarized model</w:t>
      </w:r>
      <w:r w:rsidR="22DF9E7D" w:rsidRPr="00CC562A">
        <w:rPr>
          <w:rFonts w:ascii="Cambria" w:eastAsia="Cambria" w:hAnsi="Cambria" w:cs="Cambria"/>
          <w:sz w:val="20"/>
          <w:szCs w:val="20"/>
          <w:lang w:val="en-US"/>
        </w:rPr>
        <w:t>.</w:t>
      </w:r>
    </w:p>
    <w:p w14:paraId="3835FE25" w14:textId="23A8A416" w:rsidR="005D39BF" w:rsidRPr="00CC562A" w:rsidRDefault="007231D3"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For its part, </w:t>
      </w:r>
      <w:r w:rsidR="00BD3B35" w:rsidRPr="00CC562A">
        <w:rPr>
          <w:rFonts w:ascii="Cambria" w:eastAsia="Cambria" w:hAnsi="Cambria" w:cs="Cambria"/>
          <w:sz w:val="20"/>
          <w:szCs w:val="20"/>
          <w:lang w:val="en-US"/>
        </w:rPr>
        <w:t>Reporters without Borders</w:t>
      </w:r>
      <w:r w:rsidR="7F4495C4"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7F4495C4"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according to the 2021 Bulletin of Statistics on crimes against migrants in irregular situation</w:t>
      </w:r>
      <w:r w:rsidR="00D07E4E"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in Mexico issued by the Unit for Migration Policy, </w:t>
      </w:r>
      <w:proofErr w:type="gramStart"/>
      <w:r w:rsidRPr="00CC562A">
        <w:rPr>
          <w:rFonts w:ascii="Cambria" w:eastAsia="Cambria" w:hAnsi="Cambria" w:cs="Cambria"/>
          <w:sz w:val="20"/>
          <w:szCs w:val="20"/>
          <w:lang w:val="en-US"/>
        </w:rPr>
        <w:lastRenderedPageBreak/>
        <w:t>Registry</w:t>
      </w:r>
      <w:proofErr w:type="gramEnd"/>
      <w:r w:rsidRPr="00CC562A">
        <w:rPr>
          <w:rFonts w:ascii="Cambria" w:eastAsia="Cambria" w:hAnsi="Cambria" w:cs="Cambria"/>
          <w:sz w:val="20"/>
          <w:szCs w:val="20"/>
          <w:lang w:val="en-US"/>
        </w:rPr>
        <w:t xml:space="preserve"> and Identification</w:t>
      </w:r>
      <w:r w:rsidR="00EF22DC" w:rsidRPr="00CC562A">
        <w:rPr>
          <w:rFonts w:ascii="Cambria" w:eastAsia="Cambria" w:hAnsi="Cambria" w:cs="Cambria"/>
          <w:sz w:val="20"/>
          <w:szCs w:val="20"/>
          <w:lang w:val="en-US"/>
        </w:rPr>
        <w:t>, from</w:t>
      </w:r>
      <w:r w:rsidR="2DED9AFD" w:rsidRPr="00CC562A">
        <w:rPr>
          <w:rFonts w:ascii="Cambria" w:eastAsia="Cambria" w:hAnsi="Cambria" w:cs="Cambria"/>
          <w:sz w:val="20"/>
          <w:szCs w:val="20"/>
          <w:lang w:val="en-US"/>
        </w:rPr>
        <w:t xml:space="preserve"> 2016 </w:t>
      </w:r>
      <w:r w:rsidR="00EF22DC" w:rsidRPr="00CC562A">
        <w:rPr>
          <w:rFonts w:ascii="Cambria" w:eastAsia="Cambria" w:hAnsi="Cambria" w:cs="Cambria"/>
          <w:sz w:val="20"/>
          <w:szCs w:val="20"/>
          <w:lang w:val="en-US"/>
        </w:rPr>
        <w:t>to</w:t>
      </w:r>
      <w:r w:rsidR="2DED9AFD" w:rsidRPr="00CC562A">
        <w:rPr>
          <w:rFonts w:ascii="Cambria" w:eastAsia="Cambria" w:hAnsi="Cambria" w:cs="Cambria"/>
          <w:sz w:val="20"/>
          <w:szCs w:val="20"/>
          <w:lang w:val="en-US"/>
        </w:rPr>
        <w:t xml:space="preserve"> 2021</w:t>
      </w:r>
      <w:r w:rsidR="00EF22DC" w:rsidRPr="00CC562A">
        <w:rPr>
          <w:rFonts w:ascii="Cambria" w:eastAsia="Cambria" w:hAnsi="Cambria" w:cs="Cambria"/>
          <w:sz w:val="20"/>
          <w:szCs w:val="20"/>
          <w:lang w:val="en-US"/>
        </w:rPr>
        <w:t>, 607 people were subjected to unlawful trafficking of migrants (</w:t>
      </w:r>
      <w:r w:rsidR="2DED9AFD" w:rsidRPr="00CC562A">
        <w:rPr>
          <w:rFonts w:ascii="Cambria" w:eastAsia="Cambria" w:hAnsi="Cambria" w:cs="Cambria"/>
          <w:sz w:val="20"/>
          <w:szCs w:val="20"/>
          <w:lang w:val="en-US"/>
        </w:rPr>
        <w:t xml:space="preserve">410 </w:t>
      </w:r>
      <w:r w:rsidR="00EF22DC" w:rsidRPr="00CC562A">
        <w:rPr>
          <w:rFonts w:ascii="Cambria" w:eastAsia="Cambria" w:hAnsi="Cambria" w:cs="Cambria"/>
          <w:sz w:val="20"/>
          <w:szCs w:val="20"/>
          <w:lang w:val="en-US"/>
        </w:rPr>
        <w:t>men and</w:t>
      </w:r>
      <w:r w:rsidR="2DED9AFD" w:rsidRPr="00CC562A">
        <w:rPr>
          <w:rFonts w:ascii="Cambria" w:eastAsia="Cambria" w:hAnsi="Cambria" w:cs="Cambria"/>
          <w:sz w:val="20"/>
          <w:szCs w:val="20"/>
          <w:lang w:val="en-US"/>
        </w:rPr>
        <w:t xml:space="preserve"> 197 </w:t>
      </w:r>
      <w:r w:rsidR="00EF22DC" w:rsidRPr="00CC562A">
        <w:rPr>
          <w:rFonts w:ascii="Cambria" w:eastAsia="Cambria" w:hAnsi="Cambria" w:cs="Cambria"/>
          <w:sz w:val="20"/>
          <w:szCs w:val="20"/>
          <w:lang w:val="en-US"/>
        </w:rPr>
        <w:t>women</w:t>
      </w:r>
      <w:r w:rsidR="2DED9AFD" w:rsidRPr="00CC562A">
        <w:rPr>
          <w:rFonts w:ascii="Cambria" w:eastAsia="Cambria" w:hAnsi="Cambria" w:cs="Cambria"/>
          <w:sz w:val="20"/>
          <w:szCs w:val="20"/>
          <w:lang w:val="en-US"/>
        </w:rPr>
        <w:t xml:space="preserve">). </w:t>
      </w:r>
      <w:r w:rsidR="00EF22DC" w:rsidRPr="00CC562A">
        <w:rPr>
          <w:rFonts w:ascii="Cambria" w:eastAsia="Cambria" w:hAnsi="Cambria" w:cs="Cambria"/>
          <w:sz w:val="20"/>
          <w:szCs w:val="20"/>
          <w:lang w:val="en-US"/>
        </w:rPr>
        <w:t xml:space="preserve">With these figures, the crime of unlawful trafficking of migrants is the crime that recorded the largest incident numbers </w:t>
      </w:r>
      <w:r w:rsidR="00D07E4E" w:rsidRPr="00CC562A">
        <w:rPr>
          <w:rFonts w:ascii="Cambria" w:eastAsia="Cambria" w:hAnsi="Cambria" w:cs="Cambria"/>
          <w:sz w:val="20"/>
          <w:szCs w:val="20"/>
          <w:lang w:val="en-US"/>
        </w:rPr>
        <w:t>in that</w:t>
      </w:r>
      <w:r w:rsidR="00EF22DC" w:rsidRPr="00CC562A">
        <w:rPr>
          <w:rFonts w:ascii="Cambria" w:eastAsia="Cambria" w:hAnsi="Cambria" w:cs="Cambria"/>
          <w:sz w:val="20"/>
          <w:szCs w:val="20"/>
          <w:lang w:val="en-US"/>
        </w:rPr>
        <w:t xml:space="preserve"> in the year </w:t>
      </w:r>
      <w:r w:rsidR="2DED9AFD" w:rsidRPr="00CC562A">
        <w:rPr>
          <w:rFonts w:ascii="Cambria" w:eastAsia="Cambria" w:hAnsi="Cambria" w:cs="Cambria"/>
          <w:sz w:val="20"/>
          <w:szCs w:val="20"/>
          <w:lang w:val="en-US"/>
        </w:rPr>
        <w:t xml:space="preserve">2016 </w:t>
      </w:r>
      <w:r w:rsidR="00EF22DC" w:rsidRPr="00CC562A">
        <w:rPr>
          <w:rFonts w:ascii="Cambria" w:eastAsia="Cambria" w:hAnsi="Cambria" w:cs="Cambria"/>
          <w:sz w:val="20"/>
          <w:szCs w:val="20"/>
          <w:lang w:val="en-US"/>
        </w:rPr>
        <w:t xml:space="preserve">there were </w:t>
      </w:r>
      <w:r w:rsidR="2DED9AFD" w:rsidRPr="00CC562A">
        <w:rPr>
          <w:rFonts w:ascii="Cambria" w:eastAsia="Cambria" w:hAnsi="Cambria" w:cs="Cambria"/>
          <w:sz w:val="20"/>
          <w:szCs w:val="20"/>
          <w:lang w:val="en-US"/>
        </w:rPr>
        <w:t>77 cas</w:t>
      </w:r>
      <w:r w:rsidR="00EF22DC" w:rsidRPr="00CC562A">
        <w:rPr>
          <w:rFonts w:ascii="Cambria" w:eastAsia="Cambria" w:hAnsi="Cambria" w:cs="Cambria"/>
          <w:sz w:val="20"/>
          <w:szCs w:val="20"/>
          <w:lang w:val="en-US"/>
        </w:rPr>
        <w:t>e</w:t>
      </w:r>
      <w:r w:rsidR="2DED9AFD" w:rsidRPr="00CC562A">
        <w:rPr>
          <w:rFonts w:ascii="Cambria" w:eastAsia="Cambria" w:hAnsi="Cambria" w:cs="Cambria"/>
          <w:sz w:val="20"/>
          <w:szCs w:val="20"/>
          <w:lang w:val="en-US"/>
        </w:rPr>
        <w:t xml:space="preserve">s. </w:t>
      </w:r>
      <w:r w:rsidR="00EF22DC" w:rsidRPr="00CC562A">
        <w:rPr>
          <w:rFonts w:ascii="Cambria" w:eastAsia="Cambria" w:hAnsi="Cambria" w:cs="Cambria"/>
          <w:sz w:val="20"/>
          <w:szCs w:val="20"/>
          <w:lang w:val="en-US"/>
        </w:rPr>
        <w:t>Migrants who use trafficking networks face significant risks that compromise their security and physical and psychological safety, risk</w:t>
      </w:r>
      <w:r w:rsidR="00D07E4E" w:rsidRPr="00CC562A">
        <w:rPr>
          <w:rFonts w:ascii="Cambria" w:eastAsia="Cambria" w:hAnsi="Cambria" w:cs="Cambria"/>
          <w:sz w:val="20"/>
          <w:szCs w:val="20"/>
          <w:lang w:val="en-US"/>
        </w:rPr>
        <w:t>s</w:t>
      </w:r>
      <w:r w:rsidR="00EF22DC" w:rsidRPr="00CC562A">
        <w:rPr>
          <w:rFonts w:ascii="Cambria" w:eastAsia="Cambria" w:hAnsi="Cambria" w:cs="Cambria"/>
          <w:sz w:val="20"/>
          <w:szCs w:val="20"/>
          <w:lang w:val="en-US"/>
        </w:rPr>
        <w:t xml:space="preserve"> that also need to be addressed appropriately</w:t>
      </w:r>
      <w:r w:rsidR="2DED9AFD" w:rsidRPr="00CC562A">
        <w:rPr>
          <w:rFonts w:ascii="Cambria" w:eastAsia="Cambria" w:hAnsi="Cambria" w:cs="Cambria"/>
          <w:sz w:val="20"/>
          <w:szCs w:val="20"/>
          <w:lang w:val="en-US"/>
        </w:rPr>
        <w:t xml:space="preserve">. </w:t>
      </w:r>
      <w:r w:rsidR="00BD3B35" w:rsidRPr="00CC562A">
        <w:rPr>
          <w:rFonts w:ascii="Cambria" w:eastAsia="Cambria" w:hAnsi="Cambria" w:cs="Cambria"/>
          <w:sz w:val="20"/>
          <w:szCs w:val="20"/>
          <w:lang w:val="en-US"/>
        </w:rPr>
        <w:t>Reporters without Borders</w:t>
      </w:r>
      <w:r w:rsidR="2DED9AFD" w:rsidRPr="00CC562A">
        <w:rPr>
          <w:rFonts w:ascii="Cambria" w:eastAsia="Cambria" w:hAnsi="Cambria" w:cs="Cambria"/>
          <w:sz w:val="20"/>
          <w:szCs w:val="20"/>
          <w:lang w:val="en-US"/>
        </w:rPr>
        <w:t xml:space="preserve"> </w:t>
      </w:r>
      <w:r w:rsidR="00EF22DC" w:rsidRPr="00CC562A">
        <w:rPr>
          <w:rFonts w:ascii="Cambria" w:eastAsia="Cambria" w:hAnsi="Cambria" w:cs="Cambria"/>
          <w:sz w:val="20"/>
          <w:szCs w:val="20"/>
          <w:lang w:val="en-US"/>
        </w:rPr>
        <w:t>emphasized that</w:t>
      </w:r>
      <w:r w:rsidR="00983CA4" w:rsidRPr="00CC562A">
        <w:rPr>
          <w:rFonts w:ascii="Cambria" w:eastAsia="Cambria" w:hAnsi="Cambria" w:cs="Cambria"/>
          <w:sz w:val="20"/>
          <w:szCs w:val="20"/>
          <w:lang w:val="en-US"/>
        </w:rPr>
        <w:t xml:space="preserve"> the </w:t>
      </w:r>
      <w:r w:rsidR="00D07E4E" w:rsidRPr="00CC562A">
        <w:rPr>
          <w:rFonts w:ascii="Cambria" w:eastAsia="Cambria" w:hAnsi="Cambria" w:cs="Cambria"/>
          <w:sz w:val="20"/>
          <w:szCs w:val="20"/>
          <w:lang w:val="en-US"/>
        </w:rPr>
        <w:t>dangers</w:t>
      </w:r>
      <w:r w:rsidR="00983CA4" w:rsidRPr="00CC562A">
        <w:rPr>
          <w:rFonts w:ascii="Cambria" w:eastAsia="Cambria" w:hAnsi="Cambria" w:cs="Cambria"/>
          <w:sz w:val="20"/>
          <w:szCs w:val="20"/>
          <w:lang w:val="en-US"/>
        </w:rPr>
        <w:t xml:space="preserve"> to which the population engaged in human mobility is exposed have been displayed, which includes extortion, kidnappings, trafficking, and other abuses that put their lives at risk.</w:t>
      </w:r>
      <w:r w:rsidR="003F097F" w:rsidRPr="00CC562A">
        <w:rPr>
          <w:rStyle w:val="FootnoteReference"/>
          <w:rFonts w:ascii="Cambria" w:eastAsia="Cambria" w:hAnsi="Cambria" w:cs="Cambria"/>
          <w:sz w:val="20"/>
          <w:szCs w:val="20"/>
          <w:lang w:val="en-US"/>
        </w:rPr>
        <w:footnoteReference w:id="278"/>
      </w:r>
    </w:p>
    <w:p w14:paraId="7421E5BC" w14:textId="17AB97F7" w:rsidR="00AA3D84"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602DAB02" w:rsidRPr="00CC562A">
        <w:rPr>
          <w:rFonts w:ascii="Cambria" w:eastAsia="Cambria" w:hAnsi="Cambria" w:cs="Cambria"/>
          <w:sz w:val="20"/>
          <w:szCs w:val="20"/>
          <w:lang w:val="en-US"/>
        </w:rPr>
        <w:t xml:space="preserve"> l</w:t>
      </w:r>
      <w:r w:rsidR="602DAB02" w:rsidRPr="00CC562A">
        <w:rPr>
          <w:rFonts w:ascii="Cambria" w:eastAsia="Cambria" w:hAnsi="Cambria"/>
          <w:sz w:val="20"/>
          <w:szCs w:val="20"/>
          <w:lang w:val="en-US"/>
        </w:rPr>
        <w:t>a CMDPDH</w:t>
      </w:r>
      <w:r w:rsidR="00AA3D84" w:rsidRPr="00CC562A">
        <w:rPr>
          <w:rStyle w:val="FootnoteReference"/>
          <w:rFonts w:ascii="Cambria" w:eastAsia="Cambria" w:hAnsi="Cambria"/>
          <w:sz w:val="20"/>
          <w:szCs w:val="20"/>
          <w:lang w:val="en-US"/>
        </w:rPr>
        <w:footnoteReference w:id="279"/>
      </w:r>
      <w:r w:rsidR="602DAB02" w:rsidRPr="00CC562A">
        <w:rPr>
          <w:rFonts w:ascii="Cambria" w:eastAsia="Cambria" w:hAnsi="Cambria"/>
          <w:sz w:val="20"/>
          <w:szCs w:val="20"/>
          <w:lang w:val="en-US"/>
        </w:rPr>
        <w:t xml:space="preserve"> </w:t>
      </w:r>
      <w:r w:rsidR="00983CA4" w:rsidRPr="00CC562A">
        <w:rPr>
          <w:rFonts w:ascii="Cambria" w:eastAsia="Cambria" w:hAnsi="Cambria"/>
          <w:sz w:val="20"/>
          <w:szCs w:val="20"/>
          <w:lang w:val="en-US"/>
        </w:rPr>
        <w:t xml:space="preserve">reported on the criminalization of migration; militarization </w:t>
      </w:r>
      <w:r w:rsidR="00680C46" w:rsidRPr="00CC562A">
        <w:rPr>
          <w:rFonts w:ascii="Cambria" w:eastAsia="Cambria" w:hAnsi="Cambria"/>
          <w:sz w:val="20"/>
          <w:szCs w:val="20"/>
          <w:lang w:val="en-US"/>
        </w:rPr>
        <w:t>o</w:t>
      </w:r>
      <w:r w:rsidR="00983CA4" w:rsidRPr="00CC562A">
        <w:rPr>
          <w:rFonts w:ascii="Cambria" w:eastAsia="Cambria" w:hAnsi="Cambria"/>
          <w:sz w:val="20"/>
          <w:szCs w:val="20"/>
          <w:lang w:val="en-US"/>
        </w:rPr>
        <w:t>f public security – including migrant control and verification tasks -; the excessive and abusive use of force; the indiscriminate and arbitrary use of migrant detention; the practice of</w:t>
      </w:r>
      <w:r w:rsidR="602DAB02" w:rsidRPr="00CC562A">
        <w:rPr>
          <w:rFonts w:ascii="Cambria" w:eastAsia="Cambria" w:hAnsi="Cambria"/>
          <w:sz w:val="20"/>
          <w:szCs w:val="20"/>
          <w:lang w:val="en-US"/>
        </w:rPr>
        <w:t xml:space="preserve"> pushbacks </w:t>
      </w:r>
      <w:r w:rsidR="00983CA4" w:rsidRPr="00CC562A">
        <w:rPr>
          <w:rFonts w:ascii="Cambria" w:eastAsia="Cambria" w:hAnsi="Cambria"/>
          <w:sz w:val="20"/>
          <w:szCs w:val="20"/>
          <w:lang w:val="en-US"/>
        </w:rPr>
        <w:t>and racial profiling to define control, surveillance, investigation, or punishment actions against people in a context of mobility; the</w:t>
      </w:r>
      <w:r w:rsidR="602DAB02" w:rsidRPr="00CC562A">
        <w:rPr>
          <w:rFonts w:ascii="Cambria" w:eastAsia="Cambria" w:hAnsi="Cambria"/>
          <w:sz w:val="20"/>
          <w:szCs w:val="20"/>
          <w:lang w:val="en-US"/>
        </w:rPr>
        <w:t xml:space="preserve"> </w:t>
      </w:r>
      <w:r w:rsidR="00983CA4" w:rsidRPr="00CC562A">
        <w:rPr>
          <w:rFonts w:ascii="Cambria" w:eastAsia="Cambria" w:hAnsi="Cambria"/>
          <w:sz w:val="20"/>
          <w:szCs w:val="20"/>
          <w:lang w:val="en-US"/>
        </w:rPr>
        <w:t>issuance of migration alerts; collective, summary, and chained expulsion; the risk of return or actual return of persons needing international protection; and other practices that expose the</w:t>
      </w:r>
      <w:r w:rsidR="00680C46" w:rsidRPr="00CC562A">
        <w:rPr>
          <w:rFonts w:ascii="Cambria" w:eastAsia="Cambria" w:hAnsi="Cambria"/>
          <w:sz w:val="20"/>
          <w:szCs w:val="20"/>
          <w:lang w:val="en-US"/>
        </w:rPr>
        <w:t>m</w:t>
      </w:r>
      <w:r w:rsidR="00983CA4" w:rsidRPr="00CC562A">
        <w:rPr>
          <w:rFonts w:ascii="Cambria" w:eastAsia="Cambria" w:hAnsi="Cambria"/>
          <w:sz w:val="20"/>
          <w:szCs w:val="20"/>
          <w:lang w:val="en-US"/>
        </w:rPr>
        <w:t xml:space="preserve"> to being the victims of </w:t>
      </w:r>
      <w:r w:rsidR="00680C46" w:rsidRPr="00CC562A">
        <w:rPr>
          <w:rFonts w:ascii="Cambria" w:eastAsia="Cambria" w:hAnsi="Cambria"/>
          <w:sz w:val="20"/>
          <w:szCs w:val="20"/>
          <w:lang w:val="en-US"/>
        </w:rPr>
        <w:t>c</w:t>
      </w:r>
      <w:r w:rsidR="00983CA4" w:rsidRPr="00CC562A">
        <w:rPr>
          <w:rFonts w:ascii="Cambria" w:eastAsia="Cambria" w:hAnsi="Cambria"/>
          <w:sz w:val="20"/>
          <w:szCs w:val="20"/>
          <w:lang w:val="en-US"/>
        </w:rPr>
        <w:t xml:space="preserve">rime – such as fraud, extortion, kidnapping, </w:t>
      </w:r>
      <w:r w:rsidR="00680C46" w:rsidRPr="00CC562A">
        <w:rPr>
          <w:rFonts w:ascii="Cambria" w:eastAsia="Cambria" w:hAnsi="Cambria"/>
          <w:sz w:val="20"/>
          <w:szCs w:val="20"/>
          <w:lang w:val="en-US"/>
        </w:rPr>
        <w:t>or disappearance – and serious human rights violations such as torture or forced disappearance, maintained by the Mexican State</w:t>
      </w:r>
      <w:r w:rsidR="602DAB02" w:rsidRPr="00CC562A">
        <w:rPr>
          <w:rFonts w:ascii="Cambria" w:eastAsia="Cambria" w:hAnsi="Cambria"/>
          <w:sz w:val="20"/>
          <w:szCs w:val="20"/>
          <w:lang w:val="en-US"/>
        </w:rPr>
        <w:t xml:space="preserve">. </w:t>
      </w:r>
    </w:p>
    <w:p w14:paraId="73AF2C4A" w14:textId="375BFE77" w:rsidR="00AA3D84" w:rsidRPr="00CC562A" w:rsidRDefault="00680C46"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 xml:space="preserve">They indicate that this situation is exacerbated by inhuman and indecent conditions  in Migrant Stations and </w:t>
      </w:r>
      <w:r w:rsidR="00D07E4E" w:rsidRPr="00CC562A">
        <w:rPr>
          <w:rFonts w:ascii="Cambria" w:eastAsia="Cambria" w:hAnsi="Cambria"/>
          <w:sz w:val="20"/>
          <w:szCs w:val="20"/>
          <w:lang w:val="en-US"/>
        </w:rPr>
        <w:t>Temporary Housing</w:t>
      </w:r>
      <w:r w:rsidRPr="00CC562A">
        <w:rPr>
          <w:rFonts w:ascii="Cambria" w:eastAsia="Cambria" w:hAnsi="Cambria"/>
          <w:sz w:val="20"/>
          <w:szCs w:val="20"/>
          <w:lang w:val="en-US"/>
        </w:rPr>
        <w:t>, characterized by overcrowding</w:t>
      </w:r>
      <w:r w:rsidR="602DAB02" w:rsidRPr="00CC562A">
        <w:rPr>
          <w:rFonts w:ascii="Cambria" w:eastAsia="Cambria" w:hAnsi="Cambria"/>
          <w:sz w:val="20"/>
          <w:szCs w:val="20"/>
          <w:lang w:val="en-US"/>
        </w:rPr>
        <w:t xml:space="preserve">; </w:t>
      </w:r>
      <w:r w:rsidRPr="00CC562A">
        <w:rPr>
          <w:rFonts w:ascii="Cambria" w:eastAsia="Cambria" w:hAnsi="Cambria"/>
          <w:sz w:val="20"/>
          <w:szCs w:val="20"/>
          <w:lang w:val="en-US"/>
        </w:rPr>
        <w:t xml:space="preserve">the denial of legal and consular assistance, medical care, adequate foods and drinking water, personal hygiene and sanitation; the inability to access </w:t>
      </w:r>
      <w:r w:rsidR="009F5BB6" w:rsidRPr="00CC562A">
        <w:rPr>
          <w:rFonts w:ascii="Cambria" w:eastAsia="Cambria" w:hAnsi="Cambria"/>
          <w:sz w:val="20"/>
          <w:szCs w:val="20"/>
          <w:lang w:val="en-US"/>
        </w:rPr>
        <w:t xml:space="preserve">or monitor the asylum process; the lack of adequate information on their legal situation – which includes the lack of interpreters and measures to serve persons who are illiterate or who have limited education -; </w:t>
      </w:r>
      <w:r w:rsidR="00D07E4E" w:rsidRPr="00CC562A">
        <w:rPr>
          <w:rFonts w:ascii="Cambria" w:eastAsia="Cambria" w:hAnsi="Cambria"/>
          <w:sz w:val="20"/>
          <w:szCs w:val="20"/>
          <w:lang w:val="en-US"/>
        </w:rPr>
        <w:t>isolation; ex</w:t>
      </w:r>
      <w:r w:rsidR="00ED3911" w:rsidRPr="00CC562A">
        <w:rPr>
          <w:rFonts w:ascii="Cambria" w:eastAsia="Cambria" w:hAnsi="Cambria"/>
          <w:sz w:val="20"/>
          <w:szCs w:val="20"/>
          <w:lang w:val="en-US"/>
        </w:rPr>
        <w:t>tortion;</w:t>
      </w:r>
      <w:r w:rsidR="009F5BB6" w:rsidRPr="00CC562A">
        <w:rPr>
          <w:rFonts w:ascii="Cambria" w:eastAsia="Cambria" w:hAnsi="Cambria"/>
          <w:sz w:val="20"/>
          <w:szCs w:val="20"/>
          <w:lang w:val="en-US"/>
        </w:rPr>
        <w:t xml:space="preserve"> suppression of protests to demand their rights; sexual abuse; submission to corporal punishment; verbal and physical assaults that include beatings, electroshock, and choking. Such practices committed by security officers, National Guard agents, and migration authorities themselves constitute cruel, inhuman, or degrading treatment and, sometimes, torture, and seek to dissuade</w:t>
      </w:r>
      <w:r w:rsidR="00ED3911" w:rsidRPr="00CC562A">
        <w:rPr>
          <w:rFonts w:ascii="Cambria" w:eastAsia="Cambria" w:hAnsi="Cambria"/>
          <w:sz w:val="20"/>
          <w:szCs w:val="20"/>
          <w:lang w:val="en-US"/>
        </w:rPr>
        <w:t xml:space="preserve"> migrants from pursuing</w:t>
      </w:r>
      <w:r w:rsidR="009F5BB6" w:rsidRPr="00CC562A">
        <w:rPr>
          <w:rFonts w:ascii="Cambria" w:eastAsia="Cambria" w:hAnsi="Cambria"/>
          <w:sz w:val="20"/>
          <w:szCs w:val="20"/>
          <w:lang w:val="en-US"/>
        </w:rPr>
        <w:t xml:space="preserve"> asylum procedures or</w:t>
      </w:r>
      <w:r w:rsidR="00ED3911" w:rsidRPr="00CC562A">
        <w:rPr>
          <w:rFonts w:ascii="Cambria" w:eastAsia="Cambria" w:hAnsi="Cambria"/>
          <w:sz w:val="20"/>
          <w:szCs w:val="20"/>
          <w:lang w:val="en-US"/>
        </w:rPr>
        <w:t xml:space="preserve"> to encourage </w:t>
      </w:r>
      <w:r w:rsidR="009F5BB6" w:rsidRPr="00CC562A">
        <w:rPr>
          <w:rFonts w:ascii="Cambria" w:eastAsia="Cambria" w:hAnsi="Cambria"/>
          <w:sz w:val="20"/>
          <w:szCs w:val="20"/>
          <w:lang w:val="en-US"/>
        </w:rPr>
        <w:t>assisted return, including to their country of origin while still having the right to seek asylum in Mexico.</w:t>
      </w:r>
      <w:r w:rsidR="003F097F" w:rsidRPr="00CC562A">
        <w:rPr>
          <w:rStyle w:val="FootnoteReference"/>
          <w:rFonts w:ascii="Cambria" w:eastAsia="Cambria" w:hAnsi="Cambria"/>
          <w:sz w:val="20"/>
          <w:szCs w:val="20"/>
          <w:lang w:val="en-US"/>
        </w:rPr>
        <w:footnoteReference w:id="280"/>
      </w:r>
    </w:p>
    <w:p w14:paraId="5006E0CA" w14:textId="047BC96C" w:rsidR="002B21B1" w:rsidRPr="00CC562A" w:rsidRDefault="602DAB02"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A</w:t>
      </w:r>
      <w:r w:rsidR="009F5BB6" w:rsidRPr="00CC562A">
        <w:rPr>
          <w:rFonts w:ascii="Cambria" w:eastAsia="Cambria" w:hAnsi="Cambria"/>
          <w:sz w:val="20"/>
          <w:szCs w:val="20"/>
          <w:lang w:val="en-US"/>
        </w:rPr>
        <w:t>t the same time, they establish that the victims of such treatment are not sufficiently informed by the authorities regarding their right to submit administrative reports and/or complaints against such acts and often do not have legal representation to submit the respective legal actions</w:t>
      </w:r>
      <w:r w:rsidR="00ED3911" w:rsidRPr="00CC562A">
        <w:rPr>
          <w:rFonts w:ascii="Cambria" w:eastAsia="Cambria" w:hAnsi="Cambria"/>
          <w:sz w:val="20"/>
          <w:szCs w:val="20"/>
          <w:lang w:val="en-US"/>
        </w:rPr>
        <w:t>. This is</w:t>
      </w:r>
      <w:r w:rsidR="00BF6590" w:rsidRPr="00CC562A">
        <w:rPr>
          <w:rFonts w:ascii="Cambria" w:eastAsia="Cambria" w:hAnsi="Cambria"/>
          <w:sz w:val="20"/>
          <w:szCs w:val="20"/>
          <w:lang w:val="en-US"/>
        </w:rPr>
        <w:t xml:space="preserve"> paradoxically </w:t>
      </w:r>
      <w:r w:rsidR="00ED3911" w:rsidRPr="00CC562A">
        <w:rPr>
          <w:rFonts w:ascii="Cambria" w:eastAsia="Cambria" w:hAnsi="Cambria"/>
          <w:sz w:val="20"/>
          <w:szCs w:val="20"/>
          <w:lang w:val="en-US"/>
        </w:rPr>
        <w:t xml:space="preserve">exacerbated </w:t>
      </w:r>
      <w:r w:rsidR="00BF6590" w:rsidRPr="00CC562A">
        <w:rPr>
          <w:rFonts w:ascii="Cambria" w:eastAsia="Cambria" w:hAnsi="Cambria"/>
          <w:sz w:val="20"/>
          <w:szCs w:val="20"/>
          <w:lang w:val="en-US"/>
        </w:rPr>
        <w:t>by the fact that filing a suit or claim to demand respect for their rights increases the chances that their detention will be indefinitely extended, they will be revictimized, and their case will go totally unpunished. Th</w:t>
      </w:r>
      <w:r w:rsidR="00ED3911" w:rsidRPr="00CC562A">
        <w:rPr>
          <w:rFonts w:ascii="Cambria" w:eastAsia="Cambria" w:hAnsi="Cambria"/>
          <w:sz w:val="20"/>
          <w:szCs w:val="20"/>
          <w:lang w:val="en-US"/>
        </w:rPr>
        <w:t>is</w:t>
      </w:r>
      <w:r w:rsidR="00BF6590" w:rsidRPr="00CC562A">
        <w:rPr>
          <w:rFonts w:ascii="Cambria" w:eastAsia="Cambria" w:hAnsi="Cambria"/>
          <w:sz w:val="20"/>
          <w:szCs w:val="20"/>
          <w:lang w:val="en-US"/>
        </w:rPr>
        <w:t xml:space="preserve"> serious situation includes the detention of children and adolescents, people with legal residence in Mexico, and those who need international protection; isolation; corrupt acts, extortion and torture; repression of protests, use of corporal punishment and punishment cells; discrimination; denial or lack of diligence for channeling their asylum requests to the authority charged with analyzing them, which is the </w:t>
      </w:r>
      <w:r w:rsidRPr="00CC562A">
        <w:rPr>
          <w:rFonts w:ascii="Cambria" w:eastAsia="Cambria" w:hAnsi="Cambria"/>
          <w:sz w:val="20"/>
          <w:szCs w:val="20"/>
          <w:lang w:val="en-US"/>
        </w:rPr>
        <w:t>COMAR</w:t>
      </w:r>
      <w:r w:rsidR="00BF6590" w:rsidRPr="00CC562A">
        <w:rPr>
          <w:rFonts w:ascii="Cambria" w:eastAsia="Cambria" w:hAnsi="Cambria"/>
          <w:sz w:val="20"/>
          <w:szCs w:val="20"/>
          <w:lang w:val="en-US"/>
        </w:rPr>
        <w:t>; and reprisals and humiliating treatment against those who express their intention to seek recognition of their refugee status.</w:t>
      </w:r>
      <w:r w:rsidR="003F097F" w:rsidRPr="00CC562A">
        <w:rPr>
          <w:rStyle w:val="FootnoteReference"/>
          <w:rFonts w:ascii="Cambria" w:eastAsia="Cambria" w:hAnsi="Cambria"/>
          <w:sz w:val="20"/>
          <w:szCs w:val="20"/>
          <w:lang w:val="en-US"/>
        </w:rPr>
        <w:footnoteReference w:id="281"/>
      </w:r>
      <w:r w:rsidRPr="00CC562A">
        <w:rPr>
          <w:rFonts w:ascii="Cambria" w:eastAsia="Cambria" w:hAnsi="Cambria"/>
          <w:sz w:val="20"/>
          <w:szCs w:val="20"/>
          <w:lang w:val="en-US"/>
        </w:rPr>
        <w:t xml:space="preserve"> </w:t>
      </w:r>
      <w:r w:rsidR="00BF6590" w:rsidRPr="00CC562A">
        <w:rPr>
          <w:rFonts w:ascii="Cambria" w:eastAsia="Cambria" w:hAnsi="Cambria"/>
          <w:sz w:val="20"/>
          <w:szCs w:val="20"/>
          <w:lang w:val="en-US"/>
        </w:rPr>
        <w:t>In addition, the</w:t>
      </w:r>
      <w:r w:rsidRPr="00CC562A">
        <w:rPr>
          <w:rFonts w:ascii="Cambria" w:eastAsia="Cambria" w:hAnsi="Cambria"/>
          <w:sz w:val="20"/>
          <w:szCs w:val="20"/>
          <w:lang w:val="en-US"/>
        </w:rPr>
        <w:t xml:space="preserve"> CMDPDH indic</w:t>
      </w:r>
      <w:r w:rsidR="00BF6590" w:rsidRPr="00CC562A">
        <w:rPr>
          <w:rFonts w:ascii="Cambria" w:eastAsia="Cambria" w:hAnsi="Cambria"/>
          <w:sz w:val="20"/>
          <w:szCs w:val="20"/>
          <w:lang w:val="en-US"/>
        </w:rPr>
        <w:t xml:space="preserve">ated that migration authorities have implemented various methods to directly and indirectly obstruct and criminalize the work of civil society organizations that offer </w:t>
      </w:r>
      <w:r w:rsidR="00BF6590" w:rsidRPr="00CC562A">
        <w:rPr>
          <w:rFonts w:ascii="Cambria" w:eastAsia="Cambria" w:hAnsi="Cambria"/>
          <w:sz w:val="20"/>
          <w:szCs w:val="20"/>
          <w:lang w:val="en-US"/>
        </w:rPr>
        <w:lastRenderedPageBreak/>
        <w:t xml:space="preserve">information, advise, and </w:t>
      </w:r>
      <w:r w:rsidR="00ED3911" w:rsidRPr="00CC562A">
        <w:rPr>
          <w:rFonts w:ascii="Cambria" w:eastAsia="Cambria" w:hAnsi="Cambria"/>
          <w:sz w:val="20"/>
          <w:szCs w:val="20"/>
          <w:lang w:val="en-US"/>
        </w:rPr>
        <w:t xml:space="preserve">provide </w:t>
      </w:r>
      <w:r w:rsidR="00BF6590" w:rsidRPr="00CC562A">
        <w:rPr>
          <w:rFonts w:ascii="Cambria" w:eastAsia="Cambria" w:hAnsi="Cambria"/>
          <w:sz w:val="20"/>
          <w:szCs w:val="20"/>
          <w:lang w:val="en-US"/>
        </w:rPr>
        <w:t xml:space="preserve">legal representation to people in a context of mobility and that carry out </w:t>
      </w:r>
      <w:r w:rsidR="00F71FF7" w:rsidRPr="00CC562A">
        <w:rPr>
          <w:rFonts w:ascii="Cambria" w:eastAsia="Cambria" w:hAnsi="Cambria"/>
          <w:sz w:val="20"/>
          <w:szCs w:val="20"/>
          <w:lang w:val="en-US"/>
        </w:rPr>
        <w:t xml:space="preserve">documentation and situation monitoring activities, affecting their </w:t>
      </w:r>
      <w:r w:rsidR="00ED3911" w:rsidRPr="00CC562A">
        <w:rPr>
          <w:rFonts w:ascii="Cambria" w:eastAsia="Cambria" w:hAnsi="Cambria"/>
          <w:sz w:val="20"/>
          <w:szCs w:val="20"/>
          <w:lang w:val="en-US"/>
        </w:rPr>
        <w:t>ability</w:t>
      </w:r>
      <w:r w:rsidR="00F71FF7" w:rsidRPr="00CC562A">
        <w:rPr>
          <w:rFonts w:ascii="Cambria" w:eastAsia="Cambria" w:hAnsi="Cambria"/>
          <w:sz w:val="20"/>
          <w:szCs w:val="20"/>
          <w:lang w:val="en-US"/>
        </w:rPr>
        <w:t xml:space="preserve"> to defend </w:t>
      </w:r>
      <w:r w:rsidR="00ED3911" w:rsidRPr="00CC562A">
        <w:rPr>
          <w:rFonts w:ascii="Cambria" w:eastAsia="Cambria" w:hAnsi="Cambria"/>
          <w:sz w:val="20"/>
          <w:szCs w:val="20"/>
          <w:lang w:val="en-US"/>
        </w:rPr>
        <w:t xml:space="preserve">their </w:t>
      </w:r>
      <w:r w:rsidR="00F71FF7" w:rsidRPr="00CC562A">
        <w:rPr>
          <w:rFonts w:ascii="Cambria" w:eastAsia="Cambria" w:hAnsi="Cambria"/>
          <w:sz w:val="20"/>
          <w:szCs w:val="20"/>
          <w:lang w:val="en-US"/>
        </w:rPr>
        <w:t>rights.</w:t>
      </w:r>
      <w:r w:rsidR="003F097F" w:rsidRPr="00CC562A">
        <w:rPr>
          <w:rStyle w:val="FootnoteReference"/>
          <w:rFonts w:ascii="Cambria" w:eastAsia="Cambria" w:hAnsi="Cambria"/>
          <w:sz w:val="20"/>
          <w:szCs w:val="20"/>
          <w:lang w:val="en-US"/>
        </w:rPr>
        <w:footnoteReference w:id="282"/>
      </w:r>
    </w:p>
    <w:p w14:paraId="55EF33E8" w14:textId="1EC4F769" w:rsidR="008A4D49" w:rsidRPr="00CC562A" w:rsidRDefault="00F71FF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According to the State, such motives were sufficient to establish a requirement for all Venezuelan nation</w:t>
      </w:r>
      <w:r w:rsidR="00ED3911" w:rsidRPr="00CC562A">
        <w:rPr>
          <w:rFonts w:ascii="Cambria" w:eastAsia="Cambria" w:hAnsi="Cambria"/>
          <w:sz w:val="20"/>
          <w:szCs w:val="20"/>
          <w:lang w:val="en-US"/>
        </w:rPr>
        <w:t>al</w:t>
      </w:r>
      <w:r w:rsidRPr="00CC562A">
        <w:rPr>
          <w:rFonts w:ascii="Cambria" w:eastAsia="Cambria" w:hAnsi="Cambria"/>
          <w:sz w:val="20"/>
          <w:szCs w:val="20"/>
          <w:lang w:val="en-US"/>
        </w:rPr>
        <w:t>s seeking to enter Mexico under the condition of referred stay. This makes it difficult for them to access the procedure for recognition of the</w:t>
      </w:r>
      <w:r w:rsidR="00ED3911" w:rsidRPr="00CC562A">
        <w:rPr>
          <w:rFonts w:ascii="Cambria" w:eastAsia="Cambria" w:hAnsi="Cambria"/>
          <w:sz w:val="20"/>
          <w:szCs w:val="20"/>
          <w:lang w:val="en-US"/>
        </w:rPr>
        <w:t>ir</w:t>
      </w:r>
      <w:r w:rsidRPr="00CC562A">
        <w:rPr>
          <w:rFonts w:ascii="Cambria" w:eastAsia="Cambria" w:hAnsi="Cambria"/>
          <w:sz w:val="20"/>
          <w:szCs w:val="20"/>
          <w:lang w:val="en-US"/>
        </w:rPr>
        <w:t xml:space="preserve"> refugee status by the </w:t>
      </w:r>
      <w:r w:rsidR="602DAB02" w:rsidRPr="00CC562A">
        <w:rPr>
          <w:rFonts w:ascii="Cambria" w:eastAsia="Cambria" w:hAnsi="Cambria"/>
          <w:sz w:val="20"/>
          <w:szCs w:val="20"/>
          <w:lang w:val="en-US"/>
        </w:rPr>
        <w:t xml:space="preserve">COMAR </w:t>
      </w:r>
      <w:r w:rsidR="00D77397" w:rsidRPr="00CC562A">
        <w:rPr>
          <w:rFonts w:ascii="Cambria" w:eastAsia="Cambria" w:hAnsi="Cambria"/>
          <w:sz w:val="20"/>
          <w:szCs w:val="20"/>
          <w:lang w:val="en-US"/>
        </w:rPr>
        <w:t>– requiring</w:t>
      </w:r>
      <w:r w:rsidR="00ED3911" w:rsidRPr="00CC562A">
        <w:rPr>
          <w:rFonts w:ascii="Cambria" w:eastAsia="Cambria" w:hAnsi="Cambria"/>
          <w:sz w:val="20"/>
          <w:szCs w:val="20"/>
          <w:lang w:val="en-US"/>
        </w:rPr>
        <w:t xml:space="preserve"> p</w:t>
      </w:r>
      <w:r w:rsidRPr="00CC562A">
        <w:rPr>
          <w:rFonts w:ascii="Cambria" w:eastAsia="Cambria" w:hAnsi="Cambria"/>
          <w:sz w:val="20"/>
          <w:szCs w:val="20"/>
          <w:lang w:val="en-US"/>
        </w:rPr>
        <w:t xml:space="preserve">eople to be in national territory – </w:t>
      </w:r>
      <w:r w:rsidR="00ED3911" w:rsidRPr="00CC562A">
        <w:rPr>
          <w:rFonts w:ascii="Cambria" w:eastAsia="Cambria" w:hAnsi="Cambria"/>
          <w:sz w:val="20"/>
          <w:szCs w:val="20"/>
          <w:lang w:val="en-US"/>
        </w:rPr>
        <w:t xml:space="preserve">and </w:t>
      </w:r>
      <w:r w:rsidRPr="00CC562A">
        <w:rPr>
          <w:rFonts w:ascii="Cambria" w:eastAsia="Cambria" w:hAnsi="Cambria"/>
          <w:sz w:val="20"/>
          <w:szCs w:val="20"/>
          <w:lang w:val="en-US"/>
        </w:rPr>
        <w:t>ignores th</w:t>
      </w:r>
      <w:r w:rsidR="00ED3911" w:rsidRPr="00CC562A">
        <w:rPr>
          <w:rFonts w:ascii="Cambria" w:eastAsia="Cambria" w:hAnsi="Cambria"/>
          <w:sz w:val="20"/>
          <w:szCs w:val="20"/>
          <w:lang w:val="en-US"/>
        </w:rPr>
        <w:t xml:space="preserve">e </w:t>
      </w:r>
      <w:r w:rsidRPr="00CC562A">
        <w:rPr>
          <w:rFonts w:ascii="Cambria" w:eastAsia="Cambria" w:hAnsi="Cambria"/>
          <w:sz w:val="20"/>
          <w:szCs w:val="20"/>
          <w:lang w:val="en-US"/>
        </w:rPr>
        <w:t xml:space="preserve">declarative nature of one’s refugee status and puts people at serious and imminent risk of being </w:t>
      </w:r>
      <w:r w:rsidR="005E327B" w:rsidRPr="00CC562A">
        <w:rPr>
          <w:rFonts w:ascii="Cambria" w:eastAsia="Cambria" w:hAnsi="Cambria"/>
          <w:sz w:val="20"/>
          <w:szCs w:val="20"/>
          <w:lang w:val="en-US"/>
        </w:rPr>
        <w:t>rejected or returned to their country of origin with</w:t>
      </w:r>
      <w:r w:rsidR="00ED3911" w:rsidRPr="00CC562A">
        <w:rPr>
          <w:rFonts w:ascii="Cambria" w:eastAsia="Cambria" w:hAnsi="Cambria"/>
          <w:sz w:val="20"/>
          <w:szCs w:val="20"/>
          <w:lang w:val="en-US"/>
        </w:rPr>
        <w:t>out</w:t>
      </w:r>
      <w:r w:rsidR="005E327B" w:rsidRPr="00CC562A">
        <w:rPr>
          <w:rFonts w:ascii="Cambria" w:eastAsia="Cambria" w:hAnsi="Cambria"/>
          <w:sz w:val="20"/>
          <w:szCs w:val="20"/>
          <w:lang w:val="en-US"/>
        </w:rPr>
        <w:t xml:space="preserve"> considering that their life, security, freedom, or integrity are imperiled in Venezuela</w:t>
      </w:r>
      <w:r w:rsidR="00784857" w:rsidRPr="00CC562A">
        <w:rPr>
          <w:rFonts w:ascii="Cambria" w:eastAsia="Cambria" w:hAnsi="Cambria"/>
          <w:sz w:val="20"/>
          <w:szCs w:val="20"/>
          <w:lang w:val="en-US"/>
        </w:rPr>
        <w:t>.</w:t>
      </w:r>
      <w:r w:rsidR="00DC5772" w:rsidRPr="00CC562A">
        <w:rPr>
          <w:rStyle w:val="FootnoteReference"/>
          <w:rFonts w:ascii="Cambria" w:hAnsi="Cambria"/>
          <w:sz w:val="20"/>
          <w:szCs w:val="20"/>
        </w:rPr>
        <w:footnoteReference w:id="283"/>
      </w:r>
    </w:p>
    <w:p w14:paraId="072258B8" w14:textId="5FB712E2" w:rsidR="00DC5772" w:rsidRPr="00CC562A" w:rsidRDefault="00784857" w:rsidP="00DC5772">
      <w:pPr>
        <w:numPr>
          <w:ilvl w:val="0"/>
          <w:numId w:val="2"/>
        </w:numPr>
        <w:shd w:val="clear" w:color="auto" w:fill="FFFFFF" w:themeFill="background1"/>
        <w:spacing w:before="240" w:line="240" w:lineRule="auto"/>
        <w:ind w:left="0" w:firstLine="720"/>
        <w:jc w:val="both"/>
        <w:rPr>
          <w:rFonts w:ascii="Cambria" w:hAnsi="Cambria"/>
          <w:color w:val="000000" w:themeColor="text1"/>
          <w:sz w:val="20"/>
          <w:lang w:val="en-US"/>
        </w:rPr>
      </w:pPr>
      <w:r w:rsidRPr="00CC562A">
        <w:rPr>
          <w:rFonts w:ascii="Cambria" w:hAnsi="Cambria"/>
          <w:color w:val="000000" w:themeColor="text1"/>
          <w:sz w:val="20"/>
          <w:lang w:val="en-US"/>
        </w:rPr>
        <w:t>With respect to the above, in its observations on this report the State indicated that, according to COMAR, the number of people seeking refugee status in Mexico recorded by that institution in the year</w:t>
      </w:r>
      <w:r w:rsidR="00DC5772" w:rsidRPr="00CC562A">
        <w:rPr>
          <w:rFonts w:ascii="Cambria" w:eastAsia="Cambria" w:hAnsi="Cambria"/>
          <w:color w:val="000000" w:themeColor="text1"/>
          <w:sz w:val="20"/>
          <w:szCs w:val="20"/>
          <w:lang w:val="en-US"/>
        </w:rPr>
        <w:t xml:space="preserve"> 2022 </w:t>
      </w:r>
      <w:r w:rsidRPr="00CC562A">
        <w:rPr>
          <w:rFonts w:ascii="Cambria" w:eastAsia="Cambria" w:hAnsi="Cambria"/>
          <w:color w:val="000000" w:themeColor="text1"/>
          <w:sz w:val="20"/>
          <w:szCs w:val="20"/>
          <w:lang w:val="en-US"/>
        </w:rPr>
        <w:t xml:space="preserve">was the highest number of Venezuelan applicants in the country since they began to arrive in significant numbers starting in </w:t>
      </w:r>
      <w:r w:rsidR="00DC5772" w:rsidRPr="00CC562A">
        <w:rPr>
          <w:rFonts w:ascii="Cambria" w:eastAsia="Cambria" w:hAnsi="Cambria"/>
          <w:color w:val="000000" w:themeColor="text1"/>
          <w:sz w:val="20"/>
          <w:szCs w:val="20"/>
          <w:lang w:val="en-US"/>
        </w:rPr>
        <w:t xml:space="preserve">2016. </w:t>
      </w:r>
      <w:r w:rsidRPr="00CC562A">
        <w:rPr>
          <w:rFonts w:ascii="Cambria" w:eastAsia="Cambria" w:hAnsi="Cambria"/>
          <w:color w:val="000000" w:themeColor="text1"/>
          <w:sz w:val="20"/>
          <w:szCs w:val="20"/>
          <w:lang w:val="en-US"/>
        </w:rPr>
        <w:t>In this regard, that entity recorded a total of</w:t>
      </w:r>
      <w:r w:rsidR="00DC5772" w:rsidRPr="00CC562A">
        <w:rPr>
          <w:rFonts w:ascii="Cambria" w:eastAsia="Cambria" w:hAnsi="Cambria"/>
          <w:color w:val="000000" w:themeColor="text1"/>
          <w:sz w:val="20"/>
          <w:szCs w:val="20"/>
          <w:lang w:val="en-US"/>
        </w:rPr>
        <w:t xml:space="preserve"> 10,214 </w:t>
      </w:r>
      <w:r w:rsidRPr="00CC562A">
        <w:rPr>
          <w:rFonts w:ascii="Cambria" w:eastAsia="Cambria" w:hAnsi="Cambria"/>
          <w:color w:val="000000" w:themeColor="text1"/>
          <w:sz w:val="20"/>
          <w:szCs w:val="20"/>
          <w:lang w:val="en-US"/>
        </w:rPr>
        <w:t xml:space="preserve">Venezuelan applicants, </w:t>
      </w:r>
      <w:proofErr w:type="gramStart"/>
      <w:r w:rsidRPr="00CC562A">
        <w:rPr>
          <w:rFonts w:ascii="Cambria" w:eastAsia="Cambria" w:hAnsi="Cambria"/>
          <w:color w:val="000000" w:themeColor="text1"/>
          <w:sz w:val="20"/>
          <w:szCs w:val="20"/>
          <w:lang w:val="en-US"/>
        </w:rPr>
        <w:t>regardless of the fact that</w:t>
      </w:r>
      <w:proofErr w:type="gramEnd"/>
      <w:r w:rsidRPr="00CC562A">
        <w:rPr>
          <w:rFonts w:ascii="Cambria" w:eastAsia="Cambria" w:hAnsi="Cambria"/>
          <w:color w:val="000000" w:themeColor="text1"/>
          <w:sz w:val="20"/>
          <w:szCs w:val="20"/>
          <w:lang w:val="en-US"/>
        </w:rPr>
        <w:t xml:space="preserve"> the large majority entered irregularly by land through the city of</w:t>
      </w:r>
      <w:r w:rsidR="00DC5772" w:rsidRPr="00CC562A">
        <w:rPr>
          <w:rFonts w:ascii="Cambria" w:eastAsia="Cambria" w:hAnsi="Cambria"/>
          <w:color w:val="000000" w:themeColor="text1"/>
          <w:sz w:val="20"/>
          <w:szCs w:val="20"/>
          <w:lang w:val="en-US"/>
        </w:rPr>
        <w:t xml:space="preserve"> Hidalgo c</w:t>
      </w:r>
      <w:r w:rsidRPr="00CC562A">
        <w:rPr>
          <w:rFonts w:ascii="Cambria" w:eastAsia="Cambria" w:hAnsi="Cambria"/>
          <w:color w:val="000000" w:themeColor="text1"/>
          <w:sz w:val="20"/>
          <w:szCs w:val="20"/>
          <w:lang w:val="en-US"/>
        </w:rPr>
        <w:t xml:space="preserve">lose to </w:t>
      </w:r>
      <w:proofErr w:type="spellStart"/>
      <w:r w:rsidR="00DC5772" w:rsidRPr="00CC562A">
        <w:rPr>
          <w:rFonts w:ascii="Cambria" w:eastAsia="Cambria" w:hAnsi="Cambria"/>
          <w:color w:val="000000" w:themeColor="text1"/>
          <w:sz w:val="20"/>
          <w:szCs w:val="20"/>
          <w:lang w:val="en-US"/>
        </w:rPr>
        <w:t>Tapachula</w:t>
      </w:r>
      <w:proofErr w:type="spellEnd"/>
      <w:r w:rsidRPr="00CC562A">
        <w:rPr>
          <w:rFonts w:ascii="Cambria" w:eastAsia="Cambria" w:hAnsi="Cambria"/>
          <w:color w:val="000000" w:themeColor="text1"/>
          <w:sz w:val="20"/>
          <w:szCs w:val="20"/>
          <w:lang w:val="en-US"/>
        </w:rPr>
        <w:t>.</w:t>
      </w:r>
      <w:r w:rsidR="00DC5772" w:rsidRPr="00CC562A">
        <w:rPr>
          <w:rStyle w:val="FootnoteReference"/>
          <w:rFonts w:ascii="Cambria" w:eastAsia="Cambria" w:hAnsi="Cambria"/>
          <w:color w:val="000000" w:themeColor="text1"/>
          <w:sz w:val="20"/>
          <w:szCs w:val="20"/>
          <w:lang w:val="en-US"/>
        </w:rPr>
        <w:footnoteReference w:id="284"/>
      </w:r>
      <w:r w:rsidR="00DC5772" w:rsidRPr="00CC562A">
        <w:rPr>
          <w:rFonts w:ascii="Cambria" w:eastAsia="Cambria" w:hAnsi="Cambria"/>
          <w:color w:val="000000" w:themeColor="text1"/>
          <w:sz w:val="20"/>
          <w:szCs w:val="20"/>
          <w:lang w:val="en-US"/>
        </w:rPr>
        <w:t xml:space="preserve"> </w:t>
      </w:r>
    </w:p>
    <w:p w14:paraId="22B7ED71" w14:textId="1BEF4EC8" w:rsidR="0076279D" w:rsidRPr="00CC562A" w:rsidRDefault="005E327B"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With regard to</w:t>
      </w:r>
      <w:proofErr w:type="gramEnd"/>
      <w:r w:rsidRPr="00CC562A">
        <w:rPr>
          <w:rFonts w:ascii="Cambria" w:eastAsia="Cambria" w:hAnsi="Cambria" w:cs="Cambria"/>
          <w:sz w:val="20"/>
          <w:szCs w:val="20"/>
          <w:lang w:val="en-US"/>
        </w:rPr>
        <w:t xml:space="preserve"> this recommendation, </w:t>
      </w:r>
      <w:r w:rsidR="00752FED" w:rsidRPr="00CC562A">
        <w:rPr>
          <w:rFonts w:ascii="Cambria" w:hAnsi="Cambria"/>
          <w:sz w:val="20"/>
          <w:szCs w:val="20"/>
          <w:lang w:val="en-US"/>
        </w:rPr>
        <w:t>the State</w:t>
      </w:r>
      <w:r w:rsidR="590A88D9" w:rsidRPr="00CC562A">
        <w:rPr>
          <w:rFonts w:ascii="Cambria" w:hAnsi="Cambria"/>
          <w:sz w:val="20"/>
          <w:szCs w:val="20"/>
          <w:lang w:val="en-US"/>
        </w:rPr>
        <w:t xml:space="preserve"> </w:t>
      </w:r>
      <w:r w:rsidRPr="00CC562A">
        <w:rPr>
          <w:rFonts w:ascii="Cambria" w:hAnsi="Cambria"/>
          <w:sz w:val="20"/>
          <w:szCs w:val="20"/>
          <w:lang w:val="en-US"/>
        </w:rPr>
        <w:t xml:space="preserve">reported on measures related </w:t>
      </w:r>
      <w:r w:rsidR="00D77397" w:rsidRPr="00CC562A">
        <w:rPr>
          <w:rFonts w:ascii="Cambria" w:hAnsi="Cambria"/>
          <w:sz w:val="20"/>
          <w:szCs w:val="20"/>
          <w:lang w:val="en-US"/>
        </w:rPr>
        <w:t>to</w:t>
      </w:r>
      <w:r w:rsidR="590A88D9" w:rsidRPr="00CC562A">
        <w:rPr>
          <w:rFonts w:ascii="Cambria" w:hAnsi="Cambria"/>
          <w:sz w:val="20"/>
          <w:szCs w:val="20"/>
          <w:lang w:val="en-US"/>
        </w:rPr>
        <w:t xml:space="preserve"> </w:t>
      </w:r>
      <w:proofErr w:type="spellStart"/>
      <w:r w:rsidR="590A88D9" w:rsidRPr="00CC562A">
        <w:rPr>
          <w:rFonts w:ascii="Cambria" w:hAnsi="Cambria"/>
          <w:sz w:val="20"/>
          <w:szCs w:val="20"/>
          <w:lang w:val="en-US"/>
        </w:rPr>
        <w:t>i</w:t>
      </w:r>
      <w:proofErr w:type="spellEnd"/>
      <w:r w:rsidR="590A88D9" w:rsidRPr="00CC562A">
        <w:rPr>
          <w:rFonts w:ascii="Cambria" w:hAnsi="Cambria"/>
          <w:sz w:val="20"/>
          <w:szCs w:val="20"/>
          <w:lang w:val="en-US"/>
        </w:rPr>
        <w:t>)</w:t>
      </w:r>
      <w:r w:rsidRPr="00CC562A">
        <w:rPr>
          <w:rFonts w:ascii="Cambria" w:hAnsi="Cambria"/>
          <w:sz w:val="20"/>
          <w:szCs w:val="20"/>
          <w:lang w:val="en-US"/>
        </w:rPr>
        <w:t xml:space="preserve"> migration review, verification, and control</w:t>
      </w:r>
      <w:r w:rsidR="590A88D9" w:rsidRPr="00CC562A">
        <w:rPr>
          <w:rFonts w:ascii="Cambria" w:hAnsi="Cambria"/>
          <w:sz w:val="20"/>
          <w:szCs w:val="20"/>
          <w:lang w:val="en-US"/>
        </w:rPr>
        <w:t xml:space="preserve">; ii) </w:t>
      </w:r>
      <w:r w:rsidRPr="00CC562A">
        <w:rPr>
          <w:rFonts w:ascii="Cambria" w:hAnsi="Cambria"/>
          <w:sz w:val="20"/>
          <w:szCs w:val="20"/>
          <w:lang w:val="en-US"/>
        </w:rPr>
        <w:t>detention of migrants;</w:t>
      </w:r>
      <w:r w:rsidR="590A88D9" w:rsidRPr="00CC562A">
        <w:rPr>
          <w:rFonts w:ascii="Cambria" w:hAnsi="Cambria"/>
          <w:sz w:val="20"/>
          <w:szCs w:val="20"/>
          <w:lang w:val="en-US"/>
        </w:rPr>
        <w:t xml:space="preserve"> iii) condi</w:t>
      </w:r>
      <w:r w:rsidRPr="00CC562A">
        <w:rPr>
          <w:rFonts w:ascii="Cambria" w:hAnsi="Cambria"/>
          <w:sz w:val="20"/>
          <w:szCs w:val="20"/>
          <w:lang w:val="en-US"/>
        </w:rPr>
        <w:t>tions of detention;</w:t>
      </w:r>
      <w:r w:rsidR="590A88D9" w:rsidRPr="00CC562A">
        <w:rPr>
          <w:rFonts w:ascii="Cambria" w:hAnsi="Cambria"/>
          <w:sz w:val="20"/>
          <w:szCs w:val="20"/>
          <w:lang w:val="en-US"/>
        </w:rPr>
        <w:t xml:space="preserve"> iv) </w:t>
      </w:r>
      <w:r w:rsidRPr="00CC562A">
        <w:rPr>
          <w:rFonts w:ascii="Cambria" w:hAnsi="Cambria"/>
          <w:sz w:val="20"/>
          <w:szCs w:val="20"/>
          <w:lang w:val="en-US"/>
        </w:rPr>
        <w:t>judicial guarantees and protection; and</w:t>
      </w:r>
      <w:r w:rsidR="00ED3911" w:rsidRPr="00CC562A">
        <w:rPr>
          <w:rFonts w:ascii="Cambria" w:hAnsi="Cambria"/>
          <w:sz w:val="20"/>
          <w:szCs w:val="20"/>
          <w:lang w:val="en-US"/>
        </w:rPr>
        <w:t xml:space="preserve"> </w:t>
      </w:r>
      <w:r w:rsidR="590A88D9" w:rsidRPr="00CC562A">
        <w:rPr>
          <w:rFonts w:ascii="Cambria" w:hAnsi="Cambria"/>
          <w:sz w:val="20"/>
          <w:szCs w:val="20"/>
          <w:lang w:val="en-US"/>
        </w:rPr>
        <w:t>v) violenc</w:t>
      </w:r>
      <w:r w:rsidRPr="00CC562A">
        <w:rPr>
          <w:rFonts w:ascii="Cambria" w:hAnsi="Cambria"/>
          <w:sz w:val="20"/>
          <w:szCs w:val="20"/>
          <w:lang w:val="en-US"/>
        </w:rPr>
        <w:t>e and discrimination against migrants and other in the context of human mobility in Mexico. In this respect, the Commission notes that the</w:t>
      </w:r>
      <w:r w:rsidR="00752FED" w:rsidRPr="00CC562A">
        <w:rPr>
          <w:rFonts w:ascii="Cambria" w:hAnsi="Cambria"/>
          <w:sz w:val="20"/>
          <w:szCs w:val="20"/>
          <w:lang w:val="en-US"/>
        </w:rPr>
        <w:t xml:space="preserve"> State</w:t>
      </w:r>
      <w:r w:rsidR="590A88D9" w:rsidRPr="00CC562A">
        <w:rPr>
          <w:rFonts w:ascii="Cambria" w:hAnsi="Cambria"/>
          <w:sz w:val="20"/>
          <w:szCs w:val="20"/>
          <w:lang w:val="en-US"/>
        </w:rPr>
        <w:t xml:space="preserve"> </w:t>
      </w:r>
      <w:r w:rsidRPr="00CC562A">
        <w:rPr>
          <w:rFonts w:ascii="Cambria" w:hAnsi="Cambria"/>
          <w:sz w:val="20"/>
          <w:szCs w:val="20"/>
          <w:lang w:val="en-US"/>
        </w:rPr>
        <w:t xml:space="preserve">essentially retains the measures reported to the Commission in the 2021 Follow-up Report, while it has developed the federal government’s migration policy. On this subject, </w:t>
      </w:r>
      <w:r w:rsidR="00E041F8" w:rsidRPr="00CC562A">
        <w:rPr>
          <w:rFonts w:ascii="Cambria" w:hAnsi="Cambria"/>
          <w:sz w:val="20"/>
          <w:szCs w:val="20"/>
          <w:lang w:val="en-US"/>
        </w:rPr>
        <w:t xml:space="preserve">note is made of the deployment of various security forces, including the National Guard, </w:t>
      </w:r>
      <w:r w:rsidR="00ED3911" w:rsidRPr="00CC562A">
        <w:rPr>
          <w:rFonts w:ascii="Cambria" w:hAnsi="Cambria"/>
          <w:sz w:val="20"/>
          <w:szCs w:val="20"/>
          <w:lang w:val="en-US"/>
        </w:rPr>
        <w:t>to</w:t>
      </w:r>
      <w:r w:rsidR="00E041F8" w:rsidRPr="00CC562A">
        <w:rPr>
          <w:rFonts w:ascii="Cambria" w:hAnsi="Cambria"/>
          <w:sz w:val="20"/>
          <w:szCs w:val="20"/>
          <w:lang w:val="en-US"/>
        </w:rPr>
        <w:t>r control</w:t>
      </w:r>
      <w:r w:rsidR="00ED3911" w:rsidRPr="00CC562A">
        <w:rPr>
          <w:rFonts w:ascii="Cambria" w:hAnsi="Cambria"/>
          <w:sz w:val="20"/>
          <w:szCs w:val="20"/>
          <w:lang w:val="en-US"/>
        </w:rPr>
        <w:t xml:space="preserve"> </w:t>
      </w:r>
      <w:r w:rsidR="00E041F8" w:rsidRPr="00CC562A">
        <w:rPr>
          <w:rFonts w:ascii="Cambria" w:hAnsi="Cambria"/>
          <w:sz w:val="20"/>
          <w:szCs w:val="20"/>
          <w:lang w:val="en-US"/>
        </w:rPr>
        <w:t xml:space="preserve">migrant flows in Mexican territory. That policy has been widely pointed out by civil society organizations that have denounced the continued militarization of public security forces. Similarly, the excessive use of force to handle human migration in border flows has also been denounced. Given this situation, </w:t>
      </w:r>
      <w:r w:rsidR="00276638" w:rsidRPr="00CC562A">
        <w:rPr>
          <w:rFonts w:ascii="Cambria" w:hAnsi="Cambria"/>
          <w:sz w:val="20"/>
          <w:szCs w:val="20"/>
          <w:lang w:val="en-US"/>
        </w:rPr>
        <w:t>the IACHR</w:t>
      </w:r>
      <w:r w:rsidR="3419FFA3" w:rsidRPr="00CC562A">
        <w:rPr>
          <w:rFonts w:ascii="Cambria" w:hAnsi="Cambria"/>
          <w:sz w:val="20"/>
          <w:szCs w:val="20"/>
          <w:lang w:val="en-US"/>
        </w:rPr>
        <w:t xml:space="preserve"> </w:t>
      </w:r>
      <w:r w:rsidR="00E041F8" w:rsidRPr="00CC562A">
        <w:rPr>
          <w:rFonts w:ascii="Cambria" w:hAnsi="Cambria"/>
          <w:sz w:val="20"/>
          <w:szCs w:val="20"/>
          <w:lang w:val="en-US"/>
        </w:rPr>
        <w:t>urges the State to reconsider its border policy that criminalizes and obstructs the exercise of human rights by people who are in a migration situation, which should be orderly and not discriminatory</w:t>
      </w:r>
      <w:r w:rsidR="590A88D9" w:rsidRPr="00CC562A">
        <w:rPr>
          <w:rFonts w:ascii="Cambria" w:hAnsi="Cambria"/>
          <w:sz w:val="20"/>
          <w:szCs w:val="20"/>
          <w:lang w:val="en-US"/>
        </w:rPr>
        <w:t xml:space="preserve">. </w:t>
      </w:r>
    </w:p>
    <w:p w14:paraId="5288FD15" w14:textId="2F9A5810" w:rsidR="004A31AF" w:rsidRPr="00CC562A" w:rsidRDefault="00E041F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Similarly, the Commission notes the regulatory standards established by the State to comply with the recommendations in</w:t>
      </w:r>
      <w:r w:rsidR="590A88D9" w:rsidRPr="00CC562A">
        <w:rPr>
          <w:rFonts w:ascii="Cambria" w:hAnsi="Cambria"/>
          <w:sz w:val="20"/>
          <w:szCs w:val="20"/>
          <w:lang w:val="en-US"/>
        </w:rPr>
        <w:t xml:space="preserve"> </w:t>
      </w:r>
      <w:r w:rsidRPr="00CC562A">
        <w:rPr>
          <w:rFonts w:ascii="Cambria" w:hAnsi="Cambria"/>
          <w:sz w:val="20"/>
          <w:szCs w:val="20"/>
          <w:lang w:val="en-US"/>
        </w:rPr>
        <w:t>the Report on the Human Rights of Migrants in Mexico, particularly those where the purpose is to safeguard their safety in response to the risks posed by human mobility</w:t>
      </w:r>
      <w:r w:rsidR="00E16F48" w:rsidRPr="00CC562A">
        <w:rPr>
          <w:rFonts w:ascii="Cambria" w:hAnsi="Cambria"/>
          <w:sz w:val="20"/>
          <w:szCs w:val="20"/>
          <w:lang w:val="en-US"/>
        </w:rPr>
        <w:t xml:space="preserve">. Nonetheless, additional measures are needed to comply with the recommendation. In this regard, the Commission considers that the status of the recommendation is </w:t>
      </w:r>
      <w:r w:rsidR="00E16F48" w:rsidRPr="00CC562A">
        <w:rPr>
          <w:rFonts w:ascii="Cambria" w:hAnsi="Cambria"/>
          <w:b/>
          <w:bCs/>
          <w:sz w:val="20"/>
          <w:szCs w:val="20"/>
          <w:lang w:val="en-US"/>
        </w:rPr>
        <w:t>partial compliance</w:t>
      </w:r>
      <w:r w:rsidR="590A88D9" w:rsidRPr="00CC562A">
        <w:rPr>
          <w:rFonts w:ascii="Cambria" w:hAnsi="Cambria"/>
          <w:sz w:val="20"/>
          <w:szCs w:val="20"/>
          <w:lang w:val="en-US"/>
        </w:rPr>
        <w:t xml:space="preserve">. </w:t>
      </w:r>
    </w:p>
    <w:p w14:paraId="068452B4" w14:textId="6943A74D" w:rsidR="008A4D49" w:rsidRPr="00CC562A" w:rsidRDefault="00E16F4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the implementation of this recommendation, the Commission urges the State to ensure that the policies adopted provide a solution to the problems suffered by migrants in the Mexican State, as well as multiple human rights violations and the high degree of vulnerability, </w:t>
      </w:r>
      <w:proofErr w:type="gramStart"/>
      <w:r w:rsidRPr="00CC562A">
        <w:rPr>
          <w:rFonts w:ascii="Cambria" w:eastAsia="Cambria" w:hAnsi="Cambria" w:cs="Cambria"/>
          <w:sz w:val="20"/>
          <w:szCs w:val="20"/>
          <w:lang w:val="en-US"/>
        </w:rPr>
        <w:t>so as to</w:t>
      </w:r>
      <w:proofErr w:type="gramEnd"/>
      <w:r w:rsidRPr="00CC562A">
        <w:rPr>
          <w:rFonts w:ascii="Cambria" w:eastAsia="Cambria" w:hAnsi="Cambria" w:cs="Cambria"/>
          <w:sz w:val="20"/>
          <w:szCs w:val="20"/>
          <w:lang w:val="en-US"/>
        </w:rPr>
        <w:t xml:space="preserve"> guarantee compliance with international standards in this area</w:t>
      </w:r>
      <w:r w:rsidR="14FDEC1C" w:rsidRPr="00CC562A">
        <w:rPr>
          <w:rFonts w:ascii="Cambria" w:eastAsia="Cambria" w:hAnsi="Cambria" w:cs="Cambria"/>
          <w:sz w:val="20"/>
          <w:szCs w:val="20"/>
          <w:lang w:val="en-US"/>
        </w:rPr>
        <w:t>.</w:t>
      </w:r>
    </w:p>
    <w:p w14:paraId="181311A2" w14:textId="20071C53" w:rsidR="004A1139" w:rsidRPr="00CC562A" w:rsidRDefault="00E60F70"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hAnsi="Cambria"/>
          <w:b/>
          <w:bCs/>
          <w:sz w:val="20"/>
          <w:szCs w:val="20"/>
          <w:lang w:val="en-US"/>
        </w:rPr>
        <w:t xml:space="preserve">prepare a national diagnostic assessment to “characterize” internal displacement in Mexico and, consequently, adopt a national policy and measures aimed at providing a response in accordance with international standards on the subject, in </w:t>
      </w:r>
      <w:r w:rsidRPr="00CC562A">
        <w:rPr>
          <w:rFonts w:ascii="Cambria" w:hAnsi="Cambria"/>
          <w:b/>
          <w:bCs/>
          <w:sz w:val="20"/>
          <w:szCs w:val="20"/>
          <w:lang w:val="en-US"/>
        </w:rPr>
        <w:lastRenderedPageBreak/>
        <w:t>particular the Guiding Principles on Internal Displacement</w:t>
      </w:r>
      <w:r w:rsidR="0ED6A699"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7F4495C4" w:rsidRPr="00CC562A">
        <w:rPr>
          <w:rFonts w:ascii="Cambria" w:eastAsia="Cambria" w:hAnsi="Cambria" w:cs="Cambria"/>
          <w:sz w:val="20"/>
          <w:szCs w:val="20"/>
          <w:lang w:val="en-US"/>
        </w:rPr>
        <w:t xml:space="preserve"> indic</w:t>
      </w:r>
      <w:r w:rsidRPr="00CC562A">
        <w:rPr>
          <w:rFonts w:ascii="Cambria" w:eastAsia="Cambria" w:hAnsi="Cambria" w:cs="Cambria"/>
          <w:sz w:val="20"/>
          <w:szCs w:val="20"/>
          <w:lang w:val="en-US"/>
        </w:rPr>
        <w:t>ated that it has taken action to produce information facilitating full understanding of internal forced displacement (hereinafter “IFD”) and the specific needs of those living in this situation. In this regard, it indicated that, although there is no specific general legislation on IDF mandating the production of official data on the phenomenon</w:t>
      </w:r>
      <w:r w:rsidR="019FB4C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Ministry of the Interior has promoted studies and research </w:t>
      </w:r>
      <w:proofErr w:type="gramStart"/>
      <w:r w:rsidRPr="00CC562A">
        <w:rPr>
          <w:rFonts w:ascii="Cambria" w:eastAsia="Cambria" w:hAnsi="Cambria" w:cs="Cambria"/>
          <w:sz w:val="20"/>
          <w:szCs w:val="20"/>
          <w:lang w:val="en-US"/>
        </w:rPr>
        <w:t>on the subject of human</w:t>
      </w:r>
      <w:proofErr w:type="gramEnd"/>
      <w:r w:rsidRPr="00CC562A">
        <w:rPr>
          <w:rFonts w:ascii="Cambria" w:eastAsia="Cambria" w:hAnsi="Cambria" w:cs="Cambria"/>
          <w:sz w:val="20"/>
          <w:szCs w:val="20"/>
          <w:lang w:val="en-US"/>
        </w:rPr>
        <w:t xml:space="preserve"> mobility, as well as technical tools to allow for approaching the observation of this phenomenon and </w:t>
      </w:r>
      <w:r w:rsidR="00F01BD8" w:rsidRPr="00CC562A">
        <w:rPr>
          <w:rFonts w:ascii="Cambria" w:eastAsia="Cambria" w:hAnsi="Cambria" w:cs="Cambria"/>
          <w:sz w:val="20"/>
          <w:szCs w:val="20"/>
          <w:lang w:val="en-US"/>
        </w:rPr>
        <w:t xml:space="preserve">to support decision-making to provide a comprehensive response to </w:t>
      </w:r>
      <w:r w:rsidR="00D77397" w:rsidRPr="00CC562A">
        <w:rPr>
          <w:rFonts w:ascii="Cambria" w:eastAsia="Cambria" w:hAnsi="Cambria" w:cs="Cambria"/>
          <w:sz w:val="20"/>
          <w:szCs w:val="20"/>
          <w:lang w:val="en-US"/>
        </w:rPr>
        <w:t>it.</w:t>
      </w:r>
    </w:p>
    <w:p w14:paraId="49AD97A1" w14:textId="10E758B9" w:rsidR="004A1139" w:rsidRPr="00CC562A" w:rsidRDefault="00F01BD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this regard, </w:t>
      </w:r>
      <w:r w:rsidR="00752FED" w:rsidRPr="00CC562A">
        <w:rPr>
          <w:rFonts w:ascii="Cambria" w:eastAsia="Cambria" w:hAnsi="Cambria" w:cs="Cambria"/>
          <w:sz w:val="20"/>
          <w:szCs w:val="20"/>
          <w:lang w:val="en-US"/>
        </w:rPr>
        <w:t>the State</w:t>
      </w:r>
      <w:r w:rsidR="09C8B4C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emphasized that the document Internal Forced Displacement in Mexico. Analysis and Recommendations for Addressing it in</w:t>
      </w:r>
      <w:r w:rsidR="019FB4CE" w:rsidRPr="00CC562A">
        <w:rPr>
          <w:rFonts w:ascii="Cambria" w:eastAsia="Cambria" w:hAnsi="Cambria" w:cs="Cambria"/>
          <w:sz w:val="20"/>
          <w:szCs w:val="20"/>
          <w:lang w:val="en-US"/>
        </w:rPr>
        <w:t xml:space="preserve"> Jalisco, Puebla</w:t>
      </w:r>
      <w:r w:rsidRPr="00CC562A">
        <w:rPr>
          <w:rFonts w:ascii="Cambria" w:eastAsia="Cambria" w:hAnsi="Cambria" w:cs="Cambria"/>
          <w:sz w:val="20"/>
          <w:szCs w:val="20"/>
          <w:lang w:val="en-US"/>
        </w:rPr>
        <w:t>, and</w:t>
      </w:r>
      <w:r w:rsidR="019FB4CE" w:rsidRPr="00CC562A">
        <w:rPr>
          <w:rFonts w:ascii="Cambria" w:eastAsia="Cambria" w:hAnsi="Cambria" w:cs="Cambria"/>
          <w:sz w:val="20"/>
          <w:szCs w:val="20"/>
          <w:lang w:val="en-US"/>
        </w:rPr>
        <w:t xml:space="preserve"> Querétaro</w:t>
      </w:r>
      <w:r w:rsidRPr="00CC562A">
        <w:rPr>
          <w:rFonts w:ascii="Cambria" w:eastAsia="Cambria" w:hAnsi="Cambria" w:cs="Cambria"/>
          <w:sz w:val="20"/>
          <w:szCs w:val="20"/>
          <w:lang w:val="en-US"/>
        </w:rPr>
        <w:t xml:space="preserve"> was published in August 2022. It was jointly edited by the Ministry of the Interior</w:t>
      </w:r>
      <w:r w:rsidR="019FB4CE"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German Cooperation for Sustainable Development in Mexico</w:t>
      </w:r>
      <w:r w:rsidR="019FB4CE" w:rsidRPr="00CC562A">
        <w:rPr>
          <w:rFonts w:ascii="Cambria" w:eastAsia="Cambria" w:hAnsi="Cambria" w:cs="Cambria"/>
          <w:sz w:val="20"/>
          <w:szCs w:val="20"/>
          <w:lang w:val="en-US"/>
        </w:rPr>
        <w:t xml:space="preserve"> (GIZ)</w:t>
      </w:r>
      <w:r w:rsidRPr="00CC562A">
        <w:rPr>
          <w:rFonts w:ascii="Cambria" w:eastAsia="Cambria" w:hAnsi="Cambria" w:cs="Cambria"/>
          <w:sz w:val="20"/>
          <w:szCs w:val="20"/>
          <w:lang w:val="en-US"/>
        </w:rPr>
        <w:t>, and the University Seminar on Internal Displacement, Migration, Exile, and Repatriation of the Autonomous University of Mexico. This publication provides an approach to the study of internal forced displacement in Mexico</w:t>
      </w:r>
      <w:r w:rsidR="00627DF5" w:rsidRPr="00CC562A">
        <w:rPr>
          <w:rFonts w:ascii="Cambria" w:eastAsia="Cambria" w:hAnsi="Cambria" w:cs="Cambria"/>
          <w:sz w:val="20"/>
          <w:szCs w:val="20"/>
          <w:lang w:val="en-US"/>
        </w:rPr>
        <w:t>.</w:t>
      </w:r>
      <w:r w:rsidR="00DC5772" w:rsidRPr="00CC562A">
        <w:rPr>
          <w:rStyle w:val="FootnoteReference"/>
          <w:rFonts w:ascii="Cambria" w:hAnsi="Cambria"/>
          <w:sz w:val="20"/>
          <w:lang w:val="es-CO"/>
        </w:rPr>
        <w:footnoteReference w:id="285"/>
      </w:r>
      <w:r w:rsidR="00627DF5" w:rsidRPr="00CC562A">
        <w:rPr>
          <w:rFonts w:ascii="Cambria" w:hAnsi="Cambria"/>
          <w:sz w:val="20"/>
          <w:lang w:val="en-US"/>
        </w:rPr>
        <w:t xml:space="preserve"> In addition, the State reported that the Ministry of the Interior, through the National Population Council</w:t>
      </w:r>
      <w:r w:rsidR="00DC5772" w:rsidRPr="00CC562A">
        <w:rPr>
          <w:rFonts w:ascii="Cambria" w:hAnsi="Cambria"/>
          <w:sz w:val="20"/>
          <w:lang w:val="en-US"/>
        </w:rPr>
        <w:t xml:space="preserve"> (CONAPO), publi</w:t>
      </w:r>
      <w:r w:rsidR="00627DF5" w:rsidRPr="00CC562A">
        <w:rPr>
          <w:rFonts w:ascii="Cambria" w:hAnsi="Cambria"/>
          <w:sz w:val="20"/>
          <w:lang w:val="en-US"/>
        </w:rPr>
        <w:t xml:space="preserve">shed the </w:t>
      </w:r>
      <w:r w:rsidR="00DC5772" w:rsidRPr="00CC562A">
        <w:rPr>
          <w:rFonts w:ascii="Cambria" w:hAnsi="Cambria"/>
          <w:sz w:val="20"/>
          <w:lang w:val="en-US"/>
        </w:rPr>
        <w:t>“</w:t>
      </w:r>
      <w:r w:rsidR="00627DF5" w:rsidRPr="00CC562A">
        <w:rPr>
          <w:rFonts w:ascii="Cambria" w:hAnsi="Cambria"/>
          <w:sz w:val="20"/>
          <w:lang w:val="en-US"/>
        </w:rPr>
        <w:t>National Diagnostic on the Situation of Internal Forced Displacement in Mexico,” including qualitative findings on displacement useful for implementing a national policy for comprehensive attention to this phenomenon of human mobility. In addition, the State referred to two CONAPO studies on internal displacement from 2019</w:t>
      </w:r>
      <w:r w:rsidR="00DC5772" w:rsidRPr="00CC562A">
        <w:rPr>
          <w:rFonts w:ascii="Cambria" w:hAnsi="Cambria"/>
          <w:sz w:val="20"/>
          <w:lang w:val="en-US"/>
        </w:rPr>
        <w:t xml:space="preserve">. </w:t>
      </w:r>
      <w:r w:rsidR="00627DF5" w:rsidRPr="00CC562A">
        <w:rPr>
          <w:rFonts w:ascii="Cambria" w:hAnsi="Cambria"/>
          <w:sz w:val="20"/>
          <w:lang w:val="en-US"/>
        </w:rPr>
        <w:t>It also indicated that on June</w:t>
      </w:r>
      <w:r w:rsidR="00DC5772" w:rsidRPr="00CC562A">
        <w:rPr>
          <w:rFonts w:ascii="Cambria" w:hAnsi="Cambria"/>
          <w:sz w:val="20"/>
          <w:lang w:val="en-US"/>
        </w:rPr>
        <w:t xml:space="preserve"> 27</w:t>
      </w:r>
      <w:r w:rsidR="00627DF5" w:rsidRPr="00CC562A">
        <w:rPr>
          <w:rFonts w:ascii="Cambria" w:hAnsi="Cambria"/>
          <w:sz w:val="20"/>
          <w:lang w:val="en-US"/>
        </w:rPr>
        <w:t xml:space="preserve"> the</w:t>
      </w:r>
      <w:r w:rsidR="00DC5772" w:rsidRPr="00CC562A">
        <w:rPr>
          <w:rFonts w:ascii="Cambria" w:hAnsi="Cambria"/>
          <w:sz w:val="20"/>
          <w:lang w:val="en-US"/>
        </w:rPr>
        <w:t xml:space="preserve"> SCJN present</w:t>
      </w:r>
      <w:r w:rsidR="00627DF5" w:rsidRPr="00CC562A">
        <w:rPr>
          <w:rFonts w:ascii="Cambria" w:hAnsi="Cambria"/>
          <w:sz w:val="20"/>
          <w:lang w:val="en-US"/>
        </w:rPr>
        <w:t>ed the Manual on internal displacement. This document offers theoretical contributions, an analysis of the jurisprudential criteria</w:t>
      </w:r>
      <w:r w:rsidR="00390F03" w:rsidRPr="00CC562A">
        <w:rPr>
          <w:rFonts w:ascii="Cambria" w:hAnsi="Cambria"/>
          <w:sz w:val="20"/>
          <w:lang w:val="en-US"/>
        </w:rPr>
        <w:t>,</w:t>
      </w:r>
      <w:r w:rsidR="00627DF5" w:rsidRPr="00CC562A">
        <w:rPr>
          <w:rFonts w:ascii="Cambria" w:hAnsi="Cambria"/>
          <w:sz w:val="20"/>
          <w:lang w:val="en-US"/>
        </w:rPr>
        <w:t xml:space="preserve"> and the most innovative protection standards in this area, the purpose being to offer justice operators a broad panorama allowing then to identify the specific needs of this population, good practices, and applicable measures in the analysis of cases of internally displaced persons.</w:t>
      </w:r>
      <w:r w:rsidR="00DC5772" w:rsidRPr="00CC562A">
        <w:rPr>
          <w:rStyle w:val="FootnoteReference"/>
          <w:rFonts w:ascii="Cambria" w:hAnsi="Cambria"/>
          <w:sz w:val="20"/>
          <w:lang w:val="en-US"/>
        </w:rPr>
        <w:footnoteReference w:id="286"/>
      </w:r>
    </w:p>
    <w:p w14:paraId="5D18C3F5" w14:textId="0E2C90CD" w:rsidR="002B21B1" w:rsidRPr="00CC562A" w:rsidRDefault="00752FE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00BA2BA6" w:rsidRPr="00CC562A">
        <w:rPr>
          <w:rFonts w:ascii="Cambria" w:eastAsia="Cambria" w:hAnsi="Cambria" w:cs="Cambria"/>
          <w:sz w:val="20"/>
          <w:szCs w:val="20"/>
          <w:lang w:val="en-US"/>
        </w:rPr>
        <w:t xml:space="preserve"> indicated that the SEGOB’s</w:t>
      </w:r>
      <w:r w:rsidR="019FB4CE" w:rsidRPr="00CC562A">
        <w:rPr>
          <w:rFonts w:ascii="Cambria" w:eastAsia="Cambria" w:hAnsi="Cambria" w:cs="Cambria"/>
          <w:sz w:val="20"/>
          <w:szCs w:val="20"/>
          <w:lang w:val="en-US"/>
        </w:rPr>
        <w:t xml:space="preserve"> </w:t>
      </w:r>
      <w:r w:rsidR="00BA2BA6" w:rsidRPr="00CC562A">
        <w:rPr>
          <w:rFonts w:ascii="Cambria" w:eastAsia="Cambria" w:hAnsi="Cambria" w:cs="Cambria"/>
          <w:sz w:val="20"/>
          <w:szCs w:val="20"/>
          <w:lang w:val="en-US"/>
        </w:rPr>
        <w:t xml:space="preserve">Unit for Migration Policy, </w:t>
      </w:r>
      <w:proofErr w:type="gramStart"/>
      <w:r w:rsidR="00BA2BA6" w:rsidRPr="00CC562A">
        <w:rPr>
          <w:rFonts w:ascii="Cambria" w:eastAsia="Cambria" w:hAnsi="Cambria" w:cs="Cambria"/>
          <w:sz w:val="20"/>
          <w:szCs w:val="20"/>
          <w:lang w:val="en-US"/>
        </w:rPr>
        <w:t>Registration</w:t>
      </w:r>
      <w:proofErr w:type="gramEnd"/>
      <w:r w:rsidR="00BA2BA6" w:rsidRPr="00CC562A">
        <w:rPr>
          <w:rFonts w:ascii="Cambria" w:eastAsia="Cambria" w:hAnsi="Cambria" w:cs="Cambria"/>
          <w:sz w:val="20"/>
          <w:szCs w:val="20"/>
          <w:lang w:val="en-US"/>
        </w:rPr>
        <w:t xml:space="preserve"> and Identification, in conjunction with the</w:t>
      </w:r>
      <w:r w:rsidR="019FB4CE" w:rsidRPr="00CC562A">
        <w:rPr>
          <w:rFonts w:ascii="Cambria" w:eastAsia="Cambria" w:hAnsi="Cambria" w:cs="Cambria"/>
          <w:sz w:val="20"/>
          <w:szCs w:val="20"/>
          <w:lang w:val="en-US"/>
        </w:rPr>
        <w:t xml:space="preserve"> </w:t>
      </w:r>
      <w:r w:rsidR="00BA2BA6" w:rsidRPr="00CC562A">
        <w:rPr>
          <w:rFonts w:ascii="Cambria" w:eastAsia="Cambria" w:hAnsi="Cambria" w:cs="Cambria"/>
          <w:sz w:val="20"/>
          <w:szCs w:val="20"/>
          <w:lang w:val="en-US"/>
        </w:rPr>
        <w:t>UNHCR in Mexico</w:t>
      </w:r>
      <w:r w:rsidR="019FB4CE" w:rsidRPr="00CC562A">
        <w:rPr>
          <w:rFonts w:ascii="Cambria" w:eastAsia="Cambria" w:hAnsi="Cambria" w:cs="Cambria"/>
          <w:sz w:val="20"/>
          <w:szCs w:val="20"/>
          <w:lang w:val="en-US"/>
        </w:rPr>
        <w:t>, publi</w:t>
      </w:r>
      <w:r w:rsidR="00BA2BA6" w:rsidRPr="00CC562A">
        <w:rPr>
          <w:rFonts w:ascii="Cambria" w:eastAsia="Cambria" w:hAnsi="Cambria" w:cs="Cambria"/>
          <w:sz w:val="20"/>
          <w:szCs w:val="20"/>
          <w:lang w:val="en-US"/>
        </w:rPr>
        <w:t>shed an analysis of Mexican regulatory and public policy framework</w:t>
      </w:r>
      <w:r w:rsidR="007B5CF2" w:rsidRPr="00CC562A">
        <w:rPr>
          <w:rFonts w:ascii="Cambria" w:eastAsia="Cambria" w:hAnsi="Cambria" w:cs="Cambria"/>
          <w:sz w:val="20"/>
          <w:szCs w:val="20"/>
          <w:lang w:val="en-US"/>
        </w:rPr>
        <w:t>s</w:t>
      </w:r>
      <w:r w:rsidR="00BA2BA6" w:rsidRPr="00CC562A">
        <w:rPr>
          <w:rFonts w:ascii="Cambria" w:eastAsia="Cambria" w:hAnsi="Cambria" w:cs="Cambria"/>
          <w:sz w:val="20"/>
          <w:szCs w:val="20"/>
          <w:lang w:val="en-US"/>
        </w:rPr>
        <w:t xml:space="preserve"> at the federal level for comprehensive care and protection of persons in an internal forced displacement situation. This research identifies current powers and capabilities in the federal civil service that could be strengthened or redirected to implement actions for the population in an internal forced displacement situation. Finally, the State indicated that </w:t>
      </w:r>
      <w:r w:rsidR="00F51356" w:rsidRPr="00CC562A">
        <w:rPr>
          <w:rFonts w:ascii="Cambria" w:eastAsia="Cambria" w:hAnsi="Cambria" w:cs="Cambria"/>
          <w:sz w:val="20"/>
          <w:szCs w:val="20"/>
          <w:lang w:val="en-US"/>
        </w:rPr>
        <w:t xml:space="preserve">the United Nations Special Rapporteur on the Human Rights of Internally Displaced Persons made an official visit to Mexico </w:t>
      </w:r>
      <w:r w:rsidR="00BA2BA6" w:rsidRPr="00CC562A">
        <w:rPr>
          <w:rFonts w:ascii="Cambria" w:eastAsia="Cambria" w:hAnsi="Cambria" w:cs="Cambria"/>
          <w:sz w:val="20"/>
          <w:szCs w:val="20"/>
          <w:lang w:val="en-US"/>
        </w:rPr>
        <w:t>between August 29 and September 9, 2022</w:t>
      </w:r>
      <w:r w:rsidR="019FB4CE" w:rsidRPr="00CC562A">
        <w:rPr>
          <w:rFonts w:ascii="Cambria" w:eastAsia="Cambria" w:hAnsi="Cambria" w:cs="Cambria"/>
          <w:sz w:val="20"/>
          <w:szCs w:val="20"/>
          <w:lang w:val="en-US"/>
        </w:rPr>
        <w:t xml:space="preserve">. </w:t>
      </w:r>
      <w:r w:rsidR="00F51356" w:rsidRPr="00CC562A">
        <w:rPr>
          <w:rFonts w:ascii="Cambria" w:eastAsia="Cambria" w:hAnsi="Cambria" w:cs="Cambria"/>
          <w:sz w:val="20"/>
          <w:szCs w:val="20"/>
          <w:lang w:val="en-US"/>
        </w:rPr>
        <w:t>The visit was requested by the Mexican State and included meetings with more than 30 agencies of the federal civil service, as well as with representatives from the judicial and legislative branches</w:t>
      </w:r>
      <w:r w:rsidR="019FB4CE" w:rsidRPr="00CC562A">
        <w:rPr>
          <w:rFonts w:ascii="Cambria" w:eastAsia="Cambria" w:hAnsi="Cambria" w:cs="Cambria"/>
          <w:sz w:val="20"/>
          <w:szCs w:val="20"/>
          <w:lang w:val="en-US"/>
        </w:rPr>
        <w:t xml:space="preserve">. </w:t>
      </w:r>
    </w:p>
    <w:p w14:paraId="4DED3C3A" w14:textId="77C80483" w:rsidR="008A4D49" w:rsidRPr="00CC562A" w:rsidRDefault="253FD7CB"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Final</w:t>
      </w:r>
      <w:r w:rsidR="00F51356" w:rsidRPr="00CC562A">
        <w:rPr>
          <w:rFonts w:ascii="Cambria" w:eastAsia="Cambria" w:hAnsi="Cambria" w:cs="Cambria"/>
          <w:sz w:val="20"/>
          <w:szCs w:val="20"/>
          <w:lang w:val="en-US"/>
        </w:rPr>
        <w:t xml:space="preserve">ly, the State reported that </w:t>
      </w:r>
      <w:r w:rsidR="001E7B68" w:rsidRPr="00CC562A">
        <w:rPr>
          <w:rFonts w:ascii="Cambria" w:eastAsia="Cambria" w:hAnsi="Cambria" w:cs="Cambria"/>
          <w:sz w:val="20"/>
          <w:szCs w:val="20"/>
          <w:lang w:val="en-US"/>
        </w:rPr>
        <w:t xml:space="preserve">in June 2020 </w:t>
      </w:r>
      <w:r w:rsidR="00F51356" w:rsidRPr="00CC562A">
        <w:rPr>
          <w:rFonts w:ascii="Cambria" w:eastAsia="Cambria" w:hAnsi="Cambria" w:cs="Cambria"/>
          <w:sz w:val="20"/>
          <w:szCs w:val="20"/>
          <w:lang w:val="en-US"/>
        </w:rPr>
        <w:t>the</w:t>
      </w:r>
      <w:r w:rsidR="3C9C5B4F" w:rsidRPr="00CC562A">
        <w:rPr>
          <w:rFonts w:ascii="Cambria" w:eastAsia="Cambria" w:hAnsi="Cambria" w:cs="Cambria"/>
          <w:sz w:val="20"/>
          <w:szCs w:val="20"/>
          <w:lang w:val="en-US"/>
        </w:rPr>
        <w:t xml:space="preserve"> SEGOB</w:t>
      </w:r>
      <w:r w:rsidR="00F51356" w:rsidRPr="00CC562A">
        <w:rPr>
          <w:rFonts w:ascii="Cambria" w:eastAsia="Cambria" w:hAnsi="Cambria" w:cs="Cambria"/>
          <w:sz w:val="20"/>
          <w:szCs w:val="20"/>
          <w:lang w:val="en-US"/>
        </w:rPr>
        <w:t xml:space="preserve">, in coordination with </w:t>
      </w:r>
      <w:r w:rsidR="144D096A" w:rsidRPr="00CC562A">
        <w:rPr>
          <w:rFonts w:ascii="Cambria" w:eastAsia="Cambria" w:hAnsi="Cambria" w:cs="Cambria"/>
          <w:sz w:val="20"/>
          <w:szCs w:val="20"/>
          <w:lang w:val="en-US"/>
        </w:rPr>
        <w:t>COMAR</w:t>
      </w:r>
      <w:r w:rsidR="00F51356" w:rsidRPr="00CC562A">
        <w:rPr>
          <w:rFonts w:ascii="Cambria" w:eastAsia="Cambria" w:hAnsi="Cambria" w:cs="Cambria"/>
          <w:sz w:val="20"/>
          <w:szCs w:val="20"/>
          <w:lang w:val="en-US"/>
        </w:rPr>
        <w:t>, published the boo</w:t>
      </w:r>
      <w:r w:rsidR="001E7B68" w:rsidRPr="00CC562A">
        <w:rPr>
          <w:rFonts w:ascii="Cambria" w:eastAsia="Cambria" w:hAnsi="Cambria" w:cs="Cambria"/>
          <w:sz w:val="20"/>
          <w:szCs w:val="20"/>
          <w:lang w:val="en-US"/>
        </w:rPr>
        <w:t xml:space="preserve">k called </w:t>
      </w:r>
      <w:proofErr w:type="spellStart"/>
      <w:r w:rsidR="4520D4A9" w:rsidRPr="00CC562A">
        <w:rPr>
          <w:rFonts w:ascii="Cambria" w:eastAsia="Cambria" w:hAnsi="Cambria" w:cs="Cambria"/>
          <w:i/>
          <w:iCs/>
          <w:sz w:val="20"/>
          <w:szCs w:val="20"/>
          <w:lang w:val="en-US"/>
        </w:rPr>
        <w:t>Desplazamiento</w:t>
      </w:r>
      <w:proofErr w:type="spellEnd"/>
      <w:r w:rsidR="4520D4A9" w:rsidRPr="00CC562A">
        <w:rPr>
          <w:rFonts w:ascii="Cambria" w:eastAsia="Cambria" w:hAnsi="Cambria" w:cs="Cambria"/>
          <w:i/>
          <w:iCs/>
          <w:sz w:val="20"/>
          <w:szCs w:val="20"/>
          <w:lang w:val="en-US"/>
        </w:rPr>
        <w:t xml:space="preserve"> </w:t>
      </w:r>
      <w:proofErr w:type="spellStart"/>
      <w:r w:rsidR="4520D4A9" w:rsidRPr="00CC562A">
        <w:rPr>
          <w:rFonts w:ascii="Cambria" w:eastAsia="Cambria" w:hAnsi="Cambria" w:cs="Cambria"/>
          <w:i/>
          <w:iCs/>
          <w:sz w:val="20"/>
          <w:szCs w:val="20"/>
          <w:lang w:val="en-US"/>
        </w:rPr>
        <w:t>Forzado</w:t>
      </w:r>
      <w:proofErr w:type="spellEnd"/>
      <w:r w:rsidR="4520D4A9" w:rsidRPr="00CC562A">
        <w:rPr>
          <w:rFonts w:ascii="Cambria" w:eastAsia="Cambria" w:hAnsi="Cambria" w:cs="Cambria"/>
          <w:i/>
          <w:iCs/>
          <w:sz w:val="20"/>
          <w:szCs w:val="20"/>
          <w:lang w:val="en-US"/>
        </w:rPr>
        <w:t xml:space="preserve"> </w:t>
      </w:r>
      <w:proofErr w:type="spellStart"/>
      <w:r w:rsidR="4520D4A9" w:rsidRPr="00CC562A">
        <w:rPr>
          <w:rFonts w:ascii="Cambria" w:eastAsia="Cambria" w:hAnsi="Cambria" w:cs="Cambria"/>
          <w:i/>
          <w:iCs/>
          <w:sz w:val="20"/>
          <w:szCs w:val="20"/>
          <w:lang w:val="en-US"/>
        </w:rPr>
        <w:t>Interno</w:t>
      </w:r>
      <w:proofErr w:type="spellEnd"/>
      <w:r w:rsidR="4520D4A9" w:rsidRPr="00CC562A">
        <w:rPr>
          <w:rFonts w:ascii="Cambria" w:eastAsia="Cambria" w:hAnsi="Cambria" w:cs="Cambria"/>
          <w:i/>
          <w:iCs/>
          <w:sz w:val="20"/>
          <w:szCs w:val="20"/>
          <w:lang w:val="en-US"/>
        </w:rPr>
        <w:t xml:space="preserve"> </w:t>
      </w:r>
      <w:proofErr w:type="spellStart"/>
      <w:r w:rsidR="4520D4A9" w:rsidRPr="00CC562A">
        <w:rPr>
          <w:rFonts w:ascii="Cambria" w:eastAsia="Cambria" w:hAnsi="Cambria" w:cs="Cambria"/>
          <w:i/>
          <w:iCs/>
          <w:sz w:val="20"/>
          <w:szCs w:val="20"/>
          <w:lang w:val="en-US"/>
        </w:rPr>
        <w:t>en</w:t>
      </w:r>
      <w:proofErr w:type="spellEnd"/>
      <w:r w:rsidR="4520D4A9" w:rsidRPr="00CC562A">
        <w:rPr>
          <w:rFonts w:ascii="Cambria" w:eastAsia="Cambria" w:hAnsi="Cambria" w:cs="Cambria"/>
          <w:i/>
          <w:iCs/>
          <w:sz w:val="20"/>
          <w:szCs w:val="20"/>
          <w:lang w:val="en-US"/>
        </w:rPr>
        <w:t xml:space="preserve"> México: del </w:t>
      </w:r>
      <w:proofErr w:type="spellStart"/>
      <w:r w:rsidR="4520D4A9" w:rsidRPr="00CC562A">
        <w:rPr>
          <w:rFonts w:ascii="Cambria" w:eastAsia="Cambria" w:hAnsi="Cambria" w:cs="Cambria"/>
          <w:i/>
          <w:iCs/>
          <w:sz w:val="20"/>
          <w:szCs w:val="20"/>
          <w:lang w:val="en-US"/>
        </w:rPr>
        <w:t>reconocimiento</w:t>
      </w:r>
      <w:proofErr w:type="spellEnd"/>
      <w:r w:rsidR="4520D4A9" w:rsidRPr="00CC562A">
        <w:rPr>
          <w:rFonts w:ascii="Cambria" w:eastAsia="Cambria" w:hAnsi="Cambria" w:cs="Cambria"/>
          <w:i/>
          <w:iCs/>
          <w:sz w:val="20"/>
          <w:szCs w:val="20"/>
          <w:lang w:val="en-US"/>
        </w:rPr>
        <w:t xml:space="preserve"> a </w:t>
      </w:r>
      <w:proofErr w:type="spellStart"/>
      <w:r w:rsidR="4520D4A9" w:rsidRPr="00CC562A">
        <w:rPr>
          <w:rFonts w:ascii="Cambria" w:eastAsia="Cambria" w:hAnsi="Cambria" w:cs="Cambria"/>
          <w:i/>
          <w:iCs/>
          <w:sz w:val="20"/>
          <w:szCs w:val="20"/>
          <w:lang w:val="en-US"/>
        </w:rPr>
        <w:t>los</w:t>
      </w:r>
      <w:proofErr w:type="spellEnd"/>
      <w:r w:rsidR="4520D4A9" w:rsidRPr="00CC562A">
        <w:rPr>
          <w:rFonts w:ascii="Cambria" w:eastAsia="Cambria" w:hAnsi="Cambria" w:cs="Cambria"/>
          <w:i/>
          <w:iCs/>
          <w:sz w:val="20"/>
          <w:szCs w:val="20"/>
          <w:lang w:val="en-US"/>
        </w:rPr>
        <w:t xml:space="preserve"> </w:t>
      </w:r>
      <w:proofErr w:type="spellStart"/>
      <w:r w:rsidR="4520D4A9" w:rsidRPr="00CC562A">
        <w:rPr>
          <w:rFonts w:ascii="Cambria" w:eastAsia="Cambria" w:hAnsi="Cambria" w:cs="Cambria"/>
          <w:i/>
          <w:iCs/>
          <w:sz w:val="20"/>
          <w:szCs w:val="20"/>
          <w:lang w:val="en-US"/>
        </w:rPr>
        <w:t>desafíos</w:t>
      </w:r>
      <w:proofErr w:type="spellEnd"/>
      <w:r w:rsidR="001E7B68" w:rsidRPr="00CC562A">
        <w:rPr>
          <w:rFonts w:ascii="Cambria" w:eastAsia="Cambria" w:hAnsi="Cambria" w:cs="Cambria"/>
          <w:sz w:val="20"/>
          <w:szCs w:val="20"/>
          <w:lang w:val="en-US"/>
        </w:rPr>
        <w:t xml:space="preserve"> (Internal Forced Displacement in Mexico: from recognition to the challenges). This publication seeks to put into perspective the challenges that recognition represents and thus contribute to the discussions surrounding approval of </w:t>
      </w:r>
      <w:r w:rsidR="00D77397" w:rsidRPr="00CC562A">
        <w:rPr>
          <w:rFonts w:ascii="Cambria" w:eastAsia="Cambria" w:hAnsi="Cambria" w:cs="Cambria"/>
          <w:sz w:val="20"/>
          <w:szCs w:val="20"/>
          <w:lang w:val="en-US"/>
        </w:rPr>
        <w:t>the General</w:t>
      </w:r>
      <w:r w:rsidR="001E7B68" w:rsidRPr="00CC562A">
        <w:rPr>
          <w:rFonts w:ascii="Cambria" w:eastAsia="Cambria" w:hAnsi="Cambria" w:cs="Cambria"/>
          <w:sz w:val="20"/>
          <w:szCs w:val="20"/>
          <w:lang w:val="en-US"/>
        </w:rPr>
        <w:t xml:space="preserve"> Law to Prevent, Address, and </w:t>
      </w:r>
      <w:r w:rsidR="00FE7A73" w:rsidRPr="00CC562A">
        <w:rPr>
          <w:rFonts w:ascii="Cambria" w:eastAsia="Cambria" w:hAnsi="Cambria" w:cs="Cambria"/>
          <w:sz w:val="20"/>
          <w:szCs w:val="20"/>
          <w:lang w:val="en-US"/>
        </w:rPr>
        <w:t xml:space="preserve">Provide </w:t>
      </w:r>
      <w:r w:rsidR="001E7B68" w:rsidRPr="00CC562A">
        <w:rPr>
          <w:rFonts w:ascii="Cambria" w:eastAsia="Cambria" w:hAnsi="Cambria" w:cs="Cambria"/>
          <w:sz w:val="20"/>
          <w:szCs w:val="20"/>
          <w:lang w:val="en-US"/>
        </w:rPr>
        <w:t>Comprehensive</w:t>
      </w:r>
      <w:r w:rsidR="00FE7A73" w:rsidRPr="00CC562A">
        <w:rPr>
          <w:rFonts w:ascii="Cambria" w:eastAsia="Cambria" w:hAnsi="Cambria" w:cs="Cambria"/>
          <w:sz w:val="20"/>
          <w:szCs w:val="20"/>
          <w:lang w:val="en-US"/>
        </w:rPr>
        <w:t xml:space="preserve"> Reparations for</w:t>
      </w:r>
      <w:r w:rsidR="001E7B68" w:rsidRPr="00CC562A">
        <w:rPr>
          <w:rFonts w:ascii="Cambria" w:eastAsia="Cambria" w:hAnsi="Cambria" w:cs="Cambria"/>
          <w:sz w:val="20"/>
          <w:szCs w:val="20"/>
          <w:lang w:val="en-US"/>
        </w:rPr>
        <w:t xml:space="preserve"> Internal Forced Displacement</w:t>
      </w:r>
      <w:r w:rsidR="00FE7A73" w:rsidRPr="00CC562A">
        <w:rPr>
          <w:rFonts w:ascii="Cambria" w:eastAsia="Cambria" w:hAnsi="Cambria" w:cs="Cambria"/>
          <w:sz w:val="20"/>
          <w:szCs w:val="20"/>
          <w:lang w:val="en-US"/>
        </w:rPr>
        <w:t>.</w:t>
      </w:r>
      <w:r w:rsidR="00070D01" w:rsidRPr="00CC562A">
        <w:rPr>
          <w:rStyle w:val="FootnoteReference"/>
          <w:rFonts w:ascii="Cambria" w:eastAsia="Cambria" w:hAnsi="Cambria" w:cs="Cambria"/>
          <w:sz w:val="20"/>
          <w:szCs w:val="20"/>
          <w:lang w:val="en-US"/>
        </w:rPr>
        <w:footnoteReference w:id="287"/>
      </w:r>
    </w:p>
    <w:p w14:paraId="744E6F73" w14:textId="4C260CCB" w:rsidR="004A31AF" w:rsidRPr="00CC562A" w:rsidRDefault="590A88D9"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Re</w:t>
      </w:r>
      <w:r w:rsidR="00FE7A73" w:rsidRPr="00CC562A">
        <w:rPr>
          <w:rFonts w:ascii="Cambria" w:hAnsi="Cambria"/>
          <w:sz w:val="20"/>
          <w:szCs w:val="20"/>
          <w:lang w:val="en-US"/>
        </w:rPr>
        <w:t xml:space="preserve">garding compliance with the recommendation, </w:t>
      </w:r>
      <w:r w:rsidR="00752FED" w:rsidRPr="00CC562A">
        <w:rPr>
          <w:rFonts w:ascii="Cambria" w:eastAsia="Cambria" w:hAnsi="Cambria" w:cs="Cambria"/>
          <w:sz w:val="20"/>
          <w:szCs w:val="20"/>
          <w:lang w:val="en-US"/>
        </w:rPr>
        <w:t>the State</w:t>
      </w:r>
      <w:r w:rsidRPr="00CC562A">
        <w:rPr>
          <w:rFonts w:ascii="Cambria" w:eastAsia="Cambria" w:hAnsi="Cambria" w:cs="Cambria"/>
          <w:sz w:val="20"/>
          <w:szCs w:val="20"/>
          <w:lang w:val="en-US"/>
        </w:rPr>
        <w:t xml:space="preserve"> </w:t>
      </w:r>
      <w:r w:rsidR="00FE7A73" w:rsidRPr="00CC562A">
        <w:rPr>
          <w:rFonts w:ascii="Cambria" w:eastAsia="Cambria" w:hAnsi="Cambria" w:cs="Cambria"/>
          <w:sz w:val="20"/>
          <w:szCs w:val="20"/>
          <w:lang w:val="en-US"/>
        </w:rPr>
        <w:t>says it has complied to the extent that documents and institutional projects have been produced related to forced displacement</w:t>
      </w:r>
      <w:r w:rsidRPr="00CC562A">
        <w:rPr>
          <w:rFonts w:ascii="Cambria" w:eastAsia="Cambria" w:hAnsi="Cambria" w:cs="Cambria"/>
          <w:sz w:val="20"/>
          <w:szCs w:val="20"/>
          <w:lang w:val="en-US"/>
        </w:rPr>
        <w:t xml:space="preserve">. </w:t>
      </w:r>
      <w:r w:rsidR="00FE7A73" w:rsidRPr="00CC562A">
        <w:rPr>
          <w:rFonts w:ascii="Cambria" w:eastAsia="Cambria" w:hAnsi="Cambria" w:cs="Cambria"/>
          <w:sz w:val="20"/>
          <w:szCs w:val="20"/>
          <w:lang w:val="en-US"/>
        </w:rPr>
        <w:t xml:space="preserve">The Commission </w:t>
      </w:r>
      <w:r w:rsidR="00FE7A73" w:rsidRPr="00CC562A">
        <w:rPr>
          <w:rFonts w:ascii="Cambria" w:eastAsia="Cambria" w:hAnsi="Cambria" w:cs="Cambria"/>
          <w:sz w:val="20"/>
          <w:szCs w:val="20"/>
          <w:lang w:val="en-US"/>
        </w:rPr>
        <w:lastRenderedPageBreak/>
        <w:t xml:space="preserve">recognizes the effort made by the </w:t>
      </w:r>
      <w:r w:rsidR="00752FED" w:rsidRPr="00CC562A">
        <w:rPr>
          <w:rFonts w:ascii="Cambria" w:eastAsia="Cambria" w:hAnsi="Cambria" w:cs="Cambria"/>
          <w:sz w:val="20"/>
          <w:szCs w:val="20"/>
          <w:lang w:val="en-US"/>
        </w:rPr>
        <w:t>State</w:t>
      </w:r>
      <w:r w:rsidRPr="00CC562A">
        <w:rPr>
          <w:rFonts w:ascii="Cambria" w:eastAsia="Cambria" w:hAnsi="Cambria" w:cs="Cambria"/>
          <w:sz w:val="20"/>
          <w:szCs w:val="20"/>
          <w:lang w:val="en-US"/>
        </w:rPr>
        <w:t xml:space="preserve"> </w:t>
      </w:r>
      <w:r w:rsidR="00FE7A73" w:rsidRPr="00CC562A">
        <w:rPr>
          <w:rFonts w:ascii="Cambria" w:eastAsia="Cambria" w:hAnsi="Cambria" w:cs="Cambria"/>
          <w:sz w:val="20"/>
          <w:szCs w:val="20"/>
          <w:lang w:val="en-US"/>
        </w:rPr>
        <w:t xml:space="preserve">to manage an information network </w:t>
      </w:r>
      <w:proofErr w:type="gramStart"/>
      <w:r w:rsidR="00FE7A73" w:rsidRPr="00CC562A">
        <w:rPr>
          <w:rFonts w:ascii="Cambria" w:eastAsia="Cambria" w:hAnsi="Cambria" w:cs="Cambria"/>
          <w:sz w:val="20"/>
          <w:szCs w:val="20"/>
          <w:lang w:val="en-US"/>
        </w:rPr>
        <w:t>in order to</w:t>
      </w:r>
      <w:proofErr w:type="gramEnd"/>
      <w:r w:rsidR="00FE7A73" w:rsidRPr="00CC562A">
        <w:rPr>
          <w:rFonts w:ascii="Cambria" w:eastAsia="Cambria" w:hAnsi="Cambria" w:cs="Cambria"/>
          <w:sz w:val="20"/>
          <w:szCs w:val="20"/>
          <w:lang w:val="en-US"/>
        </w:rPr>
        <w:t xml:space="preserve"> generate objective data on the phenomenon of displacement.</w:t>
      </w:r>
      <w:r w:rsidRPr="00CC562A">
        <w:rPr>
          <w:rFonts w:ascii="Cambria" w:eastAsia="Cambria" w:hAnsi="Cambria" w:cs="Cambria"/>
          <w:sz w:val="20"/>
          <w:szCs w:val="20"/>
          <w:lang w:val="en-US"/>
        </w:rPr>
        <w:t xml:space="preserve"> </w:t>
      </w:r>
      <w:r w:rsidR="00752FED" w:rsidRPr="00CC562A">
        <w:rPr>
          <w:rFonts w:ascii="Cambria" w:hAnsi="Cambria"/>
          <w:sz w:val="20"/>
          <w:szCs w:val="20"/>
          <w:lang w:val="en-US"/>
        </w:rPr>
        <w:t>Nonetheless,</w:t>
      </w:r>
      <w:r w:rsidR="3419FFA3" w:rsidRPr="00CC562A">
        <w:rPr>
          <w:rFonts w:ascii="Cambria" w:hAnsi="Cambria"/>
          <w:sz w:val="20"/>
          <w:szCs w:val="20"/>
          <w:lang w:val="en-US"/>
        </w:rPr>
        <w:t xml:space="preserve"> </w:t>
      </w:r>
      <w:r w:rsidR="00FE7A73" w:rsidRPr="00CC562A">
        <w:rPr>
          <w:rFonts w:ascii="Cambria" w:hAnsi="Cambria"/>
          <w:sz w:val="20"/>
          <w:szCs w:val="20"/>
          <w:lang w:val="en-US"/>
        </w:rPr>
        <w:t>the Commission notes that, although the</w:t>
      </w:r>
      <w:r w:rsidR="00752FED" w:rsidRPr="00CC562A">
        <w:rPr>
          <w:rFonts w:ascii="Cambria" w:eastAsia="Cambria" w:hAnsi="Cambria" w:cs="Cambria"/>
          <w:sz w:val="20"/>
          <w:szCs w:val="20"/>
          <w:lang w:val="en-US"/>
        </w:rPr>
        <w:t xml:space="preserve"> </w:t>
      </w:r>
      <w:r w:rsidR="00FE7A73" w:rsidRPr="00CC562A">
        <w:rPr>
          <w:rFonts w:ascii="Cambria" w:eastAsia="Cambria" w:hAnsi="Cambria" w:cs="Cambria"/>
          <w:sz w:val="20"/>
          <w:szCs w:val="20"/>
          <w:lang w:val="en-US"/>
        </w:rPr>
        <w:t xml:space="preserve">Mexican </w:t>
      </w:r>
      <w:r w:rsidR="00752FED" w:rsidRPr="00CC562A">
        <w:rPr>
          <w:rFonts w:ascii="Cambria" w:eastAsia="Cambria" w:hAnsi="Cambria" w:cs="Cambria"/>
          <w:sz w:val="20"/>
          <w:szCs w:val="20"/>
          <w:lang w:val="en-US"/>
        </w:rPr>
        <w:t>Stat</w:t>
      </w:r>
      <w:r w:rsidR="00FE7A73" w:rsidRPr="00CC562A">
        <w:rPr>
          <w:rFonts w:ascii="Cambria" w:eastAsia="Cambria" w:hAnsi="Cambria" w:cs="Cambria"/>
          <w:sz w:val="20"/>
          <w:szCs w:val="20"/>
          <w:lang w:val="en-US"/>
        </w:rPr>
        <w:t>e has made progress in developing a national diagnos</w:t>
      </w:r>
      <w:r w:rsidR="007B5CF2" w:rsidRPr="00CC562A">
        <w:rPr>
          <w:rFonts w:ascii="Cambria" w:eastAsia="Cambria" w:hAnsi="Cambria" w:cs="Cambria"/>
          <w:sz w:val="20"/>
          <w:szCs w:val="20"/>
          <w:lang w:val="en-US"/>
        </w:rPr>
        <w:t xml:space="preserve">is </w:t>
      </w:r>
      <w:r w:rsidR="00FE7A73" w:rsidRPr="00CC562A">
        <w:rPr>
          <w:rFonts w:ascii="Cambria" w:eastAsia="Cambria" w:hAnsi="Cambria" w:cs="Cambria"/>
          <w:sz w:val="20"/>
          <w:szCs w:val="20"/>
          <w:lang w:val="en-US"/>
        </w:rPr>
        <w:t>to characterize internal displacement</w:t>
      </w:r>
      <w:r w:rsidR="3419FFA3" w:rsidRPr="00CC562A">
        <w:rPr>
          <w:rFonts w:ascii="Cambria" w:eastAsia="Cambria" w:hAnsi="Cambria" w:cs="Cambria"/>
          <w:sz w:val="20"/>
          <w:szCs w:val="20"/>
          <w:lang w:val="en-US"/>
        </w:rPr>
        <w:t xml:space="preserve">, </w:t>
      </w:r>
      <w:r w:rsidR="00FE7A73" w:rsidRPr="00CC562A">
        <w:rPr>
          <w:rFonts w:ascii="Cambria" w:eastAsia="Cambria" w:hAnsi="Cambria" w:cs="Cambria"/>
          <w:sz w:val="20"/>
          <w:szCs w:val="20"/>
          <w:lang w:val="en-US"/>
        </w:rPr>
        <w:t xml:space="preserve">a national policy designed to provide a response consistent with international standards has not been adopted </w:t>
      </w:r>
      <w:proofErr w:type="gramStart"/>
      <w:r w:rsidR="00FE7A73" w:rsidRPr="00CC562A">
        <w:rPr>
          <w:rFonts w:ascii="Cambria" w:eastAsia="Cambria" w:hAnsi="Cambria" w:cs="Cambria"/>
          <w:sz w:val="20"/>
          <w:szCs w:val="20"/>
          <w:lang w:val="en-US"/>
        </w:rPr>
        <w:t>as yet</w:t>
      </w:r>
      <w:proofErr w:type="gramEnd"/>
      <w:r w:rsidR="00FE7A73" w:rsidRPr="00CC562A">
        <w:rPr>
          <w:rFonts w:ascii="Cambria" w:eastAsia="Cambria" w:hAnsi="Cambria" w:cs="Cambria"/>
          <w:sz w:val="20"/>
          <w:szCs w:val="20"/>
          <w:lang w:val="en-US"/>
        </w:rPr>
        <w:t xml:space="preserve">. Thus, despite the advances made </w:t>
      </w:r>
      <w:proofErr w:type="gramStart"/>
      <w:r w:rsidR="00FE7A73" w:rsidRPr="00CC562A">
        <w:rPr>
          <w:rFonts w:ascii="Cambria" w:eastAsia="Cambria" w:hAnsi="Cambria" w:cs="Cambria"/>
          <w:sz w:val="20"/>
          <w:szCs w:val="20"/>
          <w:lang w:val="en-US"/>
        </w:rPr>
        <w:t>in the area of</w:t>
      </w:r>
      <w:proofErr w:type="gramEnd"/>
      <w:r w:rsidR="00FE7A73" w:rsidRPr="00CC562A">
        <w:rPr>
          <w:rFonts w:ascii="Cambria" w:eastAsia="Cambria" w:hAnsi="Cambria" w:cs="Cambria"/>
          <w:sz w:val="20"/>
          <w:szCs w:val="20"/>
          <w:lang w:val="en-US"/>
        </w:rPr>
        <w:t xml:space="preserve"> a diagnos</w:t>
      </w:r>
      <w:r w:rsidR="007B5CF2" w:rsidRPr="00CC562A">
        <w:rPr>
          <w:rFonts w:ascii="Cambria" w:eastAsia="Cambria" w:hAnsi="Cambria" w:cs="Cambria"/>
          <w:sz w:val="20"/>
          <w:szCs w:val="20"/>
          <w:lang w:val="en-US"/>
        </w:rPr>
        <w:t>is</w:t>
      </w:r>
      <w:r w:rsidR="3419FFA3" w:rsidRPr="00CC562A">
        <w:rPr>
          <w:rFonts w:ascii="Cambria" w:eastAsia="Cambria" w:hAnsi="Cambria" w:cs="Cambria"/>
          <w:sz w:val="20"/>
          <w:szCs w:val="20"/>
          <w:lang w:val="en-US"/>
        </w:rPr>
        <w:t>, c</w:t>
      </w:r>
      <w:r w:rsidR="00FE7A73" w:rsidRPr="00CC562A">
        <w:rPr>
          <w:rFonts w:ascii="Cambria" w:eastAsia="Cambria" w:hAnsi="Cambria" w:cs="Cambria"/>
          <w:sz w:val="20"/>
          <w:szCs w:val="20"/>
          <w:lang w:val="en-US"/>
        </w:rPr>
        <w:t>onsidering the nature of the phenomenon of internal displacement, the limitations of and information gaps in the available studies, and the</w:t>
      </w:r>
      <w:r w:rsidR="00AF46B1" w:rsidRPr="00CC562A">
        <w:rPr>
          <w:rFonts w:ascii="Cambria" w:eastAsia="Cambria" w:hAnsi="Cambria" w:cs="Cambria"/>
          <w:sz w:val="20"/>
          <w:szCs w:val="20"/>
          <w:lang w:val="en-US"/>
        </w:rPr>
        <w:t xml:space="preserve"> wide range of the information necessary to appropriately guide a national policy in line </w:t>
      </w:r>
      <w:r w:rsidR="007B5CF2" w:rsidRPr="00CC562A">
        <w:rPr>
          <w:rFonts w:ascii="Cambria" w:eastAsia="Cambria" w:hAnsi="Cambria" w:cs="Cambria"/>
          <w:sz w:val="20"/>
          <w:szCs w:val="20"/>
          <w:lang w:val="en-US"/>
        </w:rPr>
        <w:t xml:space="preserve">with </w:t>
      </w:r>
      <w:r w:rsidR="00AF46B1" w:rsidRPr="00CC562A">
        <w:rPr>
          <w:rFonts w:ascii="Cambria" w:eastAsia="Cambria" w:hAnsi="Cambria" w:cs="Cambria"/>
          <w:sz w:val="20"/>
          <w:szCs w:val="20"/>
          <w:lang w:val="en-US"/>
        </w:rPr>
        <w:t>the Guiding Principles on Internal Displacement, it is essential that the Mexican Government continue to gather and analyze the relevant dat</w:t>
      </w:r>
      <w:r w:rsidR="007B5CF2" w:rsidRPr="00CC562A">
        <w:rPr>
          <w:rFonts w:ascii="Cambria" w:eastAsia="Cambria" w:hAnsi="Cambria" w:cs="Cambria"/>
          <w:sz w:val="20"/>
          <w:szCs w:val="20"/>
          <w:lang w:val="en-US"/>
        </w:rPr>
        <w:t>a</w:t>
      </w:r>
      <w:r w:rsidR="00AF46B1" w:rsidRPr="00CC562A">
        <w:rPr>
          <w:rFonts w:ascii="Cambria" w:eastAsia="Cambria" w:hAnsi="Cambria" w:cs="Cambria"/>
          <w:sz w:val="20"/>
          <w:szCs w:val="20"/>
          <w:lang w:val="en-US"/>
        </w:rPr>
        <w:t>. In this regard, the</w:t>
      </w:r>
      <w:r w:rsidR="00276638" w:rsidRPr="00CC562A">
        <w:rPr>
          <w:rFonts w:ascii="Cambria" w:eastAsia="Cambria" w:hAnsi="Cambria" w:cs="Cambria"/>
          <w:sz w:val="20"/>
          <w:szCs w:val="20"/>
          <w:lang w:val="en-US"/>
        </w:rPr>
        <w:t xml:space="preserve"> IACHR</w:t>
      </w:r>
      <w:r w:rsidR="3419FFA3" w:rsidRPr="00CC562A">
        <w:rPr>
          <w:rFonts w:ascii="Cambria" w:hAnsi="Cambria"/>
          <w:sz w:val="20"/>
          <w:szCs w:val="20"/>
          <w:lang w:val="en-US"/>
        </w:rPr>
        <w:t xml:space="preserve"> consider</w:t>
      </w:r>
      <w:r w:rsidR="00AF46B1" w:rsidRPr="00CC562A">
        <w:rPr>
          <w:rFonts w:ascii="Cambria" w:hAnsi="Cambria"/>
          <w:sz w:val="20"/>
          <w:szCs w:val="20"/>
          <w:lang w:val="en-US"/>
        </w:rPr>
        <w:t>s that to the extent that there is still no national diagnos</w:t>
      </w:r>
      <w:r w:rsidR="007B5CF2" w:rsidRPr="00CC562A">
        <w:rPr>
          <w:rFonts w:ascii="Cambria" w:hAnsi="Cambria"/>
          <w:sz w:val="20"/>
          <w:szCs w:val="20"/>
          <w:lang w:val="en-US"/>
        </w:rPr>
        <w:t>is</w:t>
      </w:r>
      <w:r w:rsidR="00AF46B1" w:rsidRPr="00CC562A">
        <w:rPr>
          <w:rFonts w:ascii="Cambria" w:hAnsi="Cambria"/>
          <w:sz w:val="20"/>
          <w:szCs w:val="20"/>
          <w:lang w:val="en-US"/>
        </w:rPr>
        <w:t xml:space="preserve"> for addressing the context of internal displacement, there is </w:t>
      </w:r>
      <w:r w:rsidR="00AF46B1" w:rsidRPr="00CC562A">
        <w:rPr>
          <w:rFonts w:ascii="Cambria" w:hAnsi="Cambria"/>
          <w:b/>
          <w:bCs/>
          <w:sz w:val="20"/>
          <w:szCs w:val="20"/>
          <w:lang w:val="en-US"/>
        </w:rPr>
        <w:t xml:space="preserve">partial compliance </w:t>
      </w:r>
      <w:r w:rsidR="00AF46B1" w:rsidRPr="00CC562A">
        <w:rPr>
          <w:rFonts w:ascii="Cambria" w:hAnsi="Cambria"/>
          <w:sz w:val="20"/>
          <w:szCs w:val="20"/>
          <w:lang w:val="en-US"/>
        </w:rPr>
        <w:t>with the recommendation.</w:t>
      </w:r>
    </w:p>
    <w:p w14:paraId="3EEC2785" w14:textId="3705811B" w:rsidR="008A4D49" w:rsidRPr="00CC562A" w:rsidRDefault="00AF46B1"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guide progress in the implementation of this recommendation, </w:t>
      </w:r>
      <w:r w:rsidR="00276638" w:rsidRPr="00CC562A">
        <w:rPr>
          <w:rFonts w:ascii="Cambria" w:eastAsia="Cambria" w:hAnsi="Cambria" w:cs="Cambria"/>
          <w:sz w:val="20"/>
          <w:szCs w:val="20"/>
          <w:lang w:val="en-US"/>
        </w:rPr>
        <w:t>the IACHR</w:t>
      </w:r>
      <w:r w:rsidR="00A20D0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invites the State to adopt the relevant measures to continue the process of developing the diagnos</w:t>
      </w:r>
      <w:r w:rsidR="007B5CF2" w:rsidRPr="00CC562A">
        <w:rPr>
          <w:rFonts w:ascii="Cambria" w:eastAsia="Cambria" w:hAnsi="Cambria" w:cs="Cambria"/>
          <w:sz w:val="20"/>
          <w:szCs w:val="20"/>
          <w:lang w:val="en-US"/>
        </w:rPr>
        <w:t>is</w:t>
      </w:r>
      <w:r w:rsidRPr="00CC562A">
        <w:rPr>
          <w:rFonts w:ascii="Cambria" w:eastAsia="Cambria" w:hAnsi="Cambria" w:cs="Cambria"/>
          <w:sz w:val="20"/>
          <w:szCs w:val="20"/>
          <w:lang w:val="en-US"/>
        </w:rPr>
        <w:t xml:space="preserve"> of forced displacement. In addition, the</w:t>
      </w:r>
      <w:r w:rsidR="00276638" w:rsidRPr="00CC562A">
        <w:rPr>
          <w:rFonts w:ascii="Cambria" w:eastAsia="Cambria" w:hAnsi="Cambria" w:cs="Cambria"/>
          <w:sz w:val="20"/>
          <w:szCs w:val="20"/>
          <w:lang w:val="en-US"/>
        </w:rPr>
        <w:t xml:space="preserve"> IACHR</w:t>
      </w:r>
      <w:r w:rsidR="00A20D0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notes that besides the diagnos</w:t>
      </w:r>
      <w:r w:rsidR="007B5CF2" w:rsidRPr="00CC562A">
        <w:rPr>
          <w:rFonts w:ascii="Cambria" w:eastAsia="Cambria" w:hAnsi="Cambria" w:cs="Cambria"/>
          <w:sz w:val="20"/>
          <w:szCs w:val="20"/>
          <w:lang w:val="en-US"/>
        </w:rPr>
        <w:t>is</w:t>
      </w:r>
      <w:r w:rsidRPr="00CC562A">
        <w:rPr>
          <w:rFonts w:ascii="Cambria" w:eastAsia="Cambria" w:hAnsi="Cambria" w:cs="Cambria"/>
          <w:sz w:val="20"/>
          <w:szCs w:val="20"/>
          <w:lang w:val="en-US"/>
        </w:rPr>
        <w:t>, it is also important for the State to design and adopt the actions necessary to proceed with the adoption of the national policy on this subject, including</w:t>
      </w:r>
      <w:r w:rsidR="00A20D0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processes for verifying and evaluating </w:t>
      </w:r>
      <w:r w:rsidR="007B5CF2" w:rsidRPr="00CC562A">
        <w:rPr>
          <w:rFonts w:ascii="Cambria" w:eastAsia="Cambria" w:hAnsi="Cambria" w:cs="Cambria"/>
          <w:sz w:val="20"/>
          <w:szCs w:val="20"/>
          <w:lang w:val="en-US"/>
        </w:rPr>
        <w:t>its</w:t>
      </w:r>
      <w:r w:rsidRPr="00CC562A">
        <w:rPr>
          <w:rFonts w:ascii="Cambria" w:eastAsia="Cambria" w:hAnsi="Cambria" w:cs="Cambria"/>
          <w:sz w:val="20"/>
          <w:szCs w:val="20"/>
          <w:lang w:val="en-US"/>
        </w:rPr>
        <w:t xml:space="preserve"> implementation</w:t>
      </w:r>
      <w:r w:rsidR="1BECD8BB" w:rsidRPr="00CC562A">
        <w:rPr>
          <w:rFonts w:ascii="Cambria" w:eastAsia="Cambria" w:hAnsi="Cambria" w:cs="Cambria"/>
          <w:sz w:val="20"/>
          <w:szCs w:val="20"/>
          <w:lang w:val="en-US"/>
        </w:rPr>
        <w:t>.</w:t>
      </w:r>
    </w:p>
    <w:p w14:paraId="5FAFF1DC" w14:textId="6936AFEA" w:rsidR="004A1139" w:rsidRPr="00CC562A" w:rsidRDefault="00AF46B1"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On the recommendations to</w:t>
      </w:r>
      <w:r w:rsidR="716B92C9" w:rsidRPr="00CC562A">
        <w:rPr>
          <w:rFonts w:ascii="Cambria" w:hAnsi="Cambria"/>
          <w:sz w:val="20"/>
          <w:szCs w:val="20"/>
          <w:lang w:val="en-US"/>
        </w:rPr>
        <w:t xml:space="preserve"> </w:t>
      </w:r>
      <w:r w:rsidR="716B92C9" w:rsidRPr="00CC562A">
        <w:rPr>
          <w:rFonts w:ascii="Cambria" w:hAnsi="Cambria"/>
          <w:b/>
          <w:bCs/>
          <w:sz w:val="20"/>
          <w:szCs w:val="20"/>
          <w:lang w:val="en-US"/>
        </w:rPr>
        <w:t>adopt</w:t>
      </w:r>
      <w:r w:rsidRPr="00CC562A">
        <w:rPr>
          <w:rFonts w:ascii="Cambria" w:hAnsi="Cambria"/>
          <w:b/>
          <w:bCs/>
          <w:sz w:val="20"/>
          <w:szCs w:val="20"/>
          <w:lang w:val="en-US"/>
        </w:rPr>
        <w:t xml:space="preserve"> specific legislation at the federal and state level to address internal displacement, in accordance with the Guiding Principles on Internal Displacement</w:t>
      </w:r>
      <w:r w:rsidR="00A5099A" w:rsidRPr="00CC562A">
        <w:rPr>
          <w:rFonts w:ascii="Cambria" w:hAnsi="Cambria"/>
          <w:b/>
          <w:bCs/>
          <w:sz w:val="20"/>
          <w:szCs w:val="20"/>
          <w:lang w:val="en-US"/>
        </w:rPr>
        <w:t xml:space="preserve"> and to ensure that at the federal level there is an institution in charge of the protection of persons against forced displacement</w:t>
      </w:r>
      <w:r w:rsidR="716B92C9" w:rsidRPr="00CC562A">
        <w:rPr>
          <w:rFonts w:ascii="Cambria" w:hAnsi="Cambria"/>
          <w:sz w:val="20"/>
          <w:szCs w:val="20"/>
          <w:lang w:val="en-US"/>
        </w:rPr>
        <w:t xml:space="preserve">, </w:t>
      </w:r>
      <w:r w:rsidR="00752FED" w:rsidRPr="00CC562A">
        <w:rPr>
          <w:rFonts w:ascii="Cambria" w:eastAsia="Cambria" w:hAnsi="Cambria" w:cs="Cambria"/>
          <w:sz w:val="20"/>
          <w:szCs w:val="20"/>
          <w:lang w:val="en-US"/>
        </w:rPr>
        <w:t>the State</w:t>
      </w:r>
      <w:r w:rsidR="00A5099A" w:rsidRPr="00CC562A">
        <w:rPr>
          <w:rFonts w:ascii="Cambria" w:eastAsia="Cambria" w:hAnsi="Cambria" w:cs="Cambria"/>
          <w:sz w:val="20"/>
          <w:szCs w:val="20"/>
          <w:lang w:val="en-US"/>
        </w:rPr>
        <w:t xml:space="preserve"> indicated that there are several legislative initiatives on the subject, although they did not produce concrete results during</w:t>
      </w:r>
      <w:r w:rsidR="2C2269C2" w:rsidRPr="00CC562A">
        <w:rPr>
          <w:rFonts w:ascii="Cambria" w:eastAsia="Cambria" w:hAnsi="Cambria" w:cs="Cambria"/>
          <w:sz w:val="20"/>
          <w:szCs w:val="20"/>
          <w:lang w:val="en-US"/>
        </w:rPr>
        <w:t xml:space="preserve"> 2022.</w:t>
      </w:r>
      <w:r w:rsidR="253FD7CB" w:rsidRPr="00CC562A">
        <w:rPr>
          <w:rFonts w:ascii="Cambria" w:eastAsia="Cambria" w:hAnsi="Cambria" w:cs="Cambria"/>
          <w:sz w:val="20"/>
          <w:szCs w:val="20"/>
          <w:lang w:val="en-US"/>
        </w:rPr>
        <w:t xml:space="preserve"> </w:t>
      </w:r>
    </w:p>
    <w:p w14:paraId="2BA76CD6" w14:textId="4546F7F2" w:rsidR="002B21B1" w:rsidRPr="00CC562A" w:rsidRDefault="00A5099A" w:rsidP="007D3CA0">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w:t>
      </w:r>
      <w:r w:rsidR="601F96B9" w:rsidRPr="00CC562A">
        <w:rPr>
          <w:rFonts w:ascii="Cambria" w:eastAsia="Cambria" w:hAnsi="Cambria" w:cs="Cambria"/>
          <w:sz w:val="20"/>
          <w:szCs w:val="20"/>
          <w:lang w:val="en-US"/>
        </w:rPr>
        <w:t xml:space="preserve"> </w:t>
      </w:r>
      <w:r w:rsidR="3D944DDF" w:rsidRPr="00CC562A">
        <w:rPr>
          <w:rFonts w:ascii="Cambria" w:eastAsia="Cambria" w:hAnsi="Cambria" w:cs="Cambria"/>
          <w:sz w:val="20"/>
          <w:szCs w:val="20"/>
          <w:lang w:val="en-US"/>
        </w:rPr>
        <w:t>SEGOB</w:t>
      </w:r>
      <w:r w:rsidR="7514711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through the Working Group on Internal Forced Displacement of the Advisory Board on Migration Policy, in collaboration with the United Nations System and various stakeholders from civil society and academia, provided technical support to the </w:t>
      </w:r>
      <w:r w:rsidR="00EC1F95" w:rsidRPr="00CC562A">
        <w:rPr>
          <w:rFonts w:ascii="Cambria" w:eastAsia="Cambria" w:hAnsi="Cambria" w:cs="Cambria"/>
          <w:sz w:val="20"/>
          <w:szCs w:val="20"/>
          <w:lang w:val="en-US"/>
        </w:rPr>
        <w:t>Governance and Population Committees and the Migration Affairs Committee of the Chamber of Deputies, during the process of developing the Draft General Law to Prevent, Address, and Provide Comprehensive Reparation for Internal Forced Displacement. Currently, the text of the draft law is pending a vote in the Senate Committees on Governance, Human Rights, and Legislative Studies</w:t>
      </w:r>
      <w:r w:rsidR="09C8B4CD" w:rsidRPr="00CC562A">
        <w:rPr>
          <w:rFonts w:ascii="Cambria" w:eastAsia="Cambria" w:hAnsi="Cambria" w:cs="Cambria"/>
          <w:sz w:val="20"/>
          <w:szCs w:val="20"/>
          <w:lang w:val="en-US"/>
        </w:rPr>
        <w:t>.</w:t>
      </w:r>
    </w:p>
    <w:p w14:paraId="04AF23A6" w14:textId="211C0605" w:rsidR="007A4A30" w:rsidRPr="00CC562A" w:rsidRDefault="00EC1F9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also noted that in order to support the work of state level legislatures, the Unit for Migration Policy, </w:t>
      </w:r>
      <w:r w:rsidR="09C8B4CD"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Registration, and Identification of Persons developed the </w:t>
      </w:r>
      <w:r w:rsidR="00D65F55" w:rsidRPr="00CC562A">
        <w:rPr>
          <w:rFonts w:ascii="Cambria" w:eastAsia="Cambria" w:hAnsi="Cambria" w:cs="Cambria"/>
          <w:sz w:val="20"/>
          <w:szCs w:val="20"/>
          <w:lang w:val="en-US"/>
        </w:rPr>
        <w:t>Minimum Elements document for developing a State Law to Prevent, Address, and Provide Comprehensive Reparations for Internal Forced Displacement, which aligns with the General Law to Prevent, Address, and Provide Comprehensive Reparations for Internal Forced Displacement and international standards in the area of forced displacement.</w:t>
      </w:r>
      <w:r w:rsidR="00070D01" w:rsidRPr="00CC562A">
        <w:rPr>
          <w:rStyle w:val="FootnoteReference"/>
          <w:rFonts w:ascii="Cambria" w:eastAsia="Cambria" w:hAnsi="Cambria" w:cs="Cambria"/>
          <w:sz w:val="20"/>
          <w:szCs w:val="20"/>
          <w:lang w:val="en-US"/>
        </w:rPr>
        <w:footnoteReference w:id="288"/>
      </w:r>
    </w:p>
    <w:p w14:paraId="35D91FBB" w14:textId="27C32FD6" w:rsidR="00AA4A64" w:rsidRPr="00CC562A" w:rsidRDefault="00D65F5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Specifically on the recommendation to</w:t>
      </w:r>
      <w:r w:rsidR="00F5124B" w:rsidRPr="00CC562A">
        <w:rPr>
          <w:rFonts w:ascii="Cambria" w:eastAsia="Cambria" w:hAnsi="Cambria" w:cs="Cambria"/>
          <w:sz w:val="20"/>
          <w:szCs w:val="20"/>
          <w:lang w:val="en-US"/>
        </w:rPr>
        <w:t xml:space="preserve"> </w:t>
      </w:r>
      <w:r w:rsidR="00F5124B" w:rsidRPr="00CC562A">
        <w:rPr>
          <w:rFonts w:ascii="Cambria" w:hAnsi="Cambria"/>
          <w:b/>
          <w:bCs/>
          <w:sz w:val="20"/>
          <w:szCs w:val="20"/>
          <w:lang w:val="en-US"/>
        </w:rPr>
        <w:t>ensure that at the federal level there is an institution in charge of the protection of persons against forced displacement</w:t>
      </w:r>
      <w:r w:rsidR="17589662" w:rsidRPr="00CC562A">
        <w:rPr>
          <w:rFonts w:ascii="Cambria" w:hAnsi="Cambria"/>
          <w:sz w:val="20"/>
          <w:szCs w:val="20"/>
          <w:lang w:val="en-US"/>
        </w:rPr>
        <w:t xml:space="preserve">, </w:t>
      </w:r>
      <w:r w:rsidR="00752FED" w:rsidRPr="00CC562A">
        <w:rPr>
          <w:rFonts w:ascii="Cambria" w:eastAsia="Cambria" w:hAnsi="Cambria" w:cs="Cambria"/>
          <w:sz w:val="20"/>
          <w:szCs w:val="20"/>
          <w:lang w:val="en-US"/>
        </w:rPr>
        <w:t>the State</w:t>
      </w:r>
      <w:r w:rsidR="17589662" w:rsidRPr="00CC562A">
        <w:rPr>
          <w:rFonts w:ascii="Cambria" w:eastAsia="Cambria" w:hAnsi="Cambria" w:cs="Cambria"/>
          <w:sz w:val="20"/>
          <w:szCs w:val="20"/>
          <w:lang w:val="en-US"/>
        </w:rPr>
        <w:t xml:space="preserve"> </w:t>
      </w:r>
      <w:r w:rsidR="00D81FE0" w:rsidRPr="00CC562A">
        <w:rPr>
          <w:rFonts w:ascii="Cambria" w:eastAsia="Cambria" w:hAnsi="Cambria" w:cs="Cambria"/>
          <w:sz w:val="20"/>
          <w:szCs w:val="20"/>
          <w:lang w:val="en-US"/>
        </w:rPr>
        <w:t>indicated that as part of the activities of the Working Group on Internal Forced Displacement, within the Advisory Council on Migration Policy, 20 federal civil service institution were invited to attend the first</w:t>
      </w:r>
      <w:r w:rsidR="17589662" w:rsidRPr="00CC562A">
        <w:rPr>
          <w:rFonts w:ascii="Cambria" w:eastAsia="Cambria" w:hAnsi="Cambria" w:cs="Cambria"/>
          <w:sz w:val="20"/>
          <w:szCs w:val="20"/>
          <w:lang w:val="en-US"/>
        </w:rPr>
        <w:t xml:space="preserve"> “</w:t>
      </w:r>
      <w:r w:rsidR="00D81FE0" w:rsidRPr="00CC562A">
        <w:rPr>
          <w:rFonts w:ascii="Cambria" w:eastAsia="Cambria" w:hAnsi="Cambria" w:cs="Cambria"/>
          <w:sz w:val="20"/>
          <w:szCs w:val="20"/>
          <w:lang w:val="en-US"/>
        </w:rPr>
        <w:t>Workshop on promoting international recommendations on the subject of internal forced displacement at the federal level,” organized by the Unit on Migration Policy, Registration, and Identification of Persons and UNHCR Mexico</w:t>
      </w:r>
      <w:r w:rsidR="17589662" w:rsidRPr="00CC562A">
        <w:rPr>
          <w:rFonts w:ascii="Cambria" w:eastAsia="Cambria" w:hAnsi="Cambria" w:cs="Cambria"/>
          <w:sz w:val="20"/>
          <w:szCs w:val="20"/>
          <w:lang w:val="en-US"/>
        </w:rPr>
        <w:t>.</w:t>
      </w:r>
    </w:p>
    <w:p w14:paraId="46228871" w14:textId="51118D21" w:rsidR="00AA4A64"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0D7C1FE7"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0D7C1FE7" w:rsidRPr="00CC562A">
        <w:rPr>
          <w:rFonts w:ascii="Cambria" w:eastAsia="Cambria" w:hAnsi="Cambria" w:cs="Cambria"/>
          <w:sz w:val="20"/>
          <w:szCs w:val="20"/>
          <w:lang w:val="en-US"/>
        </w:rPr>
        <w:t xml:space="preserve"> </w:t>
      </w:r>
      <w:r w:rsidR="00353854" w:rsidRPr="00CC562A">
        <w:rPr>
          <w:rFonts w:ascii="Cambria" w:eastAsia="Cambria" w:hAnsi="Cambria" w:cs="Cambria"/>
          <w:sz w:val="20"/>
          <w:szCs w:val="20"/>
          <w:lang w:val="en-US"/>
        </w:rPr>
        <w:t xml:space="preserve">indicated that the text of the “General Law to Prevent, Address, and Provide Comprehensive Reparations for Internal Forced Displacement” approved in the Chamber of Deputies </w:t>
      </w:r>
      <w:r w:rsidR="00353854" w:rsidRPr="00CC562A">
        <w:rPr>
          <w:rFonts w:ascii="Cambria" w:eastAsia="Cambria" w:hAnsi="Cambria" w:cs="Cambria"/>
          <w:sz w:val="20"/>
          <w:szCs w:val="20"/>
          <w:lang w:val="en-US"/>
        </w:rPr>
        <w:lastRenderedPageBreak/>
        <w:t>in September</w:t>
      </w:r>
      <w:r w:rsidR="0D7C1FE7" w:rsidRPr="00CC562A">
        <w:rPr>
          <w:rFonts w:ascii="Cambria" w:eastAsia="Cambria" w:hAnsi="Cambria" w:cs="Cambria"/>
          <w:sz w:val="20"/>
          <w:szCs w:val="20"/>
          <w:lang w:val="en-US"/>
        </w:rPr>
        <w:t xml:space="preserve"> 2020</w:t>
      </w:r>
      <w:r w:rsidR="00353854" w:rsidRPr="00CC562A">
        <w:rPr>
          <w:rFonts w:ascii="Cambria" w:eastAsia="Cambria" w:hAnsi="Cambria" w:cs="Cambria"/>
          <w:sz w:val="20"/>
          <w:szCs w:val="20"/>
          <w:lang w:val="en-US"/>
        </w:rPr>
        <w:t xml:space="preserve"> and forwarded to the Senate for eventual approval establishes the creation of the “Mexican Commission for Refugee Aid and Internal Displacement</w:t>
      </w:r>
      <w:r w:rsidR="0D7C1FE7" w:rsidRPr="00CC562A">
        <w:rPr>
          <w:rFonts w:ascii="Cambria" w:eastAsia="Cambria" w:hAnsi="Cambria" w:cs="Cambria"/>
          <w:sz w:val="20"/>
          <w:szCs w:val="20"/>
          <w:lang w:val="en-US"/>
        </w:rPr>
        <w:t>” (</w:t>
      </w:r>
      <w:r w:rsidR="00353854" w:rsidRPr="00CC562A">
        <w:rPr>
          <w:rFonts w:ascii="Cambria" w:eastAsia="Cambria" w:hAnsi="Cambria" w:cs="Cambria"/>
          <w:sz w:val="20"/>
          <w:szCs w:val="20"/>
          <w:lang w:val="en-US"/>
        </w:rPr>
        <w:t>hereinafter</w:t>
      </w:r>
      <w:r w:rsidR="0D7C1FE7" w:rsidRPr="00CC562A">
        <w:rPr>
          <w:rFonts w:ascii="Cambria" w:eastAsia="Cambria" w:hAnsi="Cambria" w:cs="Cambria"/>
          <w:sz w:val="20"/>
          <w:szCs w:val="20"/>
          <w:lang w:val="en-US"/>
        </w:rPr>
        <w:t xml:space="preserve"> “COMARDI”), </w:t>
      </w:r>
      <w:r w:rsidR="00353854" w:rsidRPr="00CC562A">
        <w:rPr>
          <w:rFonts w:ascii="Cambria" w:eastAsia="Cambria" w:hAnsi="Cambria" w:cs="Cambria"/>
          <w:sz w:val="20"/>
          <w:szCs w:val="20"/>
          <w:lang w:val="en-US"/>
        </w:rPr>
        <w:t>as the federal institution responsible for implementi</w:t>
      </w:r>
      <w:r w:rsidR="00D145F4" w:rsidRPr="00CC562A">
        <w:rPr>
          <w:rFonts w:ascii="Cambria" w:eastAsia="Cambria" w:hAnsi="Cambria" w:cs="Cambria"/>
          <w:sz w:val="20"/>
          <w:szCs w:val="20"/>
          <w:lang w:val="en-US"/>
        </w:rPr>
        <w:t>ng</w:t>
      </w:r>
      <w:r w:rsidR="00353854" w:rsidRPr="00CC562A">
        <w:rPr>
          <w:rFonts w:ascii="Cambria" w:eastAsia="Cambria" w:hAnsi="Cambria" w:cs="Cambria"/>
          <w:sz w:val="20"/>
          <w:szCs w:val="20"/>
          <w:lang w:val="en-US"/>
        </w:rPr>
        <w:t xml:space="preserve"> public policy </w:t>
      </w:r>
      <w:r w:rsidR="00D145F4" w:rsidRPr="00CC562A">
        <w:rPr>
          <w:rFonts w:ascii="Cambria" w:eastAsia="Cambria" w:hAnsi="Cambria" w:cs="Cambria"/>
          <w:sz w:val="20"/>
          <w:szCs w:val="20"/>
          <w:lang w:val="en-US"/>
        </w:rPr>
        <w:t>on prevention, and to</w:t>
      </w:r>
      <w:r w:rsidR="00353854" w:rsidRPr="00CC562A">
        <w:rPr>
          <w:rFonts w:ascii="Cambria" w:eastAsia="Cambria" w:hAnsi="Cambria" w:cs="Cambria"/>
          <w:sz w:val="20"/>
          <w:szCs w:val="20"/>
          <w:lang w:val="en-US"/>
        </w:rPr>
        <w:t xml:space="preserve"> address, protect, generate, and implement sustainable solutions for internal forced displacement at</w:t>
      </w:r>
      <w:r w:rsidR="00D86D7C" w:rsidRPr="00CC562A">
        <w:rPr>
          <w:rFonts w:ascii="Cambria" w:eastAsia="Cambria" w:hAnsi="Cambria" w:cs="Cambria"/>
          <w:sz w:val="20"/>
          <w:szCs w:val="20"/>
          <w:lang w:val="en-US"/>
        </w:rPr>
        <w:t xml:space="preserve"> the national level.</w:t>
      </w:r>
      <w:r w:rsidR="0D7C1FE7" w:rsidRPr="00CC562A">
        <w:rPr>
          <w:rFonts w:ascii="Cambria" w:eastAsia="Cambria" w:hAnsi="Cambria" w:cs="Cambria"/>
          <w:sz w:val="20"/>
          <w:szCs w:val="20"/>
          <w:lang w:val="en-US"/>
        </w:rPr>
        <w:t> </w:t>
      </w:r>
      <w:r w:rsidR="00752FED" w:rsidRPr="00CC562A">
        <w:rPr>
          <w:rFonts w:ascii="Cambria" w:eastAsia="Cambria" w:hAnsi="Cambria" w:cs="Cambria"/>
          <w:sz w:val="20"/>
          <w:szCs w:val="20"/>
          <w:lang w:val="en-US"/>
        </w:rPr>
        <w:t>The State</w:t>
      </w:r>
      <w:r w:rsidR="0D7C1FE7"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0D7C1FE7" w:rsidRPr="00CC562A">
        <w:rPr>
          <w:rFonts w:ascii="Cambria" w:eastAsia="Cambria" w:hAnsi="Cambria" w:cs="Cambria"/>
          <w:sz w:val="20"/>
          <w:szCs w:val="20"/>
          <w:lang w:val="en-US"/>
        </w:rPr>
        <w:t xml:space="preserve">, </w:t>
      </w:r>
      <w:r w:rsidR="00D86D7C" w:rsidRPr="00CC562A">
        <w:rPr>
          <w:rFonts w:ascii="Cambria" w:eastAsia="Cambria" w:hAnsi="Cambria" w:cs="Cambria"/>
          <w:sz w:val="20"/>
          <w:szCs w:val="20"/>
          <w:lang w:val="en-US"/>
        </w:rPr>
        <w:t>as said General Law is enacted, the Mexican State through various federal institutions such as the Executive Commission</w:t>
      </w:r>
      <w:r w:rsidR="0D7C1FE7" w:rsidRPr="00CC562A">
        <w:rPr>
          <w:rFonts w:ascii="Cambria" w:eastAsia="Cambria" w:hAnsi="Cambria" w:cs="Cambria"/>
          <w:sz w:val="20"/>
          <w:szCs w:val="20"/>
          <w:lang w:val="en-US"/>
        </w:rPr>
        <w:t xml:space="preserve"> </w:t>
      </w:r>
      <w:r w:rsidR="00D86D7C" w:rsidRPr="00CC562A">
        <w:rPr>
          <w:rFonts w:ascii="Cambria" w:eastAsia="Cambria" w:hAnsi="Cambria" w:cs="Cambria"/>
          <w:sz w:val="20"/>
          <w:szCs w:val="20"/>
          <w:lang w:val="en-US"/>
        </w:rPr>
        <w:t xml:space="preserve">for Attention to Victims, the National Institute of Indigenous Peoples, and the National System for </w:t>
      </w:r>
      <w:r w:rsidR="00E15408" w:rsidRPr="00CC562A">
        <w:rPr>
          <w:rFonts w:ascii="Cambria" w:eastAsia="Cambria" w:hAnsi="Cambria" w:cs="Cambria"/>
          <w:sz w:val="20"/>
          <w:szCs w:val="20"/>
          <w:lang w:val="en-US"/>
        </w:rPr>
        <w:t>Integral Family</w:t>
      </w:r>
      <w:r w:rsidR="00D86D7C" w:rsidRPr="00CC562A">
        <w:rPr>
          <w:rFonts w:ascii="Cambria" w:eastAsia="Cambria" w:hAnsi="Cambria" w:cs="Cambria"/>
          <w:sz w:val="20"/>
          <w:szCs w:val="20"/>
          <w:lang w:val="en-US"/>
        </w:rPr>
        <w:t xml:space="preserve"> Development, as well as the National Human Rights Commission itself, hears specific cases of displacement and care is offered as a result</w:t>
      </w:r>
      <w:r w:rsidR="00DC5772" w:rsidRPr="00CC562A">
        <w:rPr>
          <w:rFonts w:ascii="Cambria" w:hAnsi="Cambria"/>
          <w:sz w:val="20"/>
          <w:lang w:val="en-US"/>
        </w:rPr>
        <w:t xml:space="preserve">, </w:t>
      </w:r>
      <w:r w:rsidR="000C2374" w:rsidRPr="00CC562A">
        <w:rPr>
          <w:rFonts w:ascii="Cambria" w:hAnsi="Cambria"/>
          <w:sz w:val="20"/>
          <w:lang w:val="en-US"/>
        </w:rPr>
        <w:t>with cultural relevance, for cases involving indigenous peoples and Afro-Mexican communities.</w:t>
      </w:r>
      <w:r w:rsidR="00AA4A64" w:rsidRPr="00CC562A">
        <w:rPr>
          <w:rStyle w:val="FootnoteReference"/>
          <w:rFonts w:ascii="Cambria" w:eastAsia="Cambria" w:hAnsi="Cambria" w:cs="Cambria"/>
          <w:sz w:val="20"/>
          <w:szCs w:val="20"/>
          <w:lang w:val="en-US"/>
        </w:rPr>
        <w:footnoteReference w:id="289"/>
      </w:r>
    </w:p>
    <w:p w14:paraId="69D8A1B9" w14:textId="13FDC768" w:rsidR="00A373D9" w:rsidRPr="00CC562A" w:rsidRDefault="00E1540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The</w:t>
      </w:r>
      <w:r w:rsidR="602DAB02" w:rsidRPr="00CC562A">
        <w:rPr>
          <w:rFonts w:ascii="Cambria" w:eastAsia="Cambria" w:hAnsi="Cambria"/>
          <w:sz w:val="20"/>
          <w:szCs w:val="20"/>
          <w:lang w:val="en-US"/>
        </w:rPr>
        <w:t xml:space="preserve"> CMDPDH </w:t>
      </w:r>
      <w:r w:rsidR="00900ED4" w:rsidRPr="00CC562A">
        <w:rPr>
          <w:rFonts w:ascii="Cambria" w:eastAsia="Cambria" w:hAnsi="Cambria"/>
          <w:sz w:val="20"/>
          <w:szCs w:val="20"/>
          <w:lang w:val="en-US"/>
        </w:rPr>
        <w:t>reported that</w:t>
      </w:r>
      <w:r w:rsidR="602DAB02" w:rsidRPr="00CC562A">
        <w:rPr>
          <w:rFonts w:ascii="Cambria" w:eastAsia="Cambria" w:hAnsi="Cambria"/>
          <w:sz w:val="20"/>
          <w:szCs w:val="20"/>
          <w:lang w:val="en-US"/>
        </w:rPr>
        <w:t xml:space="preserve"> </w:t>
      </w:r>
      <w:r w:rsidRPr="00CC562A">
        <w:rPr>
          <w:rFonts w:ascii="Cambria" w:eastAsia="Cambria" w:hAnsi="Cambria"/>
          <w:sz w:val="20"/>
          <w:szCs w:val="20"/>
          <w:lang w:val="en-US"/>
        </w:rPr>
        <w:t>specific legislation has not yet been adopted at the federal level to address internal displacement in accordance with the Guiding Principles on Internal Displacement</w:t>
      </w:r>
      <w:r w:rsidR="602DAB02" w:rsidRPr="00CC562A">
        <w:rPr>
          <w:rFonts w:ascii="Cambria" w:eastAsia="Cambria" w:hAnsi="Cambria"/>
          <w:sz w:val="20"/>
          <w:szCs w:val="20"/>
          <w:lang w:val="en-US"/>
        </w:rPr>
        <w:t xml:space="preserve">. </w:t>
      </w:r>
      <w:r w:rsidRPr="00CC562A">
        <w:rPr>
          <w:rFonts w:ascii="Cambria" w:eastAsia="Cambria" w:hAnsi="Cambria"/>
          <w:sz w:val="20"/>
          <w:szCs w:val="20"/>
          <w:lang w:val="en-US"/>
        </w:rPr>
        <w:t>Regarding the adoption of specific legislation at the state level, in addition to the three states that already had laws on the subject</w:t>
      </w:r>
      <w:r w:rsidR="602DAB02" w:rsidRPr="00CC562A">
        <w:rPr>
          <w:rFonts w:ascii="Cambria" w:eastAsia="Cambria" w:hAnsi="Cambria"/>
          <w:sz w:val="20"/>
          <w:szCs w:val="20"/>
          <w:lang w:val="en-US"/>
        </w:rPr>
        <w:t xml:space="preserve"> (Chiapas, Guerrero</w:t>
      </w:r>
      <w:r w:rsidRPr="00CC562A">
        <w:rPr>
          <w:rFonts w:ascii="Cambria" w:eastAsia="Cambria" w:hAnsi="Cambria"/>
          <w:sz w:val="20"/>
          <w:szCs w:val="20"/>
          <w:lang w:val="en-US"/>
        </w:rPr>
        <w:t>, and</w:t>
      </w:r>
      <w:r w:rsidR="602DAB02" w:rsidRPr="00CC562A">
        <w:rPr>
          <w:rFonts w:ascii="Cambria" w:eastAsia="Cambria" w:hAnsi="Cambria"/>
          <w:sz w:val="20"/>
          <w:szCs w:val="20"/>
          <w:lang w:val="en-US"/>
        </w:rPr>
        <w:t xml:space="preserve"> Sinaloa), </w:t>
      </w:r>
      <w:r w:rsidR="007905EE" w:rsidRPr="00CC562A">
        <w:rPr>
          <w:rFonts w:ascii="Cambria" w:eastAsia="Cambria" w:hAnsi="Cambria"/>
          <w:sz w:val="20"/>
          <w:szCs w:val="20"/>
          <w:lang w:val="en-US"/>
        </w:rPr>
        <w:t xml:space="preserve">the Law for Prevention of and Attention to Internal Forced Displacement was approved in the State of </w:t>
      </w:r>
      <w:r w:rsidR="602DAB02" w:rsidRPr="00CC562A">
        <w:rPr>
          <w:rFonts w:ascii="Cambria" w:eastAsia="Cambria" w:hAnsi="Cambria"/>
          <w:sz w:val="20"/>
          <w:szCs w:val="20"/>
          <w:lang w:val="en-US"/>
        </w:rPr>
        <w:t xml:space="preserve">Zacatecas, </w:t>
      </w:r>
      <w:r w:rsidR="007905EE" w:rsidRPr="00CC562A">
        <w:rPr>
          <w:rFonts w:ascii="Cambria" w:eastAsia="Cambria" w:hAnsi="Cambria"/>
          <w:sz w:val="20"/>
          <w:szCs w:val="20"/>
          <w:lang w:val="en-US"/>
        </w:rPr>
        <w:t xml:space="preserve">taking effect as of October 2, </w:t>
      </w:r>
      <w:r w:rsidR="602DAB02" w:rsidRPr="00CC562A">
        <w:rPr>
          <w:rFonts w:ascii="Cambria" w:eastAsia="Cambria" w:hAnsi="Cambria"/>
          <w:sz w:val="20"/>
          <w:szCs w:val="20"/>
          <w:lang w:val="en-US"/>
        </w:rPr>
        <w:t xml:space="preserve">2022. </w:t>
      </w:r>
      <w:r w:rsidR="00F108AA" w:rsidRPr="00CC562A">
        <w:rPr>
          <w:rFonts w:ascii="Cambria" w:eastAsia="Cambria" w:hAnsi="Cambria" w:cs="Times New Roman"/>
          <w:sz w:val="20"/>
          <w:szCs w:val="20"/>
          <w:lang w:val="en-US"/>
        </w:rPr>
        <w:t>In addition,</w:t>
      </w:r>
      <w:r w:rsidR="0D7C1FE7" w:rsidRPr="00CC562A">
        <w:rPr>
          <w:rFonts w:ascii="Cambria" w:eastAsia="Cambria" w:hAnsi="Cambria" w:cs="Times New Roman"/>
          <w:sz w:val="20"/>
          <w:szCs w:val="20"/>
          <w:lang w:val="en-US"/>
        </w:rPr>
        <w:t xml:space="preserve"> </w:t>
      </w:r>
      <w:r w:rsidR="007905EE" w:rsidRPr="00CC562A">
        <w:rPr>
          <w:rFonts w:ascii="Cambria" w:eastAsia="Cambria" w:hAnsi="Cambria" w:cs="Times New Roman"/>
          <w:sz w:val="20"/>
          <w:szCs w:val="20"/>
          <w:lang w:val="en-US"/>
        </w:rPr>
        <w:t xml:space="preserve">it indicated that Mexico still does not have a regulatory framework at the federal level </w:t>
      </w:r>
      <w:proofErr w:type="gramStart"/>
      <w:r w:rsidR="007905EE" w:rsidRPr="00CC562A">
        <w:rPr>
          <w:rFonts w:ascii="Cambria" w:eastAsia="Cambria" w:hAnsi="Cambria" w:cs="Times New Roman"/>
          <w:sz w:val="20"/>
          <w:szCs w:val="20"/>
          <w:lang w:val="en-US"/>
        </w:rPr>
        <w:t>on the subject of internal</w:t>
      </w:r>
      <w:proofErr w:type="gramEnd"/>
      <w:r w:rsidR="007905EE" w:rsidRPr="00CC562A">
        <w:rPr>
          <w:rFonts w:ascii="Cambria" w:eastAsia="Cambria" w:hAnsi="Cambria" w:cs="Times New Roman"/>
          <w:sz w:val="20"/>
          <w:szCs w:val="20"/>
          <w:lang w:val="en-US"/>
        </w:rPr>
        <w:t xml:space="preserve"> displacement to determine the distribution of resources, capabilities, and responsibilities among the various government authorities that will be in charge of implementing coordinated policies for prevention and comprehensive attention regarding the phenomenon.</w:t>
      </w:r>
      <w:r w:rsidR="0D7C1FE7" w:rsidRPr="00CC562A">
        <w:rPr>
          <w:rFonts w:ascii="Cambria" w:eastAsia="Cambria" w:hAnsi="Cambria" w:cs="Times New Roman"/>
          <w:sz w:val="20"/>
          <w:szCs w:val="20"/>
          <w:lang w:val="en-US"/>
        </w:rPr>
        <w:t xml:space="preserve"> </w:t>
      </w:r>
    </w:p>
    <w:p w14:paraId="1747BE0D" w14:textId="06AC17E6" w:rsidR="004A31AF" w:rsidRPr="00CC562A" w:rsidRDefault="007905E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The Commission notes the public demonstrations and legal actions that have been undertaken to address the crisis of forced displacement being experienced in Mexico</w:t>
      </w:r>
      <w:r w:rsidR="24F06452" w:rsidRPr="00CC562A">
        <w:rPr>
          <w:rFonts w:ascii="Cambria" w:hAnsi="Cambria"/>
          <w:sz w:val="20"/>
          <w:szCs w:val="20"/>
          <w:lang w:val="en-US"/>
        </w:rPr>
        <w:t xml:space="preserve">. </w:t>
      </w:r>
      <w:r w:rsidR="00752FED" w:rsidRPr="00CC562A">
        <w:rPr>
          <w:rFonts w:ascii="Cambria" w:hAnsi="Cambria"/>
          <w:sz w:val="20"/>
          <w:szCs w:val="20"/>
          <w:lang w:val="en-US"/>
        </w:rPr>
        <w:t>Nonetheless,</w:t>
      </w:r>
      <w:r w:rsidRPr="00CC562A">
        <w:rPr>
          <w:rFonts w:ascii="Cambria" w:hAnsi="Cambria"/>
          <w:sz w:val="20"/>
          <w:szCs w:val="20"/>
          <w:lang w:val="en-US"/>
        </w:rPr>
        <w:t xml:space="preserve"> it notes that, despite legislative efforts and bills,</w:t>
      </w:r>
      <w:r w:rsidR="0D7C1FE7" w:rsidRPr="00CC562A">
        <w:rPr>
          <w:rFonts w:ascii="Cambria" w:hAnsi="Cambria"/>
          <w:sz w:val="20"/>
          <w:szCs w:val="20"/>
          <w:lang w:val="en-US"/>
        </w:rPr>
        <w:t xml:space="preserve"> </w:t>
      </w:r>
      <w:r w:rsidRPr="00CC562A">
        <w:rPr>
          <w:rFonts w:ascii="Cambria" w:hAnsi="Cambria"/>
          <w:sz w:val="20"/>
          <w:szCs w:val="20"/>
          <w:lang w:val="en-US"/>
        </w:rPr>
        <w:t>there is still no specific legislation on the subject. In this regard, the Commission has considered that the regulatory framework on internal displacement adopted by the State must identify an institutional focal point to supervise its implementation, assign clear roles and responsibilities, and facilitate coordination</w:t>
      </w:r>
      <w:r w:rsidR="0D7C1FE7" w:rsidRPr="00CC562A">
        <w:rPr>
          <w:rFonts w:ascii="Cambria" w:hAnsi="Cambria"/>
          <w:sz w:val="20"/>
          <w:szCs w:val="20"/>
          <w:lang w:val="en-US"/>
        </w:rPr>
        <w:t xml:space="preserve"> </w:t>
      </w:r>
      <w:r w:rsidRPr="00CC562A">
        <w:rPr>
          <w:rFonts w:ascii="Cambria" w:hAnsi="Cambria"/>
          <w:sz w:val="20"/>
          <w:szCs w:val="20"/>
          <w:lang w:val="en-US"/>
        </w:rPr>
        <w:t>with other government</w:t>
      </w:r>
      <w:r w:rsidR="00D145F4" w:rsidRPr="00CC562A">
        <w:rPr>
          <w:rFonts w:ascii="Cambria" w:hAnsi="Cambria"/>
          <w:sz w:val="20"/>
          <w:szCs w:val="20"/>
          <w:lang w:val="en-US"/>
        </w:rPr>
        <w:t>al</w:t>
      </w:r>
      <w:r w:rsidRPr="00CC562A">
        <w:rPr>
          <w:rFonts w:ascii="Cambria" w:hAnsi="Cambria"/>
          <w:sz w:val="20"/>
          <w:szCs w:val="20"/>
          <w:lang w:val="en-US"/>
        </w:rPr>
        <w:t xml:space="preserve"> and non-governmental stakeholders, including the</w:t>
      </w:r>
      <w:r w:rsidR="0D7C1FE7" w:rsidRPr="00CC562A">
        <w:rPr>
          <w:rFonts w:ascii="Cambria" w:hAnsi="Cambria"/>
          <w:sz w:val="20"/>
          <w:szCs w:val="20"/>
          <w:lang w:val="en-US"/>
        </w:rPr>
        <w:t xml:space="preserve"> CNDH </w:t>
      </w:r>
      <w:r w:rsidRPr="00CC562A">
        <w:rPr>
          <w:rFonts w:ascii="Cambria" w:hAnsi="Cambria"/>
          <w:sz w:val="20"/>
          <w:szCs w:val="20"/>
          <w:lang w:val="en-US"/>
        </w:rPr>
        <w:t>and civil society organization</w:t>
      </w:r>
      <w:r w:rsidR="00D145F4" w:rsidRPr="00CC562A">
        <w:rPr>
          <w:rFonts w:ascii="Cambria" w:hAnsi="Cambria"/>
          <w:sz w:val="20"/>
          <w:szCs w:val="20"/>
          <w:lang w:val="en-US"/>
        </w:rPr>
        <w:t>s</w:t>
      </w:r>
      <w:r w:rsidRPr="00CC562A">
        <w:rPr>
          <w:rFonts w:ascii="Cambria" w:hAnsi="Cambria"/>
          <w:sz w:val="20"/>
          <w:szCs w:val="20"/>
          <w:lang w:val="en-US"/>
        </w:rPr>
        <w:t xml:space="preserve"> for the protection of the internally displaced population.</w:t>
      </w:r>
      <w:r w:rsidR="00AA4A64" w:rsidRPr="00CC562A">
        <w:rPr>
          <w:rStyle w:val="FootnoteReference"/>
          <w:rFonts w:ascii="Cambria" w:hAnsi="Cambria"/>
          <w:sz w:val="20"/>
          <w:szCs w:val="20"/>
          <w:lang w:val="en-US"/>
        </w:rPr>
        <w:footnoteReference w:id="290"/>
      </w:r>
      <w:r w:rsidRPr="00CC562A">
        <w:rPr>
          <w:rFonts w:ascii="Cambria" w:hAnsi="Cambria"/>
          <w:sz w:val="20"/>
          <w:szCs w:val="20"/>
          <w:lang w:val="en-US"/>
        </w:rPr>
        <w:t xml:space="preserve"> Based on the information analyzed, </w:t>
      </w:r>
      <w:r w:rsidR="00276638" w:rsidRPr="00CC562A">
        <w:rPr>
          <w:rFonts w:ascii="Cambria" w:hAnsi="Cambria"/>
          <w:sz w:val="20"/>
          <w:szCs w:val="20"/>
          <w:lang w:val="en-US"/>
        </w:rPr>
        <w:t>the IACHR</w:t>
      </w:r>
      <w:r w:rsidR="0D7C1FE7" w:rsidRPr="00CC562A">
        <w:rPr>
          <w:rFonts w:ascii="Cambria" w:hAnsi="Cambria"/>
          <w:sz w:val="20"/>
          <w:szCs w:val="20"/>
          <w:lang w:val="en-US"/>
        </w:rPr>
        <w:t xml:space="preserve"> conclu</w:t>
      </w:r>
      <w:r w:rsidRPr="00CC562A">
        <w:rPr>
          <w:rFonts w:ascii="Cambria" w:hAnsi="Cambria"/>
          <w:sz w:val="20"/>
          <w:szCs w:val="20"/>
          <w:lang w:val="en-US"/>
        </w:rPr>
        <w:t xml:space="preserve">des that the referenced recommendations are </w:t>
      </w:r>
      <w:r w:rsidRPr="00CC562A">
        <w:rPr>
          <w:rFonts w:ascii="Cambria" w:hAnsi="Cambria"/>
          <w:b/>
          <w:bCs/>
          <w:sz w:val="20"/>
          <w:szCs w:val="20"/>
          <w:lang w:val="en-US"/>
        </w:rPr>
        <w:t>pending compliance</w:t>
      </w:r>
      <w:r w:rsidRPr="00CC562A">
        <w:rPr>
          <w:rFonts w:ascii="Cambria" w:hAnsi="Cambria"/>
          <w:sz w:val="20"/>
          <w:szCs w:val="20"/>
          <w:lang w:val="en-US"/>
        </w:rPr>
        <w:t>.</w:t>
      </w:r>
      <w:r w:rsidR="0D7C1FE7" w:rsidRPr="00CC562A">
        <w:rPr>
          <w:rFonts w:ascii="Cambria" w:hAnsi="Cambria"/>
          <w:sz w:val="20"/>
          <w:szCs w:val="20"/>
          <w:lang w:val="en-US"/>
        </w:rPr>
        <w:t xml:space="preserve"> </w:t>
      </w:r>
    </w:p>
    <w:p w14:paraId="0DA3A16B" w14:textId="149D728F" w:rsidR="002B7C88" w:rsidRPr="00CC562A" w:rsidRDefault="007905EE" w:rsidP="00D77397">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To guide the implementation of these recommendations</w:t>
      </w:r>
      <w:r w:rsidR="002B7C88" w:rsidRPr="00CC562A">
        <w:rPr>
          <w:rFonts w:ascii="Cambria" w:hAnsi="Cambria"/>
          <w:sz w:val="20"/>
          <w:szCs w:val="20"/>
          <w:lang w:val="en-US"/>
        </w:rPr>
        <w:t xml:space="preserve">, </w:t>
      </w:r>
      <w:r w:rsidR="00276638" w:rsidRPr="00CC562A">
        <w:rPr>
          <w:rFonts w:ascii="Cambria" w:hAnsi="Cambria"/>
          <w:sz w:val="20"/>
          <w:szCs w:val="20"/>
          <w:lang w:val="en-US"/>
        </w:rPr>
        <w:t>the IACHR</w:t>
      </w:r>
      <w:r w:rsidR="002B7C88" w:rsidRPr="00CC562A">
        <w:rPr>
          <w:rFonts w:ascii="Cambria" w:hAnsi="Cambria"/>
          <w:sz w:val="20"/>
          <w:szCs w:val="20"/>
          <w:lang w:val="en-US"/>
        </w:rPr>
        <w:t xml:space="preserve"> </w:t>
      </w:r>
      <w:r w:rsidRPr="00CC562A">
        <w:rPr>
          <w:rFonts w:ascii="Cambria" w:hAnsi="Cambria"/>
          <w:sz w:val="20"/>
          <w:szCs w:val="20"/>
          <w:lang w:val="en-US"/>
        </w:rPr>
        <w:t xml:space="preserve">sees fit to ask the State to adopt concrete measures designed </w:t>
      </w:r>
      <w:r w:rsidR="003103FA" w:rsidRPr="00CC562A">
        <w:rPr>
          <w:rFonts w:ascii="Cambria" w:hAnsi="Cambria"/>
          <w:sz w:val="20"/>
          <w:szCs w:val="20"/>
          <w:lang w:val="en-US"/>
        </w:rPr>
        <w:t xml:space="preserve">for the enactment and entry into force of a law </w:t>
      </w:r>
      <w:proofErr w:type="gramStart"/>
      <w:r w:rsidR="003103FA" w:rsidRPr="00CC562A">
        <w:rPr>
          <w:rFonts w:ascii="Cambria" w:hAnsi="Cambria"/>
          <w:sz w:val="20"/>
          <w:szCs w:val="20"/>
          <w:lang w:val="en-US"/>
        </w:rPr>
        <w:t>on the subject of internal</w:t>
      </w:r>
      <w:proofErr w:type="gramEnd"/>
      <w:r w:rsidR="003103FA" w:rsidRPr="00CC562A">
        <w:rPr>
          <w:rFonts w:ascii="Cambria" w:hAnsi="Cambria"/>
          <w:sz w:val="20"/>
          <w:szCs w:val="20"/>
          <w:lang w:val="en-US"/>
        </w:rPr>
        <w:t xml:space="preserve"> forced displacement to develop institutionalization of the subject</w:t>
      </w:r>
      <w:r w:rsidR="3D944DDF" w:rsidRPr="00CC562A">
        <w:rPr>
          <w:rFonts w:ascii="Cambria" w:hAnsi="Cambria"/>
          <w:sz w:val="20"/>
          <w:szCs w:val="20"/>
          <w:lang w:val="en-US"/>
        </w:rPr>
        <w:t xml:space="preserve">. </w:t>
      </w:r>
      <w:r w:rsidR="00376A5C" w:rsidRPr="00CC562A">
        <w:rPr>
          <w:rFonts w:ascii="Cambria" w:hAnsi="Cambria"/>
          <w:sz w:val="20"/>
          <w:szCs w:val="20"/>
          <w:lang w:val="en-US"/>
        </w:rPr>
        <w:t xml:space="preserve"> </w:t>
      </w:r>
    </w:p>
    <w:p w14:paraId="786D86DE" w14:textId="0F6CDF97" w:rsidR="003F2C1B" w:rsidRPr="00CC562A" w:rsidRDefault="003103FA" w:rsidP="00846BD0">
      <w:pPr>
        <w:pStyle w:val="Heading3"/>
        <w:numPr>
          <w:ilvl w:val="0"/>
          <w:numId w:val="31"/>
        </w:numPr>
        <w:spacing w:before="240" w:after="200" w:line="240" w:lineRule="auto"/>
        <w:ind w:left="1440"/>
        <w:rPr>
          <w:sz w:val="20"/>
          <w:szCs w:val="20"/>
          <w:lang w:val="en-US"/>
        </w:rPr>
      </w:pPr>
      <w:r w:rsidRPr="00CC562A">
        <w:rPr>
          <w:sz w:val="20"/>
          <w:szCs w:val="20"/>
          <w:lang w:val="en-US"/>
        </w:rPr>
        <w:t>Human Rights Defenders</w:t>
      </w:r>
    </w:p>
    <w:p w14:paraId="3E3F78AA" w14:textId="1F3A527F" w:rsidR="003F2C1B" w:rsidRPr="00CC562A" w:rsidRDefault="003103FA" w:rsidP="002F39B3">
      <w:pPr>
        <w:numPr>
          <w:ilvl w:val="0"/>
          <w:numId w:val="17"/>
        </w:numPr>
        <w:pBdr>
          <w:top w:val="nil"/>
          <w:left w:val="nil"/>
          <w:bottom w:val="nil"/>
          <w:right w:val="nil"/>
          <w:between w:val="nil"/>
        </w:pBdr>
        <w:shd w:val="clear" w:color="auto" w:fill="D9D9D9" w:themeFill="background1" w:themeFillShade="D9"/>
        <w:spacing w:before="240" w:line="240" w:lineRule="auto"/>
        <w:jc w:val="both"/>
        <w:rPr>
          <w:rFonts w:ascii="Cambria" w:eastAsia="Cambria" w:hAnsi="Cambria" w:cs="Cambria"/>
          <w:sz w:val="20"/>
          <w:szCs w:val="20"/>
          <w:lang w:val="en-US"/>
        </w:rPr>
      </w:pPr>
      <w:r w:rsidRPr="00CC562A">
        <w:rPr>
          <w:rFonts w:ascii="Cambria" w:eastAsia="Cambria" w:hAnsi="Cambria" w:cs="Cambria"/>
          <w:sz w:val="20"/>
          <w:szCs w:val="20"/>
          <w:lang w:val="en-US"/>
        </w:rPr>
        <w:t>Strengthen the agencies responsible for the protection of human rights defenders and journalists, so that they can adequately guarantee their life and integrity</w:t>
      </w:r>
      <w:r w:rsidR="003F2C1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Mexican State is urged to incorporate gender and multicultural perspectives in the design and adoption of protection measures </w:t>
      </w:r>
      <w:r w:rsidR="00D145F4" w:rsidRPr="00CC562A">
        <w:rPr>
          <w:rFonts w:ascii="Cambria" w:eastAsia="Cambria" w:hAnsi="Cambria" w:cs="Cambria"/>
          <w:sz w:val="20"/>
          <w:szCs w:val="20"/>
          <w:lang w:val="en-US"/>
        </w:rPr>
        <w:t xml:space="preserve">for </w:t>
      </w:r>
      <w:r w:rsidRPr="00CC562A">
        <w:rPr>
          <w:rFonts w:ascii="Cambria" w:eastAsia="Cambria" w:hAnsi="Cambria" w:cs="Cambria"/>
          <w:sz w:val="20"/>
          <w:szCs w:val="20"/>
          <w:lang w:val="en-US"/>
        </w:rPr>
        <w:t>women defenders and journalists</w:t>
      </w:r>
      <w:r w:rsidR="003F2C1B" w:rsidRPr="00CC562A">
        <w:rPr>
          <w:rFonts w:ascii="Cambria" w:eastAsia="Cambria" w:hAnsi="Cambria" w:cs="Cambria"/>
          <w:sz w:val="20"/>
          <w:szCs w:val="20"/>
          <w:lang w:val="en-US"/>
        </w:rPr>
        <w:t>.</w:t>
      </w:r>
    </w:p>
    <w:p w14:paraId="637C2B73" w14:textId="69F952A8" w:rsidR="00DD2127" w:rsidRPr="00CC562A" w:rsidRDefault="006F0E3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hAnsi="Cambria"/>
          <w:b/>
          <w:bCs/>
          <w:sz w:val="20"/>
          <w:szCs w:val="20"/>
          <w:lang w:val="en-US"/>
        </w:rPr>
        <w:t>strengthen the agencies responsible for the protection of human rights defenders and journalists, so that they can adequately guarantee their life and integrity</w:t>
      </w:r>
      <w:r w:rsidR="0ED6A699"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2A3B582B"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the Mechanism for the Protection of Human Rights Defenders and Journalists develops protection plans according to the results of a risk assessment, based on a methodology designed to </w:t>
      </w:r>
      <w:r w:rsidRPr="00CC562A">
        <w:rPr>
          <w:rFonts w:ascii="Cambria" w:eastAsia="Cambria" w:hAnsi="Cambria" w:cs="Cambria"/>
          <w:sz w:val="20"/>
          <w:szCs w:val="20"/>
          <w:lang w:val="en-US"/>
        </w:rPr>
        <w:lastRenderedPageBreak/>
        <w:t xml:space="preserve">compile, systematize, and analyze information. According to the level of risk, </w:t>
      </w:r>
      <w:r w:rsidR="00620121" w:rsidRPr="00CC562A">
        <w:rPr>
          <w:rFonts w:ascii="Cambria" w:eastAsia="Cambria" w:hAnsi="Cambria" w:cs="Cambria"/>
          <w:sz w:val="20"/>
          <w:szCs w:val="20"/>
          <w:lang w:val="en-US"/>
        </w:rPr>
        <w:t xml:space="preserve">using </w:t>
      </w:r>
      <w:r w:rsidRPr="00CC562A">
        <w:rPr>
          <w:rFonts w:ascii="Cambria" w:eastAsia="Cambria" w:hAnsi="Cambria" w:cs="Cambria"/>
          <w:sz w:val="20"/>
          <w:szCs w:val="20"/>
          <w:lang w:val="en-US"/>
        </w:rPr>
        <w:t>the differential, specialized, gender-based, and intersection</w:t>
      </w:r>
      <w:r w:rsidR="00D145F4" w:rsidRPr="00CC562A">
        <w:rPr>
          <w:rFonts w:ascii="Cambria" w:eastAsia="Cambria" w:hAnsi="Cambria" w:cs="Cambria"/>
          <w:sz w:val="20"/>
          <w:szCs w:val="20"/>
          <w:lang w:val="en-US"/>
        </w:rPr>
        <w:t>al</w:t>
      </w:r>
      <w:r w:rsidRPr="00CC562A">
        <w:rPr>
          <w:rFonts w:ascii="Cambria" w:eastAsia="Cambria" w:hAnsi="Cambria" w:cs="Cambria"/>
          <w:sz w:val="20"/>
          <w:szCs w:val="20"/>
          <w:lang w:val="en-US"/>
        </w:rPr>
        <w:t xml:space="preserve"> approach</w:t>
      </w:r>
      <w:r w:rsidR="00620121" w:rsidRPr="00CC562A">
        <w:rPr>
          <w:rFonts w:ascii="Cambria" w:eastAsia="Cambria" w:hAnsi="Cambria" w:cs="Cambria"/>
          <w:sz w:val="20"/>
          <w:szCs w:val="20"/>
          <w:lang w:val="en-US"/>
        </w:rPr>
        <w:t>, it is possible to determine one or more protection measures</w:t>
      </w:r>
      <w:r w:rsidR="601F96B9" w:rsidRPr="00CC562A">
        <w:rPr>
          <w:rFonts w:ascii="Cambria" w:eastAsia="Cambria" w:hAnsi="Cambria" w:cs="Cambria"/>
          <w:sz w:val="20"/>
          <w:szCs w:val="20"/>
          <w:lang w:val="en-US"/>
        </w:rPr>
        <w:t>.</w:t>
      </w:r>
      <w:r w:rsidR="2A3B582B" w:rsidRPr="00CC562A">
        <w:rPr>
          <w:rFonts w:ascii="Cambria" w:eastAsia="Cambria" w:hAnsi="Cambria" w:cs="Cambria"/>
          <w:sz w:val="20"/>
          <w:szCs w:val="20"/>
          <w:lang w:val="en-US"/>
        </w:rPr>
        <w:t xml:space="preserve"> </w:t>
      </w:r>
      <w:r w:rsidR="004A251D" w:rsidRPr="00CC562A">
        <w:rPr>
          <w:rFonts w:ascii="Cambria" w:eastAsia="Cambria" w:hAnsi="Cambria" w:cs="Cambria"/>
          <w:sz w:val="20"/>
          <w:szCs w:val="20"/>
          <w:lang w:val="en-US"/>
        </w:rPr>
        <w:t>In addition</w:t>
      </w:r>
      <w:r w:rsidR="2A3B582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3B582B" w:rsidRPr="00CC562A">
        <w:rPr>
          <w:rFonts w:ascii="Cambria" w:eastAsia="Cambria" w:hAnsi="Cambria" w:cs="Cambria"/>
          <w:sz w:val="20"/>
          <w:szCs w:val="20"/>
          <w:lang w:val="en-US"/>
        </w:rPr>
        <w:t xml:space="preserve"> </w:t>
      </w:r>
      <w:r w:rsidR="004A251D" w:rsidRPr="00CC562A">
        <w:rPr>
          <w:rFonts w:ascii="Cambria" w:eastAsia="Cambria" w:hAnsi="Cambria" w:cs="Cambria"/>
          <w:sz w:val="20"/>
          <w:szCs w:val="20"/>
          <w:lang w:val="en-US"/>
        </w:rPr>
        <w:t>emphasized the activity of th</w:t>
      </w:r>
      <w:r w:rsidR="008362FC" w:rsidRPr="00CC562A">
        <w:rPr>
          <w:rFonts w:ascii="Cambria" w:eastAsia="Cambria" w:hAnsi="Cambria" w:cs="Cambria"/>
          <w:sz w:val="20"/>
          <w:szCs w:val="20"/>
          <w:lang w:val="en-US"/>
        </w:rPr>
        <w:t>e</w:t>
      </w:r>
      <w:r w:rsidR="004A251D" w:rsidRPr="00CC562A">
        <w:rPr>
          <w:rFonts w:ascii="Cambria" w:eastAsia="Cambria" w:hAnsi="Cambria" w:cs="Cambria"/>
          <w:sz w:val="20"/>
          <w:szCs w:val="20"/>
          <w:lang w:val="en-US"/>
        </w:rPr>
        <w:t xml:space="preserve"> Context Analysis Unit of the Special Prosecutor’s Office for Addressing Crimes Committed against Freedom of Expression</w:t>
      </w:r>
      <w:r w:rsidR="008362FC" w:rsidRPr="00CC562A">
        <w:rPr>
          <w:rFonts w:ascii="Cambria" w:eastAsia="Cambria" w:hAnsi="Cambria" w:cs="Cambria"/>
          <w:sz w:val="20"/>
          <w:szCs w:val="20"/>
          <w:lang w:val="en-US"/>
        </w:rPr>
        <w:t xml:space="preserve"> (hereinafter “FEADLE”), which is a benchmark at the national and international level, with an effective agenda of prevention coordinated with the </w:t>
      </w:r>
      <w:r w:rsidR="00365543" w:rsidRPr="00CC562A">
        <w:rPr>
          <w:rFonts w:ascii="Cambria" w:eastAsia="Cambria" w:hAnsi="Cambria" w:cs="Cambria"/>
          <w:sz w:val="20"/>
          <w:szCs w:val="20"/>
          <w:lang w:val="en-US"/>
        </w:rPr>
        <w:t>states</w:t>
      </w:r>
      <w:r w:rsidR="008362FC" w:rsidRPr="00CC562A">
        <w:rPr>
          <w:rFonts w:ascii="Cambria" w:eastAsia="Cambria" w:hAnsi="Cambria" w:cs="Cambria"/>
          <w:sz w:val="20"/>
          <w:szCs w:val="20"/>
          <w:lang w:val="en-US"/>
        </w:rPr>
        <w:t xml:space="preserve"> for the protection of human rights defenders and journalists, the objective of which is to guarantee the freedom, security, life, and integrity of human rights defenders and journalists who are in an actual or potential at-risk situation in the performance of their work. Finally</w:t>
      </w:r>
      <w:r w:rsidR="2A3B582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3B582B" w:rsidRPr="00CC562A">
        <w:rPr>
          <w:rFonts w:ascii="Cambria" w:eastAsia="Cambria" w:hAnsi="Cambria" w:cs="Cambria"/>
          <w:sz w:val="20"/>
          <w:szCs w:val="20"/>
          <w:lang w:val="en-US"/>
        </w:rPr>
        <w:t xml:space="preserve"> indic</w:t>
      </w:r>
      <w:r w:rsidR="008362FC" w:rsidRPr="00CC562A">
        <w:rPr>
          <w:rFonts w:ascii="Cambria" w:eastAsia="Cambria" w:hAnsi="Cambria" w:cs="Cambria"/>
          <w:sz w:val="20"/>
          <w:szCs w:val="20"/>
          <w:lang w:val="en-US"/>
        </w:rPr>
        <w:t xml:space="preserve">ated that the </w:t>
      </w:r>
      <w:r w:rsidR="601F96B9" w:rsidRPr="00CC562A">
        <w:rPr>
          <w:rFonts w:ascii="Cambria" w:eastAsia="Cambria" w:hAnsi="Cambria" w:cs="Cambria"/>
          <w:sz w:val="20"/>
          <w:szCs w:val="20"/>
          <w:lang w:val="en-US"/>
        </w:rPr>
        <w:t>FEADLE</w:t>
      </w:r>
      <w:r w:rsidR="008362FC" w:rsidRPr="00CC562A">
        <w:rPr>
          <w:rFonts w:ascii="Cambria" w:eastAsia="Cambria" w:hAnsi="Cambria" w:cs="Cambria"/>
          <w:sz w:val="20"/>
          <w:szCs w:val="20"/>
          <w:lang w:val="en-US"/>
        </w:rPr>
        <w:t xml:space="preserve"> conducts training sessions to disseminate information on freedom of expression, on the early warning system, on how to act if one is the victim of a crime, and the</w:t>
      </w:r>
      <w:r w:rsidR="601F96B9" w:rsidRPr="00CC562A">
        <w:rPr>
          <w:rFonts w:ascii="Cambria" w:eastAsia="Cambria" w:hAnsi="Cambria" w:cs="Cambria"/>
          <w:sz w:val="20"/>
          <w:szCs w:val="20"/>
          <w:lang w:val="en-US"/>
        </w:rPr>
        <w:t xml:space="preserve"> </w:t>
      </w:r>
      <w:r w:rsidR="000024FE" w:rsidRPr="00CC562A">
        <w:rPr>
          <w:rFonts w:ascii="Cambria" w:eastAsia="Cambria" w:hAnsi="Cambria" w:cs="Cambria"/>
          <w:sz w:val="20"/>
          <w:szCs w:val="20"/>
          <w:lang w:val="en-US"/>
        </w:rPr>
        <w:t>journalists’ human rights card.</w:t>
      </w:r>
      <w:r w:rsidR="00070D01" w:rsidRPr="00CC562A">
        <w:rPr>
          <w:rStyle w:val="FootnoteReference"/>
          <w:rFonts w:ascii="Cambria" w:eastAsia="Cambria" w:hAnsi="Cambria" w:cs="Cambria"/>
          <w:sz w:val="20"/>
          <w:szCs w:val="20"/>
          <w:lang w:val="en-US"/>
        </w:rPr>
        <w:footnoteReference w:id="291"/>
      </w:r>
      <w:r w:rsidR="000024FE"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285A02C9" w:rsidRPr="00CC562A">
        <w:rPr>
          <w:rFonts w:ascii="Cambria" w:eastAsia="Cambria" w:hAnsi="Cambria" w:cs="Cambria"/>
          <w:sz w:val="20"/>
          <w:szCs w:val="20"/>
          <w:lang w:val="en-US"/>
        </w:rPr>
        <w:t xml:space="preserve"> </w:t>
      </w:r>
      <w:r w:rsidR="000024FE" w:rsidRPr="00CC562A">
        <w:rPr>
          <w:rFonts w:ascii="Cambria" w:eastAsia="Cambria" w:hAnsi="Cambria" w:cs="Cambria"/>
          <w:sz w:val="20"/>
          <w:szCs w:val="20"/>
          <w:lang w:val="en-US"/>
        </w:rPr>
        <w:t>reiterates what has already been stated in this report regarding the process of restructuring the mechanism as already proposed by the State</w:t>
      </w:r>
      <w:r w:rsidR="3FC846CF" w:rsidRPr="00CC562A">
        <w:rPr>
          <w:rFonts w:ascii="Cambria" w:eastAsia="Cambria" w:hAnsi="Cambria" w:cs="Cambria"/>
          <w:sz w:val="20"/>
          <w:szCs w:val="20"/>
          <w:lang w:val="en-US"/>
        </w:rPr>
        <w:t>.</w:t>
      </w:r>
    </w:p>
    <w:p w14:paraId="074EFAB3" w14:textId="3DBA592D" w:rsidR="000F087D" w:rsidRPr="00CC562A" w:rsidRDefault="000024F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For its part, the</w:t>
      </w:r>
      <w:r w:rsidR="3FC846CF" w:rsidRPr="00CC562A">
        <w:rPr>
          <w:rFonts w:ascii="Cambria" w:eastAsia="Cambria" w:hAnsi="Cambria"/>
          <w:sz w:val="20"/>
          <w:szCs w:val="20"/>
          <w:lang w:val="en-US"/>
        </w:rPr>
        <w:t xml:space="preserve"> CMDPDH </w:t>
      </w:r>
      <w:r w:rsidR="000E115B" w:rsidRPr="00CC562A">
        <w:rPr>
          <w:rFonts w:ascii="Cambria" w:eastAsia="Cambria" w:hAnsi="Cambria"/>
          <w:sz w:val="20"/>
          <w:szCs w:val="20"/>
          <w:lang w:val="en-US"/>
        </w:rPr>
        <w:t>emphasized that, with the disappearance of the trust that guaranteed the protection measures and the transparency of the Protection Mechanism’s resources, in May</w:t>
      </w:r>
      <w:r w:rsidR="3FC846CF" w:rsidRPr="00CC562A">
        <w:rPr>
          <w:rFonts w:ascii="Cambria" w:eastAsia="Cambria" w:hAnsi="Cambria"/>
          <w:sz w:val="20"/>
          <w:szCs w:val="20"/>
          <w:lang w:val="en-US"/>
        </w:rPr>
        <w:t xml:space="preserve"> 2022, </w:t>
      </w:r>
      <w:r w:rsidR="000E115B" w:rsidRPr="00CC562A">
        <w:rPr>
          <w:rFonts w:ascii="Cambria" w:eastAsia="Cambria" w:hAnsi="Cambria"/>
          <w:sz w:val="20"/>
          <w:szCs w:val="20"/>
          <w:lang w:val="en-US"/>
        </w:rPr>
        <w:t>the</w:t>
      </w:r>
      <w:r w:rsidR="3FC846CF" w:rsidRPr="00CC562A">
        <w:rPr>
          <w:rFonts w:ascii="Cambria" w:eastAsia="Cambria" w:hAnsi="Cambria"/>
          <w:sz w:val="20"/>
          <w:szCs w:val="20"/>
          <w:lang w:val="en-US"/>
        </w:rPr>
        <w:t xml:space="preserve"> SEGOB</w:t>
      </w:r>
      <w:r w:rsidR="000E115B" w:rsidRPr="00CC562A">
        <w:rPr>
          <w:rFonts w:ascii="Cambria" w:eastAsia="Cambria" w:hAnsi="Cambria"/>
          <w:sz w:val="20"/>
          <w:szCs w:val="20"/>
          <w:lang w:val="en-US"/>
        </w:rPr>
        <w:t xml:space="preserve"> unilaterally approved a list of protection measures and a contract with the RCU company, which weakens the governing body and eliminates the participation of civil society. In addition, with a view </w:t>
      </w:r>
      <w:r w:rsidR="00D145F4" w:rsidRPr="00CC562A">
        <w:rPr>
          <w:rFonts w:ascii="Cambria" w:eastAsia="Cambria" w:hAnsi="Cambria"/>
          <w:sz w:val="20"/>
          <w:szCs w:val="20"/>
          <w:lang w:val="en-US"/>
        </w:rPr>
        <w:t>to</w:t>
      </w:r>
      <w:r w:rsidR="000E115B" w:rsidRPr="00CC562A">
        <w:rPr>
          <w:rFonts w:ascii="Cambria" w:eastAsia="Cambria" w:hAnsi="Cambria"/>
          <w:sz w:val="20"/>
          <w:szCs w:val="20"/>
          <w:lang w:val="en-US"/>
        </w:rPr>
        <w:t xml:space="preserve"> considering a comprehensive protection policy, the organization is concerned by the silence </w:t>
      </w:r>
      <w:proofErr w:type="gramStart"/>
      <w:r w:rsidR="000E115B" w:rsidRPr="00CC562A">
        <w:rPr>
          <w:rFonts w:ascii="Cambria" w:eastAsia="Cambria" w:hAnsi="Cambria"/>
          <w:sz w:val="20"/>
          <w:szCs w:val="20"/>
          <w:lang w:val="en-US"/>
        </w:rPr>
        <w:t>on the subject of protection</w:t>
      </w:r>
      <w:proofErr w:type="gramEnd"/>
      <w:r w:rsidR="000E115B" w:rsidRPr="00CC562A">
        <w:rPr>
          <w:rFonts w:ascii="Cambria" w:eastAsia="Cambria" w:hAnsi="Cambria"/>
          <w:sz w:val="20"/>
          <w:szCs w:val="20"/>
          <w:lang w:val="en-US"/>
        </w:rPr>
        <w:t xml:space="preserve"> in accordance with the current law. Finally, the government is promoting the creation of a General Law for the Protection of Defenders and Journalists.</w:t>
      </w:r>
      <w:r w:rsidR="00E35BEB" w:rsidRPr="00CC562A">
        <w:rPr>
          <w:rStyle w:val="FootnoteReference"/>
          <w:rFonts w:ascii="Cambria" w:eastAsia="Cambria" w:hAnsi="Cambria"/>
          <w:sz w:val="20"/>
          <w:szCs w:val="20"/>
          <w:lang w:val="en-US"/>
        </w:rPr>
        <w:footnoteReference w:id="292"/>
      </w:r>
      <w:r w:rsidR="000E115B" w:rsidRPr="00CC562A">
        <w:rPr>
          <w:rFonts w:ascii="Cambria" w:eastAsia="Cambria" w:hAnsi="Cambria"/>
          <w:sz w:val="20"/>
          <w:szCs w:val="20"/>
          <w:lang w:val="en-US"/>
        </w:rPr>
        <w:t xml:space="preserve"> However, </w:t>
      </w:r>
      <w:r w:rsidR="00D145F4" w:rsidRPr="00CC562A">
        <w:rPr>
          <w:rFonts w:ascii="Cambria" w:eastAsia="Cambria" w:hAnsi="Cambria"/>
          <w:sz w:val="20"/>
          <w:szCs w:val="20"/>
          <w:lang w:val="en-US"/>
        </w:rPr>
        <w:t xml:space="preserve">note has been made of the </w:t>
      </w:r>
      <w:r w:rsidR="000E115B" w:rsidRPr="00CC562A">
        <w:rPr>
          <w:rFonts w:ascii="Cambria" w:eastAsia="Cambria" w:hAnsi="Cambria"/>
          <w:sz w:val="20"/>
          <w:szCs w:val="20"/>
          <w:lang w:val="en-US"/>
        </w:rPr>
        <w:t xml:space="preserve">lack of transparency and </w:t>
      </w:r>
      <w:r w:rsidR="00D145F4" w:rsidRPr="00CC562A">
        <w:rPr>
          <w:rFonts w:ascii="Cambria" w:eastAsia="Cambria" w:hAnsi="Cambria"/>
          <w:sz w:val="20"/>
          <w:szCs w:val="20"/>
          <w:lang w:val="en-US"/>
        </w:rPr>
        <w:t>civil society</w:t>
      </w:r>
      <w:r w:rsidR="001065E6" w:rsidRPr="00CC562A">
        <w:rPr>
          <w:rFonts w:ascii="Cambria" w:eastAsia="Cambria" w:hAnsi="Cambria"/>
          <w:sz w:val="20"/>
          <w:szCs w:val="20"/>
          <w:lang w:val="en-US"/>
        </w:rPr>
        <w:t xml:space="preserve"> participation in the process, and civil society</w:t>
      </w:r>
      <w:r w:rsidR="000E115B" w:rsidRPr="00CC562A">
        <w:rPr>
          <w:rFonts w:ascii="Cambria" w:eastAsia="Cambria" w:hAnsi="Cambria"/>
          <w:sz w:val="20"/>
          <w:szCs w:val="20"/>
          <w:lang w:val="en-US"/>
        </w:rPr>
        <w:t xml:space="preserve"> has expressed </w:t>
      </w:r>
      <w:r w:rsidR="00D145F4" w:rsidRPr="00CC562A">
        <w:rPr>
          <w:rFonts w:ascii="Cambria" w:eastAsia="Cambria" w:hAnsi="Cambria"/>
          <w:sz w:val="20"/>
          <w:szCs w:val="20"/>
          <w:lang w:val="en-US"/>
        </w:rPr>
        <w:t>dismay</w:t>
      </w:r>
      <w:r w:rsidR="000E115B" w:rsidRPr="00CC562A">
        <w:rPr>
          <w:rFonts w:ascii="Cambria" w:eastAsia="Cambria" w:hAnsi="Cambria"/>
          <w:sz w:val="20"/>
          <w:szCs w:val="20"/>
          <w:lang w:val="en-US"/>
        </w:rPr>
        <w:t xml:space="preserve"> that local authorities would assume the protection role as they are the principal aggressors.</w:t>
      </w:r>
      <w:r w:rsidR="003F097F" w:rsidRPr="00CC562A">
        <w:rPr>
          <w:rStyle w:val="FootnoteReference"/>
          <w:rFonts w:ascii="Cambria" w:eastAsia="Cambria" w:hAnsi="Cambria"/>
          <w:sz w:val="20"/>
          <w:szCs w:val="20"/>
          <w:lang w:val="en-US"/>
        </w:rPr>
        <w:footnoteReference w:id="293"/>
      </w:r>
      <w:r w:rsidR="000E115B" w:rsidRPr="00CC562A">
        <w:rPr>
          <w:rFonts w:ascii="Cambria" w:eastAsia="Cambria" w:hAnsi="Cambria"/>
          <w:sz w:val="20"/>
          <w:szCs w:val="20"/>
          <w:lang w:val="en-US"/>
        </w:rPr>
        <w:t xml:space="preserve"> In addition, according to public information, some defects have been detected in the operation of the mechanism, </w:t>
      </w:r>
      <w:r w:rsidR="000B31F0" w:rsidRPr="00CC562A">
        <w:rPr>
          <w:rFonts w:ascii="Cambria" w:eastAsia="Cambria" w:hAnsi="Cambria"/>
          <w:sz w:val="20"/>
          <w:szCs w:val="20"/>
          <w:lang w:val="en-US"/>
        </w:rPr>
        <w:t xml:space="preserve">such as </w:t>
      </w:r>
      <w:r w:rsidR="000E115B" w:rsidRPr="00CC562A">
        <w:rPr>
          <w:rFonts w:ascii="Cambria" w:eastAsia="Cambria" w:hAnsi="Cambria"/>
          <w:sz w:val="20"/>
          <w:szCs w:val="20"/>
          <w:lang w:val="en-US"/>
        </w:rPr>
        <w:t>inconsistencies in guard services, lack of accreditation for the provision of services, and deficiencies in the training of beneficiaries of protecti</w:t>
      </w:r>
      <w:r w:rsidR="000B31F0" w:rsidRPr="00CC562A">
        <w:rPr>
          <w:rFonts w:ascii="Cambria" w:eastAsia="Cambria" w:hAnsi="Cambria"/>
          <w:sz w:val="20"/>
          <w:szCs w:val="20"/>
          <w:lang w:val="en-US"/>
        </w:rPr>
        <w:t>on</w:t>
      </w:r>
      <w:r w:rsidR="000E115B" w:rsidRPr="00CC562A">
        <w:rPr>
          <w:rFonts w:ascii="Cambria" w:eastAsia="Cambria" w:hAnsi="Cambria"/>
          <w:sz w:val="20"/>
          <w:szCs w:val="20"/>
          <w:lang w:val="en-US"/>
        </w:rPr>
        <w:t xml:space="preserve"> measures, as well as in training on the protecti</w:t>
      </w:r>
      <w:r w:rsidR="000B31F0" w:rsidRPr="00CC562A">
        <w:rPr>
          <w:rFonts w:ascii="Cambria" w:eastAsia="Cambria" w:hAnsi="Cambria"/>
          <w:sz w:val="20"/>
          <w:szCs w:val="20"/>
          <w:lang w:val="en-US"/>
        </w:rPr>
        <w:t xml:space="preserve">on </w:t>
      </w:r>
      <w:r w:rsidR="000E115B" w:rsidRPr="00CC562A">
        <w:rPr>
          <w:rFonts w:ascii="Cambria" w:eastAsia="Cambria" w:hAnsi="Cambria"/>
          <w:sz w:val="20"/>
          <w:szCs w:val="20"/>
          <w:lang w:val="en-US"/>
        </w:rPr>
        <w:t>measures implemented.</w:t>
      </w:r>
      <w:r w:rsidR="00E00A07" w:rsidRPr="00CC562A">
        <w:rPr>
          <w:rStyle w:val="FootnoteReference"/>
          <w:rFonts w:ascii="Cambria" w:hAnsi="Cambria"/>
          <w:color w:val="000000"/>
          <w:sz w:val="20"/>
          <w:szCs w:val="20"/>
          <w:lang w:val="en-US"/>
        </w:rPr>
        <w:footnoteReference w:id="294"/>
      </w:r>
      <w:r w:rsidR="1FCB5B6F" w:rsidRPr="00CC562A">
        <w:rPr>
          <w:rFonts w:ascii="Cambria" w:hAnsi="Cambria"/>
          <w:color w:val="000000"/>
          <w:sz w:val="20"/>
          <w:szCs w:val="20"/>
          <w:lang w:val="en-US"/>
        </w:rPr>
        <w:t xml:space="preserve"> </w:t>
      </w:r>
    </w:p>
    <w:p w14:paraId="0035BF01" w14:textId="7AE664C3" w:rsidR="00CC23F9" w:rsidRPr="00CC562A" w:rsidRDefault="000B31F0"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eastAsia="Cambria" w:hAnsi="Cambria" w:cs="Cambria"/>
          <w:sz w:val="20"/>
          <w:szCs w:val="20"/>
          <w:lang w:val="en-US"/>
        </w:rPr>
        <w:t>In view of these challenges, the Commission notes with concern th</w:t>
      </w:r>
      <w:r w:rsidR="001065E6" w:rsidRPr="00CC562A">
        <w:rPr>
          <w:rFonts w:ascii="Cambria" w:eastAsia="Cambria" w:hAnsi="Cambria" w:cs="Cambria"/>
          <w:sz w:val="20"/>
          <w:szCs w:val="20"/>
          <w:lang w:val="en-US"/>
        </w:rPr>
        <w:t>at</w:t>
      </w:r>
      <w:r w:rsidRPr="00CC562A">
        <w:rPr>
          <w:rFonts w:ascii="Cambria" w:eastAsia="Cambria" w:hAnsi="Cambria" w:cs="Cambria"/>
          <w:sz w:val="20"/>
          <w:szCs w:val="20"/>
          <w:lang w:val="en-US"/>
        </w:rPr>
        <w:t xml:space="preserve"> during</w:t>
      </w:r>
      <w:r w:rsidR="471CC06B"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acts of violence continued to be recorded against those who defend human rights in Mexico. In</w:t>
      </w:r>
      <w:r w:rsidR="471CC06B" w:rsidRPr="00CC562A">
        <w:rPr>
          <w:rFonts w:ascii="Cambria" w:hAnsi="Cambria"/>
          <w:sz w:val="20"/>
          <w:szCs w:val="20"/>
          <w:lang w:val="en-US"/>
        </w:rPr>
        <w:t xml:space="preserve"> particular, </w:t>
      </w:r>
      <w:r w:rsidRPr="00CC562A">
        <w:rPr>
          <w:rFonts w:ascii="Cambria" w:hAnsi="Cambria"/>
          <w:sz w:val="20"/>
          <w:szCs w:val="20"/>
          <w:lang w:val="en-US"/>
        </w:rPr>
        <w:t xml:space="preserve">the Commission noted that this situation of violence has been seen to </w:t>
      </w:r>
      <w:r w:rsidR="001065E6" w:rsidRPr="00CC562A">
        <w:rPr>
          <w:rFonts w:ascii="Cambria" w:hAnsi="Cambria"/>
          <w:sz w:val="20"/>
          <w:szCs w:val="20"/>
          <w:lang w:val="en-US"/>
        </w:rPr>
        <w:t xml:space="preserve">be </w:t>
      </w:r>
      <w:r w:rsidRPr="00CC562A">
        <w:rPr>
          <w:rFonts w:ascii="Cambria" w:hAnsi="Cambria"/>
          <w:sz w:val="20"/>
          <w:szCs w:val="20"/>
          <w:lang w:val="en-US"/>
        </w:rPr>
        <w:t xml:space="preserve">especially reflected against indigenous defenders, environmental defenders, and groups of families of disappeared persons. During the first eight months of 2022 alone, the Commission heard about at least eight murders of defenders in Mexico. In this regard, in August, </w:t>
      </w:r>
      <w:r w:rsidR="471CC06B" w:rsidRPr="00CC562A">
        <w:rPr>
          <w:rFonts w:ascii="Cambria" w:hAnsi="Cambria"/>
          <w:sz w:val="20"/>
          <w:szCs w:val="20"/>
          <w:lang w:val="en-US"/>
        </w:rPr>
        <w:t xml:space="preserve">Rosario Lilian Rodríguez, </w:t>
      </w:r>
      <w:r w:rsidRPr="00CC562A">
        <w:rPr>
          <w:rFonts w:ascii="Cambria" w:hAnsi="Cambria"/>
          <w:sz w:val="20"/>
          <w:szCs w:val="20"/>
          <w:lang w:val="en-US"/>
        </w:rPr>
        <w:t>a mother in search of her child, was murdered in the municipality of</w:t>
      </w:r>
      <w:r w:rsidR="471CC06B" w:rsidRPr="00CC562A">
        <w:rPr>
          <w:rFonts w:ascii="Cambria" w:hAnsi="Cambria"/>
          <w:sz w:val="20"/>
          <w:szCs w:val="20"/>
          <w:lang w:val="en-US"/>
        </w:rPr>
        <w:t xml:space="preserve"> </w:t>
      </w:r>
      <w:proofErr w:type="spellStart"/>
      <w:r w:rsidR="471CC06B" w:rsidRPr="00CC562A">
        <w:rPr>
          <w:rFonts w:ascii="Cambria" w:hAnsi="Cambria"/>
          <w:sz w:val="20"/>
          <w:szCs w:val="20"/>
          <w:lang w:val="en-US"/>
        </w:rPr>
        <w:t>Elota</w:t>
      </w:r>
      <w:proofErr w:type="spellEnd"/>
      <w:r w:rsidR="471CC06B" w:rsidRPr="00CC562A">
        <w:rPr>
          <w:rFonts w:ascii="Cambria" w:hAnsi="Cambria"/>
          <w:sz w:val="20"/>
          <w:szCs w:val="20"/>
          <w:lang w:val="en-US"/>
        </w:rPr>
        <w:t xml:space="preserve">, Sinaloa. </w:t>
      </w:r>
      <w:r w:rsidRPr="00CC562A">
        <w:rPr>
          <w:rFonts w:ascii="Cambria" w:hAnsi="Cambria"/>
          <w:sz w:val="20"/>
          <w:szCs w:val="20"/>
          <w:lang w:val="en-US"/>
        </w:rPr>
        <w:t>In July, the indigenous defender</w:t>
      </w:r>
      <w:r w:rsidR="001065E6" w:rsidRPr="00CC562A">
        <w:rPr>
          <w:rFonts w:ascii="Cambria" w:hAnsi="Cambria"/>
          <w:sz w:val="20"/>
          <w:szCs w:val="20"/>
          <w:lang w:val="en-US"/>
        </w:rPr>
        <w:t>,</w:t>
      </w:r>
      <w:r w:rsidR="471CC06B" w:rsidRPr="00CC562A">
        <w:rPr>
          <w:rFonts w:ascii="Cambria" w:hAnsi="Cambria"/>
          <w:sz w:val="20"/>
          <w:szCs w:val="20"/>
          <w:lang w:val="en-US"/>
        </w:rPr>
        <w:t xml:space="preserve"> </w:t>
      </w:r>
      <w:proofErr w:type="spellStart"/>
      <w:r w:rsidR="471CC06B" w:rsidRPr="00CC562A">
        <w:rPr>
          <w:rFonts w:ascii="Cambria" w:hAnsi="Cambria"/>
          <w:sz w:val="20"/>
          <w:szCs w:val="20"/>
          <w:lang w:val="en-US"/>
        </w:rPr>
        <w:t>Crispín</w:t>
      </w:r>
      <w:proofErr w:type="spellEnd"/>
      <w:r w:rsidR="471CC06B" w:rsidRPr="00CC562A">
        <w:rPr>
          <w:rFonts w:ascii="Cambria" w:hAnsi="Cambria"/>
          <w:sz w:val="20"/>
          <w:szCs w:val="20"/>
          <w:lang w:val="en-US"/>
        </w:rPr>
        <w:t xml:space="preserve"> Reyes</w:t>
      </w:r>
      <w:r w:rsidR="001065E6" w:rsidRPr="00CC562A">
        <w:rPr>
          <w:rFonts w:ascii="Cambria" w:hAnsi="Cambria"/>
          <w:sz w:val="20"/>
          <w:szCs w:val="20"/>
          <w:lang w:val="en-US"/>
        </w:rPr>
        <w:t>,</w:t>
      </w:r>
      <w:r w:rsidRPr="00CC562A">
        <w:rPr>
          <w:rFonts w:ascii="Cambria" w:hAnsi="Cambria"/>
          <w:sz w:val="20"/>
          <w:szCs w:val="20"/>
          <w:lang w:val="en-US"/>
        </w:rPr>
        <w:t xml:space="preserve"> was murdered in the municipality of </w:t>
      </w:r>
      <w:r w:rsidR="471CC06B" w:rsidRPr="00CC562A">
        <w:rPr>
          <w:rFonts w:ascii="Cambria" w:hAnsi="Cambria"/>
          <w:sz w:val="20"/>
          <w:szCs w:val="20"/>
          <w:lang w:val="en-US"/>
        </w:rPr>
        <w:t xml:space="preserve">San Juan </w:t>
      </w:r>
      <w:proofErr w:type="spellStart"/>
      <w:r w:rsidR="471CC06B" w:rsidRPr="00CC562A">
        <w:rPr>
          <w:rFonts w:ascii="Cambria" w:hAnsi="Cambria"/>
          <w:sz w:val="20"/>
          <w:szCs w:val="20"/>
          <w:lang w:val="en-US"/>
        </w:rPr>
        <w:t>Juquila</w:t>
      </w:r>
      <w:proofErr w:type="spellEnd"/>
      <w:r w:rsidR="471CC06B" w:rsidRPr="00CC562A">
        <w:rPr>
          <w:rFonts w:ascii="Cambria" w:hAnsi="Cambria"/>
          <w:sz w:val="20"/>
          <w:szCs w:val="20"/>
          <w:lang w:val="en-US"/>
        </w:rPr>
        <w:t xml:space="preserve"> Mixes, Oaxaca. </w:t>
      </w:r>
      <w:r w:rsidRPr="00CC562A">
        <w:rPr>
          <w:rFonts w:ascii="Cambria" w:hAnsi="Cambria"/>
          <w:sz w:val="20"/>
          <w:szCs w:val="20"/>
          <w:lang w:val="en-US"/>
        </w:rPr>
        <w:t>In June, the</w:t>
      </w:r>
      <w:r w:rsidR="00276638" w:rsidRPr="00CC562A">
        <w:rPr>
          <w:rFonts w:ascii="Cambria" w:hAnsi="Cambria"/>
          <w:sz w:val="20"/>
          <w:szCs w:val="20"/>
          <w:lang w:val="en-US"/>
        </w:rPr>
        <w:t xml:space="preserve"> IACHR</w:t>
      </w:r>
      <w:r w:rsidR="471CC06B" w:rsidRPr="00CC562A">
        <w:rPr>
          <w:rFonts w:ascii="Cambria" w:hAnsi="Cambria"/>
          <w:sz w:val="20"/>
          <w:szCs w:val="20"/>
          <w:lang w:val="en-US"/>
        </w:rPr>
        <w:t xml:space="preserve"> conde</w:t>
      </w:r>
      <w:r w:rsidRPr="00CC562A">
        <w:rPr>
          <w:rFonts w:ascii="Cambria" w:hAnsi="Cambria"/>
          <w:sz w:val="20"/>
          <w:szCs w:val="20"/>
          <w:lang w:val="en-US"/>
        </w:rPr>
        <w:t xml:space="preserve">mned the murder of the Jesuit priests, </w:t>
      </w:r>
      <w:r w:rsidR="471CC06B" w:rsidRPr="00CC562A">
        <w:rPr>
          <w:rFonts w:ascii="Cambria" w:hAnsi="Cambria"/>
          <w:sz w:val="20"/>
          <w:szCs w:val="20"/>
          <w:lang w:val="en-US"/>
        </w:rPr>
        <w:t xml:space="preserve">Javier Campos </w:t>
      </w:r>
      <w:proofErr w:type="gramStart"/>
      <w:r w:rsidR="471CC06B" w:rsidRPr="00CC562A">
        <w:rPr>
          <w:rFonts w:ascii="Cambria" w:hAnsi="Cambria"/>
          <w:sz w:val="20"/>
          <w:szCs w:val="20"/>
          <w:lang w:val="en-US"/>
        </w:rPr>
        <w:t>Morales</w:t>
      </w:r>
      <w:proofErr w:type="gramEnd"/>
      <w:r w:rsidR="471CC06B" w:rsidRPr="00CC562A">
        <w:rPr>
          <w:rFonts w:ascii="Cambria" w:hAnsi="Cambria"/>
          <w:sz w:val="20"/>
          <w:szCs w:val="20"/>
          <w:lang w:val="en-US"/>
        </w:rPr>
        <w:t xml:space="preserve"> </w:t>
      </w:r>
      <w:r w:rsidRPr="00CC562A">
        <w:rPr>
          <w:rFonts w:ascii="Cambria" w:hAnsi="Cambria"/>
          <w:sz w:val="20"/>
          <w:szCs w:val="20"/>
          <w:lang w:val="en-US"/>
        </w:rPr>
        <w:t>and</w:t>
      </w:r>
      <w:r w:rsidR="471CC06B" w:rsidRPr="00CC562A">
        <w:rPr>
          <w:rFonts w:ascii="Cambria" w:hAnsi="Cambria"/>
          <w:sz w:val="20"/>
          <w:szCs w:val="20"/>
          <w:lang w:val="en-US"/>
        </w:rPr>
        <w:t xml:space="preserve"> Joaquín César Mora Salazar</w:t>
      </w:r>
      <w:r w:rsidRPr="00CC562A">
        <w:rPr>
          <w:rFonts w:ascii="Cambria" w:hAnsi="Cambria"/>
          <w:sz w:val="20"/>
          <w:szCs w:val="20"/>
          <w:lang w:val="en-US"/>
        </w:rPr>
        <w:t xml:space="preserve">, that occurred on June 20 inside the church in the community of </w:t>
      </w:r>
      <w:proofErr w:type="spellStart"/>
      <w:r w:rsidR="471CC06B" w:rsidRPr="00CC562A">
        <w:rPr>
          <w:rFonts w:ascii="Cambria" w:hAnsi="Cambria"/>
          <w:sz w:val="20"/>
          <w:szCs w:val="20"/>
          <w:lang w:val="en-US"/>
        </w:rPr>
        <w:t>Cerocahui</w:t>
      </w:r>
      <w:proofErr w:type="spellEnd"/>
      <w:r w:rsidR="471CC06B" w:rsidRPr="00CC562A">
        <w:rPr>
          <w:rFonts w:ascii="Cambria" w:hAnsi="Cambria"/>
          <w:sz w:val="20"/>
          <w:szCs w:val="20"/>
          <w:lang w:val="en-US"/>
        </w:rPr>
        <w:t>, municip</w:t>
      </w:r>
      <w:r w:rsidRPr="00CC562A">
        <w:rPr>
          <w:rFonts w:ascii="Cambria" w:hAnsi="Cambria"/>
          <w:sz w:val="20"/>
          <w:szCs w:val="20"/>
          <w:lang w:val="en-US"/>
        </w:rPr>
        <w:t xml:space="preserve">ality of </w:t>
      </w:r>
      <w:proofErr w:type="spellStart"/>
      <w:r w:rsidR="471CC06B" w:rsidRPr="00CC562A">
        <w:rPr>
          <w:rFonts w:ascii="Cambria" w:hAnsi="Cambria"/>
          <w:sz w:val="20"/>
          <w:szCs w:val="20"/>
          <w:lang w:val="en-US"/>
        </w:rPr>
        <w:t>Urique</w:t>
      </w:r>
      <w:proofErr w:type="spellEnd"/>
      <w:r w:rsidR="471CC06B" w:rsidRPr="00CC562A">
        <w:rPr>
          <w:rFonts w:ascii="Cambria" w:hAnsi="Cambria"/>
          <w:sz w:val="20"/>
          <w:szCs w:val="20"/>
          <w:lang w:val="en-US"/>
        </w:rPr>
        <w:t xml:space="preserve">, Chihuahua. </w:t>
      </w:r>
      <w:r w:rsidR="00F108AA" w:rsidRPr="00CC562A">
        <w:rPr>
          <w:rFonts w:ascii="Cambria" w:hAnsi="Cambria"/>
          <w:sz w:val="20"/>
          <w:szCs w:val="20"/>
          <w:lang w:val="en-US"/>
        </w:rPr>
        <w:t>In addition,</w:t>
      </w:r>
      <w:r w:rsidR="471CC06B" w:rsidRPr="00CC562A">
        <w:rPr>
          <w:rFonts w:ascii="Cambria" w:hAnsi="Cambria"/>
          <w:sz w:val="20"/>
          <w:szCs w:val="20"/>
          <w:lang w:val="en-US"/>
        </w:rPr>
        <w:t xml:space="preserve"> </w:t>
      </w:r>
      <w:r w:rsidRPr="00CC562A">
        <w:rPr>
          <w:rFonts w:ascii="Cambria" w:hAnsi="Cambria"/>
          <w:sz w:val="20"/>
          <w:szCs w:val="20"/>
          <w:lang w:val="en-US"/>
        </w:rPr>
        <w:t xml:space="preserve">the murder of the human rights defender, </w:t>
      </w:r>
      <w:r w:rsidR="471CC06B" w:rsidRPr="00CC562A">
        <w:rPr>
          <w:rFonts w:ascii="Cambria" w:hAnsi="Cambria"/>
          <w:sz w:val="20"/>
          <w:szCs w:val="20"/>
          <w:lang w:val="en-US"/>
        </w:rPr>
        <w:t xml:space="preserve">Jesús </w:t>
      </w:r>
      <w:proofErr w:type="spellStart"/>
      <w:r w:rsidR="471CC06B" w:rsidRPr="00CC562A">
        <w:rPr>
          <w:rFonts w:ascii="Cambria" w:hAnsi="Cambria"/>
          <w:sz w:val="20"/>
          <w:szCs w:val="20"/>
          <w:lang w:val="en-US"/>
        </w:rPr>
        <w:t>Bañuelos</w:t>
      </w:r>
      <w:proofErr w:type="spellEnd"/>
      <w:r w:rsidR="471CC06B" w:rsidRPr="00CC562A">
        <w:rPr>
          <w:rFonts w:ascii="Cambria" w:hAnsi="Cambria"/>
          <w:sz w:val="20"/>
          <w:szCs w:val="20"/>
          <w:lang w:val="en-US"/>
        </w:rPr>
        <w:t xml:space="preserve"> Acevedo, </w:t>
      </w:r>
      <w:r w:rsidRPr="00CC562A">
        <w:rPr>
          <w:rFonts w:ascii="Cambria" w:hAnsi="Cambria"/>
          <w:sz w:val="20"/>
          <w:szCs w:val="20"/>
          <w:lang w:val="en-US"/>
        </w:rPr>
        <w:t xml:space="preserve">was recorded in the municipality of </w:t>
      </w:r>
      <w:proofErr w:type="spellStart"/>
      <w:r w:rsidR="471CC06B" w:rsidRPr="00CC562A">
        <w:rPr>
          <w:rFonts w:ascii="Cambria" w:hAnsi="Cambria"/>
          <w:sz w:val="20"/>
          <w:szCs w:val="20"/>
          <w:lang w:val="en-US"/>
        </w:rPr>
        <w:t>Atitalaquia</w:t>
      </w:r>
      <w:proofErr w:type="spellEnd"/>
      <w:r w:rsidR="471CC06B" w:rsidRPr="00CC562A">
        <w:rPr>
          <w:rFonts w:ascii="Cambria" w:hAnsi="Cambria"/>
          <w:sz w:val="20"/>
          <w:szCs w:val="20"/>
          <w:lang w:val="en-US"/>
        </w:rPr>
        <w:t>, Hidalgo.</w:t>
      </w:r>
      <w:r w:rsidRPr="00CC562A">
        <w:rPr>
          <w:rFonts w:ascii="Cambria" w:hAnsi="Cambria"/>
          <w:sz w:val="20"/>
          <w:szCs w:val="20"/>
          <w:lang w:val="en-US"/>
        </w:rPr>
        <w:t xml:space="preserve"> In May, the murder of </w:t>
      </w:r>
      <w:r w:rsidR="00D232B8" w:rsidRPr="00CC562A">
        <w:rPr>
          <w:rFonts w:ascii="Cambria" w:hAnsi="Cambria"/>
          <w:sz w:val="20"/>
          <w:szCs w:val="20"/>
          <w:lang w:val="en-US"/>
        </w:rPr>
        <w:t xml:space="preserve">the territory defender, </w:t>
      </w:r>
      <w:r w:rsidR="471CC06B" w:rsidRPr="00CC562A">
        <w:rPr>
          <w:rFonts w:ascii="Cambria" w:hAnsi="Cambria"/>
          <w:sz w:val="20"/>
          <w:szCs w:val="20"/>
          <w:lang w:val="en-US"/>
        </w:rPr>
        <w:t xml:space="preserve">Humberto </w:t>
      </w:r>
      <w:proofErr w:type="spellStart"/>
      <w:r w:rsidR="471CC06B" w:rsidRPr="00CC562A">
        <w:rPr>
          <w:rFonts w:ascii="Cambria" w:hAnsi="Cambria"/>
          <w:sz w:val="20"/>
          <w:szCs w:val="20"/>
          <w:lang w:val="en-US"/>
        </w:rPr>
        <w:t>Valdovinos</w:t>
      </w:r>
      <w:proofErr w:type="spellEnd"/>
      <w:r w:rsidR="471CC06B" w:rsidRPr="00CC562A">
        <w:rPr>
          <w:rFonts w:ascii="Cambria" w:hAnsi="Cambria"/>
          <w:sz w:val="20"/>
          <w:szCs w:val="20"/>
          <w:lang w:val="en-US"/>
        </w:rPr>
        <w:t xml:space="preserve"> Fuentes</w:t>
      </w:r>
      <w:r w:rsidR="00D232B8" w:rsidRPr="00CC562A">
        <w:rPr>
          <w:rFonts w:ascii="Cambria" w:hAnsi="Cambria"/>
          <w:sz w:val="20"/>
          <w:szCs w:val="20"/>
          <w:lang w:val="en-US"/>
        </w:rPr>
        <w:t xml:space="preserve">, was recorded in the municipality of </w:t>
      </w:r>
      <w:proofErr w:type="spellStart"/>
      <w:r w:rsidR="471CC06B" w:rsidRPr="00CC562A">
        <w:rPr>
          <w:rFonts w:ascii="Cambria" w:hAnsi="Cambria"/>
          <w:sz w:val="20"/>
          <w:szCs w:val="20"/>
          <w:lang w:val="en-US"/>
        </w:rPr>
        <w:t>Pinotepa</w:t>
      </w:r>
      <w:proofErr w:type="spellEnd"/>
      <w:r w:rsidR="471CC06B" w:rsidRPr="00CC562A">
        <w:rPr>
          <w:rFonts w:ascii="Cambria" w:hAnsi="Cambria"/>
          <w:sz w:val="20"/>
          <w:szCs w:val="20"/>
          <w:lang w:val="en-US"/>
        </w:rPr>
        <w:t xml:space="preserve"> Nacional, Oaxaca. </w:t>
      </w:r>
      <w:r w:rsidR="00D232B8" w:rsidRPr="00CC562A">
        <w:rPr>
          <w:rFonts w:ascii="Cambria" w:hAnsi="Cambria"/>
          <w:sz w:val="20"/>
          <w:szCs w:val="20"/>
          <w:lang w:val="en-US"/>
        </w:rPr>
        <w:t>In April, the</w:t>
      </w:r>
      <w:r w:rsidR="00276638" w:rsidRPr="00CC562A">
        <w:rPr>
          <w:rFonts w:ascii="Cambria" w:hAnsi="Cambria"/>
          <w:sz w:val="20"/>
          <w:szCs w:val="20"/>
          <w:lang w:val="en-US"/>
        </w:rPr>
        <w:t xml:space="preserve"> IACHR</w:t>
      </w:r>
      <w:r w:rsidR="471CC06B" w:rsidRPr="00CC562A">
        <w:rPr>
          <w:rFonts w:ascii="Cambria" w:hAnsi="Cambria"/>
          <w:sz w:val="20"/>
          <w:szCs w:val="20"/>
          <w:lang w:val="en-US"/>
        </w:rPr>
        <w:t xml:space="preserve"> </w:t>
      </w:r>
      <w:r w:rsidR="00D232B8" w:rsidRPr="00CC562A">
        <w:rPr>
          <w:rFonts w:ascii="Cambria" w:hAnsi="Cambria"/>
          <w:sz w:val="20"/>
          <w:szCs w:val="20"/>
          <w:lang w:val="en-US"/>
        </w:rPr>
        <w:t xml:space="preserve">learned of the murders of </w:t>
      </w:r>
      <w:r w:rsidR="471CC06B" w:rsidRPr="00CC562A">
        <w:rPr>
          <w:rFonts w:ascii="Cambria" w:hAnsi="Cambria"/>
          <w:sz w:val="20"/>
          <w:szCs w:val="20"/>
          <w:lang w:val="en-US"/>
        </w:rPr>
        <w:t>Luis Ortiz Donato,</w:t>
      </w:r>
      <w:r w:rsidR="00D232B8" w:rsidRPr="00CC562A">
        <w:rPr>
          <w:rFonts w:ascii="Cambria" w:hAnsi="Cambria"/>
          <w:sz w:val="20"/>
          <w:szCs w:val="20"/>
          <w:lang w:val="en-US"/>
        </w:rPr>
        <w:t xml:space="preserve"> leader of the Citizen Council of </w:t>
      </w:r>
      <w:proofErr w:type="spellStart"/>
      <w:r w:rsidR="471CC06B" w:rsidRPr="00CC562A">
        <w:rPr>
          <w:rFonts w:ascii="Cambria" w:hAnsi="Cambria"/>
          <w:sz w:val="20"/>
          <w:szCs w:val="20"/>
          <w:lang w:val="en-US"/>
        </w:rPr>
        <w:t>Marquelia</w:t>
      </w:r>
      <w:proofErr w:type="spellEnd"/>
      <w:r w:rsidR="471CC06B" w:rsidRPr="00CC562A">
        <w:rPr>
          <w:rFonts w:ascii="Cambria" w:hAnsi="Cambria"/>
          <w:sz w:val="20"/>
          <w:szCs w:val="20"/>
          <w:lang w:val="en-US"/>
        </w:rPr>
        <w:t xml:space="preserve"> </w:t>
      </w:r>
      <w:r w:rsidR="00D232B8" w:rsidRPr="00CC562A">
        <w:rPr>
          <w:rFonts w:ascii="Cambria" w:hAnsi="Cambria"/>
          <w:sz w:val="20"/>
          <w:szCs w:val="20"/>
          <w:lang w:val="en-US"/>
        </w:rPr>
        <w:t xml:space="preserve">and defender of the Afro-Mexican people in the </w:t>
      </w:r>
      <w:r w:rsidR="00752FED" w:rsidRPr="00CC562A">
        <w:rPr>
          <w:rFonts w:ascii="Cambria" w:hAnsi="Cambria"/>
          <w:sz w:val="20"/>
          <w:szCs w:val="20"/>
          <w:lang w:val="en-US"/>
        </w:rPr>
        <w:t>State</w:t>
      </w:r>
      <w:r w:rsidR="471CC06B" w:rsidRPr="00CC562A">
        <w:rPr>
          <w:rFonts w:ascii="Cambria" w:hAnsi="Cambria"/>
          <w:sz w:val="20"/>
          <w:szCs w:val="20"/>
          <w:lang w:val="en-US"/>
        </w:rPr>
        <w:t xml:space="preserve"> de Guerrero; </w:t>
      </w:r>
      <w:r w:rsidR="00D232B8" w:rsidRPr="00CC562A">
        <w:rPr>
          <w:rFonts w:ascii="Cambria" w:hAnsi="Cambria"/>
          <w:sz w:val="20"/>
          <w:szCs w:val="20"/>
          <w:lang w:val="en-US"/>
        </w:rPr>
        <w:t xml:space="preserve">and in March it heard about the murder of </w:t>
      </w:r>
      <w:proofErr w:type="spellStart"/>
      <w:r w:rsidR="471CC06B" w:rsidRPr="00CC562A">
        <w:rPr>
          <w:rFonts w:ascii="Cambria" w:hAnsi="Cambria"/>
          <w:sz w:val="20"/>
          <w:szCs w:val="20"/>
          <w:lang w:val="en-US"/>
        </w:rPr>
        <w:t>Néstor</w:t>
      </w:r>
      <w:proofErr w:type="spellEnd"/>
      <w:r w:rsidR="471CC06B" w:rsidRPr="00CC562A">
        <w:rPr>
          <w:rFonts w:ascii="Cambria" w:hAnsi="Cambria"/>
          <w:sz w:val="20"/>
          <w:szCs w:val="20"/>
          <w:lang w:val="en-US"/>
        </w:rPr>
        <w:t xml:space="preserve"> Iván Merino Flores, </w:t>
      </w:r>
      <w:r w:rsidR="00D232B8" w:rsidRPr="00CC562A">
        <w:rPr>
          <w:rFonts w:ascii="Cambria" w:hAnsi="Cambria"/>
          <w:sz w:val="20"/>
          <w:szCs w:val="20"/>
          <w:lang w:val="en-US"/>
        </w:rPr>
        <w:t xml:space="preserve">leader of the Assembly of Indigenous Peoples of </w:t>
      </w:r>
      <w:r w:rsidR="471CC06B" w:rsidRPr="00CC562A">
        <w:rPr>
          <w:rFonts w:ascii="Cambria" w:hAnsi="Cambria"/>
          <w:sz w:val="20"/>
          <w:szCs w:val="20"/>
          <w:lang w:val="en-US"/>
        </w:rPr>
        <w:t xml:space="preserve">Oaxaca (API), </w:t>
      </w:r>
      <w:r w:rsidR="00D232B8" w:rsidRPr="00CC562A">
        <w:rPr>
          <w:rFonts w:ascii="Cambria" w:hAnsi="Cambria"/>
          <w:sz w:val="20"/>
          <w:szCs w:val="20"/>
          <w:lang w:val="en-US"/>
        </w:rPr>
        <w:t xml:space="preserve">which occurred in </w:t>
      </w:r>
      <w:r w:rsidR="471CC06B" w:rsidRPr="00CC562A">
        <w:rPr>
          <w:rFonts w:ascii="Cambria" w:hAnsi="Cambria"/>
          <w:sz w:val="20"/>
          <w:szCs w:val="20"/>
          <w:lang w:val="en-US"/>
        </w:rPr>
        <w:t>Oaxaca</w:t>
      </w:r>
      <w:r w:rsidR="001065E6" w:rsidRPr="00CC562A">
        <w:rPr>
          <w:rFonts w:ascii="Cambria" w:hAnsi="Cambria"/>
          <w:sz w:val="20"/>
          <w:szCs w:val="20"/>
          <w:lang w:val="en-US"/>
        </w:rPr>
        <w:t xml:space="preserve">, </w:t>
      </w:r>
      <w:r w:rsidR="00D232B8" w:rsidRPr="00CC562A">
        <w:rPr>
          <w:rFonts w:ascii="Cambria" w:hAnsi="Cambria"/>
          <w:sz w:val="20"/>
          <w:szCs w:val="20"/>
          <w:lang w:val="en-US"/>
        </w:rPr>
        <w:t xml:space="preserve">and about  the </w:t>
      </w:r>
      <w:r w:rsidR="00D232B8" w:rsidRPr="00CC562A">
        <w:rPr>
          <w:rFonts w:ascii="Cambria" w:hAnsi="Cambria"/>
          <w:sz w:val="20"/>
          <w:szCs w:val="20"/>
          <w:lang w:val="en-US"/>
        </w:rPr>
        <w:lastRenderedPageBreak/>
        <w:t xml:space="preserve">murder of the environmental defender, </w:t>
      </w:r>
      <w:r w:rsidR="471CC06B" w:rsidRPr="00CC562A">
        <w:rPr>
          <w:rFonts w:ascii="Cambria" w:hAnsi="Cambria"/>
          <w:sz w:val="20"/>
          <w:szCs w:val="20"/>
          <w:lang w:val="en-US"/>
        </w:rPr>
        <w:t xml:space="preserve">José Trinidad </w:t>
      </w:r>
      <w:proofErr w:type="spellStart"/>
      <w:r w:rsidR="471CC06B" w:rsidRPr="00CC562A">
        <w:rPr>
          <w:rFonts w:ascii="Cambria" w:hAnsi="Cambria"/>
          <w:sz w:val="20"/>
          <w:szCs w:val="20"/>
          <w:lang w:val="en-US"/>
        </w:rPr>
        <w:t>Baldenegro</w:t>
      </w:r>
      <w:proofErr w:type="spellEnd"/>
      <w:r w:rsidR="471CC06B" w:rsidRPr="00CC562A">
        <w:rPr>
          <w:rFonts w:ascii="Cambria" w:hAnsi="Cambria"/>
          <w:sz w:val="20"/>
          <w:szCs w:val="20"/>
          <w:lang w:val="en-US"/>
        </w:rPr>
        <w:t xml:space="preserve">, </w:t>
      </w:r>
      <w:r w:rsidR="00D232B8" w:rsidRPr="00CC562A">
        <w:rPr>
          <w:rFonts w:ascii="Cambria" w:hAnsi="Cambria"/>
          <w:sz w:val="20"/>
          <w:szCs w:val="20"/>
          <w:lang w:val="en-US"/>
        </w:rPr>
        <w:t xml:space="preserve">in the municipality of </w:t>
      </w:r>
      <w:r w:rsidR="471CC06B" w:rsidRPr="00CC562A">
        <w:rPr>
          <w:rFonts w:ascii="Cambria" w:hAnsi="Cambria"/>
          <w:sz w:val="20"/>
          <w:szCs w:val="20"/>
          <w:lang w:val="en-US"/>
        </w:rPr>
        <w:t>Guadalupe y Calvo, Chihuahua</w:t>
      </w:r>
      <w:r w:rsidR="00D232B8" w:rsidRPr="00CC562A">
        <w:rPr>
          <w:rFonts w:ascii="Cambria" w:hAnsi="Cambria"/>
          <w:sz w:val="20"/>
          <w:szCs w:val="20"/>
          <w:lang w:val="en-US"/>
        </w:rPr>
        <w:t>.</w:t>
      </w:r>
      <w:r w:rsidR="00CC23F9" w:rsidRPr="00CC562A">
        <w:rPr>
          <w:rStyle w:val="FootnoteReference"/>
          <w:rFonts w:ascii="Cambria" w:hAnsi="Cambria"/>
          <w:sz w:val="20"/>
          <w:szCs w:val="20"/>
          <w:lang w:val="en-US"/>
        </w:rPr>
        <w:footnoteReference w:id="295"/>
      </w:r>
    </w:p>
    <w:p w14:paraId="61A294BC" w14:textId="15056DC8" w:rsidR="00AA3D84" w:rsidRPr="00CC562A" w:rsidRDefault="00D232B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w:t>
      </w:r>
      <w:r w:rsidR="602DAB02" w:rsidRPr="00CC562A">
        <w:rPr>
          <w:rFonts w:ascii="Cambria" w:eastAsia="Cambria" w:hAnsi="Cambria"/>
          <w:sz w:val="20"/>
          <w:szCs w:val="20"/>
          <w:lang w:val="en-US"/>
        </w:rPr>
        <w:t xml:space="preserve"> CMDPDH </w:t>
      </w:r>
      <w:r w:rsidRPr="00CC562A">
        <w:rPr>
          <w:rFonts w:ascii="Cambria" w:eastAsia="Cambria" w:hAnsi="Cambria"/>
          <w:sz w:val="20"/>
          <w:szCs w:val="20"/>
          <w:lang w:val="en-US"/>
        </w:rPr>
        <w:t xml:space="preserve">told the </w:t>
      </w:r>
      <w:r w:rsidR="00276638" w:rsidRPr="00CC562A">
        <w:rPr>
          <w:rFonts w:ascii="Cambria" w:eastAsia="Cambria" w:hAnsi="Cambria"/>
          <w:sz w:val="20"/>
          <w:szCs w:val="20"/>
          <w:lang w:val="en-US"/>
        </w:rPr>
        <w:t>IACHR</w:t>
      </w:r>
      <w:r w:rsidR="602DAB02" w:rsidRPr="00CC562A">
        <w:rPr>
          <w:rFonts w:ascii="Cambria" w:eastAsia="Cambria" w:hAnsi="Cambria"/>
          <w:sz w:val="20"/>
          <w:szCs w:val="20"/>
          <w:lang w:val="en-US"/>
        </w:rPr>
        <w:t xml:space="preserve"> </w:t>
      </w:r>
      <w:r w:rsidRPr="00CC562A">
        <w:rPr>
          <w:rFonts w:ascii="Cambria" w:eastAsia="Cambria" w:hAnsi="Cambria"/>
          <w:sz w:val="20"/>
          <w:szCs w:val="20"/>
          <w:lang w:val="en-US"/>
        </w:rPr>
        <w:t xml:space="preserve">that in Mexico human rights defenders and journalists continue to experience multiple acts of violence physically and in the digital environment: attacks, threats, assault, smear campaigns, economic violence, and death based on their work. In the Mexican context, aggression against defenders and journalists </w:t>
      </w:r>
      <w:r w:rsidR="001065E6" w:rsidRPr="00CC562A">
        <w:rPr>
          <w:rFonts w:ascii="Cambria" w:eastAsia="Cambria" w:hAnsi="Cambria"/>
          <w:sz w:val="20"/>
          <w:szCs w:val="20"/>
          <w:lang w:val="en-US"/>
        </w:rPr>
        <w:t>has</w:t>
      </w:r>
      <w:r w:rsidRPr="00CC562A">
        <w:rPr>
          <w:rFonts w:ascii="Cambria" w:eastAsia="Cambria" w:hAnsi="Cambria"/>
          <w:sz w:val="20"/>
          <w:szCs w:val="20"/>
          <w:lang w:val="en-US"/>
        </w:rPr>
        <w:t xml:space="preserve"> occurred in the context of reprisals carried out by state actors and organized crime. The organization indicated that, between December</w:t>
      </w:r>
      <w:r w:rsidR="183980C5" w:rsidRPr="00CC562A">
        <w:rPr>
          <w:rFonts w:ascii="Cambria" w:eastAsia="Cambria" w:hAnsi="Cambria"/>
          <w:sz w:val="20"/>
          <w:szCs w:val="20"/>
          <w:lang w:val="en-US"/>
        </w:rPr>
        <w:t xml:space="preserve"> 2018 </w:t>
      </w:r>
      <w:r w:rsidRPr="00CC562A">
        <w:rPr>
          <w:rFonts w:ascii="Cambria" w:eastAsia="Cambria" w:hAnsi="Cambria"/>
          <w:sz w:val="20"/>
          <w:szCs w:val="20"/>
          <w:lang w:val="en-US"/>
        </w:rPr>
        <w:t xml:space="preserve">and January </w:t>
      </w:r>
      <w:r w:rsidR="183980C5" w:rsidRPr="00CC562A">
        <w:rPr>
          <w:rFonts w:ascii="Cambria" w:eastAsia="Cambria" w:hAnsi="Cambria"/>
          <w:sz w:val="20"/>
          <w:szCs w:val="20"/>
          <w:lang w:val="en-US"/>
        </w:rPr>
        <w:t xml:space="preserve">2022, </w:t>
      </w:r>
      <w:r w:rsidRPr="00CC562A">
        <w:rPr>
          <w:rFonts w:ascii="Cambria" w:eastAsia="Cambria" w:hAnsi="Cambria"/>
          <w:sz w:val="20"/>
          <w:szCs w:val="20"/>
          <w:lang w:val="en-US"/>
        </w:rPr>
        <w:t xml:space="preserve">97 people have been murdered; in 2021 alone a total of 25 human rights defenders were murdered. They point out that the situation of </w:t>
      </w:r>
      <w:r w:rsidR="00652299" w:rsidRPr="00CC562A">
        <w:rPr>
          <w:rFonts w:ascii="Cambria" w:eastAsia="Cambria" w:hAnsi="Cambria"/>
          <w:sz w:val="20"/>
          <w:szCs w:val="20"/>
          <w:lang w:val="en-US"/>
        </w:rPr>
        <w:t>women human rights defenders and women journalists is particularly vulnerable, due to the twofold risk they face as women in a country where macho violence allows the murder of women, which is increasing.</w:t>
      </w:r>
      <w:r w:rsidR="003F097F" w:rsidRPr="00CC562A">
        <w:rPr>
          <w:rStyle w:val="FootnoteReference"/>
          <w:rFonts w:ascii="Cambria" w:eastAsia="Cambria" w:hAnsi="Cambria"/>
          <w:sz w:val="20"/>
          <w:szCs w:val="20"/>
          <w:lang w:val="en-US"/>
        </w:rPr>
        <w:footnoteReference w:id="296"/>
      </w:r>
      <w:r w:rsidR="001065E6" w:rsidRPr="00CC562A">
        <w:rPr>
          <w:rFonts w:ascii="Cambria" w:eastAsia="Cambria" w:hAnsi="Cambria"/>
          <w:sz w:val="20"/>
          <w:szCs w:val="20"/>
          <w:lang w:val="en-US"/>
        </w:rPr>
        <w:t xml:space="preserve"> According to </w:t>
      </w:r>
      <w:r w:rsidR="00652299" w:rsidRPr="00CC562A">
        <w:rPr>
          <w:rFonts w:ascii="Cambria" w:eastAsia="Cambria" w:hAnsi="Cambria"/>
          <w:sz w:val="20"/>
          <w:szCs w:val="20"/>
          <w:lang w:val="en-US"/>
        </w:rPr>
        <w:t xml:space="preserve">Article </w:t>
      </w:r>
      <w:r w:rsidR="261CD8D4" w:rsidRPr="00CC562A">
        <w:rPr>
          <w:rFonts w:ascii="Cambria" w:eastAsia="Cambria" w:hAnsi="Cambria"/>
          <w:sz w:val="20"/>
          <w:szCs w:val="20"/>
          <w:lang w:val="en-US"/>
        </w:rPr>
        <w:t xml:space="preserve">19, </w:t>
      </w:r>
      <w:r w:rsidR="00652299" w:rsidRPr="00CC562A">
        <w:rPr>
          <w:rFonts w:ascii="Cambria" w:eastAsia="Cambria" w:hAnsi="Cambria"/>
          <w:sz w:val="20"/>
          <w:szCs w:val="20"/>
          <w:lang w:val="en-US"/>
        </w:rPr>
        <w:t xml:space="preserve">from </w:t>
      </w:r>
      <w:r w:rsidR="602DAB02" w:rsidRPr="00CC562A">
        <w:rPr>
          <w:rFonts w:ascii="Cambria" w:eastAsia="Cambria" w:hAnsi="Cambria"/>
          <w:sz w:val="20"/>
          <w:szCs w:val="20"/>
          <w:lang w:val="en-US"/>
        </w:rPr>
        <w:t xml:space="preserve">2000 </w:t>
      </w:r>
      <w:r w:rsidR="00652299" w:rsidRPr="00CC562A">
        <w:rPr>
          <w:rFonts w:ascii="Cambria" w:eastAsia="Cambria" w:hAnsi="Cambria"/>
          <w:sz w:val="20"/>
          <w:szCs w:val="20"/>
          <w:lang w:val="en-US"/>
        </w:rPr>
        <w:t xml:space="preserve">to date, </w:t>
      </w:r>
      <w:r w:rsidR="602DAB02" w:rsidRPr="00CC562A">
        <w:rPr>
          <w:rFonts w:ascii="Cambria" w:eastAsia="Cambria" w:hAnsi="Cambria"/>
          <w:sz w:val="20"/>
          <w:szCs w:val="20"/>
          <w:lang w:val="en-US"/>
        </w:rPr>
        <w:t xml:space="preserve">156 </w:t>
      </w:r>
      <w:r w:rsidR="00652299" w:rsidRPr="00CC562A">
        <w:rPr>
          <w:rFonts w:ascii="Cambria" w:eastAsia="Cambria" w:hAnsi="Cambria"/>
          <w:sz w:val="20"/>
          <w:szCs w:val="20"/>
          <w:lang w:val="en-US"/>
        </w:rPr>
        <w:t>murders of journalists have been documented in Mexico, possibly related to their work. Of the total,</w:t>
      </w:r>
      <w:r w:rsidR="602DAB02" w:rsidRPr="00CC562A">
        <w:rPr>
          <w:rFonts w:ascii="Cambria" w:eastAsia="Cambria" w:hAnsi="Cambria"/>
          <w:sz w:val="20"/>
          <w:szCs w:val="20"/>
          <w:lang w:val="en-US"/>
        </w:rPr>
        <w:t xml:space="preserve"> 144 </w:t>
      </w:r>
      <w:r w:rsidR="00652299" w:rsidRPr="00CC562A">
        <w:rPr>
          <w:rFonts w:ascii="Cambria" w:eastAsia="Cambria" w:hAnsi="Cambria"/>
          <w:sz w:val="20"/>
          <w:szCs w:val="20"/>
          <w:lang w:val="en-US"/>
        </w:rPr>
        <w:t xml:space="preserve">are men and </w:t>
      </w:r>
      <w:r w:rsidR="602DAB02" w:rsidRPr="00CC562A">
        <w:rPr>
          <w:rFonts w:ascii="Cambria" w:eastAsia="Cambria" w:hAnsi="Cambria"/>
          <w:sz w:val="20"/>
          <w:szCs w:val="20"/>
          <w:lang w:val="en-US"/>
        </w:rPr>
        <w:t xml:space="preserve">12 </w:t>
      </w:r>
      <w:r w:rsidR="00652299" w:rsidRPr="00CC562A">
        <w:rPr>
          <w:rFonts w:ascii="Cambria" w:eastAsia="Cambria" w:hAnsi="Cambria"/>
          <w:sz w:val="20"/>
          <w:szCs w:val="20"/>
          <w:lang w:val="en-US"/>
        </w:rPr>
        <w:t>are women.</w:t>
      </w:r>
      <w:r w:rsidR="003F097F" w:rsidRPr="00CC562A">
        <w:rPr>
          <w:rStyle w:val="FootnoteReference"/>
          <w:rFonts w:ascii="Cambria" w:eastAsia="Cambria" w:hAnsi="Cambria"/>
          <w:sz w:val="20"/>
          <w:szCs w:val="20"/>
          <w:lang w:val="en-US"/>
        </w:rPr>
        <w:footnoteReference w:id="297"/>
      </w:r>
    </w:p>
    <w:p w14:paraId="0C8076EA" w14:textId="23539026" w:rsidR="00AA3D84" w:rsidRPr="00CC562A" w:rsidRDefault="00652299"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sz w:val="20"/>
          <w:szCs w:val="20"/>
          <w:lang w:val="en-US"/>
        </w:rPr>
        <w:t>Thus, for Reporters without Borders, “year after year, Mexico remains one of the most dangerous and deadly countr</w:t>
      </w:r>
      <w:r w:rsidR="001065E6" w:rsidRPr="00CC562A">
        <w:rPr>
          <w:rFonts w:ascii="Cambria" w:eastAsia="Cambria" w:hAnsi="Cambria"/>
          <w:sz w:val="20"/>
          <w:szCs w:val="20"/>
          <w:lang w:val="en-US"/>
        </w:rPr>
        <w:t xml:space="preserve">ies in the </w:t>
      </w:r>
      <w:r w:rsidRPr="00CC562A">
        <w:rPr>
          <w:rFonts w:ascii="Cambria" w:eastAsia="Cambria" w:hAnsi="Cambria"/>
          <w:sz w:val="20"/>
          <w:szCs w:val="20"/>
          <w:lang w:val="en-US"/>
        </w:rPr>
        <w:t>world for journalists, in terms of security.” They assert that “professionals who cover sensitive topics related to politics or crime,” topics related to human rights, “particularly at the local level, endure warnings and threats, when they are not simply killed outright. Others are kidnapped and are never seen again or opt, in order to save their lives, to flee abroad.”</w:t>
      </w:r>
      <w:r w:rsidR="00AA3D84" w:rsidRPr="00CC562A">
        <w:rPr>
          <w:rStyle w:val="FootnoteReference"/>
          <w:lang w:val="en-US"/>
        </w:rPr>
        <w:footnoteReference w:id="298"/>
      </w:r>
      <w:r w:rsidRPr="00CC562A">
        <w:rPr>
          <w:lang w:val="en-US"/>
        </w:rPr>
        <w:t xml:space="preserve"> </w:t>
      </w:r>
      <w:r w:rsidR="00F108AA" w:rsidRPr="00CC562A">
        <w:rPr>
          <w:rFonts w:ascii="Cambria" w:eastAsia="Cambria" w:hAnsi="Cambria"/>
          <w:sz w:val="20"/>
          <w:szCs w:val="20"/>
          <w:lang w:val="en-US"/>
        </w:rPr>
        <w:t>In addition,</w:t>
      </w:r>
      <w:r w:rsidR="602DAB02" w:rsidRPr="00CC562A">
        <w:rPr>
          <w:rFonts w:ascii="Cambria" w:eastAsia="Cambria" w:hAnsi="Cambria"/>
          <w:sz w:val="20"/>
          <w:szCs w:val="20"/>
          <w:lang w:val="en-US"/>
        </w:rPr>
        <w:t xml:space="preserve"> </w:t>
      </w:r>
      <w:r w:rsidR="008D7A46" w:rsidRPr="00CC562A">
        <w:rPr>
          <w:rFonts w:ascii="Cambria" w:eastAsia="Cambria" w:hAnsi="Cambria"/>
          <w:sz w:val="20"/>
          <w:szCs w:val="20"/>
          <w:lang w:val="en-US"/>
        </w:rPr>
        <w:t>this violence is committed with excessive or unnecessary use of force, unlawful and arbitrary arrests, with verbal and physical abuse, exacerbated based on gender specifically when they are women or other non-hegemonic gender identi</w:t>
      </w:r>
      <w:r w:rsidR="001065E6" w:rsidRPr="00CC562A">
        <w:rPr>
          <w:rFonts w:ascii="Cambria" w:eastAsia="Cambria" w:hAnsi="Cambria"/>
          <w:sz w:val="20"/>
          <w:szCs w:val="20"/>
          <w:lang w:val="en-US"/>
        </w:rPr>
        <w:t>ti</w:t>
      </w:r>
      <w:r w:rsidR="008D7A46" w:rsidRPr="00CC562A">
        <w:rPr>
          <w:rFonts w:ascii="Cambria" w:eastAsia="Cambria" w:hAnsi="Cambria"/>
          <w:sz w:val="20"/>
          <w:szCs w:val="20"/>
          <w:lang w:val="en-US"/>
        </w:rPr>
        <w:t>es, and with sexual violence in the context of public demonstrations, as documented by Amnesty International.</w:t>
      </w:r>
      <w:r w:rsidR="00C95C02" w:rsidRPr="00CC562A">
        <w:rPr>
          <w:rStyle w:val="FootnoteReference"/>
          <w:rFonts w:ascii="Cambria" w:eastAsia="Cambria" w:hAnsi="Cambria"/>
          <w:sz w:val="20"/>
          <w:szCs w:val="20"/>
          <w:lang w:val="en-US"/>
        </w:rPr>
        <w:footnoteReference w:id="299"/>
      </w:r>
    </w:p>
    <w:p w14:paraId="3CD102ED" w14:textId="5B748111" w:rsidR="00865E5C" w:rsidRPr="00CC562A" w:rsidRDefault="008D7A46" w:rsidP="00001918">
      <w:pPr>
        <w:numPr>
          <w:ilvl w:val="0"/>
          <w:numId w:val="2"/>
        </w:numPr>
        <w:shd w:val="clear" w:color="auto" w:fill="FFFFFF" w:themeFill="background1"/>
        <w:spacing w:before="240" w:line="240" w:lineRule="auto"/>
        <w:ind w:left="0" w:firstLine="720"/>
        <w:jc w:val="both"/>
        <w:rPr>
          <w:lang w:val="en-US"/>
        </w:rPr>
      </w:pPr>
      <w:r w:rsidRPr="00CC562A">
        <w:rPr>
          <w:rFonts w:ascii="Cambria" w:hAnsi="Cambria"/>
          <w:sz w:val="20"/>
          <w:szCs w:val="20"/>
          <w:lang w:val="en-US"/>
        </w:rPr>
        <w:t>In addition, the Commission is concerned by the lack of progress in the investigations of crimes against human rights defenders. In this regard, according to public information, at the beginning of</w:t>
      </w:r>
      <w:r w:rsidR="7B6A27B0" w:rsidRPr="00CC562A">
        <w:rPr>
          <w:rFonts w:ascii="Cambria" w:hAnsi="Cambria"/>
          <w:sz w:val="20"/>
          <w:szCs w:val="20"/>
          <w:lang w:val="en-US"/>
        </w:rPr>
        <w:t xml:space="preserve"> 2022, </w:t>
      </w:r>
      <w:r w:rsidR="00752FED" w:rsidRPr="00CC562A">
        <w:rPr>
          <w:rFonts w:ascii="Cambria" w:hAnsi="Cambria"/>
          <w:sz w:val="20"/>
          <w:szCs w:val="20"/>
          <w:lang w:val="en-US"/>
        </w:rPr>
        <w:t>the State</w:t>
      </w:r>
      <w:r w:rsidR="7B6A27B0" w:rsidRPr="00CC562A">
        <w:rPr>
          <w:rFonts w:ascii="Cambria" w:hAnsi="Cambria"/>
          <w:sz w:val="20"/>
          <w:szCs w:val="20"/>
          <w:lang w:val="en-US"/>
        </w:rPr>
        <w:t xml:space="preserve"> reco</w:t>
      </w:r>
      <w:r w:rsidRPr="00CC562A">
        <w:rPr>
          <w:rFonts w:ascii="Cambria" w:hAnsi="Cambria"/>
          <w:sz w:val="20"/>
          <w:szCs w:val="20"/>
          <w:lang w:val="en-US"/>
        </w:rPr>
        <w:t xml:space="preserve">gnized that impunity in crimes against defenders and journalists in Mexico was on the order of </w:t>
      </w:r>
      <w:r w:rsidR="7B6A27B0" w:rsidRPr="00CC562A">
        <w:rPr>
          <w:rFonts w:ascii="Cambria" w:hAnsi="Cambria"/>
          <w:sz w:val="20"/>
          <w:szCs w:val="20"/>
          <w:lang w:val="en-US"/>
        </w:rPr>
        <w:t>90%</w:t>
      </w:r>
      <w:r w:rsidRPr="00CC562A">
        <w:rPr>
          <w:rFonts w:ascii="Cambria" w:hAnsi="Cambria"/>
          <w:sz w:val="20"/>
          <w:szCs w:val="20"/>
          <w:lang w:val="en-US"/>
        </w:rPr>
        <w:t>.</w:t>
      </w:r>
      <w:r w:rsidR="00865E5C" w:rsidRPr="00CC562A">
        <w:rPr>
          <w:rStyle w:val="FootnoteReference"/>
          <w:rFonts w:ascii="Cambria" w:hAnsi="Cambria"/>
          <w:sz w:val="20"/>
          <w:szCs w:val="20"/>
          <w:lang w:val="en-US"/>
        </w:rPr>
        <w:footnoteReference w:id="300"/>
      </w:r>
      <w:r w:rsidRPr="00CC562A">
        <w:rPr>
          <w:rFonts w:ascii="Cambria" w:hAnsi="Cambria"/>
          <w:sz w:val="20"/>
          <w:szCs w:val="20"/>
          <w:lang w:val="en-US"/>
        </w:rPr>
        <w:t xml:space="preserve"> </w:t>
      </w:r>
      <w:r w:rsidR="00276638" w:rsidRPr="00CC562A">
        <w:rPr>
          <w:rFonts w:ascii="Cambria" w:hAnsi="Cambria"/>
          <w:sz w:val="20"/>
          <w:szCs w:val="20"/>
          <w:lang w:val="en-US"/>
        </w:rPr>
        <w:t>The IACHR</w:t>
      </w:r>
      <w:r w:rsidR="7B6A27B0" w:rsidRPr="00CC562A">
        <w:rPr>
          <w:rFonts w:ascii="Cambria" w:hAnsi="Cambria"/>
          <w:sz w:val="20"/>
          <w:szCs w:val="20"/>
          <w:lang w:val="en-US"/>
        </w:rPr>
        <w:t xml:space="preserve"> r</w:t>
      </w:r>
      <w:r w:rsidRPr="00CC562A">
        <w:rPr>
          <w:rFonts w:ascii="Cambria" w:hAnsi="Cambria"/>
          <w:sz w:val="20"/>
          <w:szCs w:val="20"/>
          <w:lang w:val="en-US"/>
        </w:rPr>
        <w:t>eminds the State that the most effect</w:t>
      </w:r>
      <w:r w:rsidR="001065E6" w:rsidRPr="00CC562A">
        <w:rPr>
          <w:rFonts w:ascii="Cambria" w:hAnsi="Cambria"/>
          <w:sz w:val="20"/>
          <w:szCs w:val="20"/>
          <w:lang w:val="en-US"/>
        </w:rPr>
        <w:t>ive</w:t>
      </w:r>
      <w:r w:rsidRPr="00CC562A">
        <w:rPr>
          <w:rFonts w:ascii="Cambria" w:hAnsi="Cambria"/>
          <w:sz w:val="20"/>
          <w:szCs w:val="20"/>
          <w:lang w:val="en-US"/>
        </w:rPr>
        <w:t xml:space="preserve"> way to protect human rights defenders is to diligently investigate</w:t>
      </w:r>
      <w:r w:rsidR="7B6A27B0" w:rsidRPr="00CC562A">
        <w:rPr>
          <w:rFonts w:ascii="Cambria" w:hAnsi="Cambria"/>
          <w:sz w:val="20"/>
          <w:szCs w:val="20"/>
          <w:lang w:val="en-US"/>
        </w:rPr>
        <w:t xml:space="preserve"> </w:t>
      </w:r>
      <w:r w:rsidRPr="00CC562A">
        <w:rPr>
          <w:rFonts w:ascii="Cambria" w:hAnsi="Cambria"/>
          <w:sz w:val="20"/>
          <w:szCs w:val="20"/>
          <w:lang w:val="en-US"/>
        </w:rPr>
        <w:t>acts of violence against them and to punish those responsible, so as to identify and solve cases and thus avoid their repetition</w:t>
      </w:r>
      <w:r w:rsidR="7B6A27B0" w:rsidRPr="00CC562A">
        <w:rPr>
          <w:rFonts w:ascii="Cambria" w:hAnsi="Cambria"/>
          <w:sz w:val="20"/>
          <w:szCs w:val="20"/>
          <w:lang w:val="en-US"/>
        </w:rPr>
        <w:t>.</w:t>
      </w:r>
    </w:p>
    <w:p w14:paraId="6E0302AD" w14:textId="1436E0AF" w:rsidR="006A3ECA" w:rsidRPr="00CC562A" w:rsidRDefault="008D7A46" w:rsidP="00001918">
      <w:pPr>
        <w:numPr>
          <w:ilvl w:val="0"/>
          <w:numId w:val="2"/>
        </w:numPr>
        <w:shd w:val="clear" w:color="auto" w:fill="FFFFFF" w:themeFill="background1"/>
        <w:spacing w:before="240" w:line="240" w:lineRule="auto"/>
        <w:ind w:left="0" w:firstLine="720"/>
        <w:jc w:val="both"/>
        <w:rPr>
          <w:lang w:val="en-US"/>
        </w:rPr>
      </w:pPr>
      <w:r w:rsidRPr="00CC562A">
        <w:rPr>
          <w:rFonts w:ascii="Cambria" w:eastAsia="Cambria" w:hAnsi="Cambria"/>
          <w:sz w:val="20"/>
          <w:szCs w:val="20"/>
          <w:lang w:val="en-US"/>
        </w:rPr>
        <w:t xml:space="preserve">In addition, </w:t>
      </w:r>
      <w:r w:rsidR="00276638" w:rsidRPr="00CC562A">
        <w:rPr>
          <w:rFonts w:ascii="Cambria" w:eastAsia="Cambria" w:hAnsi="Cambria"/>
          <w:sz w:val="20"/>
          <w:szCs w:val="20"/>
          <w:lang w:val="en-US"/>
        </w:rPr>
        <w:t>the IACHR</w:t>
      </w:r>
      <w:r w:rsidR="3DA72095" w:rsidRPr="00CC562A">
        <w:rPr>
          <w:rFonts w:ascii="Cambria" w:eastAsia="Cambria" w:hAnsi="Cambria"/>
          <w:sz w:val="20"/>
          <w:szCs w:val="20"/>
          <w:lang w:val="en-US"/>
        </w:rPr>
        <w:t xml:space="preserve"> </w:t>
      </w:r>
      <w:r w:rsidRPr="00CC562A">
        <w:rPr>
          <w:rFonts w:ascii="Cambria" w:eastAsia="Cambria" w:hAnsi="Cambria"/>
          <w:sz w:val="20"/>
          <w:szCs w:val="20"/>
          <w:lang w:val="en-US"/>
        </w:rPr>
        <w:t xml:space="preserve">noted during </w:t>
      </w:r>
      <w:r w:rsidR="3DA72095" w:rsidRPr="00CC562A">
        <w:rPr>
          <w:rFonts w:ascii="Cambria" w:eastAsia="Cambria" w:hAnsi="Cambria"/>
          <w:sz w:val="20"/>
          <w:szCs w:val="20"/>
          <w:lang w:val="en-US"/>
        </w:rPr>
        <w:t xml:space="preserve">2022 </w:t>
      </w:r>
      <w:r w:rsidRPr="00CC562A">
        <w:rPr>
          <w:rFonts w:ascii="Cambria" w:eastAsia="Cambria" w:hAnsi="Cambria"/>
          <w:sz w:val="20"/>
          <w:szCs w:val="20"/>
          <w:lang w:val="en-US"/>
        </w:rPr>
        <w:t xml:space="preserve">the improper use of criminal </w:t>
      </w:r>
      <w:r w:rsidR="00D0149B" w:rsidRPr="00CC562A">
        <w:rPr>
          <w:rFonts w:ascii="Cambria" w:eastAsia="Cambria" w:hAnsi="Cambria"/>
          <w:sz w:val="20"/>
          <w:szCs w:val="20"/>
          <w:lang w:val="en-US"/>
        </w:rPr>
        <w:t xml:space="preserve">charges </w:t>
      </w:r>
      <w:proofErr w:type="gramStart"/>
      <w:r w:rsidR="00D0149B" w:rsidRPr="00CC562A">
        <w:rPr>
          <w:rFonts w:ascii="Cambria" w:eastAsia="Cambria" w:hAnsi="Cambria"/>
          <w:sz w:val="20"/>
          <w:szCs w:val="20"/>
          <w:lang w:val="en-US"/>
        </w:rPr>
        <w:t>as a way to</w:t>
      </w:r>
      <w:proofErr w:type="gramEnd"/>
      <w:r w:rsidR="00D0149B" w:rsidRPr="00CC562A">
        <w:rPr>
          <w:rFonts w:ascii="Cambria" w:eastAsia="Cambria" w:hAnsi="Cambria"/>
          <w:sz w:val="20"/>
          <w:szCs w:val="20"/>
          <w:lang w:val="en-US"/>
        </w:rPr>
        <w:t xml:space="preserve"> criminalize and obstruct the work of defenders. In this regard, it learned of the alleged criminalization of</w:t>
      </w:r>
      <w:r w:rsidR="72970F35" w:rsidRPr="00CC562A">
        <w:rPr>
          <w:rFonts w:ascii="Cambria" w:hAnsi="Cambria"/>
          <w:color w:val="000000"/>
          <w:sz w:val="20"/>
          <w:szCs w:val="20"/>
          <w:lang w:val="en-US"/>
        </w:rPr>
        <w:t xml:space="preserve"> Kenia Inés Hernández </w:t>
      </w:r>
      <w:proofErr w:type="spellStart"/>
      <w:r w:rsidR="72970F35" w:rsidRPr="00CC562A">
        <w:rPr>
          <w:rFonts w:ascii="Cambria" w:hAnsi="Cambria"/>
          <w:color w:val="000000"/>
          <w:sz w:val="20"/>
          <w:szCs w:val="20"/>
          <w:lang w:val="en-US"/>
        </w:rPr>
        <w:t>Montalván</w:t>
      </w:r>
      <w:proofErr w:type="spellEnd"/>
      <w:r w:rsidR="72970F35" w:rsidRPr="00CC562A">
        <w:rPr>
          <w:rFonts w:ascii="Cambria" w:hAnsi="Cambria"/>
          <w:color w:val="000000"/>
          <w:sz w:val="20"/>
          <w:szCs w:val="20"/>
          <w:lang w:val="en-US"/>
        </w:rPr>
        <w:t xml:space="preserve">, </w:t>
      </w:r>
      <w:r w:rsidR="00D0149B" w:rsidRPr="00CC562A">
        <w:rPr>
          <w:rFonts w:ascii="Cambria" w:hAnsi="Cambria"/>
          <w:color w:val="000000"/>
          <w:sz w:val="20"/>
          <w:szCs w:val="20"/>
          <w:lang w:val="en-US"/>
        </w:rPr>
        <w:t>an indigenous defender and coordinator of the</w:t>
      </w:r>
      <w:r w:rsidR="72970F35" w:rsidRPr="00CC562A">
        <w:rPr>
          <w:rFonts w:ascii="Cambria" w:hAnsi="Cambria"/>
          <w:color w:val="000000"/>
          <w:sz w:val="20"/>
          <w:szCs w:val="20"/>
          <w:lang w:val="en-US"/>
        </w:rPr>
        <w:t xml:space="preserve"> Zapata </w:t>
      </w:r>
      <w:proofErr w:type="spellStart"/>
      <w:r w:rsidR="72970F35" w:rsidRPr="00CC562A">
        <w:rPr>
          <w:rFonts w:ascii="Cambria" w:hAnsi="Cambria"/>
          <w:color w:val="000000"/>
          <w:sz w:val="20"/>
          <w:szCs w:val="20"/>
          <w:lang w:val="en-US"/>
        </w:rPr>
        <w:t>Vive</w:t>
      </w:r>
      <w:proofErr w:type="spellEnd"/>
      <w:r w:rsidR="00D0149B" w:rsidRPr="00CC562A">
        <w:rPr>
          <w:rFonts w:ascii="Cambria" w:hAnsi="Cambria"/>
          <w:color w:val="000000"/>
          <w:sz w:val="20"/>
          <w:szCs w:val="20"/>
          <w:lang w:val="en-US"/>
        </w:rPr>
        <w:t xml:space="preserve"> Libertarian Collective and member of the National Movement for the Freedom of Political Prisoners, who was prosecuted in at least five criminal cases, according to information from the State and who has been deprived of liberty since October </w:t>
      </w:r>
      <w:r w:rsidR="00D0149B" w:rsidRPr="00CC562A">
        <w:rPr>
          <w:rFonts w:ascii="Cambria" w:hAnsi="Cambria"/>
          <w:color w:val="000000"/>
          <w:sz w:val="20"/>
          <w:szCs w:val="20"/>
          <w:lang w:val="en-US"/>
        </w:rPr>
        <w:lastRenderedPageBreak/>
        <w:t>of</w:t>
      </w:r>
      <w:r w:rsidR="72970F35" w:rsidRPr="00CC562A">
        <w:rPr>
          <w:rFonts w:ascii="Cambria" w:hAnsi="Cambria"/>
          <w:color w:val="000000"/>
          <w:sz w:val="20"/>
          <w:szCs w:val="20"/>
          <w:lang w:val="en-US"/>
        </w:rPr>
        <w:t xml:space="preserve"> 2020</w:t>
      </w:r>
      <w:r w:rsidR="00D0149B" w:rsidRPr="00CC562A">
        <w:rPr>
          <w:rFonts w:ascii="Cambria" w:hAnsi="Cambria"/>
          <w:color w:val="000000"/>
          <w:sz w:val="20"/>
          <w:szCs w:val="20"/>
          <w:lang w:val="en-US"/>
        </w:rPr>
        <w:t>.</w:t>
      </w:r>
      <w:r w:rsidR="006A3ECA" w:rsidRPr="00CC562A">
        <w:rPr>
          <w:rStyle w:val="FootnoteReference"/>
          <w:rFonts w:ascii="Cambria" w:hAnsi="Cambria"/>
          <w:color w:val="000000"/>
          <w:sz w:val="20"/>
          <w:szCs w:val="20"/>
          <w:lang w:val="en-US"/>
        </w:rPr>
        <w:footnoteReference w:id="301"/>
      </w:r>
      <w:r w:rsidR="00D0149B" w:rsidRPr="00CC562A">
        <w:rPr>
          <w:rFonts w:ascii="Cambria" w:hAnsi="Cambria"/>
          <w:color w:val="000000"/>
          <w:sz w:val="20"/>
          <w:szCs w:val="20"/>
          <w:lang w:val="en-US"/>
        </w:rPr>
        <w:t xml:space="preserve"> </w:t>
      </w:r>
      <w:r w:rsidR="00752FED" w:rsidRPr="00CC562A">
        <w:rPr>
          <w:rFonts w:ascii="Cambria" w:hAnsi="Cambria"/>
          <w:color w:val="000000"/>
          <w:sz w:val="20"/>
          <w:szCs w:val="20"/>
          <w:lang w:val="en-US"/>
        </w:rPr>
        <w:t>The State</w:t>
      </w:r>
      <w:r w:rsidR="72970F35" w:rsidRPr="00CC562A">
        <w:rPr>
          <w:rFonts w:ascii="Cambria" w:hAnsi="Cambria"/>
          <w:color w:val="000000"/>
          <w:sz w:val="20"/>
          <w:szCs w:val="20"/>
          <w:lang w:val="en-US"/>
        </w:rPr>
        <w:t xml:space="preserve"> </w:t>
      </w:r>
      <w:r w:rsidR="00D0149B" w:rsidRPr="00CC562A">
        <w:rPr>
          <w:rFonts w:ascii="Cambria" w:hAnsi="Cambria"/>
          <w:color w:val="000000"/>
          <w:sz w:val="20"/>
          <w:szCs w:val="20"/>
          <w:lang w:val="en-US"/>
        </w:rPr>
        <w:t>told the Commission that the</w:t>
      </w:r>
      <w:r w:rsidR="00EC3676" w:rsidRPr="00CC562A">
        <w:rPr>
          <w:rFonts w:ascii="Cambria" w:hAnsi="Cambria"/>
          <w:color w:val="000000"/>
          <w:sz w:val="20"/>
          <w:szCs w:val="20"/>
          <w:lang w:val="en-US"/>
        </w:rPr>
        <w:t>r</w:t>
      </w:r>
      <w:r w:rsidR="00D0149B" w:rsidRPr="00CC562A">
        <w:rPr>
          <w:rFonts w:ascii="Cambria" w:hAnsi="Cambria"/>
          <w:color w:val="000000"/>
          <w:sz w:val="20"/>
          <w:szCs w:val="20"/>
          <w:lang w:val="en-US"/>
        </w:rPr>
        <w:t>e are three criminal cases before the</w:t>
      </w:r>
      <w:r w:rsidR="72970F35" w:rsidRPr="00CC562A">
        <w:rPr>
          <w:rFonts w:ascii="Cambria" w:hAnsi="Cambria"/>
          <w:color w:val="000000"/>
          <w:sz w:val="20"/>
          <w:szCs w:val="20"/>
          <w:lang w:val="en-US"/>
        </w:rPr>
        <w:t xml:space="preserve"> </w:t>
      </w:r>
      <w:r w:rsidR="6FA042A4" w:rsidRPr="00CC562A">
        <w:rPr>
          <w:rFonts w:ascii="Cambria" w:hAnsi="Cambria"/>
          <w:color w:val="000000" w:themeColor="text1"/>
          <w:sz w:val="20"/>
          <w:szCs w:val="20"/>
          <w:lang w:val="en-US"/>
        </w:rPr>
        <w:t>FGR</w:t>
      </w:r>
      <w:r w:rsidR="72970F35" w:rsidRPr="00CC562A">
        <w:rPr>
          <w:rFonts w:ascii="Cambria" w:hAnsi="Cambria"/>
          <w:color w:val="000000"/>
          <w:sz w:val="20"/>
          <w:szCs w:val="20"/>
          <w:lang w:val="en-US"/>
        </w:rPr>
        <w:t xml:space="preserve">, </w:t>
      </w:r>
      <w:r w:rsidR="00D0149B" w:rsidRPr="00CC562A">
        <w:rPr>
          <w:rFonts w:ascii="Cambria" w:hAnsi="Cambria"/>
          <w:color w:val="000000"/>
          <w:sz w:val="20"/>
          <w:szCs w:val="20"/>
          <w:lang w:val="en-US"/>
        </w:rPr>
        <w:t xml:space="preserve">for the crimes of </w:t>
      </w:r>
      <w:r w:rsidR="00EC3676" w:rsidRPr="00CC562A">
        <w:rPr>
          <w:rFonts w:ascii="Cambria" w:hAnsi="Cambria"/>
          <w:color w:val="000000"/>
          <w:sz w:val="20"/>
          <w:szCs w:val="20"/>
          <w:lang w:val="en-US"/>
        </w:rPr>
        <w:t xml:space="preserve"> attacks on general communication routes, and two criminal cases before the Supreme Court of Justice of the State of Mexico for the crimes of</w:t>
      </w:r>
      <w:r w:rsidR="72970F35" w:rsidRPr="00CC562A">
        <w:rPr>
          <w:rFonts w:ascii="Cambria" w:hAnsi="Cambria"/>
          <w:color w:val="000000"/>
          <w:sz w:val="20"/>
          <w:szCs w:val="20"/>
          <w:lang w:val="en-US"/>
        </w:rPr>
        <w:t xml:space="preserve"> rob</w:t>
      </w:r>
      <w:r w:rsidR="00EC3676" w:rsidRPr="00CC562A">
        <w:rPr>
          <w:rFonts w:ascii="Cambria" w:hAnsi="Cambria"/>
          <w:color w:val="000000"/>
          <w:sz w:val="20"/>
          <w:szCs w:val="20"/>
          <w:lang w:val="en-US"/>
        </w:rPr>
        <w:t>bery with violence.</w:t>
      </w:r>
      <w:r w:rsidR="006A3ECA" w:rsidRPr="00CC562A">
        <w:rPr>
          <w:rStyle w:val="FootnoteReference"/>
          <w:rFonts w:ascii="Cambria" w:hAnsi="Cambria"/>
          <w:color w:val="000000"/>
          <w:sz w:val="20"/>
          <w:szCs w:val="20"/>
          <w:lang w:val="en-US"/>
        </w:rPr>
        <w:footnoteReference w:id="302"/>
      </w:r>
    </w:p>
    <w:p w14:paraId="7718922D" w14:textId="699FD0ED" w:rsidR="003F2C1B" w:rsidRPr="00CC562A" w:rsidRDefault="003C176E" w:rsidP="00001918">
      <w:pPr>
        <w:numPr>
          <w:ilvl w:val="0"/>
          <w:numId w:val="2"/>
        </w:numPr>
        <w:shd w:val="clear" w:color="auto" w:fill="FFFFFF" w:themeFill="background1"/>
        <w:spacing w:before="240" w:line="240" w:lineRule="auto"/>
        <w:ind w:left="0" w:firstLine="720"/>
        <w:jc w:val="both"/>
        <w:rPr>
          <w:lang w:val="en-US"/>
        </w:rPr>
      </w:pPr>
      <w:r w:rsidRPr="00CC562A">
        <w:rPr>
          <w:rFonts w:ascii="Cambria" w:hAnsi="Cambria"/>
          <w:color w:val="000000"/>
          <w:sz w:val="20"/>
          <w:szCs w:val="20"/>
          <w:lang w:val="en-US"/>
        </w:rPr>
        <w:t>In addition, in April</w:t>
      </w:r>
      <w:r w:rsidR="72970F35" w:rsidRPr="00CC562A">
        <w:rPr>
          <w:rFonts w:ascii="Cambria" w:hAnsi="Cambria"/>
          <w:color w:val="000000"/>
          <w:sz w:val="20"/>
          <w:szCs w:val="20"/>
          <w:lang w:val="en-US"/>
        </w:rPr>
        <w:t xml:space="preserve"> 2022</w:t>
      </w:r>
      <w:r w:rsidRPr="00CC562A">
        <w:rPr>
          <w:rFonts w:ascii="Cambria" w:hAnsi="Cambria"/>
          <w:color w:val="000000"/>
          <w:sz w:val="20"/>
          <w:szCs w:val="20"/>
          <w:lang w:val="en-US"/>
        </w:rPr>
        <w:t xml:space="preserve"> the Commission was informed that </w:t>
      </w:r>
      <w:r w:rsidR="00931910" w:rsidRPr="00CC562A">
        <w:rPr>
          <w:rFonts w:ascii="Cambria" w:hAnsi="Cambria"/>
          <w:color w:val="000000"/>
          <w:sz w:val="20"/>
          <w:szCs w:val="20"/>
          <w:lang w:val="en-US"/>
        </w:rPr>
        <w:t xml:space="preserve">Mmes. </w:t>
      </w:r>
      <w:r w:rsidR="72970F35" w:rsidRPr="00CC562A">
        <w:rPr>
          <w:rFonts w:ascii="Cambria" w:hAnsi="Cambria"/>
          <w:color w:val="000000"/>
          <w:sz w:val="20"/>
          <w:szCs w:val="20"/>
          <w:lang w:val="en-US"/>
        </w:rPr>
        <w:t xml:space="preserve">Ana Lorena Delgadillo, Mercedes Celina </w:t>
      </w:r>
      <w:proofErr w:type="spellStart"/>
      <w:r w:rsidR="72970F35" w:rsidRPr="00CC562A">
        <w:rPr>
          <w:rFonts w:ascii="Cambria" w:hAnsi="Cambria"/>
          <w:color w:val="000000"/>
          <w:sz w:val="20"/>
          <w:szCs w:val="20"/>
          <w:lang w:val="en-US"/>
        </w:rPr>
        <w:t>Doretti</w:t>
      </w:r>
      <w:proofErr w:type="spellEnd"/>
      <w:r w:rsidR="72970F35" w:rsidRPr="00CC562A">
        <w:rPr>
          <w:rFonts w:ascii="Cambria" w:hAnsi="Cambria"/>
          <w:color w:val="000000"/>
          <w:sz w:val="20"/>
          <w:szCs w:val="20"/>
          <w:lang w:val="en-US"/>
        </w:rPr>
        <w:t xml:space="preserve">, </w:t>
      </w:r>
      <w:r w:rsidRPr="00CC562A">
        <w:rPr>
          <w:rFonts w:ascii="Cambria" w:hAnsi="Cambria"/>
          <w:color w:val="000000"/>
          <w:sz w:val="20"/>
          <w:szCs w:val="20"/>
          <w:lang w:val="en-US"/>
        </w:rPr>
        <w:t>and</w:t>
      </w:r>
      <w:r w:rsidR="72970F35" w:rsidRPr="00CC562A">
        <w:rPr>
          <w:rFonts w:ascii="Cambria" w:hAnsi="Cambria"/>
          <w:color w:val="000000"/>
          <w:sz w:val="20"/>
          <w:szCs w:val="20"/>
          <w:lang w:val="en-US"/>
        </w:rPr>
        <w:t xml:space="preserve"> Marcela </w:t>
      </w:r>
      <w:proofErr w:type="spellStart"/>
      <w:r w:rsidR="72970F35" w:rsidRPr="00CC562A">
        <w:rPr>
          <w:rFonts w:ascii="Cambria" w:hAnsi="Cambria"/>
          <w:color w:val="000000"/>
          <w:sz w:val="20"/>
          <w:szCs w:val="20"/>
          <w:lang w:val="en-US"/>
        </w:rPr>
        <w:t>Turati</w:t>
      </w:r>
      <w:proofErr w:type="spellEnd"/>
      <w:r w:rsidRPr="00CC562A">
        <w:rPr>
          <w:rFonts w:ascii="Cambria" w:hAnsi="Cambria"/>
          <w:color w:val="000000"/>
          <w:sz w:val="20"/>
          <w:szCs w:val="20"/>
          <w:lang w:val="en-US"/>
        </w:rPr>
        <w:t xml:space="preserve">, who were involved as specialists in their respective fields in the case known as the “Clandestine Graves of </w:t>
      </w:r>
      <w:r w:rsidR="72970F35" w:rsidRPr="00CC562A">
        <w:rPr>
          <w:rFonts w:ascii="Cambria" w:hAnsi="Cambria"/>
          <w:color w:val="000000"/>
          <w:sz w:val="20"/>
          <w:szCs w:val="20"/>
          <w:lang w:val="en-US"/>
        </w:rPr>
        <w:t>San Fernando” (</w:t>
      </w:r>
      <w:r w:rsidRPr="00CC562A">
        <w:rPr>
          <w:rFonts w:ascii="Cambria" w:hAnsi="Cambria"/>
          <w:color w:val="000000"/>
          <w:sz w:val="20"/>
          <w:szCs w:val="20"/>
          <w:lang w:val="en-US"/>
        </w:rPr>
        <w:t>hereinafter “the Clandestine Graves case” or “the case) were included in criminal investigation</w:t>
      </w:r>
      <w:r w:rsidR="72970F35" w:rsidRPr="00CC562A">
        <w:rPr>
          <w:rFonts w:ascii="Cambria" w:hAnsi="Cambria"/>
          <w:color w:val="000000"/>
          <w:sz w:val="20"/>
          <w:szCs w:val="20"/>
          <w:lang w:val="en-US"/>
        </w:rPr>
        <w:t xml:space="preserve"> AP/PGR/SIEDO/UEIS/197/2011 </w:t>
      </w:r>
      <w:r w:rsidR="00931910" w:rsidRPr="00CC562A">
        <w:rPr>
          <w:rFonts w:ascii="Cambria" w:hAnsi="Cambria"/>
          <w:color w:val="000000"/>
          <w:sz w:val="20"/>
          <w:szCs w:val="20"/>
          <w:lang w:val="en-US"/>
        </w:rPr>
        <w:t xml:space="preserve">headed by </w:t>
      </w:r>
      <w:r w:rsidRPr="00CC562A">
        <w:rPr>
          <w:rFonts w:ascii="Cambria" w:hAnsi="Cambria"/>
          <w:color w:val="000000"/>
          <w:sz w:val="20"/>
          <w:szCs w:val="20"/>
          <w:lang w:val="en-US"/>
        </w:rPr>
        <w:t xml:space="preserve">the </w:t>
      </w:r>
      <w:r w:rsidR="001478F9" w:rsidRPr="00CC562A">
        <w:rPr>
          <w:rFonts w:ascii="Cambria" w:hAnsi="Cambria"/>
          <w:color w:val="000000"/>
          <w:sz w:val="20"/>
          <w:szCs w:val="20"/>
          <w:lang w:val="en-US"/>
        </w:rPr>
        <w:t>prosecutorial</w:t>
      </w:r>
      <w:r w:rsidRPr="00CC562A">
        <w:rPr>
          <w:rFonts w:ascii="Cambria" w:hAnsi="Cambria"/>
          <w:color w:val="000000"/>
          <w:sz w:val="20"/>
          <w:szCs w:val="20"/>
          <w:lang w:val="en-US"/>
        </w:rPr>
        <w:t xml:space="preserve"> authority. According to information made known to the</w:t>
      </w:r>
      <w:r w:rsidR="00276638" w:rsidRPr="00CC562A">
        <w:rPr>
          <w:rFonts w:ascii="Cambria" w:hAnsi="Cambria"/>
          <w:color w:val="000000"/>
          <w:sz w:val="20"/>
          <w:szCs w:val="20"/>
          <w:lang w:val="en-US"/>
        </w:rPr>
        <w:t xml:space="preserve"> IACHR</w:t>
      </w:r>
      <w:r w:rsidR="72970F35" w:rsidRPr="00CC562A">
        <w:rPr>
          <w:rFonts w:ascii="Cambria" w:hAnsi="Cambria"/>
          <w:color w:val="000000"/>
          <w:sz w:val="20"/>
          <w:szCs w:val="20"/>
          <w:lang w:val="en-US"/>
        </w:rPr>
        <w:t xml:space="preserve">, </w:t>
      </w:r>
      <w:r w:rsidRPr="00CC562A">
        <w:rPr>
          <w:rFonts w:ascii="Cambria" w:hAnsi="Cambria"/>
          <w:color w:val="000000"/>
          <w:sz w:val="20"/>
          <w:szCs w:val="20"/>
          <w:lang w:val="en-US"/>
        </w:rPr>
        <w:t>Mmes.</w:t>
      </w:r>
      <w:r w:rsidR="72970F35" w:rsidRPr="00CC562A">
        <w:rPr>
          <w:rFonts w:ascii="Cambria" w:hAnsi="Cambria"/>
          <w:color w:val="000000"/>
          <w:sz w:val="20"/>
          <w:szCs w:val="20"/>
          <w:lang w:val="en-US"/>
        </w:rPr>
        <w:t xml:space="preserve"> Delgadillo </w:t>
      </w:r>
      <w:r w:rsidRPr="00CC562A">
        <w:rPr>
          <w:rFonts w:ascii="Cambria" w:hAnsi="Cambria"/>
          <w:color w:val="000000"/>
          <w:sz w:val="20"/>
          <w:szCs w:val="20"/>
          <w:lang w:val="en-US"/>
        </w:rPr>
        <w:t>and</w:t>
      </w:r>
      <w:r w:rsidR="72970F35" w:rsidRPr="00CC562A">
        <w:rPr>
          <w:rFonts w:ascii="Cambria" w:hAnsi="Cambria"/>
          <w:color w:val="000000"/>
          <w:sz w:val="20"/>
          <w:szCs w:val="20"/>
          <w:lang w:val="en-US"/>
        </w:rPr>
        <w:t xml:space="preserve"> </w:t>
      </w:r>
      <w:proofErr w:type="spellStart"/>
      <w:r w:rsidR="72970F35" w:rsidRPr="00CC562A">
        <w:rPr>
          <w:rFonts w:ascii="Cambria" w:hAnsi="Cambria"/>
          <w:color w:val="000000"/>
          <w:sz w:val="20"/>
          <w:szCs w:val="20"/>
          <w:lang w:val="en-US"/>
        </w:rPr>
        <w:t>Doretti</w:t>
      </w:r>
      <w:proofErr w:type="spellEnd"/>
      <w:r w:rsidR="72970F35" w:rsidRPr="00CC562A">
        <w:rPr>
          <w:rFonts w:ascii="Cambria" w:hAnsi="Cambria"/>
          <w:color w:val="000000"/>
          <w:sz w:val="20"/>
          <w:szCs w:val="20"/>
          <w:lang w:val="en-US"/>
        </w:rPr>
        <w:t xml:space="preserve"> </w:t>
      </w:r>
      <w:r w:rsidRPr="00CC562A">
        <w:rPr>
          <w:rFonts w:ascii="Cambria" w:hAnsi="Cambria"/>
          <w:color w:val="000000"/>
          <w:sz w:val="20"/>
          <w:szCs w:val="20"/>
          <w:lang w:val="en-US"/>
        </w:rPr>
        <w:t xml:space="preserve">were participating as legal representative and forensic expert, respectively, for the victims in the </w:t>
      </w:r>
      <w:r w:rsidR="0087347F" w:rsidRPr="00CC562A">
        <w:rPr>
          <w:rFonts w:ascii="Cambria" w:hAnsi="Cambria"/>
          <w:color w:val="000000"/>
          <w:sz w:val="20"/>
          <w:szCs w:val="20"/>
          <w:lang w:val="en-US"/>
        </w:rPr>
        <w:t xml:space="preserve">Clandestine </w:t>
      </w:r>
      <w:r w:rsidRPr="00CC562A">
        <w:rPr>
          <w:rFonts w:ascii="Cambria" w:hAnsi="Cambria"/>
          <w:color w:val="000000"/>
          <w:sz w:val="20"/>
          <w:szCs w:val="20"/>
          <w:lang w:val="en-US"/>
        </w:rPr>
        <w:t xml:space="preserve"> Graves case and Mrs.</w:t>
      </w:r>
      <w:r w:rsidR="72970F35" w:rsidRPr="00CC562A">
        <w:rPr>
          <w:rFonts w:ascii="Cambria" w:hAnsi="Cambria"/>
          <w:color w:val="000000"/>
          <w:sz w:val="20"/>
          <w:szCs w:val="20"/>
          <w:lang w:val="en-US"/>
        </w:rPr>
        <w:t xml:space="preserve"> </w:t>
      </w:r>
      <w:proofErr w:type="spellStart"/>
      <w:r w:rsidR="72970F35" w:rsidRPr="00CC562A">
        <w:rPr>
          <w:rFonts w:ascii="Cambria" w:hAnsi="Cambria"/>
          <w:color w:val="000000"/>
          <w:sz w:val="20"/>
          <w:szCs w:val="20"/>
          <w:lang w:val="en-US"/>
        </w:rPr>
        <w:t>Turati</w:t>
      </w:r>
      <w:proofErr w:type="spellEnd"/>
      <w:r w:rsidR="72970F35" w:rsidRPr="00CC562A">
        <w:rPr>
          <w:rFonts w:ascii="Cambria" w:hAnsi="Cambria"/>
          <w:color w:val="000000"/>
          <w:sz w:val="20"/>
          <w:szCs w:val="20"/>
          <w:lang w:val="en-US"/>
        </w:rPr>
        <w:t xml:space="preserve"> </w:t>
      </w:r>
      <w:r w:rsidRPr="00CC562A">
        <w:rPr>
          <w:rFonts w:ascii="Cambria" w:hAnsi="Cambria"/>
          <w:color w:val="000000"/>
          <w:sz w:val="20"/>
          <w:szCs w:val="20"/>
          <w:lang w:val="en-US"/>
        </w:rPr>
        <w:t xml:space="preserve">provided </w:t>
      </w:r>
      <w:r w:rsidR="00931910" w:rsidRPr="00CC562A">
        <w:rPr>
          <w:rFonts w:ascii="Cambria" w:hAnsi="Cambria"/>
          <w:color w:val="000000"/>
          <w:sz w:val="20"/>
          <w:szCs w:val="20"/>
          <w:lang w:val="en-US"/>
        </w:rPr>
        <w:t>press</w:t>
      </w:r>
      <w:r w:rsidRPr="00CC562A">
        <w:rPr>
          <w:rFonts w:ascii="Cambria" w:hAnsi="Cambria"/>
          <w:color w:val="000000"/>
          <w:sz w:val="20"/>
          <w:szCs w:val="20"/>
          <w:lang w:val="en-US"/>
        </w:rPr>
        <w:t xml:space="preserve"> coverage in the case.</w:t>
      </w:r>
      <w:r w:rsidR="006A3ECA" w:rsidRPr="00CC562A">
        <w:rPr>
          <w:rStyle w:val="FootnoteReference"/>
          <w:rFonts w:ascii="Cambria" w:hAnsi="Cambria"/>
          <w:color w:val="000000"/>
          <w:sz w:val="20"/>
          <w:szCs w:val="20"/>
          <w:lang w:val="en-US"/>
        </w:rPr>
        <w:footnoteReference w:id="303"/>
      </w:r>
      <w:r w:rsidR="72970F35" w:rsidRPr="00CC562A">
        <w:rPr>
          <w:rFonts w:ascii="Cambria" w:hAnsi="Cambria"/>
          <w:color w:val="000000"/>
          <w:sz w:val="20"/>
          <w:szCs w:val="20"/>
          <w:lang w:val="en-US"/>
        </w:rPr>
        <w:t xml:space="preserve"> </w:t>
      </w:r>
      <w:r w:rsidR="00752FED" w:rsidRPr="00CC562A">
        <w:rPr>
          <w:rFonts w:ascii="Cambria" w:hAnsi="Cambria"/>
          <w:color w:val="000000"/>
          <w:sz w:val="20"/>
          <w:szCs w:val="20"/>
          <w:lang w:val="en-US"/>
        </w:rPr>
        <w:t>The State</w:t>
      </w:r>
      <w:r w:rsidR="72970F35" w:rsidRPr="00CC562A">
        <w:rPr>
          <w:rFonts w:ascii="Cambria" w:hAnsi="Cambria"/>
          <w:color w:val="000000"/>
          <w:sz w:val="20"/>
          <w:szCs w:val="20"/>
          <w:lang w:val="en-US"/>
        </w:rPr>
        <w:t xml:space="preserve"> </w:t>
      </w:r>
      <w:r w:rsidR="00931910" w:rsidRPr="00CC562A">
        <w:rPr>
          <w:rFonts w:ascii="Cambria" w:hAnsi="Cambria"/>
          <w:color w:val="000000"/>
          <w:sz w:val="20"/>
          <w:szCs w:val="20"/>
          <w:lang w:val="en-US"/>
        </w:rPr>
        <w:t>informed the Commission that the Unit for the Investigation of Crimes against Migrants</w:t>
      </w:r>
      <w:r w:rsidR="72970F35" w:rsidRPr="00CC562A">
        <w:rPr>
          <w:rFonts w:ascii="Cambria" w:hAnsi="Cambria"/>
          <w:color w:val="000000"/>
          <w:sz w:val="20"/>
          <w:szCs w:val="20"/>
          <w:lang w:val="en-US"/>
        </w:rPr>
        <w:t xml:space="preserve"> (UIDPM), </w:t>
      </w:r>
      <w:r w:rsidR="00931910" w:rsidRPr="00CC562A">
        <w:rPr>
          <w:rFonts w:ascii="Cambria" w:hAnsi="Cambria"/>
          <w:color w:val="000000"/>
          <w:sz w:val="20"/>
          <w:szCs w:val="20"/>
          <w:lang w:val="en-US"/>
        </w:rPr>
        <w:t xml:space="preserve">attached to the FGR’s  Special Prosecutor’s Office for Human Rights, </w:t>
      </w:r>
      <w:r w:rsidR="00900ED4" w:rsidRPr="00CC562A">
        <w:rPr>
          <w:rFonts w:ascii="Cambria" w:hAnsi="Cambria"/>
          <w:color w:val="000000"/>
          <w:sz w:val="20"/>
          <w:szCs w:val="20"/>
          <w:lang w:val="en-US"/>
        </w:rPr>
        <w:t>reported that</w:t>
      </w:r>
      <w:r w:rsidR="72970F35" w:rsidRPr="00CC562A">
        <w:rPr>
          <w:rFonts w:ascii="Cambria" w:hAnsi="Cambria"/>
          <w:color w:val="000000"/>
          <w:sz w:val="20"/>
          <w:szCs w:val="20"/>
          <w:lang w:val="en-US"/>
        </w:rPr>
        <w:t xml:space="preserve"> </w:t>
      </w:r>
      <w:r w:rsidR="00931910" w:rsidRPr="00CC562A">
        <w:rPr>
          <w:rFonts w:ascii="Cambria" w:hAnsi="Cambria"/>
          <w:color w:val="000000"/>
          <w:sz w:val="20"/>
          <w:szCs w:val="20"/>
          <w:lang w:val="en-US"/>
        </w:rPr>
        <w:t>the Prosecutor’s Office for Internal Affairs initiated criminal investigation No.</w:t>
      </w:r>
      <w:r w:rsidR="72970F35" w:rsidRPr="00CC562A">
        <w:rPr>
          <w:rFonts w:ascii="Cambria" w:hAnsi="Cambria"/>
          <w:color w:val="000000"/>
          <w:sz w:val="20"/>
          <w:szCs w:val="20"/>
          <w:lang w:val="en-US"/>
        </w:rPr>
        <w:t xml:space="preserve"> </w:t>
      </w:r>
      <w:r w:rsidR="00DC5772" w:rsidRPr="00CC562A">
        <w:rPr>
          <w:rFonts w:ascii="Cambria" w:hAnsi="Cambria"/>
          <w:color w:val="000000"/>
          <w:sz w:val="20"/>
          <w:lang w:val="es-CO"/>
        </w:rPr>
        <w:t>FED/FEAI/FEAI-CDMX/0000634/2021</w:t>
      </w:r>
      <w:r w:rsidR="72970F35" w:rsidRPr="00CC562A">
        <w:rPr>
          <w:rFonts w:ascii="Cambria" w:hAnsi="Cambria"/>
          <w:color w:val="000000"/>
          <w:sz w:val="20"/>
          <w:szCs w:val="20"/>
          <w:lang w:val="en-US"/>
        </w:rPr>
        <w:t xml:space="preserve">, </w:t>
      </w:r>
      <w:r w:rsidR="00931910" w:rsidRPr="00CC562A">
        <w:rPr>
          <w:rFonts w:ascii="Cambria" w:hAnsi="Cambria"/>
          <w:color w:val="000000"/>
          <w:sz w:val="20"/>
          <w:szCs w:val="20"/>
          <w:lang w:val="en-US"/>
        </w:rPr>
        <w:t>to investigate the facts.</w:t>
      </w:r>
      <w:r w:rsidR="006A3ECA" w:rsidRPr="00CC562A">
        <w:rPr>
          <w:rStyle w:val="FootnoteReference"/>
          <w:rFonts w:ascii="Cambria" w:hAnsi="Cambria"/>
          <w:color w:val="000000"/>
          <w:sz w:val="20"/>
          <w:szCs w:val="20"/>
          <w:lang w:val="en-US"/>
        </w:rPr>
        <w:footnoteReference w:id="304"/>
      </w:r>
    </w:p>
    <w:p w14:paraId="26E4C255" w14:textId="3EA0D531" w:rsidR="004A31AF" w:rsidRPr="00CC562A" w:rsidRDefault="00276638" w:rsidP="00001918">
      <w:pPr>
        <w:numPr>
          <w:ilvl w:val="0"/>
          <w:numId w:val="2"/>
        </w:numPr>
        <w:shd w:val="clear" w:color="auto" w:fill="FFFFFF" w:themeFill="background1"/>
        <w:spacing w:before="240" w:line="240" w:lineRule="auto"/>
        <w:ind w:left="0" w:firstLine="720"/>
        <w:jc w:val="both"/>
        <w:rPr>
          <w:lang w:val="en-US"/>
        </w:rPr>
      </w:pPr>
      <w:r w:rsidRPr="00CC562A">
        <w:rPr>
          <w:rFonts w:ascii="Cambria" w:hAnsi="Cambria"/>
          <w:sz w:val="20"/>
          <w:szCs w:val="20"/>
          <w:lang w:val="en-US"/>
        </w:rPr>
        <w:t>The IACHR</w:t>
      </w:r>
      <w:r w:rsidR="285A02C9" w:rsidRPr="00CC562A">
        <w:rPr>
          <w:rFonts w:ascii="Cambria" w:hAnsi="Cambria"/>
          <w:sz w:val="20"/>
          <w:szCs w:val="20"/>
          <w:lang w:val="en-US"/>
        </w:rPr>
        <w:t xml:space="preserve"> </w:t>
      </w:r>
      <w:r w:rsidR="0087347F" w:rsidRPr="00CC562A">
        <w:rPr>
          <w:rFonts w:ascii="Cambria" w:hAnsi="Cambria"/>
          <w:sz w:val="20"/>
          <w:szCs w:val="20"/>
          <w:lang w:val="en-US"/>
        </w:rPr>
        <w:t>appreciates that the State is in the process of restructuring its Mechanism. Nonetheless, the persistence of acts of violence against human rights defenders, as well as high levels of impunity with respect to these crimes, continues to be serious in Mexico, indicating the need for additional compliance measures. Based on the foregoing, the status of the recommendation is one of</w:t>
      </w:r>
      <w:r w:rsidR="344A3655" w:rsidRPr="00CC562A">
        <w:rPr>
          <w:rFonts w:ascii="Cambria" w:hAnsi="Cambria"/>
          <w:b/>
          <w:bCs/>
          <w:sz w:val="20"/>
          <w:szCs w:val="20"/>
          <w:lang w:val="en-US"/>
        </w:rPr>
        <w:t xml:space="preserve"> par</w:t>
      </w:r>
      <w:r w:rsidR="0087347F" w:rsidRPr="00CC562A">
        <w:rPr>
          <w:rFonts w:ascii="Cambria" w:hAnsi="Cambria"/>
          <w:b/>
          <w:bCs/>
          <w:sz w:val="20"/>
          <w:szCs w:val="20"/>
          <w:lang w:val="en-US"/>
        </w:rPr>
        <w:t>tial compliance</w:t>
      </w:r>
      <w:r w:rsidR="344A3655" w:rsidRPr="00CC562A">
        <w:rPr>
          <w:rFonts w:ascii="Cambria" w:hAnsi="Cambria"/>
          <w:sz w:val="20"/>
          <w:szCs w:val="20"/>
          <w:lang w:val="en-US"/>
        </w:rPr>
        <w:t>.</w:t>
      </w:r>
    </w:p>
    <w:p w14:paraId="04ACB67F" w14:textId="59C79C11" w:rsidR="003F2C1B" w:rsidRPr="00CC562A" w:rsidRDefault="0087347F"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To guide the implementation of this recommendation, the Commission sees fit to ask the State to adopt measures ensuring that the mechanism for the protection of human rights defenders has the material and human resources needed to guarantee the exercise of </w:t>
      </w:r>
      <w:r w:rsidR="001478F9" w:rsidRPr="00CC562A">
        <w:rPr>
          <w:rFonts w:ascii="Cambria" w:hAnsi="Cambria"/>
          <w:sz w:val="20"/>
          <w:szCs w:val="20"/>
          <w:lang w:val="en-US"/>
        </w:rPr>
        <w:t>its</w:t>
      </w:r>
      <w:r w:rsidRPr="00CC562A">
        <w:rPr>
          <w:rFonts w:ascii="Cambria" w:hAnsi="Cambria"/>
          <w:sz w:val="20"/>
          <w:szCs w:val="20"/>
          <w:lang w:val="en-US"/>
        </w:rPr>
        <w:t xml:space="preserve"> functions. It also suggests the adoption of a solid legal framework to support its operations.</w:t>
      </w:r>
      <w:r w:rsidR="62C78A3F" w:rsidRPr="00CC562A">
        <w:rPr>
          <w:rFonts w:ascii="Cambria" w:hAnsi="Cambria"/>
          <w:sz w:val="20"/>
          <w:szCs w:val="20"/>
          <w:lang w:val="en-US"/>
        </w:rPr>
        <w:t xml:space="preserve"> </w:t>
      </w:r>
    </w:p>
    <w:p w14:paraId="24F142BD" w14:textId="7EF7DAA3" w:rsidR="008A4D49" w:rsidRPr="00CC562A" w:rsidRDefault="0087347F" w:rsidP="002F39B3">
      <w:pPr>
        <w:pStyle w:val="Heading3"/>
        <w:numPr>
          <w:ilvl w:val="0"/>
          <w:numId w:val="5"/>
        </w:numPr>
        <w:spacing w:before="240" w:after="200" w:line="240" w:lineRule="auto"/>
        <w:ind w:left="1440" w:hanging="720"/>
        <w:rPr>
          <w:b w:val="0"/>
          <w:bCs w:val="0"/>
          <w:sz w:val="20"/>
          <w:szCs w:val="20"/>
          <w:lang w:val="en-US"/>
        </w:rPr>
      </w:pPr>
      <w:r w:rsidRPr="00CC562A">
        <w:rPr>
          <w:sz w:val="20"/>
          <w:szCs w:val="20"/>
          <w:lang w:val="en-US"/>
        </w:rPr>
        <w:t>Freedom of Expression</w:t>
      </w:r>
      <w:r w:rsidR="008A4D49" w:rsidRPr="00CC562A">
        <w:rPr>
          <w:b w:val="0"/>
          <w:bCs w:val="0"/>
          <w:sz w:val="20"/>
          <w:szCs w:val="20"/>
          <w:vertAlign w:val="superscript"/>
          <w:lang w:val="en-US"/>
        </w:rPr>
        <w:footnoteReference w:id="305"/>
      </w:r>
    </w:p>
    <w:p w14:paraId="15E6B9CE" w14:textId="6E7DA30E" w:rsidR="00C83114" w:rsidRPr="00CC562A" w:rsidRDefault="000D0C2F"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eastAsia="Cambria" w:hAnsi="Cambria" w:cs="Cambria"/>
          <w:sz w:val="20"/>
          <w:szCs w:val="20"/>
          <w:lang w:val="en-US"/>
        </w:rPr>
        <w:t>Acknowledge, at the highest levels of the State, the legitimacy and value of journalistic work and condemn acts of aggression committed in retaliation for the exercise of freedom of expression</w:t>
      </w:r>
      <w:r w:rsidR="008A4D49" w:rsidRPr="00CC562A">
        <w:rPr>
          <w:rFonts w:ascii="Cambria" w:eastAsia="Cambria" w:hAnsi="Cambria" w:cs="Cambria"/>
          <w:sz w:val="20"/>
          <w:szCs w:val="20"/>
          <w:lang w:val="en-US"/>
        </w:rPr>
        <w:t xml:space="preserve">. </w:t>
      </w:r>
    </w:p>
    <w:p w14:paraId="4DC2CF2C" w14:textId="0D6C95E7" w:rsidR="00C83114" w:rsidRPr="00CC562A" w:rsidRDefault="00C83114"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Defin</w:t>
      </w:r>
      <w:r w:rsidR="000D0C2F" w:rsidRPr="00CC562A">
        <w:rPr>
          <w:rFonts w:ascii="Cambria" w:hAnsi="Cambria"/>
          <w:sz w:val="20"/>
          <w:szCs w:val="20"/>
          <w:lang w:val="en-US"/>
        </w:rPr>
        <w:t xml:space="preserve">e a single methodology to generate and publish detailed and disaggregated </w:t>
      </w:r>
      <w:r w:rsidR="00DE6C78" w:rsidRPr="00CC562A">
        <w:rPr>
          <w:rFonts w:ascii="Cambria" w:hAnsi="Cambria"/>
          <w:sz w:val="20"/>
          <w:szCs w:val="20"/>
          <w:lang w:val="en-US"/>
        </w:rPr>
        <w:t>statistics on violence against journalists and investigations of attacks, as well as on the protection measures adopted. Establish a state authority in charge of capturing the information and publishing the statistics and informing the different stakeholders about any challenges</w:t>
      </w:r>
      <w:r w:rsidRPr="00CC562A">
        <w:rPr>
          <w:rFonts w:ascii="Cambria" w:hAnsi="Cambria"/>
          <w:sz w:val="20"/>
          <w:szCs w:val="20"/>
          <w:lang w:val="en-US"/>
        </w:rPr>
        <w:t xml:space="preserve"> </w:t>
      </w:r>
      <w:r w:rsidR="00DE6C78" w:rsidRPr="00CC562A">
        <w:rPr>
          <w:rFonts w:ascii="Cambria" w:hAnsi="Cambria"/>
          <w:sz w:val="20"/>
          <w:szCs w:val="20"/>
          <w:lang w:val="en-US"/>
        </w:rPr>
        <w:t>that arise in applying this methodology</w:t>
      </w:r>
      <w:r w:rsidRPr="00CC562A">
        <w:rPr>
          <w:rFonts w:ascii="Cambria" w:hAnsi="Cambria"/>
          <w:sz w:val="20"/>
          <w:szCs w:val="20"/>
          <w:lang w:val="en-US"/>
        </w:rPr>
        <w:t xml:space="preserve">. </w:t>
      </w:r>
    </w:p>
    <w:p w14:paraId="641D4981" w14:textId="2D5C87AF" w:rsidR="00C83114" w:rsidRPr="00CC562A" w:rsidRDefault="00C83114"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Remove</w:t>
      </w:r>
      <w:r w:rsidR="00DE6C78" w:rsidRPr="00CC562A">
        <w:rPr>
          <w:rFonts w:ascii="Cambria" w:hAnsi="Cambria"/>
          <w:sz w:val="20"/>
          <w:szCs w:val="20"/>
          <w:lang w:val="en-US"/>
        </w:rPr>
        <w:t xml:space="preserve"> all obstacles so that in practice the Special Prosecutor’s Office for Addressing Crimes against Freedom of Expression can undertake the investigation of crimes committed against journalists and against freedom of expression. Exercise effective federal jurisdiction over the </w:t>
      </w:r>
      <w:r w:rsidR="00DE6C78" w:rsidRPr="00CC562A">
        <w:rPr>
          <w:rFonts w:ascii="Cambria" w:hAnsi="Cambria"/>
          <w:sz w:val="20"/>
          <w:szCs w:val="20"/>
          <w:lang w:val="en-US"/>
        </w:rPr>
        <w:lastRenderedPageBreak/>
        <w:t>crimes</w:t>
      </w:r>
      <w:r w:rsidRPr="00CC562A">
        <w:rPr>
          <w:rFonts w:ascii="Cambria" w:hAnsi="Cambria"/>
          <w:sz w:val="20"/>
          <w:szCs w:val="20"/>
          <w:lang w:val="en-US"/>
        </w:rPr>
        <w:t xml:space="preserve"> </w:t>
      </w:r>
      <w:r w:rsidR="00DE6C78" w:rsidRPr="00CC562A">
        <w:rPr>
          <w:rFonts w:ascii="Cambria" w:hAnsi="Cambria"/>
          <w:sz w:val="20"/>
          <w:szCs w:val="20"/>
          <w:lang w:val="en-US"/>
        </w:rPr>
        <w:t>within its sphere of competence and guarantee that serious violations of freedom of expression are always investigated by the Prosecutor’s Office</w:t>
      </w:r>
      <w:r w:rsidRPr="00CC562A">
        <w:rPr>
          <w:rFonts w:ascii="Cambria" w:hAnsi="Cambria"/>
          <w:sz w:val="20"/>
          <w:szCs w:val="20"/>
          <w:lang w:val="en-US"/>
        </w:rPr>
        <w:t xml:space="preserve">. </w:t>
      </w:r>
    </w:p>
    <w:p w14:paraId="2298AF52" w14:textId="0051A3C7" w:rsidR="00C83114" w:rsidRPr="00CC562A" w:rsidRDefault="00DE6C78"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Maintain the FEADLE as a specialized prosecutor’s office and provide it with sufficient financial and human resources to carry out its work</w:t>
      </w:r>
      <w:r w:rsidR="00C83114" w:rsidRPr="00CC562A">
        <w:rPr>
          <w:rFonts w:ascii="Cambria" w:hAnsi="Cambria"/>
          <w:sz w:val="20"/>
          <w:szCs w:val="20"/>
          <w:lang w:val="en-US"/>
        </w:rPr>
        <w:t xml:space="preserve">. </w:t>
      </w:r>
    </w:p>
    <w:p w14:paraId="2E785B0A" w14:textId="61CD6024" w:rsidR="00C83114" w:rsidRPr="00CC562A" w:rsidRDefault="00C83114"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Adopt</w:t>
      </w:r>
      <w:r w:rsidR="00DE6C78" w:rsidRPr="00CC562A">
        <w:rPr>
          <w:rFonts w:ascii="Cambria" w:hAnsi="Cambria"/>
          <w:sz w:val="20"/>
          <w:szCs w:val="20"/>
          <w:lang w:val="en-US"/>
        </w:rPr>
        <w:t xml:space="preserve"> special investigation protocols to fully and sufficiently discard or confirm the hypothesis of a relationship between the homicide or aggression and the journalistic profession</w:t>
      </w:r>
      <w:r w:rsidRPr="00CC562A">
        <w:rPr>
          <w:rFonts w:ascii="Cambria" w:hAnsi="Cambria"/>
          <w:sz w:val="20"/>
          <w:szCs w:val="20"/>
          <w:lang w:val="en-US"/>
        </w:rPr>
        <w:t xml:space="preserve">. </w:t>
      </w:r>
    </w:p>
    <w:p w14:paraId="440E3D22" w14:textId="747AD3BA" w:rsidR="00C83114" w:rsidRPr="00CC562A" w:rsidRDefault="00DE6C78"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 xml:space="preserve">Improve the relationship between the federal and state jurisdiction </w:t>
      </w: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prevent conflicts of jurisdiction from hindering or delaying investigations</w:t>
      </w:r>
      <w:r w:rsidR="00C83114" w:rsidRPr="00CC562A">
        <w:rPr>
          <w:rFonts w:ascii="Cambria" w:hAnsi="Cambria"/>
          <w:sz w:val="20"/>
          <w:szCs w:val="20"/>
          <w:lang w:val="en-US"/>
        </w:rPr>
        <w:t xml:space="preserve">. </w:t>
      </w:r>
    </w:p>
    <w:p w14:paraId="3D62F694" w14:textId="65F2553E" w:rsidR="008A4D49" w:rsidRPr="00806D50" w:rsidRDefault="00DE6C78" w:rsidP="00001918">
      <w:pPr>
        <w:numPr>
          <w:ilvl w:val="0"/>
          <w:numId w:val="17"/>
        </w:numPr>
        <w:pBdr>
          <w:top w:val="nil"/>
          <w:left w:val="nil"/>
          <w:bottom w:val="nil"/>
          <w:right w:val="nil"/>
          <w:between w:val="nil"/>
        </w:pBdr>
        <w:shd w:val="clear" w:color="auto" w:fill="D9D9D9" w:themeFill="background1" w:themeFillShade="D9"/>
        <w:spacing w:before="240" w:line="240" w:lineRule="auto"/>
        <w:ind w:hanging="720"/>
        <w:jc w:val="both"/>
        <w:rPr>
          <w:rFonts w:ascii="Cambria" w:hAnsi="Cambria"/>
          <w:lang w:val="en-US"/>
        </w:rPr>
      </w:pPr>
      <w:r w:rsidRPr="00CC562A">
        <w:rPr>
          <w:rFonts w:ascii="Cambria" w:hAnsi="Cambria"/>
          <w:sz w:val="20"/>
          <w:szCs w:val="20"/>
          <w:lang w:val="en-US"/>
        </w:rPr>
        <w:t>Allow victims, their families and, where appropriate, third parties to participate in criminal proceedings with full guarantees, both in the search for the truth and clarification of the facts, as well as when demanding reparation</w:t>
      </w:r>
      <w:r w:rsidR="00C83114" w:rsidRPr="00CC562A">
        <w:rPr>
          <w:rFonts w:ascii="Cambria" w:hAnsi="Cambria"/>
          <w:sz w:val="20"/>
          <w:szCs w:val="20"/>
          <w:lang w:val="en-US"/>
        </w:rPr>
        <w:t xml:space="preserve">. </w:t>
      </w:r>
    </w:p>
    <w:p w14:paraId="6464D4FB" w14:textId="421F0CBA" w:rsidR="00812ED2" w:rsidRPr="00CC562A" w:rsidRDefault="007D3CA0"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On </w:t>
      </w:r>
      <w:r w:rsidR="49B170D1" w:rsidRPr="00CC562A">
        <w:rPr>
          <w:rFonts w:ascii="Cambria" w:eastAsia="Cambria" w:hAnsi="Cambria" w:cs="Cambria"/>
          <w:b/>
          <w:bCs/>
          <w:sz w:val="20"/>
          <w:szCs w:val="20"/>
          <w:lang w:val="en-US"/>
        </w:rPr>
        <w:t>reco</w:t>
      </w:r>
      <w:r w:rsidRPr="00CC562A">
        <w:rPr>
          <w:rFonts w:ascii="Cambria" w:eastAsia="Cambria" w:hAnsi="Cambria" w:cs="Cambria"/>
          <w:b/>
          <w:bCs/>
          <w:sz w:val="20"/>
          <w:szCs w:val="20"/>
          <w:lang w:val="en-US"/>
        </w:rPr>
        <w:t>gnizing, at the highest levels of the State, the legitimacy and value of journalistic work, and condemning attacks committed in retaliation</w:t>
      </w:r>
      <w:r w:rsidR="49B170D1" w:rsidRPr="00CC562A">
        <w:rPr>
          <w:rFonts w:ascii="Cambria" w:eastAsia="Cambria" w:hAnsi="Cambria" w:cs="Cambria"/>
          <w:b/>
          <w:bCs/>
          <w:sz w:val="20"/>
          <w:szCs w:val="20"/>
          <w:lang w:val="en-US"/>
        </w:rPr>
        <w:t xml:space="preserve"> </w:t>
      </w:r>
      <w:r w:rsidRPr="00CC562A">
        <w:rPr>
          <w:rFonts w:ascii="Cambria" w:eastAsia="Cambria" w:hAnsi="Cambria" w:cs="Cambria"/>
          <w:b/>
          <w:bCs/>
          <w:sz w:val="20"/>
          <w:szCs w:val="20"/>
          <w:lang w:val="en-US"/>
        </w:rPr>
        <w:t>for the exercise of freedom of expression</w:t>
      </w:r>
      <w:r w:rsidR="49B170D1" w:rsidRPr="00CC562A">
        <w:rPr>
          <w:rFonts w:ascii="Cambria" w:eastAsia="Cambria" w:hAnsi="Cambria" w:cs="Cambria"/>
          <w:b/>
          <w:bCs/>
          <w:sz w:val="20"/>
          <w:szCs w:val="20"/>
          <w:lang w:val="en-US"/>
        </w:rPr>
        <w:t xml:space="preserve">, </w:t>
      </w:r>
      <w:r w:rsidR="00752FED" w:rsidRPr="00CC562A">
        <w:rPr>
          <w:rFonts w:ascii="Cambria" w:eastAsia="Cambria" w:hAnsi="Cambria" w:cs="Cambria"/>
          <w:sz w:val="20"/>
          <w:szCs w:val="20"/>
          <w:lang w:val="en-US"/>
        </w:rPr>
        <w:t>the State</w:t>
      </w:r>
      <w:r w:rsidR="2A3B582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reported that it continues its commitment to strengthen and continue to adopt measures necessary to guarantee the work of human rights defenders and journalists in areas free of attack. In </w:t>
      </w:r>
      <w:r w:rsidR="00D77397" w:rsidRPr="00CC562A">
        <w:rPr>
          <w:rFonts w:ascii="Cambria" w:eastAsia="Cambria" w:hAnsi="Cambria" w:cs="Cambria"/>
          <w:sz w:val="20"/>
          <w:szCs w:val="20"/>
          <w:lang w:val="en-US"/>
        </w:rPr>
        <w:t>these senses</w:t>
      </w:r>
      <w:r w:rsidRPr="00CC562A">
        <w:rPr>
          <w:rFonts w:ascii="Cambria" w:eastAsia="Cambria" w:hAnsi="Cambria" w:cs="Cambria"/>
          <w:sz w:val="20"/>
          <w:szCs w:val="20"/>
          <w:lang w:val="en-US"/>
        </w:rPr>
        <w:t>, as part of the actions implemented, they indicated that the</w:t>
      </w:r>
      <w:r w:rsidR="2A3B582B" w:rsidRPr="00CC562A">
        <w:rPr>
          <w:rFonts w:ascii="Cambria" w:eastAsia="Cambria" w:hAnsi="Cambria" w:cs="Cambria"/>
          <w:sz w:val="20"/>
          <w:szCs w:val="20"/>
          <w:lang w:val="en-US"/>
        </w:rPr>
        <w:t xml:space="preserve"> </w:t>
      </w:r>
      <w:r w:rsidR="601F96B9" w:rsidRPr="00CC562A">
        <w:rPr>
          <w:rFonts w:ascii="Cambria" w:eastAsia="Cambria" w:hAnsi="Cambria" w:cs="Cambria"/>
          <w:sz w:val="20"/>
          <w:szCs w:val="20"/>
          <w:lang w:val="en-US"/>
        </w:rPr>
        <w:t xml:space="preserve">SEGOB </w:t>
      </w:r>
      <w:r w:rsidRPr="00CC562A">
        <w:rPr>
          <w:rFonts w:ascii="Cambria" w:eastAsia="Cambria" w:hAnsi="Cambria" w:cs="Cambria"/>
          <w:sz w:val="20"/>
          <w:szCs w:val="20"/>
          <w:lang w:val="en-US"/>
        </w:rPr>
        <w:t>along with the Office of the President of the Republic, is working on a campaign to acknowledge the work of human rights defenders and journalis</w:t>
      </w:r>
      <w:r w:rsidR="001478F9" w:rsidRPr="00CC562A">
        <w:rPr>
          <w:rFonts w:ascii="Cambria" w:eastAsia="Cambria" w:hAnsi="Cambria" w:cs="Cambria"/>
          <w:sz w:val="20"/>
          <w:szCs w:val="20"/>
          <w:lang w:val="en-US"/>
        </w:rPr>
        <w:t>ts</w:t>
      </w:r>
      <w:r w:rsidRPr="00CC562A">
        <w:rPr>
          <w:rFonts w:ascii="Cambria" w:eastAsia="Cambria" w:hAnsi="Cambria" w:cs="Cambria"/>
          <w:sz w:val="20"/>
          <w:szCs w:val="20"/>
          <w:lang w:val="en-US"/>
        </w:rPr>
        <w:t xml:space="preserve">. </w:t>
      </w:r>
      <w:r w:rsidR="601F96B9"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Pr="00CC562A">
        <w:rPr>
          <w:rFonts w:ascii="Cambria" w:eastAsia="Cambria" w:hAnsi="Cambria" w:cs="Cambria"/>
          <w:sz w:val="20"/>
          <w:szCs w:val="20"/>
          <w:lang w:val="en-US"/>
        </w:rPr>
        <w:t xml:space="preserve"> the Office of the Attorney General of the Republic has a Special Prosecutor’s Office for Addressing Crimes Committed against Freedom of Expression</w:t>
      </w:r>
      <w:r w:rsidR="2A3B582B" w:rsidRPr="00CC562A">
        <w:rPr>
          <w:rFonts w:ascii="Cambria" w:eastAsia="Cambria" w:hAnsi="Cambria" w:cs="Cambria"/>
          <w:sz w:val="20"/>
          <w:szCs w:val="20"/>
          <w:lang w:val="en-US"/>
        </w:rPr>
        <w:t>.</w:t>
      </w:r>
    </w:p>
    <w:p w14:paraId="724763B0" w14:textId="7C998BD0" w:rsidR="007A178A" w:rsidRPr="00CC562A" w:rsidRDefault="004C1854"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State also reported that the </w:t>
      </w:r>
      <w:r w:rsidR="00804DFB" w:rsidRPr="00CC562A">
        <w:rPr>
          <w:rFonts w:ascii="Cambria" w:eastAsia="Cambria" w:hAnsi="Cambria" w:cs="Cambria"/>
          <w:sz w:val="20"/>
          <w:szCs w:val="20"/>
          <w:lang w:val="en-US"/>
        </w:rPr>
        <w:t>Notebook on</w:t>
      </w:r>
      <w:r w:rsidRPr="00CC562A">
        <w:rPr>
          <w:rFonts w:ascii="Cambria" w:eastAsia="Cambria" w:hAnsi="Cambria" w:cs="Cambria"/>
          <w:sz w:val="20"/>
          <w:szCs w:val="20"/>
          <w:lang w:val="en-US"/>
        </w:rPr>
        <w:t xml:space="preserve"> Jurisprudence on Freedom of Expression and Journalism was published in July 2020; its purpose is to allow legal operators, defenders, and academics studying human rights, as well as law students</w:t>
      </w:r>
      <w:r w:rsidR="001478F9"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to consult the most relevant decisions of the </w:t>
      </w:r>
      <w:r w:rsidR="601F96B9" w:rsidRPr="00CC562A">
        <w:rPr>
          <w:rFonts w:ascii="Cambria" w:eastAsia="Cambria" w:hAnsi="Cambria" w:cs="Cambria"/>
          <w:sz w:val="20"/>
          <w:szCs w:val="20"/>
          <w:lang w:val="en-US"/>
        </w:rPr>
        <w:t xml:space="preserve">SCJN </w:t>
      </w:r>
      <w:r w:rsidRPr="00CC562A">
        <w:rPr>
          <w:rFonts w:ascii="Cambria" w:eastAsia="Cambria" w:hAnsi="Cambria" w:cs="Cambria"/>
          <w:sz w:val="20"/>
          <w:szCs w:val="20"/>
          <w:lang w:val="en-US"/>
        </w:rPr>
        <w:t xml:space="preserve">on </w:t>
      </w:r>
      <w:r w:rsidR="00D77397" w:rsidRPr="00CC562A">
        <w:rPr>
          <w:rFonts w:ascii="Cambria" w:eastAsia="Cambria" w:hAnsi="Cambria" w:cs="Cambria"/>
          <w:sz w:val="20"/>
          <w:szCs w:val="20"/>
          <w:lang w:val="en-US"/>
        </w:rPr>
        <w:t>various topics</w:t>
      </w:r>
      <w:r w:rsidRPr="00CC562A">
        <w:rPr>
          <w:rFonts w:ascii="Cambria" w:eastAsia="Cambria" w:hAnsi="Cambria" w:cs="Cambria"/>
          <w:sz w:val="20"/>
          <w:szCs w:val="20"/>
          <w:lang w:val="en-US"/>
        </w:rPr>
        <w:t>, presenting the facts in the case and the standard upheld</w:t>
      </w:r>
      <w:r w:rsidR="601F96B9" w:rsidRPr="00CC562A">
        <w:rPr>
          <w:rFonts w:ascii="Cambria" w:eastAsia="Cambria" w:hAnsi="Cambria" w:cs="Cambria"/>
          <w:sz w:val="20"/>
          <w:szCs w:val="20"/>
          <w:lang w:val="en-US"/>
        </w:rPr>
        <w:t>.</w:t>
      </w:r>
      <w:r w:rsidR="2A3B582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On these matters, the State emphasized Amparo on review </w:t>
      </w:r>
      <w:r w:rsidR="601F96B9" w:rsidRPr="00CC562A">
        <w:rPr>
          <w:rFonts w:ascii="Cambria" w:eastAsia="Cambria" w:hAnsi="Cambria" w:cs="Cambria"/>
          <w:sz w:val="20"/>
          <w:szCs w:val="20"/>
          <w:lang w:val="en-US"/>
        </w:rPr>
        <w:t xml:space="preserve">492/2014, </w:t>
      </w:r>
      <w:r w:rsidRPr="00CC562A">
        <w:rPr>
          <w:rFonts w:ascii="Cambria" w:eastAsia="Cambria" w:hAnsi="Cambria" w:cs="Cambria"/>
          <w:sz w:val="20"/>
          <w:szCs w:val="20"/>
          <w:lang w:val="en-US"/>
        </w:rPr>
        <w:t xml:space="preserve">in which the </w:t>
      </w:r>
      <w:r w:rsidR="601F96B9" w:rsidRPr="00CC562A">
        <w:rPr>
          <w:rFonts w:ascii="Cambria" w:eastAsia="Cambria" w:hAnsi="Cambria" w:cs="Cambria"/>
          <w:sz w:val="20"/>
          <w:szCs w:val="20"/>
          <w:lang w:val="en-US"/>
        </w:rPr>
        <w:t xml:space="preserve">SCJN </w:t>
      </w:r>
      <w:r w:rsidRPr="00CC562A">
        <w:rPr>
          <w:rFonts w:ascii="Cambria" w:eastAsia="Cambria" w:hAnsi="Cambria" w:cs="Cambria"/>
          <w:sz w:val="20"/>
          <w:szCs w:val="20"/>
          <w:lang w:val="en-US"/>
        </w:rPr>
        <w:t xml:space="preserve">indicated that due to the importance of freedom of expression in a democratic society and the </w:t>
      </w:r>
      <w:r w:rsidR="00804DFB" w:rsidRPr="00CC562A">
        <w:rPr>
          <w:rFonts w:ascii="Cambria" w:eastAsia="Cambria" w:hAnsi="Cambria" w:cs="Cambria"/>
          <w:sz w:val="20"/>
          <w:szCs w:val="20"/>
          <w:lang w:val="en-US"/>
        </w:rPr>
        <w:t>high level of responsibility this entails for those work</w:t>
      </w:r>
      <w:r w:rsidR="001478F9" w:rsidRPr="00CC562A">
        <w:rPr>
          <w:rFonts w:ascii="Cambria" w:eastAsia="Cambria" w:hAnsi="Cambria" w:cs="Cambria"/>
          <w:sz w:val="20"/>
          <w:szCs w:val="20"/>
          <w:lang w:val="en-US"/>
        </w:rPr>
        <w:t>ing</w:t>
      </w:r>
      <w:r w:rsidR="00804DFB" w:rsidRPr="00CC562A">
        <w:rPr>
          <w:rFonts w:ascii="Cambria" w:eastAsia="Cambria" w:hAnsi="Cambria" w:cs="Cambria"/>
          <w:sz w:val="20"/>
          <w:szCs w:val="20"/>
          <w:lang w:val="en-US"/>
        </w:rPr>
        <w:t xml:space="preserve"> professionally in social communication, the</w:t>
      </w:r>
      <w:r w:rsidR="00752FED" w:rsidRPr="00CC562A">
        <w:rPr>
          <w:rFonts w:ascii="Cambria" w:eastAsia="Cambria" w:hAnsi="Cambria" w:cs="Cambria"/>
          <w:sz w:val="20"/>
          <w:szCs w:val="20"/>
          <w:lang w:val="en-US"/>
        </w:rPr>
        <w:t xml:space="preserve"> State</w:t>
      </w:r>
      <w:r w:rsidR="601F96B9" w:rsidRPr="00CC562A">
        <w:rPr>
          <w:rFonts w:ascii="Cambria" w:eastAsia="Cambria" w:hAnsi="Cambria" w:cs="Cambria"/>
          <w:sz w:val="20"/>
          <w:szCs w:val="20"/>
          <w:lang w:val="en-US"/>
        </w:rPr>
        <w:t xml:space="preserve"> </w:t>
      </w:r>
      <w:r w:rsidR="00804DFB" w:rsidRPr="00CC562A">
        <w:rPr>
          <w:rFonts w:ascii="Cambria" w:eastAsia="Cambria" w:hAnsi="Cambria" w:cs="Cambria"/>
          <w:sz w:val="20"/>
          <w:szCs w:val="20"/>
          <w:lang w:val="en-US"/>
        </w:rPr>
        <w:t>must minimize restrictions on the circulation of information.</w:t>
      </w:r>
      <w:r w:rsidR="001C268F" w:rsidRPr="00CC562A">
        <w:rPr>
          <w:rStyle w:val="FootnoteReference"/>
          <w:rFonts w:ascii="Cambria" w:eastAsia="Cambria" w:hAnsi="Cambria" w:cs="Cambria"/>
          <w:sz w:val="20"/>
          <w:szCs w:val="20"/>
          <w:lang w:val="en-US"/>
        </w:rPr>
        <w:footnoteReference w:id="306"/>
      </w:r>
      <w:r w:rsidR="601F96B9" w:rsidRPr="00CC562A">
        <w:rPr>
          <w:rFonts w:ascii="Cambria" w:eastAsia="Cambria" w:hAnsi="Cambria" w:cs="Cambria"/>
          <w:sz w:val="20"/>
          <w:szCs w:val="20"/>
          <w:lang w:val="en-US"/>
        </w:rPr>
        <w:t xml:space="preserve"> </w:t>
      </w:r>
    </w:p>
    <w:p w14:paraId="29959C01" w14:textId="66708B9D" w:rsidR="00DC5772" w:rsidRPr="00CC562A" w:rsidRDefault="004A2297" w:rsidP="00DC5772">
      <w:pPr>
        <w:numPr>
          <w:ilvl w:val="0"/>
          <w:numId w:val="2"/>
        </w:numPr>
        <w:shd w:val="clear" w:color="auto" w:fill="FFFFFF" w:themeFill="background1"/>
        <w:spacing w:before="240" w:line="240" w:lineRule="auto"/>
        <w:ind w:left="0" w:firstLine="720"/>
        <w:jc w:val="both"/>
        <w:rPr>
          <w:rFonts w:ascii="Cambria" w:hAnsi="Cambria"/>
          <w:sz w:val="20"/>
          <w:lang w:val="en-US"/>
        </w:rPr>
      </w:pPr>
      <w:r w:rsidRPr="00CC562A">
        <w:rPr>
          <w:rFonts w:ascii="Cambria" w:hAnsi="Cambria"/>
          <w:sz w:val="20"/>
          <w:lang w:val="en-US"/>
        </w:rPr>
        <w:t>In turn, the</w:t>
      </w:r>
      <w:r w:rsidR="00DC5772" w:rsidRPr="00CC562A">
        <w:rPr>
          <w:rFonts w:ascii="Cambria" w:hAnsi="Cambria"/>
          <w:sz w:val="20"/>
          <w:lang w:val="en-US"/>
        </w:rPr>
        <w:t xml:space="preserve"> INAI </w:t>
      </w:r>
      <w:r w:rsidRPr="00CC562A">
        <w:rPr>
          <w:rFonts w:ascii="Cambria" w:hAnsi="Cambria"/>
          <w:sz w:val="20"/>
          <w:lang w:val="en-US"/>
        </w:rPr>
        <w:t xml:space="preserve">reported that initiatives such as the National Journalism Competition or the book “Investigative Journalism in the Local Context” have been initiated with the objective of encouraging the participation and collaboration of various sectors of society, particularly journalists, academics, researchers, and the student community </w:t>
      </w:r>
      <w:r w:rsidR="00390F03" w:rsidRPr="00CC562A">
        <w:rPr>
          <w:rFonts w:ascii="Cambria" w:hAnsi="Cambria"/>
          <w:sz w:val="20"/>
          <w:lang w:val="en-US"/>
        </w:rPr>
        <w:t>in</w:t>
      </w:r>
      <w:r w:rsidRPr="00CC562A">
        <w:rPr>
          <w:rFonts w:ascii="Cambria" w:hAnsi="Cambria"/>
          <w:sz w:val="20"/>
          <w:lang w:val="en-US"/>
        </w:rPr>
        <w:t xml:space="preserve"> the development of journalistic works. This was in addition to the 2021 Pilot Program in Support of Investigative Journalism that benefits ten journalism projects and the development of forums and training on the subject such as the International “Transparency and Journalism” Forum of March</w:t>
      </w:r>
      <w:r w:rsidR="00DC5772" w:rsidRPr="00CC562A">
        <w:rPr>
          <w:rFonts w:ascii="Cambria" w:hAnsi="Cambria"/>
          <w:sz w:val="20"/>
          <w:lang w:val="en-US"/>
        </w:rPr>
        <w:t xml:space="preserve"> 2021</w:t>
      </w:r>
      <w:r w:rsidRPr="00CC562A">
        <w:rPr>
          <w:rFonts w:ascii="Cambria" w:hAnsi="Cambria"/>
          <w:sz w:val="20"/>
          <w:lang w:val="en-US"/>
        </w:rPr>
        <w:t>.</w:t>
      </w:r>
      <w:r w:rsidR="00DC5772" w:rsidRPr="00CC562A">
        <w:rPr>
          <w:rStyle w:val="FootnoteReference"/>
          <w:rFonts w:ascii="Cambria" w:hAnsi="Cambria"/>
          <w:sz w:val="20"/>
          <w:lang w:val="en-US"/>
        </w:rPr>
        <w:footnoteReference w:id="307"/>
      </w:r>
    </w:p>
    <w:p w14:paraId="0BAC982B" w14:textId="5DA0C68C" w:rsidR="007A178A" w:rsidRPr="00CC562A" w:rsidRDefault="00804DFB"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Article</w:t>
      </w:r>
      <w:r w:rsidR="3104B7A2" w:rsidRPr="00CC562A">
        <w:rPr>
          <w:rFonts w:ascii="Cambria" w:eastAsia="Cambria" w:hAnsi="Cambria" w:cs="Cambria"/>
          <w:sz w:val="20"/>
          <w:szCs w:val="20"/>
          <w:lang w:val="en-US"/>
        </w:rPr>
        <w:t xml:space="preserve"> 19 </w:t>
      </w:r>
      <w:r w:rsidR="00900ED4" w:rsidRPr="00CC562A">
        <w:rPr>
          <w:rFonts w:ascii="Cambria" w:eastAsia="Cambria" w:hAnsi="Cambria" w:cs="Cambria"/>
          <w:sz w:val="20"/>
          <w:szCs w:val="20"/>
          <w:lang w:val="en-US"/>
        </w:rPr>
        <w:t>reported that</w:t>
      </w:r>
      <w:r w:rsidR="3104B7A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from </w:t>
      </w:r>
      <w:r w:rsidR="3A66AEF2" w:rsidRPr="00CC562A">
        <w:rPr>
          <w:rFonts w:ascii="Cambria" w:eastAsia="Cambria" w:hAnsi="Cambria" w:cs="Cambria"/>
          <w:sz w:val="20"/>
          <w:szCs w:val="20"/>
          <w:lang w:val="en-US"/>
        </w:rPr>
        <w:t xml:space="preserve">2016 </w:t>
      </w:r>
      <w:r w:rsidRPr="00CC562A">
        <w:rPr>
          <w:rFonts w:ascii="Cambria" w:eastAsia="Cambria" w:hAnsi="Cambria" w:cs="Cambria"/>
          <w:sz w:val="20"/>
          <w:szCs w:val="20"/>
          <w:lang w:val="en-US"/>
        </w:rPr>
        <w:t>to September</w:t>
      </w:r>
      <w:r w:rsidR="3A66AEF2" w:rsidRPr="00CC562A">
        <w:rPr>
          <w:rFonts w:ascii="Cambria" w:eastAsia="Cambria" w:hAnsi="Cambria" w:cs="Cambria"/>
          <w:sz w:val="20"/>
          <w:szCs w:val="20"/>
          <w:lang w:val="en-US"/>
        </w:rPr>
        <w:t xml:space="preserve"> 2022, 67 </w:t>
      </w:r>
      <w:r w:rsidRPr="00CC562A">
        <w:rPr>
          <w:rFonts w:ascii="Cambria" w:eastAsia="Cambria" w:hAnsi="Cambria" w:cs="Cambria"/>
          <w:sz w:val="20"/>
          <w:szCs w:val="20"/>
          <w:lang w:val="en-US"/>
        </w:rPr>
        <w:t>journalists were murdered, possibly in connection with their work.  There were also</w:t>
      </w:r>
      <w:r w:rsidR="3104B7A2" w:rsidRPr="00CC562A">
        <w:rPr>
          <w:rFonts w:ascii="Cambria" w:eastAsia="Cambria" w:hAnsi="Cambria" w:cs="Cambria"/>
          <w:sz w:val="20"/>
          <w:szCs w:val="20"/>
          <w:lang w:val="en-US"/>
        </w:rPr>
        <w:t xml:space="preserve"> </w:t>
      </w:r>
      <w:r w:rsidR="3A66AEF2" w:rsidRPr="00CC562A">
        <w:rPr>
          <w:rFonts w:ascii="Cambria" w:eastAsia="Cambria" w:hAnsi="Cambria" w:cs="Cambria"/>
          <w:sz w:val="20"/>
          <w:szCs w:val="20"/>
          <w:lang w:val="en-US"/>
        </w:rPr>
        <w:t xml:space="preserve">3,753 </w:t>
      </w:r>
      <w:r w:rsidRPr="00CC562A">
        <w:rPr>
          <w:rFonts w:ascii="Cambria" w:eastAsia="Cambria" w:hAnsi="Cambria" w:cs="Cambria"/>
          <w:sz w:val="20"/>
          <w:szCs w:val="20"/>
          <w:lang w:val="en-US"/>
        </w:rPr>
        <w:t xml:space="preserve">attacks recorded against the press, </w:t>
      </w:r>
      <w:r w:rsidRPr="00CC562A">
        <w:rPr>
          <w:rFonts w:ascii="Cambria" w:eastAsia="Cambria" w:hAnsi="Cambria" w:cs="Cambria"/>
          <w:sz w:val="20"/>
          <w:szCs w:val="20"/>
          <w:lang w:val="en-US"/>
        </w:rPr>
        <w:lastRenderedPageBreak/>
        <w:t xml:space="preserve">possibly in connection with its work. Of these attacks, each year </w:t>
      </w:r>
      <w:r w:rsidR="3A66AEF2" w:rsidRPr="00CC562A">
        <w:rPr>
          <w:rFonts w:ascii="Cambria" w:eastAsia="Cambria" w:hAnsi="Cambria" w:cs="Cambria"/>
          <w:sz w:val="20"/>
          <w:szCs w:val="20"/>
          <w:lang w:val="en-US"/>
        </w:rPr>
        <w:t xml:space="preserve">46.15% </w:t>
      </w:r>
      <w:r w:rsidRPr="00CC562A">
        <w:rPr>
          <w:rFonts w:ascii="Cambria" w:eastAsia="Cambria" w:hAnsi="Cambria" w:cs="Cambria"/>
          <w:sz w:val="20"/>
          <w:szCs w:val="20"/>
          <w:lang w:val="en-US"/>
        </w:rPr>
        <w:t xml:space="preserve">of them </w:t>
      </w:r>
      <w:r w:rsidR="001478F9" w:rsidRPr="00CC562A">
        <w:rPr>
          <w:rFonts w:ascii="Cambria" w:eastAsia="Cambria" w:hAnsi="Cambria" w:cs="Cambria"/>
          <w:sz w:val="20"/>
          <w:szCs w:val="20"/>
          <w:lang w:val="en-US"/>
        </w:rPr>
        <w:t xml:space="preserve">are </w:t>
      </w:r>
      <w:r w:rsidRPr="00CC562A">
        <w:rPr>
          <w:rFonts w:ascii="Cambria" w:eastAsia="Cambria" w:hAnsi="Cambria" w:cs="Cambria"/>
          <w:sz w:val="20"/>
          <w:szCs w:val="20"/>
          <w:lang w:val="en-US"/>
        </w:rPr>
        <w:t>perpetrated by civil servants.</w:t>
      </w:r>
      <w:r w:rsidR="00291670" w:rsidRPr="00CC562A">
        <w:rPr>
          <w:rFonts w:ascii="Cambria" w:eastAsia="Cambria" w:hAnsi="Cambria" w:cs="Cambria"/>
          <w:sz w:val="20"/>
          <w:szCs w:val="20"/>
          <w:vertAlign w:val="superscript"/>
          <w:lang w:val="en-US"/>
        </w:rPr>
        <w:footnoteReference w:id="308"/>
      </w:r>
      <w:r w:rsidR="3A66AEF2"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3104B7A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 journalist or communicator is attacked every 14 hours in connection with </w:t>
      </w:r>
      <w:r w:rsidR="00D77397" w:rsidRPr="00CC562A">
        <w:rPr>
          <w:rFonts w:ascii="Cambria" w:eastAsia="Cambria" w:hAnsi="Cambria" w:cs="Cambria"/>
          <w:sz w:val="20"/>
          <w:szCs w:val="20"/>
          <w:lang w:val="en-US"/>
        </w:rPr>
        <w:t>their work</w:t>
      </w:r>
      <w:r w:rsidRPr="00CC562A">
        <w:rPr>
          <w:rFonts w:ascii="Cambria" w:eastAsia="Cambria" w:hAnsi="Cambria" w:cs="Cambria"/>
          <w:sz w:val="20"/>
          <w:szCs w:val="20"/>
          <w:lang w:val="en-US"/>
        </w:rPr>
        <w:t>.</w:t>
      </w:r>
      <w:r w:rsidR="3A66AEF2" w:rsidRPr="00CC562A">
        <w:rPr>
          <w:rFonts w:ascii="Cambria" w:eastAsia="Cambria" w:hAnsi="Cambria" w:cs="Cambria"/>
          <w:sz w:val="20"/>
          <w:szCs w:val="20"/>
          <w:lang w:val="en-US"/>
        </w:rPr>
        <w:t xml:space="preserve"> </w:t>
      </w:r>
      <w:r w:rsidR="3104B7A2" w:rsidRPr="00CC562A">
        <w:rPr>
          <w:rFonts w:ascii="Cambria" w:eastAsia="Cambria" w:hAnsi="Cambria" w:cs="Cambria"/>
          <w:sz w:val="20"/>
          <w:szCs w:val="20"/>
          <w:lang w:val="en-US"/>
        </w:rPr>
        <w:t>Art</w:t>
      </w:r>
      <w:r w:rsidR="009F7DD3" w:rsidRPr="00CC562A">
        <w:rPr>
          <w:rFonts w:ascii="Cambria" w:eastAsia="Cambria" w:hAnsi="Cambria" w:cs="Cambria"/>
          <w:sz w:val="20"/>
          <w:szCs w:val="20"/>
          <w:lang w:val="en-US"/>
        </w:rPr>
        <w:t xml:space="preserve">icle </w:t>
      </w:r>
      <w:r w:rsidR="3104B7A2" w:rsidRPr="00CC562A">
        <w:rPr>
          <w:rFonts w:ascii="Cambria" w:eastAsia="Cambria" w:hAnsi="Cambria" w:cs="Cambria"/>
          <w:sz w:val="20"/>
          <w:szCs w:val="20"/>
          <w:lang w:val="en-US"/>
        </w:rPr>
        <w:t xml:space="preserve">19 </w:t>
      </w:r>
      <w:r w:rsidR="009F7DD3" w:rsidRPr="00CC562A">
        <w:rPr>
          <w:rFonts w:ascii="Cambria" w:eastAsia="Cambria" w:hAnsi="Cambria" w:cs="Cambria"/>
          <w:sz w:val="20"/>
          <w:szCs w:val="20"/>
          <w:lang w:val="en-US"/>
        </w:rPr>
        <w:t xml:space="preserve">emphasized that attacks in the digital sphere continue to increase </w:t>
      </w:r>
      <w:r w:rsidR="00235296" w:rsidRPr="00CC562A">
        <w:rPr>
          <w:rFonts w:ascii="Cambria" w:eastAsia="Cambria" w:hAnsi="Cambria" w:cs="Cambria"/>
          <w:sz w:val="20"/>
          <w:szCs w:val="20"/>
          <w:lang w:val="en-US"/>
        </w:rPr>
        <w:t xml:space="preserve">each </w:t>
      </w:r>
      <w:r w:rsidR="009F7DD3" w:rsidRPr="00CC562A">
        <w:rPr>
          <w:rFonts w:ascii="Cambria" w:eastAsia="Cambria" w:hAnsi="Cambria" w:cs="Cambria"/>
          <w:sz w:val="20"/>
          <w:szCs w:val="20"/>
          <w:lang w:val="en-US"/>
        </w:rPr>
        <w:t>year not only in terms of numbers but as a percentage of all attacks. The</w:t>
      </w:r>
      <w:r w:rsidR="00235296" w:rsidRPr="00CC562A">
        <w:rPr>
          <w:rFonts w:ascii="Cambria" w:eastAsia="Cambria" w:hAnsi="Cambria" w:cs="Cambria"/>
          <w:sz w:val="20"/>
          <w:szCs w:val="20"/>
          <w:lang w:val="en-US"/>
        </w:rPr>
        <w:t>re</w:t>
      </w:r>
      <w:r w:rsidR="009F7DD3" w:rsidRPr="00CC562A">
        <w:rPr>
          <w:rFonts w:ascii="Cambria" w:eastAsia="Cambria" w:hAnsi="Cambria" w:cs="Cambria"/>
          <w:sz w:val="20"/>
          <w:szCs w:val="20"/>
          <w:lang w:val="en-US"/>
        </w:rPr>
        <w:t xml:space="preserve"> was a decrease of </w:t>
      </w:r>
      <w:r w:rsidR="3A66AEF2" w:rsidRPr="00CC562A">
        <w:rPr>
          <w:rFonts w:ascii="Cambria" w:eastAsia="Cambria" w:hAnsi="Cambria" w:cs="Cambria"/>
          <w:sz w:val="20"/>
          <w:szCs w:val="20"/>
          <w:lang w:val="en-US"/>
        </w:rPr>
        <w:t>16.90</w:t>
      </w:r>
      <w:r w:rsidR="00D77397" w:rsidRPr="00CC562A">
        <w:rPr>
          <w:rFonts w:ascii="Cambria" w:eastAsia="Cambria" w:hAnsi="Cambria" w:cs="Cambria"/>
          <w:sz w:val="20"/>
          <w:szCs w:val="20"/>
          <w:lang w:val="en-US"/>
        </w:rPr>
        <w:t>% from</w:t>
      </w:r>
      <w:r w:rsidR="009F7DD3" w:rsidRPr="00CC562A">
        <w:rPr>
          <w:rFonts w:ascii="Cambria" w:eastAsia="Cambria" w:hAnsi="Cambria" w:cs="Cambria"/>
          <w:sz w:val="20"/>
          <w:szCs w:val="20"/>
          <w:lang w:val="en-US"/>
        </w:rPr>
        <w:t xml:space="preserve"> 2016 to</w:t>
      </w:r>
      <w:r w:rsidR="3A66AEF2" w:rsidRPr="00CC562A">
        <w:rPr>
          <w:rFonts w:ascii="Cambria" w:eastAsia="Cambria" w:hAnsi="Cambria" w:cs="Cambria"/>
          <w:sz w:val="20"/>
          <w:szCs w:val="20"/>
          <w:lang w:val="en-US"/>
        </w:rPr>
        <w:t xml:space="preserve"> 2017 </w:t>
      </w:r>
      <w:r w:rsidR="009F7DD3" w:rsidRPr="00CC562A">
        <w:rPr>
          <w:rFonts w:ascii="Cambria" w:eastAsia="Cambria" w:hAnsi="Cambria" w:cs="Cambria"/>
          <w:sz w:val="20"/>
          <w:szCs w:val="20"/>
          <w:lang w:val="en-US"/>
        </w:rPr>
        <w:t xml:space="preserve">but from there on </w:t>
      </w:r>
      <w:r w:rsidR="00235296" w:rsidRPr="00CC562A">
        <w:rPr>
          <w:rFonts w:ascii="Cambria" w:eastAsia="Cambria" w:hAnsi="Cambria" w:cs="Cambria"/>
          <w:sz w:val="20"/>
          <w:szCs w:val="20"/>
          <w:lang w:val="en-US"/>
        </w:rPr>
        <w:t>such attacks</w:t>
      </w:r>
      <w:r w:rsidR="009F7DD3" w:rsidRPr="00CC562A">
        <w:rPr>
          <w:rFonts w:ascii="Cambria" w:eastAsia="Cambria" w:hAnsi="Cambria" w:cs="Cambria"/>
          <w:sz w:val="20"/>
          <w:szCs w:val="20"/>
          <w:lang w:val="en-US"/>
        </w:rPr>
        <w:t xml:space="preserve"> continue to increase until exceeding and remaining above </w:t>
      </w:r>
      <w:r w:rsidR="3A66AEF2" w:rsidRPr="00CC562A">
        <w:rPr>
          <w:rFonts w:ascii="Cambria" w:eastAsia="Cambria" w:hAnsi="Cambria" w:cs="Cambria"/>
          <w:sz w:val="20"/>
          <w:szCs w:val="20"/>
          <w:lang w:val="en-US"/>
        </w:rPr>
        <w:t xml:space="preserve">30% </w:t>
      </w:r>
      <w:r w:rsidR="009F7DD3" w:rsidRPr="00CC562A">
        <w:rPr>
          <w:rFonts w:ascii="Cambria" w:eastAsia="Cambria" w:hAnsi="Cambria" w:cs="Cambria"/>
          <w:sz w:val="20"/>
          <w:szCs w:val="20"/>
          <w:lang w:val="en-US"/>
        </w:rPr>
        <w:t>of attacks, i.e., at least one out of every three attacks on the press occur</w:t>
      </w:r>
      <w:r w:rsidR="00235296" w:rsidRPr="00CC562A">
        <w:rPr>
          <w:rFonts w:ascii="Cambria" w:eastAsia="Cambria" w:hAnsi="Cambria" w:cs="Cambria"/>
          <w:sz w:val="20"/>
          <w:szCs w:val="20"/>
          <w:lang w:val="en-US"/>
        </w:rPr>
        <w:t>s</w:t>
      </w:r>
      <w:r w:rsidR="009F7DD3" w:rsidRPr="00CC562A">
        <w:rPr>
          <w:rFonts w:ascii="Cambria" w:eastAsia="Cambria" w:hAnsi="Cambria" w:cs="Cambria"/>
          <w:sz w:val="20"/>
          <w:szCs w:val="20"/>
          <w:lang w:val="en-US"/>
        </w:rPr>
        <w:t xml:space="preserve"> </w:t>
      </w:r>
      <w:r w:rsidR="00D77397" w:rsidRPr="00CC562A">
        <w:rPr>
          <w:rFonts w:ascii="Cambria" w:eastAsia="Cambria" w:hAnsi="Cambria" w:cs="Cambria"/>
          <w:sz w:val="20"/>
          <w:szCs w:val="20"/>
          <w:lang w:val="en-US"/>
        </w:rPr>
        <w:t>online</w:t>
      </w:r>
      <w:r w:rsidR="3A66AEF2" w:rsidRPr="00CC562A">
        <w:rPr>
          <w:rFonts w:ascii="Cambria" w:eastAsia="Cambria" w:hAnsi="Cambria" w:cs="Cambria"/>
          <w:sz w:val="20"/>
          <w:szCs w:val="20"/>
          <w:lang w:val="en-US"/>
        </w:rPr>
        <w:t xml:space="preserve">. </w:t>
      </w:r>
      <w:r w:rsidR="009F7DD3" w:rsidRPr="00CC562A">
        <w:rPr>
          <w:rFonts w:ascii="Cambria" w:eastAsia="Cambria" w:hAnsi="Cambria" w:cs="Cambria"/>
          <w:sz w:val="20"/>
          <w:szCs w:val="20"/>
          <w:lang w:val="en-US"/>
        </w:rPr>
        <w:t>The civil service organization emphasized harassment and judicial and administrative attacks, indicating that while only one case of judicial attack was recorded in</w:t>
      </w:r>
      <w:r w:rsidR="3A66AEF2" w:rsidRPr="00CC562A">
        <w:rPr>
          <w:rFonts w:ascii="Cambria" w:eastAsia="Cambria" w:hAnsi="Cambria" w:cs="Cambria"/>
          <w:sz w:val="20"/>
          <w:szCs w:val="20"/>
          <w:lang w:val="en-US"/>
        </w:rPr>
        <w:t xml:space="preserve"> 2015</w:t>
      </w:r>
      <w:r w:rsidR="009F7DD3" w:rsidRPr="00CC562A">
        <w:rPr>
          <w:rFonts w:ascii="Cambria" w:eastAsia="Cambria" w:hAnsi="Cambria" w:cs="Cambria"/>
          <w:sz w:val="20"/>
          <w:szCs w:val="20"/>
          <w:lang w:val="en-US"/>
        </w:rPr>
        <w:t xml:space="preserve">, from </w:t>
      </w:r>
      <w:r w:rsidR="3A66AEF2" w:rsidRPr="00CC562A">
        <w:rPr>
          <w:rFonts w:ascii="Cambria" w:eastAsia="Cambria" w:hAnsi="Cambria" w:cs="Cambria"/>
          <w:sz w:val="20"/>
          <w:szCs w:val="20"/>
          <w:lang w:val="en-US"/>
        </w:rPr>
        <w:t xml:space="preserve">2016 </w:t>
      </w:r>
      <w:r w:rsidR="009F7DD3" w:rsidRPr="00CC562A">
        <w:rPr>
          <w:rFonts w:ascii="Cambria" w:eastAsia="Cambria" w:hAnsi="Cambria" w:cs="Cambria"/>
          <w:sz w:val="20"/>
          <w:szCs w:val="20"/>
          <w:lang w:val="en-US"/>
        </w:rPr>
        <w:t>to</w:t>
      </w:r>
      <w:r w:rsidR="3A66AEF2" w:rsidRPr="00CC562A">
        <w:rPr>
          <w:rFonts w:ascii="Cambria" w:eastAsia="Cambria" w:hAnsi="Cambria" w:cs="Cambria"/>
          <w:sz w:val="20"/>
          <w:szCs w:val="20"/>
          <w:lang w:val="en-US"/>
        </w:rPr>
        <w:t xml:space="preserve"> 2020, </w:t>
      </w:r>
      <w:r w:rsidR="009F7DD3" w:rsidRPr="00CC562A">
        <w:rPr>
          <w:rFonts w:ascii="Cambria" w:eastAsia="Cambria" w:hAnsi="Cambria" w:cs="Cambria"/>
          <w:sz w:val="20"/>
          <w:szCs w:val="20"/>
          <w:lang w:val="en-US"/>
        </w:rPr>
        <w:t>the cases of harassment nearly tripled. According to the documentation</w:t>
      </w:r>
      <w:r w:rsidR="00291670" w:rsidRPr="00CC562A">
        <w:rPr>
          <w:rFonts w:ascii="Cambria" w:eastAsia="Cambria" w:hAnsi="Cambria" w:cs="Cambria"/>
          <w:sz w:val="20"/>
          <w:szCs w:val="20"/>
          <w:vertAlign w:val="superscript"/>
          <w:lang w:val="en-US"/>
        </w:rPr>
        <w:footnoteReference w:id="309"/>
      </w:r>
      <w:r w:rsidR="3A66AEF2" w:rsidRPr="00CC562A">
        <w:rPr>
          <w:rFonts w:ascii="Cambria" w:eastAsia="Cambria" w:hAnsi="Cambria" w:cs="Cambria"/>
          <w:sz w:val="20"/>
          <w:szCs w:val="20"/>
          <w:lang w:val="en-US"/>
        </w:rPr>
        <w:t xml:space="preserve"> </w:t>
      </w:r>
      <w:r w:rsidR="009F7DD3" w:rsidRPr="00CC562A">
        <w:rPr>
          <w:rFonts w:ascii="Cambria" w:eastAsia="Cambria" w:hAnsi="Cambria" w:cs="Cambria"/>
          <w:sz w:val="20"/>
          <w:szCs w:val="20"/>
          <w:lang w:val="en-US"/>
        </w:rPr>
        <w:t xml:space="preserve">from Article </w:t>
      </w:r>
      <w:r w:rsidR="3104B7A2" w:rsidRPr="00CC562A">
        <w:rPr>
          <w:rFonts w:ascii="Cambria" w:eastAsia="Cambria" w:hAnsi="Cambria" w:cs="Cambria"/>
          <w:sz w:val="20"/>
          <w:szCs w:val="20"/>
          <w:lang w:val="en-US"/>
        </w:rPr>
        <w:t>19</w:t>
      </w:r>
      <w:r w:rsidR="009F7DD3" w:rsidRPr="00CC562A">
        <w:rPr>
          <w:rFonts w:ascii="Cambria" w:eastAsia="Cambria" w:hAnsi="Cambria" w:cs="Cambria"/>
          <w:sz w:val="20"/>
          <w:szCs w:val="20"/>
          <w:lang w:val="en-US"/>
        </w:rPr>
        <w:t>, 13 cases were documented in 2016, while 39 were documented in</w:t>
      </w:r>
      <w:r w:rsidR="3A66AEF2" w:rsidRPr="00CC562A">
        <w:rPr>
          <w:rFonts w:ascii="Cambria" w:eastAsia="Cambria" w:hAnsi="Cambria" w:cs="Cambria"/>
          <w:sz w:val="20"/>
          <w:szCs w:val="20"/>
          <w:lang w:val="en-US"/>
        </w:rPr>
        <w:t xml:space="preserve"> 2020. </w:t>
      </w:r>
    </w:p>
    <w:p w14:paraId="58C1BAF8" w14:textId="5AF58D52" w:rsidR="007A178A" w:rsidRPr="00CC562A" w:rsidRDefault="00756269"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Along the same lines, organizations indic</w:t>
      </w:r>
      <w:r w:rsidR="00235296" w:rsidRPr="00CC562A">
        <w:rPr>
          <w:rFonts w:ascii="Cambria" w:eastAsia="Cambria" w:hAnsi="Cambria" w:cs="Cambria"/>
          <w:sz w:val="20"/>
          <w:szCs w:val="20"/>
          <w:lang w:val="en-US"/>
        </w:rPr>
        <w:t>a</w:t>
      </w:r>
      <w:r w:rsidRPr="00CC562A">
        <w:rPr>
          <w:rFonts w:ascii="Cambria" w:eastAsia="Cambria" w:hAnsi="Cambria" w:cs="Cambria"/>
          <w:sz w:val="20"/>
          <w:szCs w:val="20"/>
          <w:lang w:val="en-US"/>
        </w:rPr>
        <w:t>ted that at least 17 cases have been documented so far this year. Article 19 emphasized that a clear example of assault and harassment against a journalist is the “Who’s Who of Lies,” segment during President López Obrador’</w:t>
      </w:r>
      <w:r w:rsidR="00542150" w:rsidRPr="00CC562A">
        <w:rPr>
          <w:rFonts w:ascii="Cambria" w:eastAsia="Cambria" w:hAnsi="Cambria" w:cs="Cambria"/>
          <w:sz w:val="20"/>
          <w:szCs w:val="20"/>
          <w:lang w:val="en-US"/>
        </w:rPr>
        <w:t>s morning press conference, which according to the government, seeks</w:t>
      </w:r>
      <w:r w:rsidR="00235296" w:rsidRPr="00CC562A">
        <w:rPr>
          <w:rFonts w:ascii="Cambria" w:eastAsia="Cambria" w:hAnsi="Cambria" w:cs="Cambria"/>
          <w:sz w:val="20"/>
          <w:szCs w:val="20"/>
          <w:lang w:val="en-US"/>
        </w:rPr>
        <w:t xml:space="preserve"> to </w:t>
      </w:r>
      <w:r w:rsidR="00542150" w:rsidRPr="00CC562A">
        <w:rPr>
          <w:rFonts w:ascii="Cambria" w:eastAsia="Cambria" w:hAnsi="Cambria" w:cs="Cambria"/>
          <w:sz w:val="20"/>
          <w:szCs w:val="20"/>
          <w:lang w:val="en-US"/>
        </w:rPr>
        <w:t xml:space="preserve"> “show the lies spread by the media” but in reality seems to constitute a</w:t>
      </w:r>
      <w:r w:rsidR="3A66AEF2" w:rsidRPr="00CC562A">
        <w:rPr>
          <w:rFonts w:ascii="Cambria" w:eastAsia="Cambria" w:hAnsi="Cambria" w:cs="Cambria"/>
          <w:sz w:val="20"/>
          <w:szCs w:val="20"/>
          <w:lang w:val="en-US"/>
        </w:rPr>
        <w:t xml:space="preserve"> “T</w:t>
      </w:r>
      <w:r w:rsidR="00542150" w:rsidRPr="00CC562A">
        <w:rPr>
          <w:rFonts w:ascii="Cambria" w:eastAsia="Cambria" w:hAnsi="Cambria" w:cs="Cambria"/>
          <w:sz w:val="20"/>
          <w:szCs w:val="20"/>
          <w:lang w:val="en-US"/>
        </w:rPr>
        <w:t>ruth Court” to point out, attack, and stigmatize critical press or any communicator not aligned with the federal government</w:t>
      </w:r>
      <w:r w:rsidR="3A66AEF2" w:rsidRPr="00CC562A">
        <w:rPr>
          <w:rFonts w:ascii="Cambria" w:eastAsia="Cambria" w:hAnsi="Cambria" w:cs="Cambria"/>
          <w:sz w:val="20"/>
          <w:szCs w:val="20"/>
          <w:lang w:val="en-US"/>
        </w:rPr>
        <w:t xml:space="preserve">. </w:t>
      </w:r>
    </w:p>
    <w:p w14:paraId="14447B88" w14:textId="4024B231" w:rsidR="007A178A" w:rsidRPr="00CC562A" w:rsidRDefault="001C7051" w:rsidP="00001918">
      <w:pPr>
        <w:numPr>
          <w:ilvl w:val="0"/>
          <w:numId w:val="2"/>
        </w:numPr>
        <w:shd w:val="clear" w:color="auto" w:fill="FFFFFF" w:themeFill="background1"/>
        <w:spacing w:before="240" w:line="240" w:lineRule="auto"/>
        <w:ind w:left="0" w:firstLine="720"/>
        <w:jc w:val="both"/>
        <w:rPr>
          <w:lang w:val="en-US" w:eastAsia="en-US"/>
        </w:rPr>
      </w:pPr>
      <w:r w:rsidRPr="00CC562A">
        <w:rPr>
          <w:rFonts w:ascii="Cambria" w:eastAsia="Cambria" w:hAnsi="Cambria" w:cs="Cambria"/>
          <w:sz w:val="20"/>
          <w:szCs w:val="20"/>
          <w:lang w:val="en-US"/>
        </w:rPr>
        <w:t xml:space="preserve">Thus, civil </w:t>
      </w:r>
      <w:r w:rsidR="00D77397" w:rsidRPr="00CC562A">
        <w:rPr>
          <w:rFonts w:ascii="Cambria" w:eastAsia="Cambria" w:hAnsi="Cambria" w:cs="Cambria"/>
          <w:sz w:val="20"/>
          <w:szCs w:val="20"/>
          <w:lang w:val="en-US"/>
        </w:rPr>
        <w:t>society organizations</w:t>
      </w:r>
      <w:r w:rsidRPr="00CC562A">
        <w:rPr>
          <w:rFonts w:ascii="Cambria" w:eastAsia="Cambria" w:hAnsi="Cambria" w:cs="Cambria"/>
          <w:sz w:val="20"/>
          <w:szCs w:val="20"/>
          <w:lang w:val="en-US"/>
        </w:rPr>
        <w:t xml:space="preserve"> indicate that, in recent years, the Mexican State has increased its legal powers and technical ability</w:t>
      </w:r>
      <w:r w:rsidR="64A7AF1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to carry out communications surveillance measures. For example, laws have been enacted and reformed, such as the Federal Telecommunications and Broadcasting Law, the National Code of Criminal Procedures, and other laws to establish surveillance measures</w:t>
      </w:r>
      <w:r w:rsidR="64A7AF1E"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3104B7A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Mexican legislation does not provide adequate and sufficient safeguards against the abuse of secret surveillance measures. In addition to not establishing prior judicial </w:t>
      </w:r>
      <w:r w:rsidR="00235296" w:rsidRPr="00CC562A">
        <w:rPr>
          <w:rFonts w:ascii="Cambria" w:eastAsia="Cambria" w:hAnsi="Cambria" w:cs="Cambria"/>
          <w:sz w:val="20"/>
          <w:szCs w:val="20"/>
          <w:lang w:val="en-US"/>
        </w:rPr>
        <w:t>oversight</w:t>
      </w:r>
      <w:r w:rsidRPr="00CC562A">
        <w:rPr>
          <w:rFonts w:ascii="Cambria" w:eastAsia="Cambria" w:hAnsi="Cambria" w:cs="Cambria"/>
          <w:sz w:val="20"/>
          <w:szCs w:val="20"/>
          <w:lang w:val="en-US"/>
        </w:rPr>
        <w:t xml:space="preserve"> </w:t>
      </w:r>
      <w:proofErr w:type="gramStart"/>
      <w:r w:rsidRPr="00CC562A">
        <w:rPr>
          <w:rFonts w:ascii="Cambria" w:eastAsia="Cambria" w:hAnsi="Cambria" w:cs="Cambria"/>
          <w:sz w:val="20"/>
          <w:szCs w:val="20"/>
          <w:lang w:val="en-US"/>
        </w:rPr>
        <w:t>with regard to</w:t>
      </w:r>
      <w:proofErr w:type="gramEnd"/>
      <w:r w:rsidRPr="00CC562A">
        <w:rPr>
          <w:rFonts w:ascii="Cambria" w:eastAsia="Cambria" w:hAnsi="Cambria" w:cs="Cambria"/>
          <w:sz w:val="20"/>
          <w:szCs w:val="20"/>
          <w:lang w:val="en-US"/>
        </w:rPr>
        <w:t xml:space="preserve"> all surveillance measures, the legislation does not provide measures such as independent supervision or the</w:t>
      </w:r>
      <w:r w:rsidR="64A7AF1E" w:rsidRPr="00CC562A">
        <w:rPr>
          <w:rFonts w:ascii="Cambria" w:eastAsia="Cambria" w:hAnsi="Cambria" w:cs="Cambria"/>
          <w:sz w:val="20"/>
          <w:szCs w:val="20"/>
          <w:lang w:val="en-US"/>
        </w:rPr>
        <w:t xml:space="preserve"> </w:t>
      </w:r>
      <w:r w:rsidR="001F0DB5" w:rsidRPr="00CC562A">
        <w:rPr>
          <w:rFonts w:ascii="Cambria" w:eastAsia="Cambria" w:hAnsi="Cambria" w:cs="Cambria"/>
          <w:sz w:val="20"/>
          <w:szCs w:val="20"/>
          <w:lang w:val="en-US"/>
        </w:rPr>
        <w:t>affected party’s right to be notified. This impedes the detection, investigation, and punishment of the abusive exercise of surveillance</w:t>
      </w:r>
      <w:r w:rsidR="64A7AF1E" w:rsidRPr="00CC562A">
        <w:rPr>
          <w:rFonts w:ascii="Cambria" w:eastAsia="Cambria" w:hAnsi="Cambria" w:cs="Cambria"/>
          <w:sz w:val="20"/>
          <w:szCs w:val="20"/>
          <w:lang w:val="en-US"/>
        </w:rPr>
        <w:t xml:space="preserve">. </w:t>
      </w:r>
    </w:p>
    <w:p w14:paraId="703F8FF0" w14:textId="319E010B" w:rsidR="007B0FC1" w:rsidRPr="00CC562A" w:rsidRDefault="00965678" w:rsidP="00001918">
      <w:pPr>
        <w:numPr>
          <w:ilvl w:val="0"/>
          <w:numId w:val="2"/>
        </w:numPr>
        <w:shd w:val="clear" w:color="auto" w:fill="FFFFFF" w:themeFill="background1"/>
        <w:spacing w:before="240" w:line="240" w:lineRule="auto"/>
        <w:ind w:left="0" w:firstLine="720"/>
        <w:jc w:val="both"/>
        <w:rPr>
          <w:lang w:val="en-US" w:eastAsia="en-US"/>
        </w:rPr>
      </w:pPr>
      <w:r w:rsidRPr="00CC562A">
        <w:rPr>
          <w:rFonts w:ascii="Cambria" w:eastAsia="Cambria" w:hAnsi="Cambria" w:cs="Cambria"/>
          <w:sz w:val="20"/>
          <w:szCs w:val="20"/>
          <w:lang w:val="en-US"/>
        </w:rPr>
        <w:t xml:space="preserve">Along the same lines, the Article 19 organization indicated that in June </w:t>
      </w:r>
      <w:r w:rsidR="7051BED9" w:rsidRPr="00CC562A">
        <w:rPr>
          <w:rFonts w:ascii="Cambria" w:eastAsia="Cambria" w:hAnsi="Cambria" w:cs="Cambria"/>
          <w:sz w:val="20"/>
          <w:szCs w:val="20"/>
          <w:lang w:val="en-US"/>
        </w:rPr>
        <w:t xml:space="preserve">2017, Citizen Lab, </w:t>
      </w:r>
      <w:r w:rsidRPr="00CC562A">
        <w:rPr>
          <w:rFonts w:ascii="Cambria" w:eastAsia="Cambria" w:hAnsi="Cambria" w:cs="Cambria"/>
          <w:sz w:val="20"/>
          <w:szCs w:val="20"/>
          <w:lang w:val="en-US"/>
        </w:rPr>
        <w:t xml:space="preserve">as well as </w:t>
      </w:r>
      <w:r w:rsidR="7051BED9" w:rsidRPr="00CC562A">
        <w:rPr>
          <w:rFonts w:ascii="Cambria" w:eastAsia="Cambria" w:hAnsi="Cambria" w:cs="Cambria"/>
          <w:sz w:val="20"/>
          <w:szCs w:val="20"/>
          <w:lang w:val="en-US"/>
        </w:rPr>
        <w:t>A</w:t>
      </w:r>
      <w:r w:rsidR="00235296" w:rsidRPr="00CC562A">
        <w:rPr>
          <w:rFonts w:ascii="Cambria" w:eastAsia="Cambria" w:hAnsi="Cambria" w:cs="Cambria"/>
          <w:sz w:val="20"/>
          <w:szCs w:val="20"/>
          <w:lang w:val="en-US"/>
        </w:rPr>
        <w:t>rticle</w:t>
      </w:r>
      <w:r w:rsidR="7051BED9" w:rsidRPr="00CC562A">
        <w:rPr>
          <w:rFonts w:ascii="Cambria" w:eastAsia="Cambria" w:hAnsi="Cambria" w:cs="Cambria"/>
          <w:sz w:val="20"/>
          <w:szCs w:val="20"/>
          <w:lang w:val="en-US"/>
        </w:rPr>
        <w:t xml:space="preserve"> 19, </w:t>
      </w:r>
      <w:r w:rsidRPr="00CC562A">
        <w:rPr>
          <w:rFonts w:ascii="Cambria" w:eastAsia="Cambria" w:hAnsi="Cambria" w:cs="Cambria"/>
          <w:sz w:val="20"/>
          <w:szCs w:val="20"/>
          <w:lang w:val="en-US"/>
        </w:rPr>
        <w:t xml:space="preserve">the Network in Defense of Digital Rights </w:t>
      </w:r>
      <w:r w:rsidR="7051BED9" w:rsidRPr="00CC562A">
        <w:rPr>
          <w:rFonts w:ascii="Cambria" w:eastAsia="Cambria" w:hAnsi="Cambria" w:cs="Cambria"/>
          <w:sz w:val="20"/>
          <w:szCs w:val="20"/>
          <w:lang w:val="en-US"/>
        </w:rPr>
        <w:t>(R3D)</w:t>
      </w:r>
      <w:r w:rsidRPr="00CC562A">
        <w:rPr>
          <w:rFonts w:ascii="Cambria" w:eastAsia="Cambria" w:hAnsi="Cambria" w:cs="Cambria"/>
          <w:sz w:val="20"/>
          <w:szCs w:val="20"/>
          <w:lang w:val="en-US"/>
        </w:rPr>
        <w:t>, and</w:t>
      </w:r>
      <w:r w:rsidR="7051BED9" w:rsidRPr="00CC562A">
        <w:rPr>
          <w:rFonts w:ascii="Cambria" w:eastAsia="Cambria" w:hAnsi="Cambria" w:cs="Cambria"/>
          <w:sz w:val="20"/>
          <w:szCs w:val="20"/>
          <w:lang w:val="en-US"/>
        </w:rPr>
        <w:t xml:space="preserve"> </w:t>
      </w:r>
      <w:proofErr w:type="spellStart"/>
      <w:r w:rsidR="7051BED9" w:rsidRPr="00CC562A">
        <w:rPr>
          <w:rFonts w:ascii="Cambria" w:eastAsia="Cambria" w:hAnsi="Cambria" w:cs="Cambria"/>
          <w:sz w:val="20"/>
          <w:szCs w:val="20"/>
          <w:lang w:val="en-US"/>
        </w:rPr>
        <w:t>SocialTIC</w:t>
      </w:r>
      <w:proofErr w:type="spellEnd"/>
      <w:r w:rsidR="7051BED9" w:rsidRPr="00CC562A">
        <w:rPr>
          <w:rFonts w:ascii="Cambria" w:eastAsia="Cambria" w:hAnsi="Cambria" w:cs="Cambria"/>
          <w:sz w:val="20"/>
          <w:szCs w:val="20"/>
          <w:lang w:val="en-US"/>
        </w:rPr>
        <w:t xml:space="preserve"> publi</w:t>
      </w:r>
      <w:r w:rsidRPr="00CC562A">
        <w:rPr>
          <w:rFonts w:ascii="Cambria" w:eastAsia="Cambria" w:hAnsi="Cambria" w:cs="Cambria"/>
          <w:sz w:val="20"/>
          <w:szCs w:val="20"/>
          <w:lang w:val="en-US"/>
        </w:rPr>
        <w:t xml:space="preserve">shed the report </w:t>
      </w:r>
      <w:r w:rsidR="7051BED9"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Spy Government: Systematic surveillance of journalists and human rights defenders in Mexico,” which </w:t>
      </w:r>
      <w:r w:rsidR="00235296" w:rsidRPr="00CC562A">
        <w:rPr>
          <w:rFonts w:ascii="Cambria" w:eastAsia="Cambria" w:hAnsi="Cambria" w:cs="Cambria"/>
          <w:sz w:val="20"/>
          <w:szCs w:val="20"/>
          <w:lang w:val="en-US"/>
        </w:rPr>
        <w:t>records</w:t>
      </w:r>
      <w:r w:rsidRPr="00CC562A">
        <w:rPr>
          <w:rFonts w:ascii="Cambria" w:eastAsia="Cambria" w:hAnsi="Cambria" w:cs="Cambria"/>
          <w:sz w:val="20"/>
          <w:szCs w:val="20"/>
          <w:lang w:val="en-US"/>
        </w:rPr>
        <w:t xml:space="preserve"> multiple cases of attempts to infect the net using Pegasus malware. The report documents </w:t>
      </w:r>
      <w:r w:rsidR="7051BED9" w:rsidRPr="00CC562A">
        <w:rPr>
          <w:rFonts w:ascii="Cambria" w:eastAsia="Cambria" w:hAnsi="Cambria" w:cs="Cambria"/>
          <w:sz w:val="20"/>
          <w:szCs w:val="20"/>
          <w:lang w:val="en-US"/>
        </w:rPr>
        <w:t xml:space="preserve">76 </w:t>
      </w:r>
      <w:r w:rsidRPr="00CC562A">
        <w:rPr>
          <w:rFonts w:ascii="Cambria" w:eastAsia="Cambria" w:hAnsi="Cambria" w:cs="Cambria"/>
          <w:sz w:val="20"/>
          <w:szCs w:val="20"/>
          <w:lang w:val="en-US"/>
        </w:rPr>
        <w:t>text messages with links to domains identified as part of the NSO structure. This means that the messages analyzed no doubt represent attempts to infect</w:t>
      </w:r>
      <w:r w:rsidR="00BA2BF5" w:rsidRPr="00CC562A">
        <w:rPr>
          <w:rFonts w:ascii="Cambria" w:eastAsia="Cambria" w:hAnsi="Cambria" w:cs="Cambria"/>
          <w:sz w:val="20"/>
          <w:szCs w:val="20"/>
          <w:lang w:val="en-US"/>
        </w:rPr>
        <w:t xml:space="preserve"> with Pegasus malware. In this regard, the</w:t>
      </w:r>
      <w:r w:rsidR="7051BED9" w:rsidRPr="00CC562A">
        <w:rPr>
          <w:rFonts w:ascii="Cambria" w:eastAsia="Cambria" w:hAnsi="Cambria" w:cs="Cambria"/>
          <w:color w:val="000000" w:themeColor="text1"/>
          <w:sz w:val="20"/>
          <w:szCs w:val="20"/>
          <w:lang w:val="en-US"/>
        </w:rPr>
        <w:t xml:space="preserve"> SEDENA</w:t>
      </w:r>
      <w:r w:rsidR="007B0FC1" w:rsidRPr="00CC562A">
        <w:rPr>
          <w:rFonts w:ascii="Cambria" w:eastAsia="Cambria" w:hAnsi="Cambria" w:cs="Cambria"/>
          <w:color w:val="000000" w:themeColor="text1"/>
          <w:sz w:val="20"/>
          <w:szCs w:val="20"/>
          <w:vertAlign w:val="superscript"/>
          <w:lang w:val="en-US"/>
        </w:rPr>
        <w:footnoteReference w:id="310"/>
      </w:r>
      <w:r w:rsidR="7051BED9" w:rsidRPr="00CC562A">
        <w:rPr>
          <w:rFonts w:ascii="Cambria" w:eastAsia="Cambria" w:hAnsi="Cambria" w:cs="Cambria"/>
          <w:color w:val="000000" w:themeColor="text1"/>
          <w:sz w:val="20"/>
          <w:szCs w:val="20"/>
          <w:lang w:val="en-US"/>
        </w:rPr>
        <w:t xml:space="preserve"> publi</w:t>
      </w:r>
      <w:r w:rsidR="00BA2BF5" w:rsidRPr="00CC562A">
        <w:rPr>
          <w:rFonts w:ascii="Cambria" w:eastAsia="Cambria" w:hAnsi="Cambria" w:cs="Cambria"/>
          <w:color w:val="000000" w:themeColor="text1"/>
          <w:sz w:val="20"/>
          <w:szCs w:val="20"/>
          <w:lang w:val="en-US"/>
        </w:rPr>
        <w:t xml:space="preserve">shed a release where it does not refute the evidence and classifies the interventions in private communications with Pegasus malware as “intelligence actions.” In this sense, the organization categorically states that in </w:t>
      </w:r>
      <w:r w:rsidR="00D77397" w:rsidRPr="00CC562A">
        <w:rPr>
          <w:rFonts w:ascii="Cambria" w:eastAsia="Cambria" w:hAnsi="Cambria" w:cs="Cambria"/>
          <w:color w:val="000000" w:themeColor="text1"/>
          <w:sz w:val="20"/>
          <w:szCs w:val="20"/>
          <w:lang w:val="en-US"/>
        </w:rPr>
        <w:t>201 SEDENA</w:t>
      </w:r>
      <w:r w:rsidR="7051BED9" w:rsidRPr="00CC562A">
        <w:rPr>
          <w:rFonts w:ascii="Cambria" w:eastAsia="Cambria" w:hAnsi="Cambria" w:cs="Cambria"/>
          <w:color w:val="000000" w:themeColor="text1"/>
          <w:sz w:val="20"/>
          <w:szCs w:val="20"/>
          <w:lang w:val="en-US"/>
        </w:rPr>
        <w:t xml:space="preserve"> </w:t>
      </w:r>
      <w:r w:rsidR="00BA2BF5" w:rsidRPr="00CC562A">
        <w:rPr>
          <w:rFonts w:ascii="Cambria" w:eastAsia="Cambria" w:hAnsi="Cambria" w:cs="Cambria"/>
          <w:color w:val="000000" w:themeColor="text1"/>
          <w:sz w:val="20"/>
          <w:szCs w:val="20"/>
          <w:lang w:val="en-US"/>
        </w:rPr>
        <w:t>did not have – nor does it currently have – constitutional or legal powers to conduct operations to intervene in private communications</w:t>
      </w:r>
      <w:r w:rsidR="7051BED9" w:rsidRPr="00CC562A">
        <w:rPr>
          <w:rFonts w:ascii="Cambria" w:eastAsia="Cambria" w:hAnsi="Cambria" w:cs="Cambria"/>
          <w:color w:val="000000" w:themeColor="text1"/>
          <w:sz w:val="20"/>
          <w:szCs w:val="20"/>
          <w:lang w:val="en-US"/>
        </w:rPr>
        <w:t>.</w:t>
      </w:r>
      <w:r w:rsidR="7051BED9" w:rsidRPr="00CC562A">
        <w:rPr>
          <w:rFonts w:ascii="Spectral" w:hAnsi="Spectral"/>
          <w:color w:val="000000" w:themeColor="text1"/>
          <w:lang w:val="en-US"/>
        </w:rPr>
        <w:t xml:space="preserve"> </w:t>
      </w:r>
    </w:p>
    <w:p w14:paraId="291AF906" w14:textId="3F3CFA8D" w:rsidR="008A4D49" w:rsidRPr="00CC562A" w:rsidRDefault="00BA2BF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For its part, the PRODH Center reported that on September 29,</w:t>
      </w:r>
      <w:r w:rsidR="3A50153C" w:rsidRPr="00CC562A">
        <w:rPr>
          <w:rFonts w:ascii="Cambria" w:eastAsia="Cambria" w:hAnsi="Cambria" w:cs="Cambria"/>
          <w:sz w:val="20"/>
          <w:szCs w:val="20"/>
          <w:lang w:val="en-US"/>
        </w:rPr>
        <w:t xml:space="preserve"> </w:t>
      </w:r>
      <w:r w:rsidR="3104B7A2" w:rsidRPr="00CC562A">
        <w:rPr>
          <w:rFonts w:ascii="Cambria" w:eastAsia="Cambria" w:hAnsi="Cambria" w:cs="Cambria"/>
          <w:sz w:val="20"/>
          <w:szCs w:val="20"/>
          <w:lang w:val="en-US"/>
        </w:rPr>
        <w:t>2022</w:t>
      </w:r>
      <w:r w:rsidRPr="00CC562A">
        <w:rPr>
          <w:rFonts w:ascii="Cambria" w:eastAsia="Cambria" w:hAnsi="Cambria" w:cs="Cambria"/>
          <w:sz w:val="20"/>
          <w:szCs w:val="20"/>
          <w:lang w:val="en-US"/>
        </w:rPr>
        <w:t xml:space="preserve"> a group calling itself “</w:t>
      </w:r>
      <w:proofErr w:type="spellStart"/>
      <w:r w:rsidRPr="00CC562A">
        <w:rPr>
          <w:rFonts w:ascii="Cambria" w:eastAsia="Cambria" w:hAnsi="Cambria" w:cs="Cambria"/>
          <w:sz w:val="20"/>
          <w:szCs w:val="20"/>
          <w:lang w:val="en-US"/>
        </w:rPr>
        <w:t>Guaccamaya</w:t>
      </w:r>
      <w:proofErr w:type="spellEnd"/>
      <w:r w:rsidRPr="00CC562A">
        <w:rPr>
          <w:rFonts w:ascii="Cambria" w:eastAsia="Cambria" w:hAnsi="Cambria" w:cs="Cambria"/>
          <w:sz w:val="20"/>
          <w:szCs w:val="20"/>
          <w:lang w:val="en-US"/>
        </w:rPr>
        <w:t>” massively hacked information from the SEDENA servers,</w:t>
      </w:r>
      <w:r w:rsidR="0054543A" w:rsidRPr="00CC562A">
        <w:rPr>
          <w:rFonts w:ascii="Cambria" w:eastAsia="Cambria" w:hAnsi="Cambria" w:cs="Cambria"/>
          <w:sz w:val="20"/>
          <w:szCs w:val="20"/>
          <w:vertAlign w:val="superscript"/>
          <w:lang w:val="en-US"/>
        </w:rPr>
        <w:footnoteReference w:id="311"/>
      </w:r>
      <w:r w:rsidRPr="00CC562A">
        <w:rPr>
          <w:rFonts w:ascii="Cambria" w:eastAsia="Cambria" w:hAnsi="Cambria" w:cs="Cambria"/>
          <w:sz w:val="20"/>
          <w:szCs w:val="20"/>
          <w:lang w:val="en-US"/>
        </w:rPr>
        <w:t xml:space="preserve"> obtaining six </w:t>
      </w:r>
      <w:r w:rsidR="3A50153C" w:rsidRPr="00CC562A">
        <w:rPr>
          <w:rFonts w:ascii="Cambria" w:eastAsia="Cambria" w:hAnsi="Cambria" w:cs="Cambria"/>
          <w:sz w:val="20"/>
          <w:szCs w:val="20"/>
          <w:lang w:val="en-US"/>
        </w:rPr>
        <w:t xml:space="preserve">terabytes </w:t>
      </w:r>
      <w:r w:rsidRPr="00CC562A">
        <w:rPr>
          <w:rFonts w:ascii="Cambria" w:eastAsia="Cambria" w:hAnsi="Cambria" w:cs="Cambria"/>
          <w:sz w:val="20"/>
          <w:szCs w:val="20"/>
          <w:lang w:val="en-US"/>
        </w:rPr>
        <w:t>of information,</w:t>
      </w:r>
      <w:r w:rsidR="0054543A" w:rsidRPr="00CC562A">
        <w:rPr>
          <w:rFonts w:ascii="Cambria" w:eastAsia="Cambria" w:hAnsi="Cambria" w:cs="Cambria"/>
          <w:sz w:val="20"/>
          <w:szCs w:val="20"/>
          <w:vertAlign w:val="superscript"/>
          <w:lang w:val="en-US"/>
        </w:rPr>
        <w:footnoteReference w:id="312"/>
      </w:r>
      <w:r w:rsidRPr="00CC562A">
        <w:rPr>
          <w:rFonts w:ascii="Cambria" w:eastAsia="Cambria" w:hAnsi="Cambria" w:cs="Cambria"/>
          <w:sz w:val="20"/>
          <w:szCs w:val="20"/>
          <w:lang w:val="en-US"/>
        </w:rPr>
        <w:t xml:space="preserve"> including the institution’s e-mails and documents produced between</w:t>
      </w:r>
      <w:r w:rsidR="3A50153C" w:rsidRPr="00CC562A">
        <w:rPr>
          <w:rFonts w:ascii="Cambria" w:eastAsia="Cambria" w:hAnsi="Cambria" w:cs="Cambria"/>
          <w:sz w:val="20"/>
          <w:szCs w:val="20"/>
          <w:lang w:val="en-US"/>
        </w:rPr>
        <w:t xml:space="preserve"> 2016 </w:t>
      </w:r>
      <w:r w:rsidRPr="00CC562A">
        <w:rPr>
          <w:rFonts w:ascii="Cambria" w:eastAsia="Cambria" w:hAnsi="Cambria" w:cs="Cambria"/>
          <w:sz w:val="20"/>
          <w:szCs w:val="20"/>
          <w:lang w:val="en-US"/>
        </w:rPr>
        <w:t xml:space="preserve">and September </w:t>
      </w:r>
      <w:r w:rsidR="3A50153C" w:rsidRPr="00CC562A">
        <w:rPr>
          <w:rFonts w:ascii="Cambria" w:eastAsia="Cambria" w:hAnsi="Cambria" w:cs="Cambria"/>
          <w:sz w:val="20"/>
          <w:szCs w:val="20"/>
          <w:lang w:val="en-US"/>
        </w:rPr>
        <w:lastRenderedPageBreak/>
        <w:t>2022</w:t>
      </w:r>
      <w:r w:rsidRPr="00CC562A">
        <w:rPr>
          <w:rFonts w:ascii="Cambria" w:eastAsia="Cambria" w:hAnsi="Cambria" w:cs="Cambria"/>
          <w:sz w:val="20"/>
          <w:szCs w:val="20"/>
          <w:lang w:val="en-US"/>
        </w:rPr>
        <w:t>.</w:t>
      </w:r>
      <w:r w:rsidR="0054543A" w:rsidRPr="00CC562A">
        <w:rPr>
          <w:rFonts w:ascii="Cambria" w:eastAsia="Cambria" w:hAnsi="Cambria" w:cs="Cambria"/>
          <w:sz w:val="20"/>
          <w:szCs w:val="20"/>
          <w:vertAlign w:val="superscript"/>
          <w:lang w:val="en-US"/>
        </w:rPr>
        <w:footnoteReference w:id="313"/>
      </w:r>
      <w:r w:rsidR="3A50153C" w:rsidRPr="00CC562A">
        <w:rPr>
          <w:rFonts w:ascii="Cambria" w:eastAsia="Cambria" w:hAnsi="Cambria" w:cs="Cambria"/>
          <w:sz w:val="20"/>
          <w:szCs w:val="20"/>
          <w:lang w:val="en-US"/>
        </w:rPr>
        <w:t xml:space="preserve">  </w:t>
      </w:r>
      <w:r w:rsidR="003D5BCB" w:rsidRPr="00CC562A">
        <w:rPr>
          <w:rFonts w:ascii="Cambria" w:eastAsia="Cambria" w:hAnsi="Cambria" w:cs="Cambria"/>
          <w:sz w:val="20"/>
          <w:szCs w:val="20"/>
          <w:lang w:val="en-US"/>
        </w:rPr>
        <w:t xml:space="preserve">The PRODH Center emphasized that one of the most concerning aspects is the finding of surveillance, monitoring, and categorization </w:t>
      </w:r>
      <w:r w:rsidR="00235296" w:rsidRPr="00CC562A">
        <w:rPr>
          <w:rFonts w:ascii="Cambria" w:eastAsia="Cambria" w:hAnsi="Cambria" w:cs="Cambria"/>
          <w:sz w:val="20"/>
          <w:szCs w:val="20"/>
          <w:lang w:val="en-US"/>
        </w:rPr>
        <w:t xml:space="preserve">operations conducted by the </w:t>
      </w:r>
      <w:r w:rsidR="3A50153C" w:rsidRPr="00CC562A">
        <w:rPr>
          <w:rFonts w:ascii="Cambria" w:eastAsia="Cambria" w:hAnsi="Cambria" w:cs="Cambria"/>
          <w:sz w:val="20"/>
          <w:szCs w:val="20"/>
          <w:lang w:val="en-US"/>
        </w:rPr>
        <w:t xml:space="preserve">SEDENA </w:t>
      </w:r>
      <w:r w:rsidR="00235296" w:rsidRPr="00CC562A">
        <w:rPr>
          <w:rFonts w:ascii="Cambria" w:eastAsia="Cambria" w:hAnsi="Cambria" w:cs="Cambria"/>
          <w:sz w:val="20"/>
          <w:szCs w:val="20"/>
          <w:lang w:val="en-US"/>
        </w:rPr>
        <w:t>with respect to</w:t>
      </w:r>
      <w:r w:rsidR="003D5BCB" w:rsidRPr="00CC562A">
        <w:rPr>
          <w:rFonts w:ascii="Cambria" w:eastAsia="Cambria" w:hAnsi="Cambria" w:cs="Cambria"/>
          <w:sz w:val="20"/>
          <w:szCs w:val="20"/>
          <w:lang w:val="en-US"/>
        </w:rPr>
        <w:t xml:space="preserve"> civilian organizations and human rights defenders, activists, and journalists.</w:t>
      </w:r>
      <w:r w:rsidR="0054543A" w:rsidRPr="00CC562A">
        <w:rPr>
          <w:rFonts w:ascii="Cambria" w:eastAsia="Cambria" w:hAnsi="Cambria" w:cs="Cambria"/>
          <w:sz w:val="20"/>
          <w:szCs w:val="20"/>
          <w:vertAlign w:val="superscript"/>
          <w:lang w:val="en-US"/>
        </w:rPr>
        <w:footnoteReference w:id="314"/>
      </w:r>
      <w:r w:rsidR="003D5BCB" w:rsidRPr="00CC562A">
        <w:rPr>
          <w:rFonts w:ascii="Cambria" w:eastAsia="Cambria" w:hAnsi="Cambria" w:cs="Cambria"/>
          <w:sz w:val="20"/>
          <w:szCs w:val="20"/>
          <w:lang w:val="en-US"/>
        </w:rPr>
        <w:t xml:space="preserve"> The organization noted that the leaked files include documents prepared </w:t>
      </w:r>
      <w:r w:rsidR="00235296" w:rsidRPr="00CC562A">
        <w:rPr>
          <w:rFonts w:ascii="Cambria" w:eastAsia="Cambria" w:hAnsi="Cambria" w:cs="Cambria"/>
          <w:sz w:val="20"/>
          <w:szCs w:val="20"/>
          <w:lang w:val="en-US"/>
        </w:rPr>
        <w:t>by</w:t>
      </w:r>
      <w:r w:rsidR="003D5BCB" w:rsidRPr="00CC562A">
        <w:rPr>
          <w:rFonts w:ascii="Cambria" w:eastAsia="Cambria" w:hAnsi="Cambria" w:cs="Cambria"/>
          <w:sz w:val="20"/>
          <w:szCs w:val="20"/>
          <w:lang w:val="en-US"/>
        </w:rPr>
        <w:t xml:space="preserve"> that institution that detail the profile of various organizations, social movements, groups, and their members, including photographs and personal data, reports on their activities and positions with respect to the government and the army, political ties, and other evidence.</w:t>
      </w:r>
      <w:r w:rsidR="0054543A" w:rsidRPr="00CC562A">
        <w:rPr>
          <w:rFonts w:ascii="Cambria" w:eastAsia="Cambria" w:hAnsi="Cambria" w:cs="Cambria"/>
          <w:sz w:val="20"/>
          <w:szCs w:val="20"/>
          <w:vertAlign w:val="superscript"/>
          <w:lang w:val="en-US"/>
        </w:rPr>
        <w:footnoteReference w:id="315"/>
      </w:r>
      <w:r w:rsidR="3A50153C" w:rsidRPr="00CC562A">
        <w:rPr>
          <w:rFonts w:ascii="Cambria" w:eastAsia="Cambria" w:hAnsi="Cambria" w:cs="Cambria"/>
          <w:sz w:val="20"/>
          <w:szCs w:val="20"/>
          <w:lang w:val="en-US"/>
        </w:rPr>
        <w:t xml:space="preserve"> </w:t>
      </w:r>
    </w:p>
    <w:p w14:paraId="33EAC8EF" w14:textId="159AD904" w:rsidR="009965A7" w:rsidRPr="00CC562A" w:rsidRDefault="003D5BCB"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2022, </w:t>
      </w:r>
      <w:r w:rsidR="00276638" w:rsidRPr="00CC562A">
        <w:rPr>
          <w:rFonts w:ascii="Cambria" w:eastAsia="Cambria" w:hAnsi="Cambria" w:cs="Cambria"/>
          <w:sz w:val="20"/>
          <w:szCs w:val="20"/>
          <w:lang w:val="en-US"/>
        </w:rPr>
        <w:t>the IACHR</w:t>
      </w:r>
      <w:r w:rsidR="1D66B9C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and its Special Rapporteur noted </w:t>
      </w:r>
      <w:r w:rsidR="00FD234B" w:rsidRPr="00CC562A">
        <w:rPr>
          <w:rFonts w:ascii="Cambria" w:eastAsia="Cambria" w:hAnsi="Cambria" w:cs="Cambria"/>
          <w:sz w:val="20"/>
          <w:szCs w:val="20"/>
          <w:lang w:val="en-US"/>
        </w:rPr>
        <w:t>an upsurge in violence against journalists in Mexico, as evidenced by one of the highest murder figures in recent years. According to the information reported to the Special Rapporteur, at least</w:t>
      </w:r>
      <w:r w:rsidR="1D66B9C8" w:rsidRPr="00CC562A">
        <w:rPr>
          <w:rFonts w:ascii="Cambria" w:eastAsia="Cambria" w:hAnsi="Cambria" w:cs="Cambria"/>
          <w:sz w:val="20"/>
          <w:szCs w:val="20"/>
          <w:lang w:val="en-US"/>
        </w:rPr>
        <w:t xml:space="preserve"> 15 </w:t>
      </w:r>
      <w:r w:rsidR="00FD234B" w:rsidRPr="00CC562A">
        <w:rPr>
          <w:rFonts w:ascii="Cambria" w:eastAsia="Cambria" w:hAnsi="Cambria" w:cs="Cambria"/>
          <w:sz w:val="20"/>
          <w:szCs w:val="20"/>
          <w:lang w:val="en-US"/>
        </w:rPr>
        <w:t>journalists and communicators were murdered for reasons that could be related to their work</w:t>
      </w:r>
      <w:r w:rsidR="1D66B9C8" w:rsidRPr="00CC562A">
        <w:rPr>
          <w:rFonts w:ascii="Cambria" w:eastAsia="Cambria" w:hAnsi="Cambria" w:cs="Cambria"/>
          <w:sz w:val="20"/>
          <w:szCs w:val="20"/>
          <w:lang w:val="en-US"/>
        </w:rPr>
        <w:t xml:space="preserve">: José Luis </w:t>
      </w:r>
      <w:proofErr w:type="spellStart"/>
      <w:r w:rsidR="1D66B9C8" w:rsidRPr="00CC562A">
        <w:rPr>
          <w:rFonts w:ascii="Cambria" w:eastAsia="Cambria" w:hAnsi="Cambria" w:cs="Cambria"/>
          <w:sz w:val="20"/>
          <w:szCs w:val="20"/>
          <w:lang w:val="en-US"/>
        </w:rPr>
        <w:t>Gamboa</w:t>
      </w:r>
      <w:proofErr w:type="spellEnd"/>
      <w:r w:rsidR="1D66B9C8" w:rsidRPr="00CC562A">
        <w:rPr>
          <w:rFonts w:ascii="Cambria" w:eastAsia="Cambria" w:hAnsi="Cambria" w:cs="Cambria"/>
          <w:sz w:val="20"/>
          <w:szCs w:val="20"/>
          <w:lang w:val="en-US"/>
        </w:rPr>
        <w:t xml:space="preserve"> Arenas, </w:t>
      </w:r>
      <w:r w:rsidR="00FD234B" w:rsidRPr="00CC562A">
        <w:rPr>
          <w:rFonts w:ascii="Cambria" w:eastAsia="Cambria" w:hAnsi="Cambria" w:cs="Cambria"/>
          <w:sz w:val="20"/>
          <w:szCs w:val="20"/>
          <w:lang w:val="en-US"/>
        </w:rPr>
        <w:t xml:space="preserve">in the city of </w:t>
      </w:r>
      <w:r w:rsidR="1D66B9C8" w:rsidRPr="00CC562A">
        <w:rPr>
          <w:rFonts w:ascii="Cambria" w:eastAsia="Cambria" w:hAnsi="Cambria" w:cs="Cambria"/>
          <w:sz w:val="20"/>
          <w:szCs w:val="20"/>
          <w:lang w:val="en-US"/>
        </w:rPr>
        <w:t>Veracruz</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16"/>
      </w:r>
      <w:r w:rsidR="1D66B9C8" w:rsidRPr="00CC562A">
        <w:rPr>
          <w:rFonts w:ascii="Cambria" w:eastAsia="Cambria" w:hAnsi="Cambria" w:cs="Cambria"/>
          <w:sz w:val="20"/>
          <w:szCs w:val="20"/>
          <w:lang w:val="en-US"/>
        </w:rPr>
        <w:t xml:space="preserve"> Alfonso Margarito Martínez Esquivel, </w:t>
      </w:r>
      <w:r w:rsidR="00FD234B" w:rsidRPr="00CC562A">
        <w:rPr>
          <w:rFonts w:ascii="Cambria" w:eastAsia="Cambria" w:hAnsi="Cambria" w:cs="Cambria"/>
          <w:sz w:val="20"/>
          <w:szCs w:val="20"/>
          <w:lang w:val="en-US"/>
        </w:rPr>
        <w:t xml:space="preserve">in the city of </w:t>
      </w:r>
      <w:r w:rsidR="1D66B9C8" w:rsidRPr="00CC562A">
        <w:rPr>
          <w:rFonts w:ascii="Cambria" w:eastAsia="Cambria" w:hAnsi="Cambria" w:cs="Cambria"/>
          <w:sz w:val="20"/>
          <w:szCs w:val="20"/>
          <w:lang w:val="en-US"/>
        </w:rPr>
        <w:t xml:space="preserve">Tijuana, </w:t>
      </w:r>
      <w:r w:rsidR="00FD234B" w:rsidRPr="00CC562A">
        <w:rPr>
          <w:rFonts w:ascii="Cambria" w:eastAsia="Cambria" w:hAnsi="Cambria" w:cs="Cambria"/>
          <w:sz w:val="20"/>
          <w:szCs w:val="20"/>
          <w:lang w:val="en-US"/>
        </w:rPr>
        <w:t xml:space="preserve">state of </w:t>
      </w:r>
      <w:r w:rsidR="1D66B9C8" w:rsidRPr="00CC562A">
        <w:rPr>
          <w:rFonts w:ascii="Cambria" w:eastAsia="Cambria" w:hAnsi="Cambria" w:cs="Cambria"/>
          <w:sz w:val="20"/>
          <w:szCs w:val="20"/>
          <w:lang w:val="en-US"/>
        </w:rPr>
        <w:t>Baja California</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17"/>
      </w:r>
      <w:r w:rsidR="1D66B9C8" w:rsidRPr="00CC562A">
        <w:rPr>
          <w:rFonts w:ascii="Cambria" w:eastAsia="Cambria" w:hAnsi="Cambria" w:cs="Cambria"/>
          <w:sz w:val="20"/>
          <w:szCs w:val="20"/>
          <w:lang w:val="en-US"/>
        </w:rPr>
        <w:t xml:space="preserve"> Lourdes Maldonado López, </w:t>
      </w:r>
      <w:r w:rsidR="00FD234B"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Tijuana, </w:t>
      </w:r>
      <w:r w:rsidR="00FD234B" w:rsidRPr="00CC562A">
        <w:rPr>
          <w:rFonts w:ascii="Cambria" w:eastAsia="Cambria" w:hAnsi="Cambria" w:cs="Cambria"/>
          <w:sz w:val="20"/>
          <w:szCs w:val="20"/>
          <w:lang w:val="en-US"/>
        </w:rPr>
        <w:t>state of</w:t>
      </w:r>
      <w:r w:rsidR="1D66B9C8" w:rsidRPr="00CC562A">
        <w:rPr>
          <w:rFonts w:ascii="Cambria" w:eastAsia="Cambria" w:hAnsi="Cambria" w:cs="Cambria"/>
          <w:sz w:val="20"/>
          <w:szCs w:val="20"/>
          <w:lang w:val="en-US"/>
        </w:rPr>
        <w:t xml:space="preserve"> Baja California</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18"/>
      </w:r>
      <w:r w:rsidR="1D66B9C8" w:rsidRPr="00CC562A">
        <w:rPr>
          <w:rFonts w:ascii="Cambria" w:eastAsia="Cambria" w:hAnsi="Cambria" w:cs="Cambria"/>
          <w:sz w:val="20"/>
          <w:szCs w:val="20"/>
          <w:lang w:val="en-US"/>
        </w:rPr>
        <w:t xml:space="preserve"> Roberto Toledo, </w:t>
      </w:r>
      <w:r w:rsidR="00FD234B"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w:t>
      </w:r>
      <w:proofErr w:type="spellStart"/>
      <w:r w:rsidR="1D66B9C8" w:rsidRPr="00CC562A">
        <w:rPr>
          <w:rFonts w:ascii="Cambria" w:eastAsia="Cambria" w:hAnsi="Cambria" w:cs="Cambria"/>
          <w:sz w:val="20"/>
          <w:szCs w:val="20"/>
          <w:lang w:val="en-US"/>
        </w:rPr>
        <w:t>Zitácuaro</w:t>
      </w:r>
      <w:proofErr w:type="spellEnd"/>
      <w:r w:rsidR="1D66B9C8" w:rsidRPr="00CC562A">
        <w:rPr>
          <w:rFonts w:ascii="Cambria" w:eastAsia="Cambria" w:hAnsi="Cambria" w:cs="Cambria"/>
          <w:sz w:val="20"/>
          <w:szCs w:val="20"/>
          <w:lang w:val="en-US"/>
        </w:rPr>
        <w:t xml:space="preserve">, </w:t>
      </w:r>
      <w:r w:rsidR="00FD234B" w:rsidRPr="00CC562A">
        <w:rPr>
          <w:rFonts w:ascii="Cambria" w:eastAsia="Cambria" w:hAnsi="Cambria" w:cs="Cambria"/>
          <w:sz w:val="20"/>
          <w:szCs w:val="20"/>
          <w:lang w:val="en-US"/>
        </w:rPr>
        <w:t xml:space="preserve">state of </w:t>
      </w:r>
      <w:r w:rsidR="1D66B9C8" w:rsidRPr="00CC562A">
        <w:rPr>
          <w:rFonts w:ascii="Cambria" w:eastAsia="Cambria" w:hAnsi="Cambria" w:cs="Cambria"/>
          <w:sz w:val="20"/>
          <w:szCs w:val="20"/>
          <w:lang w:val="en-US"/>
        </w:rPr>
        <w:t>Michoacán</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19"/>
      </w:r>
      <w:r w:rsidR="1D66B9C8" w:rsidRPr="00CC562A">
        <w:rPr>
          <w:rFonts w:ascii="Cambria" w:eastAsia="Cambria" w:hAnsi="Cambria" w:cs="Cambria"/>
          <w:sz w:val="20"/>
          <w:szCs w:val="20"/>
          <w:lang w:val="en-US"/>
        </w:rPr>
        <w:t xml:space="preserve"> Heber López Vásquez, </w:t>
      </w:r>
      <w:r w:rsidR="00FD234B"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Salina Cruz, </w:t>
      </w:r>
      <w:r w:rsidR="00FD234B" w:rsidRPr="00CC562A">
        <w:rPr>
          <w:rFonts w:ascii="Cambria" w:eastAsia="Cambria" w:hAnsi="Cambria" w:cs="Cambria"/>
          <w:sz w:val="20"/>
          <w:szCs w:val="20"/>
          <w:lang w:val="en-US"/>
        </w:rPr>
        <w:t>state of</w:t>
      </w:r>
      <w:r w:rsidR="1D66B9C8" w:rsidRPr="00CC562A">
        <w:rPr>
          <w:rFonts w:ascii="Cambria" w:eastAsia="Cambria" w:hAnsi="Cambria" w:cs="Cambria"/>
          <w:sz w:val="20"/>
          <w:szCs w:val="20"/>
          <w:lang w:val="en-US"/>
        </w:rPr>
        <w:t xml:space="preserve"> Oaxaca</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0"/>
      </w:r>
      <w:r w:rsidR="1D66B9C8" w:rsidRPr="00CC562A">
        <w:rPr>
          <w:rFonts w:ascii="Cambria" w:eastAsia="Cambria" w:hAnsi="Cambria" w:cs="Cambria"/>
          <w:sz w:val="20"/>
          <w:szCs w:val="20"/>
          <w:lang w:val="en-US"/>
        </w:rPr>
        <w:t xml:space="preserve"> Jorge Luis </w:t>
      </w:r>
      <w:proofErr w:type="spellStart"/>
      <w:r w:rsidR="1D66B9C8" w:rsidRPr="00CC562A">
        <w:rPr>
          <w:rFonts w:ascii="Cambria" w:eastAsia="Cambria" w:hAnsi="Cambria" w:cs="Cambria"/>
          <w:sz w:val="20"/>
          <w:szCs w:val="20"/>
          <w:lang w:val="en-US"/>
        </w:rPr>
        <w:t>Camero</w:t>
      </w:r>
      <w:proofErr w:type="spellEnd"/>
      <w:r w:rsidR="1D66B9C8" w:rsidRPr="00CC562A">
        <w:rPr>
          <w:rFonts w:ascii="Cambria" w:eastAsia="Cambria" w:hAnsi="Cambria" w:cs="Cambria"/>
          <w:sz w:val="20"/>
          <w:szCs w:val="20"/>
          <w:lang w:val="en-US"/>
        </w:rPr>
        <w:t xml:space="preserve"> </w:t>
      </w:r>
      <w:proofErr w:type="spellStart"/>
      <w:r w:rsidR="1D66B9C8" w:rsidRPr="00CC562A">
        <w:rPr>
          <w:rFonts w:ascii="Cambria" w:eastAsia="Cambria" w:hAnsi="Cambria" w:cs="Cambria"/>
          <w:sz w:val="20"/>
          <w:szCs w:val="20"/>
          <w:lang w:val="en-US"/>
        </w:rPr>
        <w:t>Zazueta</w:t>
      </w:r>
      <w:proofErr w:type="spellEnd"/>
      <w:r w:rsidR="1D66B9C8" w:rsidRPr="00CC562A">
        <w:rPr>
          <w:rFonts w:ascii="Cambria" w:eastAsia="Cambria" w:hAnsi="Cambria" w:cs="Cambria"/>
          <w:sz w:val="20"/>
          <w:szCs w:val="20"/>
          <w:lang w:val="en-US"/>
        </w:rPr>
        <w:t xml:space="preserve">, </w:t>
      </w:r>
      <w:r w:rsidR="00FD234B" w:rsidRPr="00CC562A">
        <w:rPr>
          <w:rFonts w:ascii="Cambria" w:eastAsia="Cambria" w:hAnsi="Cambria" w:cs="Cambria"/>
          <w:sz w:val="20"/>
          <w:szCs w:val="20"/>
          <w:lang w:val="en-US"/>
        </w:rPr>
        <w:t>in the city of</w:t>
      </w:r>
      <w:r w:rsidR="1D66B9C8" w:rsidRPr="00CC562A">
        <w:rPr>
          <w:rFonts w:ascii="Cambria" w:eastAsia="Cambria" w:hAnsi="Cambria" w:cs="Cambria"/>
          <w:sz w:val="20"/>
          <w:szCs w:val="20"/>
          <w:lang w:val="en-US"/>
        </w:rPr>
        <w:t xml:space="preserve"> </w:t>
      </w:r>
      <w:proofErr w:type="spellStart"/>
      <w:r w:rsidR="1D66B9C8" w:rsidRPr="00CC562A">
        <w:rPr>
          <w:rFonts w:ascii="Cambria" w:eastAsia="Cambria" w:hAnsi="Cambria" w:cs="Cambria"/>
          <w:sz w:val="20"/>
          <w:szCs w:val="20"/>
          <w:lang w:val="en-US"/>
        </w:rPr>
        <w:t>Empalme</w:t>
      </w:r>
      <w:proofErr w:type="spellEnd"/>
      <w:r w:rsidR="1D66B9C8" w:rsidRPr="00CC562A">
        <w:rPr>
          <w:rFonts w:ascii="Cambria" w:eastAsia="Cambria" w:hAnsi="Cambria" w:cs="Cambria"/>
          <w:sz w:val="20"/>
          <w:szCs w:val="20"/>
          <w:lang w:val="en-US"/>
        </w:rPr>
        <w:t xml:space="preserve">, </w:t>
      </w:r>
      <w:r w:rsidR="00FD234B" w:rsidRPr="00CC562A">
        <w:rPr>
          <w:rFonts w:ascii="Cambria" w:eastAsia="Cambria" w:hAnsi="Cambria" w:cs="Cambria"/>
          <w:sz w:val="20"/>
          <w:szCs w:val="20"/>
          <w:lang w:val="en-US"/>
        </w:rPr>
        <w:t xml:space="preserve">state of </w:t>
      </w:r>
      <w:r w:rsidR="1D66B9C8" w:rsidRPr="00CC562A">
        <w:rPr>
          <w:rFonts w:ascii="Cambria" w:eastAsia="Cambria" w:hAnsi="Cambria" w:cs="Cambria"/>
          <w:sz w:val="20"/>
          <w:szCs w:val="20"/>
          <w:lang w:val="en-US"/>
        </w:rPr>
        <w:t>Sonora</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1"/>
      </w:r>
      <w:r w:rsidR="00FD234B" w:rsidRPr="00CC562A">
        <w:rPr>
          <w:rFonts w:ascii="Cambria" w:eastAsia="Cambria" w:hAnsi="Cambria" w:cs="Cambria"/>
          <w:sz w:val="20"/>
          <w:szCs w:val="20"/>
          <w:lang w:val="en-US"/>
        </w:rPr>
        <w:t xml:space="preserve"> </w:t>
      </w:r>
      <w:r w:rsidR="1D66B9C8" w:rsidRPr="00CC562A">
        <w:rPr>
          <w:rFonts w:ascii="Cambria" w:eastAsia="Cambria" w:hAnsi="Cambria" w:cs="Cambria"/>
          <w:sz w:val="20"/>
          <w:szCs w:val="20"/>
          <w:lang w:val="en-US"/>
        </w:rPr>
        <w:t xml:space="preserve">Juan Carlos </w:t>
      </w:r>
      <w:proofErr w:type="spellStart"/>
      <w:r w:rsidR="1D66B9C8" w:rsidRPr="00CC562A">
        <w:rPr>
          <w:rFonts w:ascii="Cambria" w:eastAsia="Cambria" w:hAnsi="Cambria" w:cs="Cambria"/>
          <w:sz w:val="20"/>
          <w:szCs w:val="20"/>
          <w:lang w:val="en-US"/>
        </w:rPr>
        <w:t>Muñiz</w:t>
      </w:r>
      <w:proofErr w:type="spellEnd"/>
      <w:r w:rsidR="1D66B9C8" w:rsidRPr="00CC562A">
        <w:rPr>
          <w:rFonts w:ascii="Cambria" w:eastAsia="Cambria" w:hAnsi="Cambria" w:cs="Cambria"/>
          <w:sz w:val="20"/>
          <w:szCs w:val="20"/>
          <w:lang w:val="en-US"/>
        </w:rPr>
        <w:t>,</w:t>
      </w:r>
      <w:r w:rsidR="00FD234B" w:rsidRPr="00CC562A">
        <w:rPr>
          <w:rFonts w:ascii="Cambria" w:eastAsia="Cambria" w:hAnsi="Cambria" w:cs="Cambria"/>
          <w:sz w:val="20"/>
          <w:szCs w:val="20"/>
          <w:lang w:val="en-US"/>
        </w:rPr>
        <w:t xml:space="preserve"> in the city of </w:t>
      </w:r>
      <w:r w:rsidR="1D66B9C8" w:rsidRPr="00CC562A">
        <w:rPr>
          <w:rFonts w:ascii="Cambria" w:eastAsia="Cambria" w:hAnsi="Cambria" w:cs="Cambria"/>
          <w:sz w:val="20"/>
          <w:szCs w:val="20"/>
          <w:lang w:val="en-US"/>
        </w:rPr>
        <w:t xml:space="preserve">Fresnillo, </w:t>
      </w:r>
      <w:r w:rsidR="00FD234B" w:rsidRPr="00CC562A">
        <w:rPr>
          <w:rFonts w:ascii="Cambria" w:eastAsia="Cambria" w:hAnsi="Cambria" w:cs="Cambria"/>
          <w:sz w:val="20"/>
          <w:szCs w:val="20"/>
          <w:lang w:val="en-US"/>
        </w:rPr>
        <w:t xml:space="preserve">state of </w:t>
      </w:r>
      <w:r w:rsidR="1D66B9C8" w:rsidRPr="00CC562A">
        <w:rPr>
          <w:rFonts w:ascii="Cambria" w:eastAsia="Cambria" w:hAnsi="Cambria" w:cs="Cambria"/>
          <w:sz w:val="20"/>
          <w:szCs w:val="20"/>
          <w:lang w:val="en-US"/>
        </w:rPr>
        <w:t>Zacatecas</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2"/>
      </w:r>
      <w:r w:rsidR="00FD234B" w:rsidRPr="00CC562A">
        <w:rPr>
          <w:rFonts w:ascii="Cambria" w:eastAsia="Cambria" w:hAnsi="Cambria" w:cs="Cambria"/>
          <w:sz w:val="20"/>
          <w:szCs w:val="20"/>
          <w:lang w:val="en-US"/>
        </w:rPr>
        <w:t xml:space="preserve"> </w:t>
      </w:r>
      <w:r w:rsidR="1D66B9C8" w:rsidRPr="00CC562A">
        <w:rPr>
          <w:rFonts w:ascii="Cambria" w:eastAsia="Cambria" w:hAnsi="Cambria" w:cs="Cambria"/>
          <w:sz w:val="20"/>
          <w:szCs w:val="20"/>
          <w:lang w:val="en-US"/>
        </w:rPr>
        <w:t xml:space="preserve">Armando Linares, </w:t>
      </w:r>
      <w:r w:rsidR="00FD234B"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w:t>
      </w:r>
      <w:proofErr w:type="spellStart"/>
      <w:r w:rsidR="1D66B9C8" w:rsidRPr="00CC562A">
        <w:rPr>
          <w:rFonts w:ascii="Cambria" w:eastAsia="Cambria" w:hAnsi="Cambria" w:cs="Cambria"/>
          <w:sz w:val="20"/>
          <w:szCs w:val="20"/>
          <w:lang w:val="en-US"/>
        </w:rPr>
        <w:t>Zitácuaro</w:t>
      </w:r>
      <w:proofErr w:type="spellEnd"/>
      <w:r w:rsidR="1D66B9C8" w:rsidRPr="00CC562A">
        <w:rPr>
          <w:rFonts w:ascii="Cambria" w:eastAsia="Cambria" w:hAnsi="Cambria" w:cs="Cambria"/>
          <w:sz w:val="20"/>
          <w:szCs w:val="20"/>
          <w:lang w:val="en-US"/>
        </w:rPr>
        <w:t xml:space="preserve">, </w:t>
      </w:r>
      <w:r w:rsidR="00FD234B" w:rsidRPr="00CC562A">
        <w:rPr>
          <w:rFonts w:ascii="Cambria" w:eastAsia="Cambria" w:hAnsi="Cambria" w:cs="Cambria"/>
          <w:sz w:val="20"/>
          <w:szCs w:val="20"/>
          <w:lang w:val="en-US"/>
        </w:rPr>
        <w:t>state of</w:t>
      </w:r>
      <w:r w:rsidR="1D66B9C8" w:rsidRPr="00CC562A">
        <w:rPr>
          <w:rFonts w:ascii="Cambria" w:eastAsia="Cambria" w:hAnsi="Cambria" w:cs="Cambria"/>
          <w:sz w:val="20"/>
          <w:szCs w:val="20"/>
          <w:lang w:val="en-US"/>
        </w:rPr>
        <w:t xml:space="preserve"> Michoacán</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3"/>
      </w:r>
      <w:r w:rsidR="00FD234B" w:rsidRPr="00CC562A">
        <w:rPr>
          <w:rFonts w:ascii="Cambria" w:eastAsia="Cambria" w:hAnsi="Cambria" w:cs="Cambria"/>
          <w:sz w:val="20"/>
          <w:szCs w:val="20"/>
          <w:lang w:val="en-US"/>
        </w:rPr>
        <w:t xml:space="preserve"> </w:t>
      </w:r>
      <w:r w:rsidR="1D66B9C8" w:rsidRPr="00CC562A">
        <w:rPr>
          <w:rFonts w:ascii="Cambria" w:eastAsia="Cambria" w:hAnsi="Cambria" w:cs="Cambria"/>
          <w:sz w:val="20"/>
          <w:szCs w:val="20"/>
          <w:lang w:val="en-US"/>
        </w:rPr>
        <w:t xml:space="preserve">Luis Enrique Ramírez, </w:t>
      </w:r>
      <w:r w:rsidR="00FD234B"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w:t>
      </w:r>
      <w:proofErr w:type="spellStart"/>
      <w:r w:rsidR="1D66B9C8" w:rsidRPr="00CC562A">
        <w:rPr>
          <w:rFonts w:ascii="Cambria" w:eastAsia="Cambria" w:hAnsi="Cambria" w:cs="Cambria"/>
          <w:sz w:val="20"/>
          <w:szCs w:val="20"/>
          <w:lang w:val="en-US"/>
        </w:rPr>
        <w:t>Culiacán</w:t>
      </w:r>
      <w:proofErr w:type="spellEnd"/>
      <w:r w:rsidR="1D66B9C8" w:rsidRPr="00CC562A">
        <w:rPr>
          <w:rFonts w:ascii="Cambria" w:eastAsia="Cambria" w:hAnsi="Cambria" w:cs="Cambria"/>
          <w:sz w:val="20"/>
          <w:szCs w:val="20"/>
          <w:lang w:val="en-US"/>
        </w:rPr>
        <w:t xml:space="preserve">, </w:t>
      </w:r>
      <w:r w:rsidR="00FD234B" w:rsidRPr="00CC562A">
        <w:rPr>
          <w:rFonts w:ascii="Cambria" w:eastAsia="Cambria" w:hAnsi="Cambria" w:cs="Cambria"/>
          <w:sz w:val="20"/>
          <w:szCs w:val="20"/>
          <w:lang w:val="en-US"/>
        </w:rPr>
        <w:t>state of</w:t>
      </w:r>
      <w:r w:rsidR="1D66B9C8" w:rsidRPr="00CC562A">
        <w:rPr>
          <w:rFonts w:ascii="Cambria" w:eastAsia="Cambria" w:hAnsi="Cambria" w:cs="Cambria"/>
          <w:sz w:val="20"/>
          <w:szCs w:val="20"/>
          <w:lang w:val="en-US"/>
        </w:rPr>
        <w:t xml:space="preserve"> Sinaloa</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4"/>
      </w:r>
      <w:r w:rsidR="1D66B9C8" w:rsidRPr="00CC562A">
        <w:rPr>
          <w:rFonts w:ascii="Cambria" w:eastAsia="Cambria" w:hAnsi="Cambria" w:cs="Cambria"/>
          <w:sz w:val="20"/>
          <w:szCs w:val="20"/>
          <w:lang w:val="en-US"/>
        </w:rPr>
        <w:t xml:space="preserve"> Yesenia Mollinedo </w:t>
      </w:r>
      <w:r w:rsidR="00FD234B" w:rsidRPr="00CC562A">
        <w:rPr>
          <w:rFonts w:ascii="Cambria" w:eastAsia="Cambria" w:hAnsi="Cambria" w:cs="Cambria"/>
          <w:sz w:val="20"/>
          <w:szCs w:val="20"/>
          <w:lang w:val="en-US"/>
        </w:rPr>
        <w:t>and</w:t>
      </w:r>
      <w:r w:rsidR="1D66B9C8" w:rsidRPr="00CC562A">
        <w:rPr>
          <w:rFonts w:ascii="Cambria" w:eastAsia="Cambria" w:hAnsi="Cambria" w:cs="Cambria"/>
          <w:sz w:val="20"/>
          <w:szCs w:val="20"/>
          <w:lang w:val="en-US"/>
        </w:rPr>
        <w:t xml:space="preserve"> Sheila Johana García, </w:t>
      </w:r>
      <w:r w:rsidR="00FD234B" w:rsidRPr="00CC562A">
        <w:rPr>
          <w:rFonts w:ascii="Cambria" w:eastAsia="Cambria" w:hAnsi="Cambria" w:cs="Cambria"/>
          <w:sz w:val="20"/>
          <w:szCs w:val="20"/>
          <w:lang w:val="en-US"/>
        </w:rPr>
        <w:t>in the municipality of</w:t>
      </w:r>
      <w:r w:rsidR="1D66B9C8" w:rsidRPr="00CC562A">
        <w:rPr>
          <w:rFonts w:ascii="Cambria" w:eastAsia="Cambria" w:hAnsi="Cambria" w:cs="Cambria"/>
          <w:sz w:val="20"/>
          <w:szCs w:val="20"/>
          <w:lang w:val="en-US"/>
        </w:rPr>
        <w:t xml:space="preserve"> </w:t>
      </w:r>
      <w:proofErr w:type="spellStart"/>
      <w:r w:rsidR="1D66B9C8" w:rsidRPr="00CC562A">
        <w:rPr>
          <w:rFonts w:ascii="Cambria" w:eastAsia="Cambria" w:hAnsi="Cambria" w:cs="Cambria"/>
          <w:sz w:val="20"/>
          <w:szCs w:val="20"/>
          <w:lang w:val="en-US"/>
        </w:rPr>
        <w:t>Cosoleacaque</w:t>
      </w:r>
      <w:proofErr w:type="spellEnd"/>
      <w:r w:rsidR="1D66B9C8" w:rsidRPr="00CC562A">
        <w:rPr>
          <w:rFonts w:ascii="Cambria" w:eastAsia="Cambria" w:hAnsi="Cambria" w:cs="Cambria"/>
          <w:sz w:val="20"/>
          <w:szCs w:val="20"/>
          <w:lang w:val="en-US"/>
        </w:rPr>
        <w:t xml:space="preserve">, </w:t>
      </w:r>
      <w:r w:rsidR="00FD234B" w:rsidRPr="00CC562A">
        <w:rPr>
          <w:rFonts w:ascii="Cambria" w:eastAsia="Cambria" w:hAnsi="Cambria" w:cs="Cambria"/>
          <w:sz w:val="20"/>
          <w:szCs w:val="20"/>
          <w:lang w:val="en-US"/>
        </w:rPr>
        <w:lastRenderedPageBreak/>
        <w:t xml:space="preserve">state of </w:t>
      </w:r>
      <w:r w:rsidR="1D66B9C8" w:rsidRPr="00CC562A">
        <w:rPr>
          <w:rFonts w:ascii="Cambria" w:eastAsia="Cambria" w:hAnsi="Cambria" w:cs="Cambria"/>
          <w:sz w:val="20"/>
          <w:szCs w:val="20"/>
          <w:lang w:val="en-US"/>
        </w:rPr>
        <w:t>Veracruz</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5"/>
      </w:r>
      <w:r w:rsidR="1D66B9C8" w:rsidRPr="00CC562A">
        <w:rPr>
          <w:rFonts w:ascii="Cambria" w:eastAsia="Cambria" w:hAnsi="Cambria" w:cs="Cambria"/>
          <w:sz w:val="20"/>
          <w:szCs w:val="20"/>
          <w:lang w:val="en-US"/>
        </w:rPr>
        <w:t xml:space="preserve"> Antonio de la Cruz, </w:t>
      </w:r>
      <w:r w:rsidR="00FD234B" w:rsidRPr="00CC562A">
        <w:rPr>
          <w:rFonts w:ascii="Cambria" w:eastAsia="Cambria" w:hAnsi="Cambria" w:cs="Cambria"/>
          <w:sz w:val="20"/>
          <w:szCs w:val="20"/>
          <w:lang w:val="en-US"/>
        </w:rPr>
        <w:t xml:space="preserve">in the city of </w:t>
      </w:r>
      <w:r w:rsidR="1D66B9C8" w:rsidRPr="00CC562A">
        <w:rPr>
          <w:rFonts w:ascii="Cambria" w:eastAsia="Cambria" w:hAnsi="Cambria" w:cs="Cambria"/>
          <w:sz w:val="20"/>
          <w:szCs w:val="20"/>
          <w:lang w:val="en-US"/>
        </w:rPr>
        <w:t xml:space="preserve">Victoria, </w:t>
      </w:r>
      <w:r w:rsidR="00FD234B" w:rsidRPr="00CC562A">
        <w:rPr>
          <w:rFonts w:ascii="Cambria" w:eastAsia="Cambria" w:hAnsi="Cambria" w:cs="Cambria"/>
          <w:sz w:val="20"/>
          <w:szCs w:val="20"/>
          <w:lang w:val="en-US"/>
        </w:rPr>
        <w:t>state of</w:t>
      </w:r>
      <w:r w:rsidR="1D66B9C8" w:rsidRPr="00CC562A">
        <w:rPr>
          <w:rFonts w:ascii="Cambria" w:eastAsia="Cambria" w:hAnsi="Cambria" w:cs="Cambria"/>
          <w:sz w:val="20"/>
          <w:szCs w:val="20"/>
          <w:lang w:val="en-US"/>
        </w:rPr>
        <w:t xml:space="preserve"> Tamaulipas</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6"/>
      </w:r>
      <w:r w:rsidR="1D66B9C8" w:rsidRPr="00CC562A">
        <w:rPr>
          <w:rFonts w:ascii="Cambria" w:eastAsia="Cambria" w:hAnsi="Cambria" w:cs="Cambria"/>
          <w:sz w:val="20"/>
          <w:szCs w:val="20"/>
          <w:lang w:val="en-US"/>
        </w:rPr>
        <w:t xml:space="preserve"> Ernesto Méndez, </w:t>
      </w:r>
      <w:r w:rsidR="00FD234B" w:rsidRPr="00CC562A">
        <w:rPr>
          <w:rFonts w:ascii="Cambria" w:eastAsia="Cambria" w:hAnsi="Cambria" w:cs="Cambria"/>
          <w:sz w:val="20"/>
          <w:szCs w:val="20"/>
          <w:lang w:val="en-US"/>
        </w:rPr>
        <w:t>in</w:t>
      </w:r>
      <w:r w:rsidR="1D66B9C8" w:rsidRPr="00CC562A">
        <w:rPr>
          <w:rFonts w:ascii="Cambria" w:eastAsia="Cambria" w:hAnsi="Cambria" w:cs="Cambria"/>
          <w:sz w:val="20"/>
          <w:szCs w:val="20"/>
          <w:lang w:val="en-US"/>
        </w:rPr>
        <w:t xml:space="preserve"> San Luis de la Paz, </w:t>
      </w:r>
      <w:r w:rsidR="00FD234B" w:rsidRPr="00CC562A">
        <w:rPr>
          <w:rFonts w:ascii="Cambria" w:eastAsia="Cambria" w:hAnsi="Cambria" w:cs="Cambria"/>
          <w:sz w:val="20"/>
          <w:szCs w:val="20"/>
          <w:lang w:val="en-US"/>
        </w:rPr>
        <w:t xml:space="preserve">state of </w:t>
      </w:r>
      <w:r w:rsidR="1D66B9C8" w:rsidRPr="00CC562A">
        <w:rPr>
          <w:rFonts w:ascii="Cambria" w:eastAsia="Cambria" w:hAnsi="Cambria" w:cs="Cambria"/>
          <w:sz w:val="20"/>
          <w:szCs w:val="20"/>
          <w:lang w:val="en-US"/>
        </w:rPr>
        <w:t>Guanajuato</w:t>
      </w:r>
      <w:r w:rsidR="00FD234B"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7"/>
      </w:r>
      <w:r w:rsidR="1D66B9C8" w:rsidRPr="00CC562A">
        <w:rPr>
          <w:rFonts w:ascii="Cambria" w:eastAsia="Cambria" w:hAnsi="Cambria" w:cs="Cambria"/>
          <w:sz w:val="20"/>
          <w:szCs w:val="20"/>
          <w:lang w:val="en-US"/>
        </w:rPr>
        <w:t xml:space="preserve"> Juan </w:t>
      </w:r>
      <w:proofErr w:type="spellStart"/>
      <w:r w:rsidR="1D66B9C8" w:rsidRPr="00CC562A">
        <w:rPr>
          <w:rFonts w:ascii="Cambria" w:eastAsia="Cambria" w:hAnsi="Cambria" w:cs="Cambria"/>
          <w:sz w:val="20"/>
          <w:szCs w:val="20"/>
          <w:lang w:val="en-US"/>
        </w:rPr>
        <w:t>Arjón</w:t>
      </w:r>
      <w:proofErr w:type="spellEnd"/>
      <w:r w:rsidR="1D66B9C8" w:rsidRPr="00CC562A">
        <w:rPr>
          <w:rFonts w:ascii="Cambria" w:eastAsia="Cambria" w:hAnsi="Cambria" w:cs="Cambria"/>
          <w:sz w:val="20"/>
          <w:szCs w:val="20"/>
          <w:lang w:val="en-US"/>
        </w:rPr>
        <w:t xml:space="preserve"> López; </w:t>
      </w:r>
      <w:r w:rsidR="00FD234B" w:rsidRPr="00CC562A">
        <w:rPr>
          <w:rFonts w:ascii="Cambria" w:eastAsia="Cambria" w:hAnsi="Cambria" w:cs="Cambria"/>
          <w:sz w:val="20"/>
          <w:szCs w:val="20"/>
          <w:lang w:val="en-US"/>
        </w:rPr>
        <w:t>and</w:t>
      </w:r>
      <w:r w:rsidR="1D66B9C8" w:rsidRPr="00CC562A">
        <w:rPr>
          <w:rFonts w:ascii="Cambria" w:eastAsia="Cambria" w:hAnsi="Cambria" w:cs="Cambria"/>
          <w:sz w:val="20"/>
          <w:szCs w:val="20"/>
          <w:lang w:val="en-US"/>
        </w:rPr>
        <w:t xml:space="preserve"> </w:t>
      </w:r>
      <w:proofErr w:type="spellStart"/>
      <w:r w:rsidR="1D66B9C8" w:rsidRPr="00CC562A">
        <w:rPr>
          <w:rFonts w:ascii="Cambria" w:eastAsia="Cambria" w:hAnsi="Cambria" w:cs="Cambria"/>
          <w:sz w:val="20"/>
          <w:szCs w:val="20"/>
          <w:lang w:val="en-US"/>
        </w:rPr>
        <w:t>Fredid</w:t>
      </w:r>
      <w:proofErr w:type="spellEnd"/>
      <w:r w:rsidR="1D66B9C8" w:rsidRPr="00CC562A">
        <w:rPr>
          <w:rFonts w:ascii="Cambria" w:eastAsia="Cambria" w:hAnsi="Cambria" w:cs="Cambria"/>
          <w:sz w:val="20"/>
          <w:szCs w:val="20"/>
          <w:lang w:val="en-US"/>
        </w:rPr>
        <w:t xml:space="preserve"> Román, </w:t>
      </w:r>
      <w:r w:rsidR="00FD234B" w:rsidRPr="00CC562A">
        <w:rPr>
          <w:rFonts w:ascii="Cambria" w:eastAsia="Cambria" w:hAnsi="Cambria" w:cs="Cambria"/>
          <w:sz w:val="20"/>
          <w:szCs w:val="20"/>
          <w:lang w:val="en-US"/>
        </w:rPr>
        <w:t>i</w:t>
      </w:r>
      <w:r w:rsidR="1D66B9C8" w:rsidRPr="00CC562A">
        <w:rPr>
          <w:rFonts w:ascii="Cambria" w:eastAsia="Cambria" w:hAnsi="Cambria" w:cs="Cambria"/>
          <w:sz w:val="20"/>
          <w:szCs w:val="20"/>
          <w:lang w:val="en-US"/>
        </w:rPr>
        <w:t xml:space="preserve">n Chilpancingo, </w:t>
      </w:r>
      <w:r w:rsidR="00B047AE" w:rsidRPr="00CC562A">
        <w:rPr>
          <w:rFonts w:ascii="Cambria" w:eastAsia="Cambria" w:hAnsi="Cambria" w:cs="Cambria"/>
          <w:sz w:val="20"/>
          <w:szCs w:val="20"/>
          <w:lang w:val="en-US"/>
        </w:rPr>
        <w:t xml:space="preserve">state of </w:t>
      </w:r>
      <w:r w:rsidR="1D66B9C8" w:rsidRPr="00CC562A">
        <w:rPr>
          <w:rFonts w:ascii="Cambria" w:eastAsia="Cambria" w:hAnsi="Cambria" w:cs="Cambria"/>
          <w:sz w:val="20"/>
          <w:szCs w:val="20"/>
          <w:lang w:val="en-US"/>
        </w:rPr>
        <w:t>Guerrero</w:t>
      </w:r>
      <w:r w:rsidR="00B047AE"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28"/>
      </w:r>
    </w:p>
    <w:p w14:paraId="6E5EAB5A" w14:textId="47A39CC9" w:rsidR="009965A7" w:rsidRPr="00CC562A" w:rsidRDefault="00B047A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495088" w:rsidRPr="00CC562A">
        <w:rPr>
          <w:rFonts w:ascii="Cambria" w:eastAsia="Cambria" w:hAnsi="Cambria" w:cs="Cambria"/>
          <w:sz w:val="20"/>
          <w:szCs w:val="20"/>
          <w:lang w:val="en-US"/>
        </w:rPr>
        <w:t xml:space="preserve">In addition, as the </w:t>
      </w:r>
      <w:r w:rsidR="00235296" w:rsidRPr="00CC562A">
        <w:rPr>
          <w:rFonts w:ascii="Cambria" w:eastAsia="Cambria" w:hAnsi="Cambria" w:cs="Cambria"/>
          <w:sz w:val="20"/>
          <w:szCs w:val="20"/>
          <w:lang w:val="en-US"/>
        </w:rPr>
        <w:t xml:space="preserve">Office of the </w:t>
      </w:r>
      <w:r w:rsidR="00495088" w:rsidRPr="00CC562A">
        <w:rPr>
          <w:rFonts w:ascii="Cambria" w:eastAsia="Cambria" w:hAnsi="Cambria" w:cs="Cambria"/>
          <w:sz w:val="20"/>
          <w:szCs w:val="20"/>
          <w:lang w:val="en-US"/>
        </w:rPr>
        <w:t>Special Rapporteur for Freedom of Expression was able to observe, violence against the press in Mexico has also taken the form of aggression, threats, and intimidating attacks against both male and female journalists as well as their family members.</w:t>
      </w:r>
      <w:r w:rsidR="009965A7" w:rsidRPr="00CC562A">
        <w:rPr>
          <w:rFonts w:ascii="Cambria" w:eastAsia="Cambria" w:hAnsi="Cambria" w:cs="Cambria"/>
          <w:sz w:val="20"/>
          <w:szCs w:val="20"/>
          <w:vertAlign w:val="superscript"/>
          <w:lang w:val="en-US"/>
        </w:rPr>
        <w:footnoteReference w:id="329"/>
      </w:r>
      <w:r w:rsidR="1D66B9C8" w:rsidRPr="00CC562A">
        <w:rPr>
          <w:rFonts w:ascii="Cambria" w:eastAsia="Cambria" w:hAnsi="Cambria" w:cs="Cambria"/>
          <w:sz w:val="20"/>
          <w:szCs w:val="20"/>
          <w:lang w:val="en-US"/>
        </w:rPr>
        <w:t xml:space="preserve"> </w:t>
      </w:r>
      <w:r w:rsidR="00495088" w:rsidRPr="00CC562A">
        <w:rPr>
          <w:rFonts w:ascii="Cambria" w:eastAsia="Cambria" w:hAnsi="Cambria" w:cs="Cambria"/>
          <w:sz w:val="20"/>
          <w:szCs w:val="20"/>
          <w:lang w:val="en-US"/>
        </w:rPr>
        <w:t>According to civil society organizations, current figures allow for the conclusion that in Mexico a journalists or media outlet is atta</w:t>
      </w:r>
      <w:r w:rsidR="00235296" w:rsidRPr="00CC562A">
        <w:rPr>
          <w:rFonts w:ascii="Cambria" w:eastAsia="Cambria" w:hAnsi="Cambria" w:cs="Cambria"/>
          <w:sz w:val="20"/>
          <w:szCs w:val="20"/>
          <w:lang w:val="en-US"/>
        </w:rPr>
        <w:t>ck</w:t>
      </w:r>
      <w:r w:rsidR="00495088" w:rsidRPr="00CC562A">
        <w:rPr>
          <w:rFonts w:ascii="Cambria" w:eastAsia="Cambria" w:hAnsi="Cambria" w:cs="Cambria"/>
          <w:sz w:val="20"/>
          <w:szCs w:val="20"/>
          <w:lang w:val="en-US"/>
        </w:rPr>
        <w:t xml:space="preserve">ed </w:t>
      </w:r>
      <w:r w:rsidR="00235296" w:rsidRPr="00CC562A">
        <w:rPr>
          <w:rFonts w:ascii="Cambria" w:eastAsia="Cambria" w:hAnsi="Cambria" w:cs="Cambria"/>
          <w:sz w:val="20"/>
          <w:szCs w:val="20"/>
          <w:lang w:val="en-US"/>
        </w:rPr>
        <w:t>e</w:t>
      </w:r>
      <w:r w:rsidR="00495088" w:rsidRPr="00CC562A">
        <w:rPr>
          <w:rFonts w:ascii="Cambria" w:eastAsia="Cambria" w:hAnsi="Cambria" w:cs="Cambria"/>
          <w:sz w:val="20"/>
          <w:szCs w:val="20"/>
          <w:lang w:val="en-US"/>
        </w:rPr>
        <w:t>very 14 hours for performing their work.</w:t>
      </w:r>
      <w:r w:rsidR="009965A7" w:rsidRPr="00CC562A">
        <w:rPr>
          <w:rFonts w:ascii="Cambria" w:eastAsia="Cambria" w:hAnsi="Cambria" w:cs="Cambria"/>
          <w:sz w:val="20"/>
          <w:szCs w:val="20"/>
          <w:vertAlign w:val="superscript"/>
          <w:lang w:val="en-US"/>
        </w:rPr>
        <w:footnoteReference w:id="330"/>
      </w:r>
      <w:r w:rsidR="00495088" w:rsidRPr="00CC562A">
        <w:rPr>
          <w:rFonts w:ascii="Cambria" w:eastAsia="Cambria" w:hAnsi="Cambria" w:cs="Cambria"/>
          <w:sz w:val="20"/>
          <w:szCs w:val="20"/>
          <w:lang w:val="en-US"/>
        </w:rPr>
        <w:t xml:space="preserve"> According to the information received by the </w:t>
      </w:r>
      <w:r w:rsidR="00941AE1" w:rsidRPr="00CC562A">
        <w:rPr>
          <w:rFonts w:ascii="Cambria" w:eastAsia="Cambria" w:hAnsi="Cambria" w:cs="Cambria"/>
          <w:sz w:val="20"/>
          <w:szCs w:val="20"/>
          <w:lang w:val="en-US"/>
        </w:rPr>
        <w:t>Office of the Rapporteur</w:t>
      </w:r>
      <w:r w:rsidR="00495088" w:rsidRPr="00CC562A">
        <w:rPr>
          <w:rFonts w:ascii="Cambria" w:eastAsia="Cambria" w:hAnsi="Cambria" w:cs="Cambria"/>
          <w:sz w:val="20"/>
          <w:szCs w:val="20"/>
          <w:lang w:val="en-US"/>
        </w:rPr>
        <w:t xml:space="preserve">, this scenario of hostility to the practice of journalism has led to widespread fear among </w:t>
      </w:r>
      <w:r w:rsidR="00941AE1" w:rsidRPr="00CC562A">
        <w:rPr>
          <w:rFonts w:ascii="Cambria" w:eastAsia="Cambria" w:hAnsi="Cambria" w:cs="Cambria"/>
          <w:sz w:val="20"/>
          <w:szCs w:val="20"/>
          <w:lang w:val="en-US"/>
        </w:rPr>
        <w:t xml:space="preserve">the </w:t>
      </w:r>
      <w:r w:rsidR="00495088" w:rsidRPr="00CC562A">
        <w:rPr>
          <w:rFonts w:ascii="Cambria" w:eastAsia="Cambria" w:hAnsi="Cambria" w:cs="Cambria"/>
          <w:sz w:val="20"/>
          <w:szCs w:val="20"/>
          <w:lang w:val="en-US"/>
        </w:rPr>
        <w:t>press with regard to reporting on sensitive issues such as drug trafficking, corruption, or organized crime.</w:t>
      </w:r>
      <w:r w:rsidR="009965A7" w:rsidRPr="00CC562A">
        <w:rPr>
          <w:rFonts w:ascii="Cambria" w:eastAsia="Cambria" w:hAnsi="Cambria" w:cs="Cambria"/>
          <w:sz w:val="20"/>
          <w:szCs w:val="20"/>
          <w:vertAlign w:val="superscript"/>
          <w:lang w:val="en-US"/>
        </w:rPr>
        <w:footnoteReference w:id="331"/>
      </w:r>
      <w:r w:rsidR="1D66B9C8" w:rsidRPr="00CC562A">
        <w:rPr>
          <w:rFonts w:ascii="Cambria" w:eastAsia="Cambria" w:hAnsi="Cambria" w:cs="Cambria"/>
          <w:sz w:val="20"/>
          <w:szCs w:val="20"/>
          <w:lang w:val="en-US"/>
        </w:rPr>
        <w:t>.</w:t>
      </w:r>
    </w:p>
    <w:p w14:paraId="5BFA3616" w14:textId="2D88582A" w:rsidR="009965A7" w:rsidRPr="00CC562A" w:rsidRDefault="0049508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 the</w:t>
      </w:r>
      <w:r w:rsidR="00276638" w:rsidRPr="00CC562A">
        <w:rPr>
          <w:rFonts w:ascii="Cambria" w:eastAsia="Cambria" w:hAnsi="Cambria" w:cs="Cambria"/>
          <w:sz w:val="20"/>
          <w:szCs w:val="20"/>
          <w:lang w:val="en-US"/>
        </w:rPr>
        <w:t xml:space="preserve"> IACHR</w:t>
      </w:r>
      <w:r w:rsidR="1D66B9C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and its Special Rapporteur note that the facts mentioned above </w:t>
      </w:r>
      <w:r w:rsidR="00684FCE" w:rsidRPr="00CC562A">
        <w:rPr>
          <w:rFonts w:ascii="Cambria" w:eastAsia="Cambria" w:hAnsi="Cambria" w:cs="Cambria"/>
          <w:sz w:val="20"/>
          <w:szCs w:val="20"/>
          <w:lang w:val="en-US"/>
        </w:rPr>
        <w:t>are part of a context of constant stigmatization by public officials and leaders targeting the press.</w:t>
      </w:r>
      <w:r w:rsidR="1D66B9C8" w:rsidRPr="00CC562A">
        <w:rPr>
          <w:rFonts w:ascii="Cambria" w:eastAsia="Cambria" w:hAnsi="Cambria" w:cs="Cambria"/>
          <w:sz w:val="20"/>
          <w:szCs w:val="20"/>
          <w:lang w:val="en-US"/>
        </w:rPr>
        <w:t xml:space="preserve"> </w:t>
      </w:r>
      <w:r w:rsidR="00684FCE" w:rsidRPr="00CC562A">
        <w:rPr>
          <w:rFonts w:ascii="Cambria" w:eastAsia="Cambria" w:hAnsi="Cambria" w:cs="Cambria"/>
          <w:sz w:val="20"/>
          <w:szCs w:val="20"/>
          <w:lang w:val="en-US"/>
        </w:rPr>
        <w:t>Stigmatizing and discrediting statements of this kind have been made by government authorities as well as the leaders of various political sectors and, far from contributi</w:t>
      </w:r>
      <w:r w:rsidR="00941AE1" w:rsidRPr="00CC562A">
        <w:rPr>
          <w:rFonts w:ascii="Cambria" w:eastAsia="Cambria" w:hAnsi="Cambria" w:cs="Cambria"/>
          <w:sz w:val="20"/>
          <w:szCs w:val="20"/>
          <w:lang w:val="en-US"/>
        </w:rPr>
        <w:t>ng</w:t>
      </w:r>
      <w:r w:rsidR="00684FCE" w:rsidRPr="00CC562A">
        <w:rPr>
          <w:rFonts w:ascii="Cambria" w:eastAsia="Cambria" w:hAnsi="Cambria" w:cs="Cambria"/>
          <w:sz w:val="20"/>
          <w:szCs w:val="20"/>
          <w:lang w:val="en-US"/>
        </w:rPr>
        <w:t xml:space="preserve"> to recognition of the legitimacy of journalism, such statements </w:t>
      </w:r>
      <w:r w:rsidR="009C1B53" w:rsidRPr="00CC562A">
        <w:rPr>
          <w:rFonts w:ascii="Cambria" w:eastAsia="Cambria" w:hAnsi="Cambria" w:cs="Cambria"/>
          <w:sz w:val="20"/>
          <w:szCs w:val="20"/>
          <w:lang w:val="en-US"/>
        </w:rPr>
        <w:t xml:space="preserve">significantly reduce the impact of the measures reported to have been adopted by the </w:t>
      </w:r>
      <w:r w:rsidR="00941AE1" w:rsidRPr="00CC562A">
        <w:rPr>
          <w:rFonts w:ascii="Cambria" w:eastAsia="Cambria" w:hAnsi="Cambria" w:cs="Cambria"/>
          <w:sz w:val="20"/>
          <w:szCs w:val="20"/>
          <w:lang w:val="en-US"/>
        </w:rPr>
        <w:t>S</w:t>
      </w:r>
      <w:r w:rsidR="009C1B53" w:rsidRPr="00CC562A">
        <w:rPr>
          <w:rFonts w:ascii="Cambria" w:eastAsia="Cambria" w:hAnsi="Cambria" w:cs="Cambria"/>
          <w:sz w:val="20"/>
          <w:szCs w:val="20"/>
          <w:lang w:val="en-US"/>
        </w:rPr>
        <w:t xml:space="preserve">tate. The design of a campaign and different promotional and training activities are seriously overshadowed by the forcefulness and repetition of stigmatizing statements made by government spokespersons. In this context, the </w:t>
      </w:r>
      <w:r w:rsidR="00941AE1" w:rsidRPr="00CC562A">
        <w:rPr>
          <w:rFonts w:ascii="Cambria" w:eastAsia="Cambria" w:hAnsi="Cambria" w:cs="Cambria"/>
          <w:sz w:val="20"/>
          <w:szCs w:val="20"/>
          <w:lang w:val="en-US"/>
        </w:rPr>
        <w:t>Office of the Rapporteur</w:t>
      </w:r>
      <w:r w:rsidR="009C1B53" w:rsidRPr="00CC562A">
        <w:rPr>
          <w:rFonts w:ascii="Cambria" w:eastAsia="Cambria" w:hAnsi="Cambria" w:cs="Cambria"/>
          <w:sz w:val="20"/>
          <w:szCs w:val="20"/>
          <w:lang w:val="en-US"/>
        </w:rPr>
        <w:t xml:space="preserve"> notes that the section “Who’s Who in Lies of the Week,” implemented by the government in June of last year allegedly </w:t>
      </w:r>
      <w:proofErr w:type="gramStart"/>
      <w:r w:rsidR="009C1B53" w:rsidRPr="00CC562A">
        <w:rPr>
          <w:rFonts w:ascii="Cambria" w:eastAsia="Cambria" w:hAnsi="Cambria" w:cs="Cambria"/>
          <w:sz w:val="20"/>
          <w:szCs w:val="20"/>
          <w:lang w:val="en-US"/>
        </w:rPr>
        <w:t>in order to</w:t>
      </w:r>
      <w:proofErr w:type="gramEnd"/>
      <w:r w:rsidR="009C1B53" w:rsidRPr="00CC562A">
        <w:rPr>
          <w:rFonts w:ascii="Cambria" w:eastAsia="Cambria" w:hAnsi="Cambria" w:cs="Cambria"/>
          <w:sz w:val="20"/>
          <w:szCs w:val="20"/>
          <w:lang w:val="en-US"/>
        </w:rPr>
        <w:t xml:space="preserve"> “inform” the citizenry and refute the supposed fake news spread by the media, continues to be a space used by the Executive Branch to stigmatize and disqualify the work of the press.</w:t>
      </w:r>
    </w:p>
    <w:p w14:paraId="13F0168B" w14:textId="092EA301" w:rsidR="009965A7" w:rsidRPr="00CC562A" w:rsidRDefault="00AC00D9"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As already stated earlier, the </w:t>
      </w:r>
      <w:r w:rsidR="00941AE1" w:rsidRPr="00CC562A">
        <w:rPr>
          <w:rFonts w:ascii="Cambria" w:eastAsia="Cambria" w:hAnsi="Cambria" w:cs="Cambria"/>
          <w:sz w:val="20"/>
          <w:szCs w:val="20"/>
          <w:lang w:val="en-US"/>
        </w:rPr>
        <w:t xml:space="preserve">Office of the </w:t>
      </w:r>
      <w:r w:rsidRPr="00CC562A">
        <w:rPr>
          <w:rFonts w:ascii="Cambria" w:eastAsia="Cambria" w:hAnsi="Cambria" w:cs="Cambria"/>
          <w:sz w:val="20"/>
          <w:szCs w:val="20"/>
          <w:lang w:val="en-US"/>
        </w:rPr>
        <w:t xml:space="preserve">Special Rapporteur for Freedom of Expression recognizes that it is legitimate, and sometimes a duty, for government authorities to issue statements on </w:t>
      </w:r>
      <w:r w:rsidRPr="00CC562A">
        <w:rPr>
          <w:rFonts w:ascii="Cambria" w:eastAsia="Cambria" w:hAnsi="Cambria" w:cs="Cambria"/>
          <w:sz w:val="20"/>
          <w:szCs w:val="20"/>
          <w:lang w:val="en-US"/>
        </w:rPr>
        <w:lastRenderedPageBreak/>
        <w:t>matters of public interest and to defend themselves against critics or questions from the press.</w:t>
      </w:r>
      <w:r w:rsidR="009965A7" w:rsidRPr="00CC562A">
        <w:rPr>
          <w:rFonts w:ascii="Cambria" w:eastAsia="Cambria" w:hAnsi="Cambria" w:cs="Cambria"/>
          <w:sz w:val="20"/>
          <w:szCs w:val="20"/>
          <w:vertAlign w:val="superscript"/>
          <w:lang w:val="en-US"/>
        </w:rPr>
        <w:footnoteReference w:id="332"/>
      </w:r>
      <w:r w:rsidRPr="00CC562A">
        <w:rPr>
          <w:rFonts w:ascii="Cambria" w:eastAsia="Cambria" w:hAnsi="Cambria" w:cs="Cambria"/>
          <w:sz w:val="20"/>
          <w:szCs w:val="20"/>
          <w:lang w:val="en-US"/>
        </w:rPr>
        <w:t xml:space="preserve"> However, </w:t>
      </w:r>
      <w:r w:rsidR="006A315C" w:rsidRPr="00CC562A">
        <w:rPr>
          <w:rFonts w:ascii="Cambria" w:eastAsia="Cambria" w:hAnsi="Cambria" w:cs="Cambria"/>
          <w:sz w:val="20"/>
          <w:szCs w:val="20"/>
          <w:lang w:val="en-US"/>
        </w:rPr>
        <w:t xml:space="preserve">when doing so, they should not discredit or stigmatize the person who is questioning them, </w:t>
      </w:r>
      <w:r w:rsidR="00941AE1" w:rsidRPr="00CC562A">
        <w:rPr>
          <w:rFonts w:ascii="Cambria" w:eastAsia="Cambria" w:hAnsi="Cambria" w:cs="Cambria"/>
          <w:sz w:val="20"/>
          <w:szCs w:val="20"/>
          <w:lang w:val="en-US"/>
        </w:rPr>
        <w:t>given</w:t>
      </w:r>
      <w:r w:rsidR="006A315C" w:rsidRPr="00CC562A">
        <w:rPr>
          <w:rFonts w:ascii="Cambria" w:eastAsia="Cambria" w:hAnsi="Cambria" w:cs="Cambria"/>
          <w:sz w:val="20"/>
          <w:szCs w:val="20"/>
          <w:lang w:val="en-US"/>
        </w:rPr>
        <w:t xml:space="preserve"> their high office, the wide reach of their pronouncements, and the potential effects that their expressions may have in certain segments of the population.</w:t>
      </w:r>
      <w:r w:rsidR="009965A7" w:rsidRPr="00CC562A">
        <w:rPr>
          <w:rFonts w:ascii="Cambria" w:eastAsia="Cambria" w:hAnsi="Cambria" w:cs="Cambria"/>
          <w:sz w:val="20"/>
          <w:szCs w:val="20"/>
          <w:vertAlign w:val="superscript"/>
          <w:lang w:val="en-US"/>
        </w:rPr>
        <w:footnoteReference w:id="333"/>
      </w:r>
      <w:r w:rsidR="006A315C" w:rsidRPr="00CC562A">
        <w:rPr>
          <w:rFonts w:ascii="Cambria" w:eastAsia="Cambria" w:hAnsi="Cambria" w:cs="Cambria"/>
          <w:sz w:val="20"/>
          <w:szCs w:val="20"/>
          <w:lang w:val="en-US"/>
        </w:rPr>
        <w:t xml:space="preserve"> This means that they should refrain from making speeches that may, directly or indirectly, encourage or promote violence against communicators or journalists.</w:t>
      </w:r>
      <w:r w:rsidR="009965A7" w:rsidRPr="00CC562A">
        <w:rPr>
          <w:rFonts w:ascii="Cambria" w:eastAsia="Cambria" w:hAnsi="Cambria" w:cs="Cambria"/>
          <w:sz w:val="20"/>
          <w:szCs w:val="20"/>
          <w:vertAlign w:val="superscript"/>
          <w:lang w:val="en-US"/>
        </w:rPr>
        <w:footnoteReference w:id="334"/>
      </w:r>
      <w:r w:rsidR="006A315C" w:rsidRPr="00CC562A">
        <w:rPr>
          <w:rFonts w:ascii="Cambria" w:eastAsia="Cambria" w:hAnsi="Cambria" w:cs="Cambria"/>
          <w:sz w:val="20"/>
          <w:szCs w:val="20"/>
          <w:lang w:val="en-US"/>
        </w:rPr>
        <w:t xml:space="preserve"> As the Inter-American Court on Human Rights has established, public officials must take into account </w:t>
      </w:r>
      <w:r w:rsidR="004C66C4" w:rsidRPr="00CC562A">
        <w:rPr>
          <w:rFonts w:ascii="Cambria" w:eastAsia="Cambria" w:hAnsi="Cambria" w:cs="Cambria"/>
          <w:sz w:val="20"/>
          <w:szCs w:val="20"/>
          <w:lang w:val="en-US"/>
        </w:rPr>
        <w:t xml:space="preserve">that </w:t>
      </w:r>
      <w:r w:rsidR="006A315C" w:rsidRPr="00CC562A">
        <w:rPr>
          <w:rFonts w:ascii="Cambria" w:eastAsia="Cambria" w:hAnsi="Cambria" w:cs="Cambria"/>
          <w:sz w:val="20"/>
          <w:szCs w:val="20"/>
          <w:lang w:val="en-US"/>
        </w:rPr>
        <w:t>their</w:t>
      </w:r>
      <w:r w:rsidR="004C66C4" w:rsidRPr="00CC562A">
        <w:rPr>
          <w:rFonts w:ascii="Cambria" w:eastAsia="Cambria" w:hAnsi="Cambria" w:cs="Cambria"/>
          <w:sz w:val="20"/>
          <w:szCs w:val="20"/>
          <w:lang w:val="en-US"/>
        </w:rPr>
        <w:t xml:space="preserve"> condition entails a position as guarantor of people’s fundamental human rights and thus, “their statements may not disregard them nor be forms of direct or indirect interference or harmful  pressure on the rights of those who seek to contribute to the public discussion by expressing and disseminating their thoughts,</w:t>
      </w:r>
      <w:r w:rsidR="1D66B9C8"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35"/>
      </w:r>
      <w:r w:rsidR="004C66C4" w:rsidRPr="00CC562A">
        <w:rPr>
          <w:rFonts w:ascii="Cambria" w:eastAsia="Cambria" w:hAnsi="Cambria" w:cs="Cambria"/>
          <w:sz w:val="20"/>
          <w:szCs w:val="20"/>
          <w:lang w:val="en-US"/>
        </w:rPr>
        <w:t xml:space="preserve"> and should refrain from making statements that may, directly or indirectly, encourage or promote violence against communicators or journalists</w:t>
      </w:r>
      <w:r w:rsidR="1D66B9C8" w:rsidRPr="00CC562A">
        <w:rPr>
          <w:rFonts w:ascii="Cambria" w:eastAsia="Cambria" w:hAnsi="Cambria" w:cs="Cambria"/>
          <w:sz w:val="20"/>
          <w:szCs w:val="20"/>
          <w:lang w:val="en-US"/>
        </w:rPr>
        <w:t>.</w:t>
      </w:r>
    </w:p>
    <w:p w14:paraId="16E8C01A" w14:textId="163DA7D0" w:rsidR="009965A7" w:rsidRPr="00CC562A" w:rsidRDefault="004C66C4"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For the </w:t>
      </w:r>
      <w:r w:rsidR="00941AE1" w:rsidRPr="00CC562A">
        <w:rPr>
          <w:rFonts w:ascii="Cambria" w:eastAsia="Cambria" w:hAnsi="Cambria" w:cs="Cambria"/>
          <w:sz w:val="20"/>
          <w:szCs w:val="20"/>
          <w:lang w:val="en-US"/>
        </w:rPr>
        <w:t xml:space="preserve">Office of the </w:t>
      </w:r>
      <w:r w:rsidRPr="00CC562A">
        <w:rPr>
          <w:rFonts w:ascii="Cambria" w:eastAsia="Cambria" w:hAnsi="Cambria" w:cs="Cambria"/>
          <w:sz w:val="20"/>
          <w:szCs w:val="20"/>
          <w:lang w:val="en-US"/>
        </w:rPr>
        <w:t xml:space="preserve">Special Rapporteur, stigmatizing official speech, which </w:t>
      </w:r>
      <w:r w:rsidR="00941AE1" w:rsidRPr="00CC562A">
        <w:rPr>
          <w:rFonts w:ascii="Cambria" w:eastAsia="Cambria" w:hAnsi="Cambria" w:cs="Cambria"/>
          <w:sz w:val="20"/>
          <w:szCs w:val="20"/>
          <w:lang w:val="en-US"/>
        </w:rPr>
        <w:t>categorizes</w:t>
      </w:r>
      <w:r w:rsidRPr="00CC562A">
        <w:rPr>
          <w:rFonts w:ascii="Cambria" w:eastAsia="Cambria" w:hAnsi="Cambria" w:cs="Cambria"/>
          <w:sz w:val="20"/>
          <w:szCs w:val="20"/>
          <w:lang w:val="en-US"/>
        </w:rPr>
        <w:t xml:space="preserve"> the work of the press as “lies” or “fake news” or labels </w:t>
      </w:r>
      <w:r w:rsidR="00941AE1" w:rsidRPr="00CC562A">
        <w:rPr>
          <w:rFonts w:ascii="Cambria" w:eastAsia="Cambria" w:hAnsi="Cambria" w:cs="Cambria"/>
          <w:sz w:val="20"/>
          <w:szCs w:val="20"/>
          <w:lang w:val="en-US"/>
        </w:rPr>
        <w:t>it</w:t>
      </w:r>
      <w:r w:rsidRPr="00CC562A">
        <w:rPr>
          <w:rFonts w:ascii="Cambria" w:eastAsia="Cambria" w:hAnsi="Cambria" w:cs="Cambria"/>
          <w:sz w:val="20"/>
          <w:szCs w:val="20"/>
          <w:lang w:val="en-US"/>
        </w:rPr>
        <w:t xml:space="preserve"> as “conservative” or “aligned with the regime” not only contribute to </w:t>
      </w:r>
      <w:r w:rsidR="00941AE1" w:rsidRPr="00CC562A">
        <w:rPr>
          <w:rFonts w:ascii="Cambria" w:eastAsia="Cambria" w:hAnsi="Cambria" w:cs="Cambria"/>
          <w:sz w:val="20"/>
          <w:szCs w:val="20"/>
          <w:lang w:val="en-US"/>
        </w:rPr>
        <w:t xml:space="preserve">the </w:t>
      </w:r>
      <w:r w:rsidRPr="00CC562A">
        <w:rPr>
          <w:rFonts w:ascii="Cambria" w:eastAsia="Cambria" w:hAnsi="Cambria" w:cs="Cambria"/>
          <w:sz w:val="20"/>
          <w:szCs w:val="20"/>
          <w:lang w:val="en-US"/>
        </w:rPr>
        <w:t>deterioration of public debate but also have the potential to increase the prevailing risks in journalism, particularly in a context of</w:t>
      </w:r>
      <w:r w:rsidR="1D66B9C8" w:rsidRPr="00CC562A">
        <w:rPr>
          <w:rFonts w:ascii="Cambria" w:eastAsia="Cambria" w:hAnsi="Cambria" w:cs="Cambria"/>
          <w:sz w:val="20"/>
          <w:szCs w:val="20"/>
          <w:lang w:val="en-US"/>
        </w:rPr>
        <w:t xml:space="preserve"> </w:t>
      </w:r>
      <w:r w:rsidR="00237942" w:rsidRPr="00CC562A">
        <w:rPr>
          <w:rFonts w:ascii="Cambria" w:eastAsia="Cambria" w:hAnsi="Cambria" w:cs="Cambria"/>
          <w:sz w:val="20"/>
          <w:szCs w:val="20"/>
          <w:lang w:val="en-US"/>
        </w:rPr>
        <w:t xml:space="preserve">the escalation of violence against communicators. In view of the adverse context faced by journalists in exercising the right of freedom of expression or the press, the Special Rapporteur recalls that those who hold positions of public leadership are called upon to maintain discourse that is favorable to public discussion. The </w:t>
      </w:r>
      <w:r w:rsidR="00941AE1" w:rsidRPr="00CC562A">
        <w:rPr>
          <w:rFonts w:ascii="Cambria" w:eastAsia="Cambria" w:hAnsi="Cambria" w:cs="Cambria"/>
          <w:sz w:val="20"/>
          <w:szCs w:val="20"/>
          <w:lang w:val="en-US"/>
        </w:rPr>
        <w:t>Office of the Rapporteur</w:t>
      </w:r>
      <w:r w:rsidR="00237942" w:rsidRPr="00CC562A">
        <w:rPr>
          <w:rFonts w:ascii="Cambria" w:eastAsia="Cambria" w:hAnsi="Cambria" w:cs="Cambria"/>
          <w:sz w:val="20"/>
          <w:szCs w:val="20"/>
          <w:lang w:val="en-US"/>
        </w:rPr>
        <w:t xml:space="preserve"> underscores that the duty of authorities and public officials to adopt speech that contributes to freedom of expression is one of the fundamental components of the State’</w:t>
      </w:r>
      <w:r w:rsidR="00941AE1" w:rsidRPr="00CC562A">
        <w:rPr>
          <w:rFonts w:ascii="Cambria" w:eastAsia="Cambria" w:hAnsi="Cambria" w:cs="Cambria"/>
          <w:sz w:val="20"/>
          <w:szCs w:val="20"/>
          <w:lang w:val="en-US"/>
        </w:rPr>
        <w:t>s</w:t>
      </w:r>
      <w:r w:rsidR="00237942" w:rsidRPr="00CC562A">
        <w:rPr>
          <w:rFonts w:ascii="Cambria" w:eastAsia="Cambria" w:hAnsi="Cambria" w:cs="Cambria"/>
          <w:sz w:val="20"/>
          <w:szCs w:val="20"/>
          <w:lang w:val="en-US"/>
        </w:rPr>
        <w:t xml:space="preserve"> obligation to prevent violence against journalists. As the IACHR and the </w:t>
      </w:r>
      <w:r w:rsidR="00941AE1" w:rsidRPr="00CC562A">
        <w:rPr>
          <w:rFonts w:ascii="Cambria" w:eastAsia="Cambria" w:hAnsi="Cambria" w:cs="Cambria"/>
          <w:sz w:val="20"/>
          <w:szCs w:val="20"/>
          <w:lang w:val="en-US"/>
        </w:rPr>
        <w:t xml:space="preserve">Office of the </w:t>
      </w:r>
      <w:r w:rsidR="00237942" w:rsidRPr="00CC562A">
        <w:rPr>
          <w:rFonts w:ascii="Cambria" w:eastAsia="Cambria" w:hAnsi="Cambria" w:cs="Cambria"/>
          <w:sz w:val="20"/>
          <w:szCs w:val="20"/>
          <w:lang w:val="en-US"/>
        </w:rPr>
        <w:t xml:space="preserve">Rapporteurs have already pointed out, the State </w:t>
      </w:r>
      <w:r w:rsidR="00941AE1" w:rsidRPr="00CC562A">
        <w:rPr>
          <w:rFonts w:ascii="Cambria" w:eastAsia="Cambria" w:hAnsi="Cambria" w:cs="Cambria"/>
          <w:sz w:val="20"/>
          <w:szCs w:val="20"/>
          <w:lang w:val="en-US"/>
        </w:rPr>
        <w:t>has</w:t>
      </w:r>
      <w:r w:rsidR="00237942" w:rsidRPr="00CC562A">
        <w:rPr>
          <w:rFonts w:ascii="Cambria" w:eastAsia="Cambria" w:hAnsi="Cambria" w:cs="Cambria"/>
          <w:sz w:val="20"/>
          <w:szCs w:val="20"/>
          <w:lang w:val="en-US"/>
        </w:rPr>
        <w:t xml:space="preserve"> the </w:t>
      </w:r>
      <w:r w:rsidR="00941AE1" w:rsidRPr="00CC562A">
        <w:rPr>
          <w:rFonts w:ascii="Cambria" w:eastAsia="Cambria" w:hAnsi="Cambria" w:cs="Cambria"/>
          <w:sz w:val="20"/>
          <w:szCs w:val="20"/>
          <w:lang w:val="en-US"/>
        </w:rPr>
        <w:t>duty</w:t>
      </w:r>
      <w:r w:rsidR="00237942" w:rsidRPr="00CC562A">
        <w:rPr>
          <w:rFonts w:ascii="Cambria" w:eastAsia="Cambria" w:hAnsi="Cambria" w:cs="Cambria"/>
          <w:sz w:val="20"/>
          <w:szCs w:val="20"/>
          <w:lang w:val="en-US"/>
        </w:rPr>
        <w:t xml:space="preserve"> to adopt measur</w:t>
      </w:r>
      <w:r w:rsidR="00941AE1" w:rsidRPr="00CC562A">
        <w:rPr>
          <w:rFonts w:ascii="Cambria" w:eastAsia="Cambria" w:hAnsi="Cambria" w:cs="Cambria"/>
          <w:sz w:val="20"/>
          <w:szCs w:val="20"/>
          <w:lang w:val="en-US"/>
        </w:rPr>
        <w:t>e</w:t>
      </w:r>
      <w:r w:rsidR="00237942" w:rsidRPr="00CC562A">
        <w:rPr>
          <w:rFonts w:ascii="Cambria" w:eastAsia="Cambria" w:hAnsi="Cambria" w:cs="Cambria"/>
          <w:sz w:val="20"/>
          <w:szCs w:val="20"/>
          <w:lang w:val="en-US"/>
        </w:rPr>
        <w:t>s to prevent violence against journalists</w:t>
      </w:r>
      <w:r w:rsidR="00941AE1" w:rsidRPr="00CC562A">
        <w:rPr>
          <w:rFonts w:ascii="Cambria" w:eastAsia="Cambria" w:hAnsi="Cambria" w:cs="Cambria"/>
          <w:sz w:val="20"/>
          <w:szCs w:val="20"/>
          <w:lang w:val="en-US"/>
        </w:rPr>
        <w:t xml:space="preserve"> and</w:t>
      </w:r>
      <w:r w:rsidR="00237942" w:rsidRPr="00CC562A">
        <w:rPr>
          <w:rFonts w:ascii="Cambria" w:eastAsia="Cambria" w:hAnsi="Cambria" w:cs="Cambria"/>
          <w:sz w:val="20"/>
          <w:szCs w:val="20"/>
          <w:lang w:val="en-US"/>
        </w:rPr>
        <w:t xml:space="preserve"> communication media workers, </w:t>
      </w:r>
      <w:r w:rsidR="00941AE1" w:rsidRPr="00CC562A">
        <w:rPr>
          <w:rFonts w:ascii="Cambria" w:eastAsia="Cambria" w:hAnsi="Cambria" w:cs="Cambria"/>
          <w:sz w:val="20"/>
          <w:szCs w:val="20"/>
          <w:lang w:val="en-US"/>
        </w:rPr>
        <w:t xml:space="preserve">a duty that </w:t>
      </w:r>
      <w:r w:rsidR="00237942" w:rsidRPr="00CC562A">
        <w:rPr>
          <w:rFonts w:ascii="Cambria" w:eastAsia="Cambria" w:hAnsi="Cambria" w:cs="Cambria"/>
          <w:sz w:val="20"/>
          <w:szCs w:val="20"/>
          <w:lang w:val="en-US"/>
        </w:rPr>
        <w:t>“is accentuated in situations or areas where a special risk for journalists working in the communication media exists or has been detected.</w:t>
      </w:r>
      <w:r w:rsidR="1D66B9C8" w:rsidRPr="00CC562A">
        <w:rPr>
          <w:rFonts w:ascii="Cambria" w:eastAsia="Cambria" w:hAnsi="Cambria" w:cs="Cambria"/>
          <w:sz w:val="20"/>
          <w:szCs w:val="20"/>
          <w:lang w:val="en-US"/>
        </w:rPr>
        <w:t>”</w:t>
      </w:r>
      <w:r w:rsidR="009965A7" w:rsidRPr="00CC562A">
        <w:rPr>
          <w:rFonts w:ascii="Cambria" w:eastAsia="Cambria" w:hAnsi="Cambria" w:cs="Cambria"/>
          <w:sz w:val="20"/>
          <w:szCs w:val="20"/>
          <w:vertAlign w:val="superscript"/>
          <w:lang w:val="en-US"/>
        </w:rPr>
        <w:footnoteReference w:id="336"/>
      </w:r>
      <w:r w:rsidR="00237942" w:rsidRPr="00CC562A">
        <w:rPr>
          <w:rFonts w:ascii="Cambria" w:eastAsia="Cambria" w:hAnsi="Cambria" w:cs="Cambria"/>
          <w:sz w:val="20"/>
          <w:szCs w:val="20"/>
          <w:lang w:val="en-US"/>
        </w:rPr>
        <w:t xml:space="preserve"> In this regard, the </w:t>
      </w:r>
      <w:r w:rsidR="00941AE1" w:rsidRPr="00CC562A">
        <w:rPr>
          <w:rFonts w:ascii="Cambria" w:eastAsia="Cambria" w:hAnsi="Cambria" w:cs="Cambria"/>
          <w:sz w:val="20"/>
          <w:szCs w:val="20"/>
          <w:lang w:val="en-US"/>
        </w:rPr>
        <w:t>Office of the Rapporteur</w:t>
      </w:r>
      <w:r w:rsidR="00237942" w:rsidRPr="00CC562A">
        <w:rPr>
          <w:rFonts w:ascii="Cambria" w:eastAsia="Cambria" w:hAnsi="Cambria" w:cs="Cambria"/>
          <w:sz w:val="20"/>
          <w:szCs w:val="20"/>
          <w:lang w:val="en-US"/>
        </w:rPr>
        <w:t xml:space="preserve"> has also reminded the States that “a simple, but extremely effective measure of protection is </w:t>
      </w:r>
      <w:r w:rsidR="003269A2" w:rsidRPr="00CC562A">
        <w:rPr>
          <w:rFonts w:ascii="Cambria" w:eastAsia="Cambria" w:hAnsi="Cambria" w:cs="Cambria"/>
          <w:sz w:val="20"/>
          <w:szCs w:val="20"/>
          <w:lang w:val="en-US"/>
        </w:rPr>
        <w:t xml:space="preserve">when </w:t>
      </w:r>
      <w:r w:rsidR="00237942" w:rsidRPr="00CC562A">
        <w:rPr>
          <w:rFonts w:ascii="Cambria" w:eastAsia="Cambria" w:hAnsi="Cambria" w:cs="Cambria"/>
          <w:sz w:val="20"/>
          <w:szCs w:val="20"/>
          <w:lang w:val="en-US"/>
        </w:rPr>
        <w:t>the highest authorities of the State recognize</w:t>
      </w:r>
      <w:r w:rsidR="003269A2" w:rsidRPr="00CC562A">
        <w:rPr>
          <w:rFonts w:ascii="Cambria" w:eastAsia="Cambria" w:hAnsi="Cambria" w:cs="Cambria"/>
          <w:sz w:val="20"/>
          <w:szCs w:val="20"/>
          <w:lang w:val="en-US"/>
        </w:rPr>
        <w:t xml:space="preserve"> constantly, clearly, publicly, and firmly the legitimacy and value of journalism, even when the information disseminated may prove to be critical, inconvenient, or untimely for the governments’ interest.”</w:t>
      </w:r>
      <w:r w:rsidR="009965A7" w:rsidRPr="00CC562A">
        <w:rPr>
          <w:rFonts w:ascii="Cambria" w:eastAsia="Cambria" w:hAnsi="Cambria" w:cs="Cambria"/>
          <w:sz w:val="20"/>
          <w:szCs w:val="20"/>
          <w:vertAlign w:val="superscript"/>
          <w:lang w:val="en-US"/>
        </w:rPr>
        <w:footnoteReference w:id="337"/>
      </w:r>
      <w:r w:rsidR="003269A2" w:rsidRPr="00CC562A">
        <w:rPr>
          <w:rFonts w:ascii="Cambria" w:eastAsia="Cambria" w:hAnsi="Cambria" w:cs="Cambria"/>
          <w:sz w:val="20"/>
          <w:szCs w:val="20"/>
          <w:lang w:val="en-US"/>
        </w:rPr>
        <w:t xml:space="preserve"> Although the</w:t>
      </w:r>
      <w:r w:rsidR="00276638" w:rsidRPr="00CC562A">
        <w:rPr>
          <w:rFonts w:ascii="Cambria" w:eastAsia="Cambria" w:hAnsi="Cambria" w:cs="Cambria"/>
          <w:sz w:val="20"/>
          <w:szCs w:val="20"/>
          <w:lang w:val="en-US"/>
        </w:rPr>
        <w:t xml:space="preserve"> IACHR</w:t>
      </w:r>
      <w:r w:rsidR="1D66B9C8" w:rsidRPr="00CC562A">
        <w:rPr>
          <w:rFonts w:ascii="Cambria" w:eastAsia="Cambria" w:hAnsi="Cambria" w:cs="Cambria"/>
          <w:sz w:val="20"/>
          <w:szCs w:val="20"/>
          <w:lang w:val="en-US"/>
        </w:rPr>
        <w:t xml:space="preserve"> reco</w:t>
      </w:r>
      <w:r w:rsidR="003269A2" w:rsidRPr="00CC562A">
        <w:rPr>
          <w:rFonts w:ascii="Cambria" w:eastAsia="Cambria" w:hAnsi="Cambria" w:cs="Cambria"/>
          <w:sz w:val="20"/>
          <w:szCs w:val="20"/>
          <w:lang w:val="en-US"/>
        </w:rPr>
        <w:t>gnizes the problems arising from the dissemination of fake news and believes that democratic societies should combat attempts to manipulate the public debate, it also believes that the purpose of combatting alleged “lies” can be channeled through other institutional routes. This should be done while observing standards to protect freedom of expression, so that strategies for combating disinformation do not become silencing mechanisms, particularly against criticism and information in the public interest.</w:t>
      </w:r>
      <w:r w:rsidR="1D66B9C8" w:rsidRPr="00CC562A">
        <w:rPr>
          <w:rFonts w:ascii="Cambria" w:eastAsia="Cambria" w:hAnsi="Cambria" w:cs="Cambria"/>
          <w:sz w:val="20"/>
          <w:szCs w:val="20"/>
          <w:lang w:val="en-US"/>
        </w:rPr>
        <w:t xml:space="preserve"> </w:t>
      </w:r>
    </w:p>
    <w:p w14:paraId="0BB0F422" w14:textId="5872C274" w:rsidR="009965A7"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In addition,</w:t>
      </w:r>
      <w:r w:rsidR="1D66B9C8" w:rsidRPr="00CC562A">
        <w:rPr>
          <w:rFonts w:ascii="Cambria" w:eastAsia="Cambria" w:hAnsi="Cambria" w:cs="Cambria"/>
          <w:sz w:val="20"/>
          <w:szCs w:val="20"/>
          <w:lang w:val="en-US"/>
        </w:rPr>
        <w:t xml:space="preserve"> </w:t>
      </w:r>
      <w:r w:rsidR="003269A2" w:rsidRPr="00CC562A">
        <w:rPr>
          <w:rFonts w:ascii="Cambria" w:eastAsia="Cambria" w:hAnsi="Cambria" w:cs="Cambria"/>
          <w:sz w:val="20"/>
          <w:szCs w:val="20"/>
          <w:lang w:val="en-US"/>
        </w:rPr>
        <w:t>the Special Rapporteur identifies that, in the case of the “Who’s Who in Lies” program:</w:t>
      </w:r>
      <w:r w:rsidR="1D66B9C8" w:rsidRPr="00CC562A">
        <w:rPr>
          <w:rFonts w:ascii="Cambria" w:eastAsia="Cambria" w:hAnsi="Cambria" w:cs="Cambria"/>
          <w:i/>
          <w:iCs/>
          <w:sz w:val="20"/>
          <w:szCs w:val="20"/>
          <w:lang w:val="en-US"/>
        </w:rPr>
        <w:t xml:space="preserve"> </w:t>
      </w:r>
      <w:r w:rsidR="1D66B9C8" w:rsidRPr="00CC562A">
        <w:rPr>
          <w:rFonts w:ascii="Cambria" w:eastAsia="Cambria" w:hAnsi="Cambria" w:cs="Cambria"/>
          <w:sz w:val="20"/>
          <w:szCs w:val="20"/>
          <w:lang w:val="en-US"/>
        </w:rPr>
        <w:t xml:space="preserve"> (</w:t>
      </w:r>
      <w:proofErr w:type="spellStart"/>
      <w:r w:rsidR="1D66B9C8" w:rsidRPr="00CC562A">
        <w:rPr>
          <w:rFonts w:ascii="Cambria" w:eastAsia="Cambria" w:hAnsi="Cambria" w:cs="Cambria"/>
          <w:sz w:val="20"/>
          <w:szCs w:val="20"/>
          <w:lang w:val="en-US"/>
        </w:rPr>
        <w:t>i</w:t>
      </w:r>
      <w:proofErr w:type="spellEnd"/>
      <w:r w:rsidR="1D66B9C8" w:rsidRPr="00CC562A">
        <w:rPr>
          <w:rFonts w:ascii="Cambria" w:eastAsia="Cambria" w:hAnsi="Cambria" w:cs="Cambria"/>
          <w:sz w:val="20"/>
          <w:szCs w:val="20"/>
          <w:lang w:val="en-US"/>
        </w:rPr>
        <w:t xml:space="preserve">) </w:t>
      </w:r>
      <w:r w:rsidR="003269A2" w:rsidRPr="00CC562A">
        <w:rPr>
          <w:rFonts w:ascii="Cambria" w:eastAsia="Cambria" w:hAnsi="Cambria" w:cs="Cambria"/>
          <w:sz w:val="20"/>
          <w:szCs w:val="20"/>
          <w:lang w:val="en-US"/>
        </w:rPr>
        <w:t>t</w:t>
      </w:r>
      <w:r w:rsidR="00752FED" w:rsidRPr="00CC562A">
        <w:rPr>
          <w:rFonts w:ascii="Cambria" w:eastAsia="Cambria" w:hAnsi="Cambria" w:cs="Cambria"/>
          <w:sz w:val="20"/>
          <w:szCs w:val="20"/>
          <w:lang w:val="en-US"/>
        </w:rPr>
        <w:t>he State</w:t>
      </w:r>
      <w:r w:rsidR="1D66B9C8" w:rsidRPr="00CC562A">
        <w:rPr>
          <w:rFonts w:ascii="Cambria" w:eastAsia="Cambria" w:hAnsi="Cambria" w:cs="Cambria"/>
          <w:sz w:val="20"/>
          <w:szCs w:val="20"/>
          <w:lang w:val="en-US"/>
        </w:rPr>
        <w:t xml:space="preserve"> </w:t>
      </w:r>
      <w:r w:rsidR="003269A2" w:rsidRPr="00CC562A">
        <w:rPr>
          <w:rFonts w:ascii="Cambria" w:eastAsia="Cambria" w:hAnsi="Cambria" w:cs="Cambria"/>
          <w:sz w:val="20"/>
          <w:szCs w:val="20"/>
          <w:lang w:val="en-US"/>
        </w:rPr>
        <w:t>has not made public the criteria that its agen</w:t>
      </w:r>
      <w:r w:rsidR="009671E3" w:rsidRPr="00CC562A">
        <w:rPr>
          <w:rFonts w:ascii="Cambria" w:eastAsia="Cambria" w:hAnsi="Cambria" w:cs="Cambria"/>
          <w:sz w:val="20"/>
          <w:szCs w:val="20"/>
          <w:lang w:val="en-US"/>
        </w:rPr>
        <w:t xml:space="preserve">ts in an official program </w:t>
      </w:r>
      <w:r w:rsidR="003269A2" w:rsidRPr="00CC562A">
        <w:rPr>
          <w:rFonts w:ascii="Cambria" w:eastAsia="Cambria" w:hAnsi="Cambria" w:cs="Cambria"/>
          <w:sz w:val="20"/>
          <w:szCs w:val="20"/>
          <w:lang w:val="en-US"/>
        </w:rPr>
        <w:t>use to conclude that certain content is “disinformation,” “fake news,” “a lie,” or other labels disparaging journalists and their  work</w:t>
      </w:r>
      <w:r w:rsidR="1D66B9C8" w:rsidRPr="00CC562A">
        <w:rPr>
          <w:rFonts w:ascii="Cambria" w:eastAsia="Cambria" w:hAnsi="Cambria" w:cs="Cambria"/>
          <w:sz w:val="20"/>
          <w:szCs w:val="20"/>
          <w:lang w:val="en-US"/>
        </w:rPr>
        <w:t>; (ii)</w:t>
      </w:r>
      <w:r w:rsidR="00166D02" w:rsidRPr="00CC562A">
        <w:rPr>
          <w:rFonts w:ascii="Cambria" w:eastAsia="Cambria" w:hAnsi="Cambria" w:cs="Cambria"/>
          <w:sz w:val="20"/>
          <w:szCs w:val="20"/>
          <w:lang w:val="en-US"/>
        </w:rPr>
        <w:t xml:space="preserve"> there is likely a considerable effort made in this space to focus on specific news items or persons who may be critical of government </w:t>
      </w:r>
      <w:r w:rsidR="009671E3" w:rsidRPr="00CC562A">
        <w:rPr>
          <w:rFonts w:ascii="Cambria" w:eastAsia="Cambria" w:hAnsi="Cambria" w:cs="Cambria"/>
          <w:sz w:val="20"/>
          <w:szCs w:val="20"/>
          <w:lang w:val="en-US"/>
        </w:rPr>
        <w:t>administration</w:t>
      </w:r>
      <w:r w:rsidR="00166D02" w:rsidRPr="00CC562A">
        <w:rPr>
          <w:rFonts w:ascii="Cambria" w:eastAsia="Cambria" w:hAnsi="Cambria" w:cs="Cambria"/>
          <w:sz w:val="20"/>
          <w:szCs w:val="20"/>
          <w:lang w:val="en-US"/>
        </w:rPr>
        <w:t xml:space="preserve">, so that “Who’s Who in Lies” would have the potential to become a unilateral, reactive, and imbalanced outlet in defense of the government in response to criticism and could </w:t>
      </w:r>
      <w:r w:rsidR="009671E3" w:rsidRPr="00CC562A">
        <w:rPr>
          <w:rFonts w:ascii="Cambria" w:eastAsia="Cambria" w:hAnsi="Cambria" w:cs="Cambria"/>
          <w:sz w:val="20"/>
          <w:szCs w:val="20"/>
          <w:lang w:val="en-US"/>
        </w:rPr>
        <w:t>have</w:t>
      </w:r>
      <w:r w:rsidR="00166D02" w:rsidRPr="00CC562A">
        <w:rPr>
          <w:rFonts w:ascii="Cambria" w:eastAsia="Cambria" w:hAnsi="Cambria" w:cs="Cambria"/>
          <w:sz w:val="20"/>
          <w:szCs w:val="20"/>
          <w:lang w:val="en-US"/>
        </w:rPr>
        <w:t xml:space="preserve"> more in common with propaganda than with verified information</w:t>
      </w:r>
      <w:r w:rsidR="1D66B9C8" w:rsidRPr="00CC562A">
        <w:rPr>
          <w:rFonts w:ascii="Cambria" w:eastAsia="Cambria" w:hAnsi="Cambria" w:cs="Cambria"/>
          <w:sz w:val="20"/>
          <w:szCs w:val="20"/>
          <w:lang w:val="en-US"/>
        </w:rPr>
        <w:t xml:space="preserve">; (iii) </w:t>
      </w:r>
      <w:r w:rsidR="00166D02" w:rsidRPr="00CC562A">
        <w:rPr>
          <w:rFonts w:ascii="Cambria" w:eastAsia="Cambria" w:hAnsi="Cambria" w:cs="Cambria"/>
          <w:sz w:val="20"/>
          <w:szCs w:val="20"/>
          <w:lang w:val="en-US"/>
        </w:rPr>
        <w:t>it is not shown how public authorities, by labeling content in the program, address the inter-American requirements</w:t>
      </w:r>
      <w:r w:rsidR="1D66B9C8" w:rsidRPr="00CC562A">
        <w:rPr>
          <w:rFonts w:ascii="Cambria" w:eastAsia="Cambria" w:hAnsi="Cambria" w:cs="Cambria"/>
          <w:sz w:val="20"/>
          <w:szCs w:val="20"/>
          <w:lang w:val="en-US"/>
        </w:rPr>
        <w:t xml:space="preserve"> </w:t>
      </w:r>
      <w:r w:rsidR="00166D02" w:rsidRPr="00CC562A">
        <w:rPr>
          <w:rFonts w:ascii="Cambria" w:eastAsia="Cambria" w:hAnsi="Cambria" w:cs="Cambria"/>
          <w:sz w:val="20"/>
          <w:szCs w:val="20"/>
          <w:lang w:val="en-US"/>
        </w:rPr>
        <w:t>of establishing reasonably although not necessarily exhaustively the facts on which they base their opinions when referring to matters of public interest;</w:t>
      </w:r>
      <w:r w:rsidR="009965A7" w:rsidRPr="00CC562A">
        <w:rPr>
          <w:rFonts w:ascii="Cambria" w:eastAsia="Cambria" w:hAnsi="Cambria" w:cs="Cambria"/>
          <w:sz w:val="20"/>
          <w:szCs w:val="20"/>
          <w:vertAlign w:val="superscript"/>
          <w:lang w:val="en-US"/>
        </w:rPr>
        <w:footnoteReference w:id="338"/>
      </w:r>
      <w:r w:rsidR="1D66B9C8" w:rsidRPr="00CC562A">
        <w:rPr>
          <w:rFonts w:ascii="Cambria" w:eastAsia="Cambria" w:hAnsi="Cambria" w:cs="Cambria"/>
          <w:sz w:val="20"/>
          <w:szCs w:val="20"/>
          <w:lang w:val="en-US"/>
        </w:rPr>
        <w:t xml:space="preserve"> (iv) </w:t>
      </w:r>
      <w:r w:rsidR="00166D02" w:rsidRPr="00CC562A">
        <w:rPr>
          <w:rFonts w:ascii="Cambria" w:eastAsia="Cambria" w:hAnsi="Cambria" w:cs="Cambria"/>
          <w:sz w:val="20"/>
          <w:szCs w:val="20"/>
          <w:lang w:val="en-US"/>
        </w:rPr>
        <w:t>there are likely indications and labels that would demonstrate that the program incentivizes the stigmatization of the press</w:t>
      </w:r>
      <w:r w:rsidR="1D66B9C8" w:rsidRPr="00CC562A">
        <w:rPr>
          <w:rFonts w:ascii="Cambria" w:eastAsia="Cambria" w:hAnsi="Cambria" w:cs="Cambria"/>
          <w:sz w:val="20"/>
          <w:szCs w:val="20"/>
          <w:lang w:val="en-US"/>
        </w:rPr>
        <w:t xml:space="preserve">; (v) </w:t>
      </w:r>
      <w:r w:rsidR="004F0D20" w:rsidRPr="00CC562A">
        <w:rPr>
          <w:rFonts w:ascii="Cambria" w:eastAsia="Cambria" w:hAnsi="Cambria" w:cs="Cambria"/>
          <w:sz w:val="20"/>
          <w:szCs w:val="20"/>
          <w:lang w:val="en-US"/>
        </w:rPr>
        <w:t>the journalist or media outlet labeled in the program would have no ability to defend themselves against being singled out by a government agency</w:t>
      </w:r>
      <w:r w:rsidR="1D66B9C8" w:rsidRPr="00CC562A">
        <w:rPr>
          <w:rFonts w:ascii="Cambria" w:eastAsia="Cambria" w:hAnsi="Cambria" w:cs="Cambria"/>
          <w:sz w:val="20"/>
          <w:szCs w:val="20"/>
          <w:lang w:val="en-US"/>
        </w:rPr>
        <w:t xml:space="preserve">, </w:t>
      </w:r>
      <w:r w:rsidR="004F0D20" w:rsidRPr="00CC562A">
        <w:rPr>
          <w:rFonts w:ascii="Cambria" w:eastAsia="Cambria" w:hAnsi="Cambria" w:cs="Cambria"/>
          <w:sz w:val="20"/>
          <w:szCs w:val="20"/>
          <w:lang w:val="en-US"/>
        </w:rPr>
        <w:t xml:space="preserve">nor address the principle of </w:t>
      </w:r>
      <w:r w:rsidR="009671E3" w:rsidRPr="00CC562A">
        <w:rPr>
          <w:rFonts w:ascii="Cambria" w:eastAsia="Cambria" w:hAnsi="Cambria" w:cs="Cambria"/>
          <w:sz w:val="20"/>
          <w:szCs w:val="20"/>
          <w:lang w:val="en-US"/>
        </w:rPr>
        <w:t xml:space="preserve">refutation </w:t>
      </w:r>
      <w:r w:rsidR="004F0D20" w:rsidRPr="00CC562A">
        <w:rPr>
          <w:rFonts w:ascii="Cambria" w:eastAsia="Cambria" w:hAnsi="Cambria" w:cs="Cambria"/>
          <w:sz w:val="20"/>
          <w:szCs w:val="20"/>
          <w:lang w:val="en-US"/>
        </w:rPr>
        <w:t xml:space="preserve">in response to public indication of the content. Thus, the </w:t>
      </w:r>
      <w:r w:rsidR="009671E3" w:rsidRPr="00CC562A">
        <w:rPr>
          <w:rFonts w:ascii="Cambria" w:eastAsia="Cambria" w:hAnsi="Cambria" w:cs="Cambria"/>
          <w:sz w:val="20"/>
          <w:szCs w:val="20"/>
          <w:lang w:val="en-US"/>
        </w:rPr>
        <w:t xml:space="preserve">Office of the </w:t>
      </w:r>
      <w:r w:rsidR="004F0D20" w:rsidRPr="00CC562A">
        <w:rPr>
          <w:rFonts w:ascii="Cambria" w:eastAsia="Cambria" w:hAnsi="Cambria" w:cs="Cambria"/>
          <w:sz w:val="20"/>
          <w:szCs w:val="20"/>
          <w:lang w:val="en-US"/>
        </w:rPr>
        <w:t xml:space="preserve">Special Rapporteur reiterates that it considers it atypical – and not free of risks for democracy – to promote a governmental audit section that labels both content and the media and journalists that publishes it. </w:t>
      </w:r>
      <w:r w:rsidR="003313B2" w:rsidRPr="00CC562A">
        <w:rPr>
          <w:rFonts w:ascii="Cambria" w:eastAsia="Cambria" w:hAnsi="Cambria" w:cs="Cambria"/>
          <w:sz w:val="20"/>
          <w:szCs w:val="20"/>
          <w:lang w:val="en-US"/>
        </w:rPr>
        <w:t>State</w:t>
      </w:r>
      <w:r w:rsidR="004F0D20" w:rsidRPr="00CC562A">
        <w:rPr>
          <w:rFonts w:ascii="Cambria" w:eastAsia="Cambria" w:hAnsi="Cambria" w:cs="Cambria"/>
          <w:sz w:val="20"/>
          <w:szCs w:val="20"/>
          <w:lang w:val="en-US"/>
        </w:rPr>
        <w:t xml:space="preserve"> institutions and spoke</w:t>
      </w:r>
      <w:r w:rsidR="003313B2" w:rsidRPr="00CC562A">
        <w:rPr>
          <w:rFonts w:ascii="Cambria" w:eastAsia="Cambria" w:hAnsi="Cambria" w:cs="Cambria"/>
          <w:sz w:val="20"/>
          <w:szCs w:val="20"/>
          <w:lang w:val="en-US"/>
        </w:rPr>
        <w:t>spersons are not suitable or optimal platforms for evaluating the quality (using assumptions of ethics or veracity) of journalism</w:t>
      </w:r>
      <w:r w:rsidR="009965A7" w:rsidRPr="00CC562A">
        <w:rPr>
          <w:rFonts w:ascii="Cambria" w:eastAsia="Cambria" w:hAnsi="Cambria" w:cs="Cambria"/>
          <w:sz w:val="20"/>
          <w:szCs w:val="20"/>
          <w:vertAlign w:val="superscript"/>
          <w:lang w:val="en-US"/>
        </w:rPr>
        <w:footnoteReference w:id="339"/>
      </w:r>
      <w:r w:rsidR="1D66B9C8" w:rsidRPr="00CC562A">
        <w:rPr>
          <w:rFonts w:ascii="Cambria" w:eastAsia="Cambria" w:hAnsi="Cambria" w:cs="Cambria"/>
          <w:sz w:val="20"/>
          <w:szCs w:val="20"/>
          <w:lang w:val="en-US"/>
        </w:rPr>
        <w:t xml:space="preserve"> </w:t>
      </w:r>
      <w:r w:rsidR="003313B2" w:rsidRPr="00CC562A">
        <w:rPr>
          <w:rFonts w:ascii="Cambria" w:eastAsia="Cambria" w:hAnsi="Cambria" w:cs="Cambria"/>
          <w:sz w:val="20"/>
          <w:szCs w:val="20"/>
          <w:lang w:val="en-US"/>
        </w:rPr>
        <w:t>and the communications media are primarily responsible to the public and not to the government.</w:t>
      </w:r>
      <w:r w:rsidR="009965A7" w:rsidRPr="00CC562A">
        <w:rPr>
          <w:rFonts w:ascii="Cambria" w:eastAsia="Cambria" w:hAnsi="Cambria" w:cs="Cambria"/>
          <w:sz w:val="20"/>
          <w:szCs w:val="20"/>
          <w:vertAlign w:val="superscript"/>
          <w:lang w:val="en-US"/>
        </w:rPr>
        <w:footnoteReference w:id="340"/>
      </w:r>
    </w:p>
    <w:p w14:paraId="5052FB5B" w14:textId="6004D1AC" w:rsidR="009965A7" w:rsidRPr="00CC562A" w:rsidRDefault="0027663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1D66B9C8" w:rsidRPr="00CC562A">
        <w:rPr>
          <w:rFonts w:ascii="Cambria" w:eastAsia="Cambria" w:hAnsi="Cambria" w:cs="Cambria"/>
          <w:sz w:val="20"/>
          <w:szCs w:val="20"/>
          <w:lang w:val="en-US"/>
        </w:rPr>
        <w:t xml:space="preserve"> </w:t>
      </w:r>
      <w:r w:rsidR="003313B2" w:rsidRPr="00CC562A">
        <w:rPr>
          <w:rFonts w:ascii="Cambria" w:eastAsia="Cambria" w:hAnsi="Cambria" w:cs="Cambria"/>
          <w:sz w:val="20"/>
          <w:szCs w:val="20"/>
          <w:lang w:val="en-US"/>
        </w:rPr>
        <w:t xml:space="preserve">and </w:t>
      </w:r>
      <w:r w:rsidR="009671E3" w:rsidRPr="00CC562A">
        <w:rPr>
          <w:rFonts w:ascii="Cambria" w:eastAsia="Cambria" w:hAnsi="Cambria" w:cs="Cambria"/>
          <w:sz w:val="20"/>
          <w:szCs w:val="20"/>
          <w:lang w:val="en-US"/>
        </w:rPr>
        <w:t>the Office of the</w:t>
      </w:r>
      <w:r w:rsidR="003313B2" w:rsidRPr="00CC562A">
        <w:rPr>
          <w:rFonts w:ascii="Cambria" w:eastAsia="Cambria" w:hAnsi="Cambria" w:cs="Cambria"/>
          <w:sz w:val="20"/>
          <w:szCs w:val="20"/>
          <w:lang w:val="en-US"/>
        </w:rPr>
        <w:t xml:space="preserve"> Special Rapporteur recognize that the State has the duty not only to respect but also to guarantee freedom of expression in its twofold dimension, both individually and collectively. Thus, they appreciate the State’s political will to counteract the negative effects of deliberate disinformation. However, </w:t>
      </w:r>
      <w:r w:rsidR="009671E3" w:rsidRPr="00CC562A">
        <w:rPr>
          <w:rFonts w:ascii="Cambria" w:eastAsia="Cambria" w:hAnsi="Cambria" w:cs="Cambria"/>
          <w:sz w:val="20"/>
          <w:szCs w:val="20"/>
          <w:lang w:val="en-US"/>
        </w:rPr>
        <w:t>such</w:t>
      </w:r>
      <w:r w:rsidR="003313B2" w:rsidRPr="00CC562A">
        <w:rPr>
          <w:rFonts w:ascii="Cambria" w:eastAsia="Cambria" w:hAnsi="Cambria" w:cs="Cambria"/>
          <w:sz w:val="20"/>
          <w:szCs w:val="20"/>
          <w:lang w:val="en-US"/>
        </w:rPr>
        <w:t xml:space="preserve"> measures must be universal in nature, i.e., they must encompass disinformation as a complex phenomenon, and not just disinformation that would affect subjects that are considered sensitive in the government’s agen</w:t>
      </w:r>
      <w:r w:rsidR="009671E3" w:rsidRPr="00CC562A">
        <w:rPr>
          <w:rFonts w:ascii="Cambria" w:eastAsia="Cambria" w:hAnsi="Cambria" w:cs="Cambria"/>
          <w:sz w:val="20"/>
          <w:szCs w:val="20"/>
          <w:lang w:val="en-US"/>
        </w:rPr>
        <w:t>da</w:t>
      </w:r>
      <w:r w:rsidR="003313B2" w:rsidRPr="00CC562A">
        <w:rPr>
          <w:rFonts w:ascii="Cambria" w:eastAsia="Cambria" w:hAnsi="Cambria" w:cs="Cambria"/>
          <w:sz w:val="20"/>
          <w:szCs w:val="20"/>
          <w:lang w:val="en-US"/>
        </w:rPr>
        <w:t xml:space="preserve">, must address the perspectives of historically vulnerable groups, must be framed by objective and clear </w:t>
      </w:r>
      <w:proofErr w:type="gramStart"/>
      <w:r w:rsidR="003313B2" w:rsidRPr="00CC562A">
        <w:rPr>
          <w:rFonts w:ascii="Cambria" w:eastAsia="Cambria" w:hAnsi="Cambria" w:cs="Cambria"/>
          <w:sz w:val="20"/>
          <w:szCs w:val="20"/>
          <w:lang w:val="en-US"/>
        </w:rPr>
        <w:t>criteria</w:t>
      </w:r>
      <w:proofErr w:type="gramEnd"/>
      <w:r w:rsidR="003313B2" w:rsidRPr="00CC562A">
        <w:rPr>
          <w:rFonts w:ascii="Cambria" w:eastAsia="Cambria" w:hAnsi="Cambria" w:cs="Cambria"/>
          <w:sz w:val="20"/>
          <w:szCs w:val="20"/>
          <w:lang w:val="en-US"/>
        </w:rPr>
        <w:t xml:space="preserve"> and allow for the right to </w:t>
      </w:r>
      <w:r w:rsidR="009671E3" w:rsidRPr="00CC562A">
        <w:rPr>
          <w:rFonts w:ascii="Cambria" w:eastAsia="Cambria" w:hAnsi="Cambria" w:cs="Cambria"/>
          <w:sz w:val="20"/>
          <w:szCs w:val="20"/>
          <w:lang w:val="en-US"/>
        </w:rPr>
        <w:t xml:space="preserve">a </w:t>
      </w:r>
      <w:r w:rsidR="003313B2" w:rsidRPr="00CC562A">
        <w:rPr>
          <w:rFonts w:ascii="Cambria" w:eastAsia="Cambria" w:hAnsi="Cambria" w:cs="Cambria"/>
          <w:sz w:val="20"/>
          <w:szCs w:val="20"/>
          <w:lang w:val="en-US"/>
        </w:rPr>
        <w:t xml:space="preserve">response and a defense in response </w:t>
      </w:r>
      <w:r w:rsidR="00D77397" w:rsidRPr="00CC562A">
        <w:rPr>
          <w:rFonts w:ascii="Cambria" w:eastAsia="Cambria" w:hAnsi="Cambria" w:cs="Cambria"/>
          <w:sz w:val="20"/>
          <w:szCs w:val="20"/>
          <w:lang w:val="en-US"/>
        </w:rPr>
        <w:t>to public</w:t>
      </w:r>
      <w:r w:rsidR="003313B2" w:rsidRPr="00CC562A">
        <w:rPr>
          <w:rFonts w:ascii="Cambria" w:eastAsia="Cambria" w:hAnsi="Cambria" w:cs="Cambria"/>
          <w:sz w:val="20"/>
          <w:szCs w:val="20"/>
          <w:lang w:val="en-US"/>
        </w:rPr>
        <w:t xml:space="preserve"> indication of content. In this respect, on one hand, promoting the work of verification agencies and research and study centers in academia, including by means of cooperation agreements, </w:t>
      </w:r>
      <w:r w:rsidR="0009633D" w:rsidRPr="00CC562A">
        <w:rPr>
          <w:rFonts w:ascii="Cambria" w:eastAsia="Cambria" w:hAnsi="Cambria" w:cs="Cambria"/>
          <w:sz w:val="20"/>
          <w:szCs w:val="20"/>
          <w:lang w:val="en-US"/>
        </w:rPr>
        <w:t xml:space="preserve">memoranda of understanding, and other public policies, would make it possible to make use of the experience and criteria developed by the global fact-checking community and the expert knowledge of these agencies without the need to create disputed public and governmental content auditors. In addition, the State can </w:t>
      </w:r>
      <w:r w:rsidR="009671E3" w:rsidRPr="00CC562A">
        <w:rPr>
          <w:rFonts w:ascii="Cambria" w:eastAsia="Cambria" w:hAnsi="Cambria" w:cs="Cambria"/>
          <w:sz w:val="20"/>
          <w:szCs w:val="20"/>
          <w:lang w:val="en-US"/>
        </w:rPr>
        <w:t>encourage</w:t>
      </w:r>
      <w:r w:rsidR="0009633D" w:rsidRPr="00CC562A">
        <w:rPr>
          <w:rFonts w:ascii="Cambria" w:eastAsia="Cambria" w:hAnsi="Cambria" w:cs="Cambria"/>
          <w:sz w:val="20"/>
          <w:szCs w:val="20"/>
          <w:lang w:val="en-US"/>
        </w:rPr>
        <w:t xml:space="preserve"> the voluntary adoption of self-regulation frameworks. Judicial routes also fulfill an important role against possible abuses in the exercise of the right to freedom of expression whenever the competent authorities observe the legality, legitimacy, necessity, and proportionality of the</w:t>
      </w:r>
      <w:r w:rsidR="1D66B9C8" w:rsidRPr="00CC562A">
        <w:rPr>
          <w:rFonts w:ascii="Cambria" w:eastAsia="Cambria" w:hAnsi="Cambria" w:cs="Cambria"/>
          <w:sz w:val="20"/>
          <w:szCs w:val="20"/>
          <w:lang w:val="en-US"/>
        </w:rPr>
        <w:t xml:space="preserve"> limit</w:t>
      </w:r>
      <w:r w:rsidR="0009633D" w:rsidRPr="00CC562A">
        <w:rPr>
          <w:rFonts w:ascii="Cambria" w:eastAsia="Cambria" w:hAnsi="Cambria" w:cs="Cambria"/>
          <w:sz w:val="20"/>
          <w:szCs w:val="20"/>
          <w:lang w:val="en-US"/>
        </w:rPr>
        <w:t xml:space="preserve">s on freedom of expression in accordance with inter-American standards on the subject. Finally, media and digital literacy for the development of civic skills must be a priority in the State’s policies for allegedly combating deliberate disinformation. In summary, the </w:t>
      </w:r>
      <w:r w:rsidR="009671E3" w:rsidRPr="00CC562A">
        <w:rPr>
          <w:rFonts w:ascii="Cambria" w:eastAsia="Cambria" w:hAnsi="Cambria" w:cs="Cambria"/>
          <w:sz w:val="20"/>
          <w:szCs w:val="20"/>
          <w:lang w:val="en-US"/>
        </w:rPr>
        <w:t xml:space="preserve">Office of the </w:t>
      </w:r>
      <w:r w:rsidR="0009633D" w:rsidRPr="00CC562A">
        <w:rPr>
          <w:rFonts w:ascii="Cambria" w:eastAsia="Cambria" w:hAnsi="Cambria" w:cs="Cambria"/>
          <w:sz w:val="20"/>
          <w:szCs w:val="20"/>
          <w:lang w:val="en-US"/>
        </w:rPr>
        <w:t>Rapporteur believes that th</w:t>
      </w:r>
      <w:r w:rsidR="009671E3" w:rsidRPr="00CC562A">
        <w:rPr>
          <w:rFonts w:ascii="Cambria" w:eastAsia="Cambria" w:hAnsi="Cambria" w:cs="Cambria"/>
          <w:sz w:val="20"/>
          <w:szCs w:val="20"/>
          <w:lang w:val="en-US"/>
        </w:rPr>
        <w:t>e</w:t>
      </w:r>
      <w:r w:rsidR="0009633D" w:rsidRPr="00CC562A">
        <w:rPr>
          <w:rFonts w:ascii="Cambria" w:eastAsia="Cambria" w:hAnsi="Cambria" w:cs="Cambria"/>
          <w:sz w:val="20"/>
          <w:szCs w:val="20"/>
          <w:lang w:val="en-US"/>
        </w:rPr>
        <w:t xml:space="preserve"> promotion of a governmental section for checking journalistic content and labeling journalists and media outlets poses a risk to the guarantees of freedom of expression, plural and diverse public debate, and democratic institutions in Mexico. Based on the facts mention</w:t>
      </w:r>
      <w:r w:rsidR="009671E3" w:rsidRPr="00CC562A">
        <w:rPr>
          <w:rFonts w:ascii="Cambria" w:eastAsia="Cambria" w:hAnsi="Cambria" w:cs="Cambria"/>
          <w:sz w:val="20"/>
          <w:szCs w:val="20"/>
          <w:lang w:val="en-US"/>
        </w:rPr>
        <w:t>ed</w:t>
      </w:r>
      <w:r w:rsidR="0009633D" w:rsidRPr="00CC562A">
        <w:rPr>
          <w:rFonts w:ascii="Cambria" w:eastAsia="Cambria" w:hAnsi="Cambria" w:cs="Cambria"/>
          <w:sz w:val="20"/>
          <w:szCs w:val="20"/>
          <w:lang w:val="en-US"/>
        </w:rPr>
        <w:t xml:space="preserve">, the </w:t>
      </w:r>
      <w:r w:rsidR="009671E3" w:rsidRPr="00CC562A">
        <w:rPr>
          <w:rFonts w:ascii="Cambria" w:eastAsia="Cambria" w:hAnsi="Cambria" w:cs="Cambria"/>
          <w:sz w:val="20"/>
          <w:szCs w:val="20"/>
          <w:lang w:val="en-US"/>
        </w:rPr>
        <w:t xml:space="preserve">Office of the </w:t>
      </w:r>
      <w:r w:rsidR="0009633D" w:rsidRPr="00CC562A">
        <w:rPr>
          <w:rFonts w:ascii="Cambria" w:eastAsia="Cambria" w:hAnsi="Cambria" w:cs="Cambria"/>
          <w:sz w:val="20"/>
          <w:szCs w:val="20"/>
          <w:lang w:val="en-US"/>
        </w:rPr>
        <w:t xml:space="preserve">Rapporteur </w:t>
      </w:r>
      <w:r w:rsidR="00123DA8" w:rsidRPr="00CC562A">
        <w:rPr>
          <w:rFonts w:ascii="Cambria" w:eastAsia="Cambria" w:hAnsi="Cambria" w:cs="Cambria"/>
          <w:sz w:val="20"/>
          <w:szCs w:val="20"/>
          <w:lang w:val="en-US"/>
        </w:rPr>
        <w:t>considers that “Who’s Who in Lies of the Week”</w:t>
      </w:r>
      <w:r w:rsidR="1D66B9C8" w:rsidRPr="00CC562A">
        <w:rPr>
          <w:rFonts w:ascii="Cambria" w:eastAsia="Cambria" w:hAnsi="Cambria" w:cs="Cambria"/>
          <w:sz w:val="20"/>
          <w:szCs w:val="20"/>
          <w:lang w:val="en-US"/>
        </w:rPr>
        <w:t xml:space="preserve"> </w:t>
      </w:r>
      <w:r w:rsidR="009671E3" w:rsidRPr="00CC562A">
        <w:rPr>
          <w:rFonts w:ascii="Cambria" w:eastAsia="Cambria" w:hAnsi="Cambria" w:cs="Cambria"/>
          <w:sz w:val="20"/>
          <w:szCs w:val="20"/>
          <w:lang w:val="en-US"/>
        </w:rPr>
        <w:t xml:space="preserve">as </w:t>
      </w:r>
      <w:r w:rsidR="00123DA8" w:rsidRPr="00CC562A">
        <w:rPr>
          <w:rFonts w:ascii="Cambria" w:eastAsia="Cambria" w:hAnsi="Cambria" w:cs="Cambria"/>
          <w:sz w:val="20"/>
          <w:szCs w:val="20"/>
          <w:lang w:val="en-US"/>
        </w:rPr>
        <w:t xml:space="preserve">adopted by the Executive Branch violates inter-American standards on freedom of </w:t>
      </w:r>
      <w:r w:rsidR="00D77397" w:rsidRPr="00CC562A">
        <w:rPr>
          <w:rFonts w:ascii="Cambria" w:eastAsia="Cambria" w:hAnsi="Cambria" w:cs="Cambria"/>
          <w:sz w:val="20"/>
          <w:szCs w:val="20"/>
          <w:lang w:val="en-US"/>
        </w:rPr>
        <w:t>expression and</w:t>
      </w:r>
      <w:r w:rsidR="00123DA8" w:rsidRPr="00CC562A">
        <w:rPr>
          <w:rFonts w:ascii="Cambria" w:eastAsia="Cambria" w:hAnsi="Cambria" w:cs="Cambria"/>
          <w:sz w:val="20"/>
          <w:szCs w:val="20"/>
          <w:lang w:val="en-US"/>
        </w:rPr>
        <w:t xml:space="preserve"> calls upon the State to suspend this practice</w:t>
      </w:r>
      <w:r w:rsidR="1D66B9C8" w:rsidRPr="00CC562A">
        <w:rPr>
          <w:rFonts w:ascii="Cambria" w:eastAsia="Cambria" w:hAnsi="Cambria" w:cs="Cambria"/>
          <w:sz w:val="20"/>
          <w:szCs w:val="20"/>
          <w:lang w:val="en-US"/>
        </w:rPr>
        <w:t xml:space="preserve">. </w:t>
      </w:r>
    </w:p>
    <w:p w14:paraId="354D330E" w14:textId="390D5756" w:rsidR="004A31AF" w:rsidRPr="00CC562A" w:rsidRDefault="00123DA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Given the lack of reports on significant advances on the part of the State, the</w:t>
      </w:r>
      <w:r w:rsidR="00276638" w:rsidRPr="00CC562A">
        <w:rPr>
          <w:rFonts w:ascii="Cambria" w:eastAsia="Cambria" w:hAnsi="Cambria" w:cs="Cambria"/>
          <w:sz w:val="20"/>
          <w:szCs w:val="20"/>
          <w:lang w:val="en-US"/>
        </w:rPr>
        <w:t xml:space="preserve"> IACHR</w:t>
      </w:r>
      <w:r w:rsidR="1D66B9C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considers the recommendation to be</w:t>
      </w:r>
      <w:r w:rsidR="1D66B9C8" w:rsidRPr="00CC562A">
        <w:rPr>
          <w:rFonts w:ascii="Cambria" w:eastAsia="Cambria" w:hAnsi="Cambria" w:cs="Cambria"/>
          <w:b/>
          <w:bCs/>
          <w:sz w:val="20"/>
          <w:szCs w:val="20"/>
          <w:lang w:val="en-US"/>
        </w:rPr>
        <w:t xml:space="preserve"> pendi</w:t>
      </w:r>
      <w:r w:rsidRPr="00CC562A">
        <w:rPr>
          <w:rFonts w:ascii="Cambria" w:eastAsia="Cambria" w:hAnsi="Cambria" w:cs="Cambria"/>
          <w:b/>
          <w:bCs/>
          <w:sz w:val="20"/>
          <w:szCs w:val="20"/>
          <w:lang w:val="en-US"/>
        </w:rPr>
        <w:t>ng compliance</w:t>
      </w:r>
      <w:r w:rsidR="1D66B9C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while it calls on the Mexican State to redouble its efforts to </w:t>
      </w:r>
      <w:r w:rsidRPr="00CC562A">
        <w:rPr>
          <w:rFonts w:ascii="Cambria" w:eastAsia="Cambria" w:hAnsi="Cambria" w:cs="Cambria"/>
          <w:sz w:val="20"/>
          <w:szCs w:val="20"/>
          <w:lang w:val="en-US"/>
        </w:rPr>
        <w:lastRenderedPageBreak/>
        <w:t xml:space="preserve">promote an environment favorable to the right to freedom of expression and the press and to eradicate any </w:t>
      </w:r>
      <w:r w:rsidR="009671E3" w:rsidRPr="00CC562A">
        <w:rPr>
          <w:rFonts w:ascii="Cambria" w:eastAsia="Cambria" w:hAnsi="Cambria" w:cs="Cambria"/>
          <w:sz w:val="20"/>
          <w:szCs w:val="20"/>
          <w:lang w:val="en-US"/>
        </w:rPr>
        <w:t>type</w:t>
      </w:r>
      <w:r w:rsidRPr="00CC562A">
        <w:rPr>
          <w:rFonts w:ascii="Cambria" w:eastAsia="Cambria" w:hAnsi="Cambria" w:cs="Cambria"/>
          <w:sz w:val="20"/>
          <w:szCs w:val="20"/>
          <w:lang w:val="en-US"/>
        </w:rPr>
        <w:t xml:space="preserve"> of pronouncement on the part of public authorities – particularly high officials – who ma</w:t>
      </w:r>
      <w:r w:rsidR="009671E3" w:rsidRPr="00CC562A">
        <w:rPr>
          <w:rFonts w:ascii="Cambria" w:eastAsia="Cambria" w:hAnsi="Cambria" w:cs="Cambria"/>
          <w:sz w:val="20"/>
          <w:szCs w:val="20"/>
          <w:lang w:val="en-US"/>
        </w:rPr>
        <w:t>y</w:t>
      </w:r>
      <w:r w:rsidRPr="00CC562A">
        <w:rPr>
          <w:rFonts w:ascii="Cambria" w:eastAsia="Cambria" w:hAnsi="Cambria" w:cs="Cambria"/>
          <w:sz w:val="20"/>
          <w:szCs w:val="20"/>
          <w:lang w:val="en-US"/>
        </w:rPr>
        <w:t xml:space="preserve"> legitimize or send messages permissive of violence against the press</w:t>
      </w:r>
      <w:r w:rsidR="1D66B9C8" w:rsidRPr="00CC562A">
        <w:rPr>
          <w:rFonts w:ascii="Cambria" w:eastAsia="Cambria" w:hAnsi="Cambria" w:cs="Cambria"/>
          <w:sz w:val="20"/>
          <w:szCs w:val="20"/>
          <w:lang w:val="en-US"/>
        </w:rPr>
        <w:t>.</w:t>
      </w:r>
    </w:p>
    <w:p w14:paraId="7208A75E" w14:textId="59CC4ED3" w:rsidR="005B5AAA" w:rsidRPr="00CC562A" w:rsidRDefault="00AD5C3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purpose of this recommendation is based on the premise that in a context of increasing violence against the press it is important for all institutions to contribute to an environment favorable to freedom of expression and public de</w:t>
      </w:r>
      <w:r w:rsidR="00ED23C2" w:rsidRPr="00CC562A">
        <w:rPr>
          <w:rFonts w:ascii="Cambria" w:eastAsia="Cambria" w:hAnsi="Cambria" w:cs="Cambria"/>
          <w:sz w:val="20"/>
          <w:szCs w:val="20"/>
          <w:lang w:val="en-US"/>
        </w:rPr>
        <w:t>bate</w:t>
      </w:r>
      <w:r w:rsidRPr="00CC562A">
        <w:rPr>
          <w:rFonts w:ascii="Cambria" w:eastAsia="Cambria" w:hAnsi="Cambria" w:cs="Cambria"/>
          <w:sz w:val="20"/>
          <w:szCs w:val="20"/>
          <w:lang w:val="en-US"/>
        </w:rPr>
        <w:t>. The information received</w:t>
      </w:r>
      <w:r w:rsidR="1D66B9C8"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for considering </w:t>
      </w:r>
      <w:proofErr w:type="gramStart"/>
      <w:r w:rsidRPr="00CC562A">
        <w:rPr>
          <w:rFonts w:ascii="Cambria" w:eastAsia="Cambria" w:hAnsi="Cambria" w:cs="Cambria"/>
          <w:sz w:val="20"/>
          <w:szCs w:val="20"/>
          <w:lang w:val="en-US"/>
        </w:rPr>
        <w:t>whether or not</w:t>
      </w:r>
      <w:proofErr w:type="gramEnd"/>
      <w:r w:rsidRPr="00CC562A">
        <w:rPr>
          <w:rFonts w:ascii="Cambria" w:eastAsia="Cambria" w:hAnsi="Cambria" w:cs="Cambria"/>
          <w:sz w:val="20"/>
          <w:szCs w:val="20"/>
          <w:lang w:val="en-US"/>
        </w:rPr>
        <w:t xml:space="preserve"> there has been progress in complying with the recommendation contrasts with the records of acts of violence against the press and repeated stigmatizing messages </w:t>
      </w:r>
      <w:r w:rsidR="006A792F" w:rsidRPr="00CC562A">
        <w:rPr>
          <w:rFonts w:ascii="Cambria" w:eastAsia="Cambria" w:hAnsi="Cambria" w:cs="Cambria"/>
          <w:sz w:val="20"/>
          <w:szCs w:val="20"/>
          <w:lang w:val="en-US"/>
        </w:rPr>
        <w:t>made by public officials against the work of journalism</w:t>
      </w:r>
      <w:r w:rsidR="1D66B9C8" w:rsidRPr="00CC562A">
        <w:rPr>
          <w:rFonts w:ascii="Cambria" w:eastAsia="Cambria" w:hAnsi="Cambria" w:cs="Cambria"/>
          <w:sz w:val="20"/>
          <w:szCs w:val="20"/>
          <w:lang w:val="en-US"/>
        </w:rPr>
        <w:t>.</w:t>
      </w:r>
    </w:p>
    <w:p w14:paraId="094D3261" w14:textId="4C1B1EE8" w:rsidR="00843C54" w:rsidRPr="00CC562A" w:rsidRDefault="0027663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3EB92E22" w:rsidRPr="00CC562A">
        <w:rPr>
          <w:rFonts w:ascii="Cambria" w:eastAsia="Cambria" w:hAnsi="Cambria" w:cs="Cambria"/>
          <w:sz w:val="20"/>
          <w:szCs w:val="20"/>
          <w:lang w:val="en-US"/>
        </w:rPr>
        <w:t xml:space="preserve"> </w:t>
      </w:r>
      <w:r w:rsidR="006A792F" w:rsidRPr="00CC562A">
        <w:rPr>
          <w:rFonts w:ascii="Cambria" w:eastAsia="Cambria" w:hAnsi="Cambria" w:cs="Cambria"/>
          <w:sz w:val="20"/>
          <w:szCs w:val="20"/>
          <w:lang w:val="en-US"/>
        </w:rPr>
        <w:t>emphasizes that, in response to the increase in murders, threats, physical aggression, and attacks against journalists in Mexico, it is essential that the State send clear message</w:t>
      </w:r>
      <w:r w:rsidR="00ED23C2" w:rsidRPr="00CC562A">
        <w:rPr>
          <w:rFonts w:ascii="Cambria" w:eastAsia="Cambria" w:hAnsi="Cambria" w:cs="Cambria"/>
          <w:sz w:val="20"/>
          <w:szCs w:val="20"/>
          <w:lang w:val="en-US"/>
        </w:rPr>
        <w:t>s</w:t>
      </w:r>
      <w:r w:rsidR="006A792F" w:rsidRPr="00CC562A">
        <w:rPr>
          <w:rFonts w:ascii="Cambria" w:eastAsia="Cambria" w:hAnsi="Cambria" w:cs="Cambria"/>
          <w:sz w:val="20"/>
          <w:szCs w:val="20"/>
          <w:lang w:val="en-US"/>
        </w:rPr>
        <w:t xml:space="preserve"> acknowledging the legitimacy and value of the work of journalism as an initial and essential premise of the recommendation that is being followed up. In this context, under the alleged premise of guaranteeing freedom of expression in its collective dimension and citizens’ access to information, “Who’s Who in Lies” sends confused messages regarding the work of the press and could contribute to the stigmatization </w:t>
      </w:r>
      <w:r w:rsidR="00ED23C2" w:rsidRPr="00CC562A">
        <w:rPr>
          <w:rFonts w:ascii="Cambria" w:eastAsia="Cambria" w:hAnsi="Cambria" w:cs="Cambria"/>
          <w:sz w:val="20"/>
          <w:szCs w:val="20"/>
          <w:lang w:val="en-US"/>
        </w:rPr>
        <w:t>of</w:t>
      </w:r>
      <w:r w:rsidR="006A792F" w:rsidRPr="00CC562A">
        <w:rPr>
          <w:rFonts w:ascii="Cambria" w:eastAsia="Cambria" w:hAnsi="Cambria" w:cs="Cambria"/>
          <w:sz w:val="20"/>
          <w:szCs w:val="20"/>
          <w:lang w:val="en-US"/>
        </w:rPr>
        <w:t xml:space="preserve"> journalist</w:t>
      </w:r>
      <w:r w:rsidR="00ED23C2" w:rsidRPr="00CC562A">
        <w:rPr>
          <w:rFonts w:ascii="Cambria" w:eastAsia="Cambria" w:hAnsi="Cambria" w:cs="Cambria"/>
          <w:sz w:val="20"/>
          <w:szCs w:val="20"/>
          <w:lang w:val="en-US"/>
        </w:rPr>
        <w:t>s</w:t>
      </w:r>
      <w:r w:rsidR="006A792F" w:rsidRPr="00CC562A">
        <w:rPr>
          <w:rFonts w:ascii="Cambria" w:eastAsia="Cambria" w:hAnsi="Cambria" w:cs="Cambria"/>
          <w:sz w:val="20"/>
          <w:szCs w:val="20"/>
          <w:lang w:val="en-US"/>
        </w:rPr>
        <w:t xml:space="preserve"> and communications media. This could violate the State’s obligation to adopt public discourse that helps to prevent violence against journalists.</w:t>
      </w:r>
      <w:r w:rsidR="009965A7" w:rsidRPr="00CC562A">
        <w:rPr>
          <w:rFonts w:ascii="Cambria" w:eastAsia="Cambria" w:hAnsi="Cambria" w:cs="Cambria"/>
          <w:sz w:val="20"/>
          <w:szCs w:val="20"/>
          <w:vertAlign w:val="superscript"/>
          <w:lang w:val="en-US"/>
        </w:rPr>
        <w:footnoteReference w:id="341"/>
      </w:r>
    </w:p>
    <w:p w14:paraId="1F440F91" w14:textId="2894E66C" w:rsidR="007A4A30" w:rsidRPr="00CC562A" w:rsidRDefault="006A792F"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00ED23C2" w:rsidRPr="00CC562A">
        <w:rPr>
          <w:rFonts w:ascii="Cambria" w:hAnsi="Cambria"/>
          <w:b/>
          <w:bCs/>
          <w:sz w:val="20"/>
          <w:szCs w:val="20"/>
          <w:lang w:val="en-US"/>
        </w:rPr>
        <w:t xml:space="preserve">define </w:t>
      </w:r>
      <w:r w:rsidRPr="00CC562A">
        <w:rPr>
          <w:rFonts w:ascii="Cambria" w:hAnsi="Cambria"/>
          <w:b/>
          <w:bCs/>
          <w:sz w:val="20"/>
          <w:szCs w:val="20"/>
          <w:lang w:val="en-US"/>
        </w:rPr>
        <w:t>a single methodology for compiling and publishing detailed and disaggregated statistics on violence against journalists and investigations into attacks</w:t>
      </w:r>
      <w:r w:rsidR="49B170D1" w:rsidRPr="00CC562A">
        <w:rPr>
          <w:rFonts w:ascii="Cambria" w:hAnsi="Cambria"/>
          <w:sz w:val="20"/>
          <w:szCs w:val="20"/>
          <w:lang w:val="en-US"/>
        </w:rPr>
        <w:t xml:space="preserve">, </w:t>
      </w:r>
      <w:r w:rsidR="00752FED" w:rsidRPr="00CC562A">
        <w:rPr>
          <w:rFonts w:ascii="Cambria" w:eastAsia="Cambria" w:hAnsi="Cambria" w:cs="Cambria"/>
          <w:sz w:val="20"/>
          <w:szCs w:val="20"/>
          <w:lang w:val="en-US"/>
        </w:rPr>
        <w:t>the State</w:t>
      </w:r>
      <w:r w:rsidR="34F4F0A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indicated that the statistics produced by the Mechanism for the Protection of Human Rights Defenders and Journalists</w:t>
      </w:r>
      <w:r w:rsidR="00431477" w:rsidRPr="00CC562A">
        <w:rPr>
          <w:rFonts w:ascii="Cambria" w:eastAsia="Cambria" w:hAnsi="Cambria" w:cs="Cambria"/>
          <w:sz w:val="20"/>
          <w:szCs w:val="20"/>
          <w:lang w:val="en-US"/>
        </w:rPr>
        <w:t xml:space="preserve"> seeks to do quantitative analysis on attacks identified in the monitoring of attacks based on open sources. </w:t>
      </w:r>
      <w:r w:rsidR="00D1618A" w:rsidRPr="00CC562A">
        <w:rPr>
          <w:rFonts w:ascii="Cambria" w:eastAsia="Cambria" w:hAnsi="Cambria" w:cs="Cambria"/>
          <w:sz w:val="20"/>
          <w:szCs w:val="20"/>
          <w:lang w:val="en-US"/>
        </w:rPr>
        <w:t>S</w:t>
      </w:r>
      <w:r w:rsidR="00431477" w:rsidRPr="00CC562A">
        <w:rPr>
          <w:rFonts w:ascii="Cambria" w:eastAsia="Cambria" w:hAnsi="Cambria" w:cs="Cambria"/>
          <w:sz w:val="20"/>
          <w:szCs w:val="20"/>
          <w:lang w:val="en-US"/>
        </w:rPr>
        <w:t xml:space="preserve">tatistics are </w:t>
      </w:r>
      <w:r w:rsidR="00D1618A" w:rsidRPr="00CC562A">
        <w:rPr>
          <w:rFonts w:ascii="Cambria" w:eastAsia="Cambria" w:hAnsi="Cambria" w:cs="Cambria"/>
          <w:sz w:val="20"/>
          <w:szCs w:val="20"/>
          <w:lang w:val="en-US"/>
        </w:rPr>
        <w:t>also compiled</w:t>
      </w:r>
      <w:r w:rsidR="00431477" w:rsidRPr="00CC562A">
        <w:rPr>
          <w:rFonts w:ascii="Cambria" w:eastAsia="Cambria" w:hAnsi="Cambria" w:cs="Cambria"/>
          <w:sz w:val="20"/>
          <w:szCs w:val="20"/>
          <w:lang w:val="en-US"/>
        </w:rPr>
        <w:t xml:space="preserve"> on cases known to the Mechanism and that are incorporated as beneficiaries. The Special Prosecutor’s Office for Addressing Crimes Committed against Freedom of Expression systematizes the information contained in preliminary in</w:t>
      </w:r>
      <w:r w:rsidR="00D1618A" w:rsidRPr="00CC562A">
        <w:rPr>
          <w:rFonts w:ascii="Cambria" w:eastAsia="Cambria" w:hAnsi="Cambria" w:cs="Cambria"/>
          <w:sz w:val="20"/>
          <w:szCs w:val="20"/>
          <w:lang w:val="en-US"/>
        </w:rPr>
        <w:t>quiries</w:t>
      </w:r>
      <w:r w:rsidR="00431477" w:rsidRPr="00CC562A">
        <w:rPr>
          <w:rFonts w:ascii="Cambria" w:eastAsia="Cambria" w:hAnsi="Cambria" w:cs="Cambria"/>
          <w:sz w:val="20"/>
          <w:szCs w:val="20"/>
          <w:lang w:val="en-US"/>
        </w:rPr>
        <w:t xml:space="preserve"> and investigation files, from complaints filed r</w:t>
      </w:r>
      <w:r w:rsidR="00D1618A" w:rsidRPr="00CC562A">
        <w:rPr>
          <w:rFonts w:ascii="Cambria" w:eastAsia="Cambria" w:hAnsi="Cambria" w:cs="Cambria"/>
          <w:sz w:val="20"/>
          <w:szCs w:val="20"/>
          <w:lang w:val="en-US"/>
        </w:rPr>
        <w:t>egarding</w:t>
      </w:r>
      <w:r w:rsidR="00431477" w:rsidRPr="00CC562A">
        <w:rPr>
          <w:rFonts w:ascii="Cambria" w:eastAsia="Cambria" w:hAnsi="Cambria" w:cs="Cambria"/>
          <w:sz w:val="20"/>
          <w:szCs w:val="20"/>
          <w:lang w:val="en-US"/>
        </w:rPr>
        <w:t xml:space="preserve"> crimes against freedom of expression and issues monthly statistical reports. The “2021 Statistical Report of the Special Prosecutor for Addressing Crimes Committed against Freedom of Expression” was published and was updated with the “Statistical Report of </w:t>
      </w:r>
      <w:r w:rsidR="601F96B9" w:rsidRPr="00CC562A">
        <w:rPr>
          <w:rFonts w:ascii="Cambria" w:eastAsia="Cambria" w:hAnsi="Cambria" w:cs="Cambria"/>
          <w:sz w:val="20"/>
          <w:szCs w:val="20"/>
          <w:lang w:val="en-US"/>
        </w:rPr>
        <w:t xml:space="preserve">2022 </w:t>
      </w:r>
      <w:r w:rsidR="00431477" w:rsidRPr="00CC562A">
        <w:rPr>
          <w:rFonts w:ascii="Cambria" w:eastAsia="Cambria" w:hAnsi="Cambria" w:cs="Cambria"/>
          <w:sz w:val="20"/>
          <w:szCs w:val="20"/>
          <w:lang w:val="en-US"/>
        </w:rPr>
        <w:t>of the Special Prosecutor’s Office for Addressing Crimes Committed Against Freedom of Expression.” These reports are published on its microsite.</w:t>
      </w:r>
      <w:r w:rsidR="00070D01" w:rsidRPr="00CC562A">
        <w:rPr>
          <w:rStyle w:val="FootnoteReference"/>
          <w:rFonts w:ascii="Cambria" w:eastAsia="Cambria" w:hAnsi="Cambria" w:cs="Cambria"/>
          <w:sz w:val="20"/>
          <w:szCs w:val="20"/>
          <w:lang w:val="en-US"/>
        </w:rPr>
        <w:footnoteReference w:id="342"/>
      </w:r>
    </w:p>
    <w:p w14:paraId="40FD0138" w14:textId="758AD5D4" w:rsidR="00886665" w:rsidRPr="00CC562A" w:rsidRDefault="0043147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this regard, the</w:t>
      </w:r>
      <w:r w:rsidR="5AB45576" w:rsidRPr="00CC562A">
        <w:rPr>
          <w:rFonts w:ascii="Cambria" w:eastAsia="Cambria" w:hAnsi="Cambria" w:cs="Cambria"/>
          <w:sz w:val="20"/>
          <w:szCs w:val="20"/>
          <w:lang w:val="en-US"/>
        </w:rPr>
        <w:t xml:space="preserve"> CNDH </w:t>
      </w:r>
      <w:r w:rsidRPr="00CC562A">
        <w:rPr>
          <w:rFonts w:ascii="Cambria" w:eastAsia="Cambria" w:hAnsi="Cambria" w:cs="Cambria"/>
          <w:sz w:val="20"/>
          <w:szCs w:val="20"/>
          <w:lang w:val="en-US"/>
        </w:rPr>
        <w:t>indicated that in its diagnosis on the scope and challenges of the “Mechanism for Protecting Human Rights Defenders and Journalists” and the need for a governmental policy for the protection of defenders and journalists, published in May</w:t>
      </w:r>
      <w:r w:rsidR="5AB45576" w:rsidRPr="00CC562A">
        <w:rPr>
          <w:rFonts w:ascii="Cambria" w:eastAsia="Cambria" w:hAnsi="Cambria" w:cs="Cambria"/>
          <w:sz w:val="20"/>
          <w:szCs w:val="20"/>
          <w:lang w:val="en-US"/>
        </w:rPr>
        <w:t xml:space="preserve"> 2022, </w:t>
      </w:r>
      <w:r w:rsidR="00053885" w:rsidRPr="00CC562A">
        <w:rPr>
          <w:rFonts w:ascii="Cambria" w:eastAsia="Cambria" w:hAnsi="Cambria" w:cs="Cambria"/>
          <w:sz w:val="20"/>
          <w:szCs w:val="20"/>
          <w:lang w:val="en-US"/>
        </w:rPr>
        <w:t>the</w:t>
      </w:r>
      <w:r w:rsidR="5AB45576" w:rsidRPr="00CC562A">
        <w:rPr>
          <w:rFonts w:ascii="Cambria" w:eastAsia="Cambria" w:hAnsi="Cambria" w:cs="Cambria"/>
          <w:sz w:val="20"/>
          <w:szCs w:val="20"/>
          <w:lang w:val="en-US"/>
        </w:rPr>
        <w:t xml:space="preserve"> CNDH propo</w:t>
      </w:r>
      <w:r w:rsidR="00053885" w:rsidRPr="00CC562A">
        <w:rPr>
          <w:rFonts w:ascii="Cambria" w:eastAsia="Cambria" w:hAnsi="Cambria" w:cs="Cambria"/>
          <w:sz w:val="20"/>
          <w:szCs w:val="20"/>
          <w:lang w:val="en-US"/>
        </w:rPr>
        <w:t>ses that the Mechanism’</w:t>
      </w:r>
      <w:r w:rsidR="00D1618A" w:rsidRPr="00CC562A">
        <w:rPr>
          <w:rFonts w:ascii="Cambria" w:eastAsia="Cambria" w:hAnsi="Cambria" w:cs="Cambria"/>
          <w:sz w:val="20"/>
          <w:szCs w:val="20"/>
          <w:lang w:val="en-US"/>
        </w:rPr>
        <w:t>s</w:t>
      </w:r>
      <w:r w:rsidR="00053885" w:rsidRPr="00CC562A">
        <w:rPr>
          <w:rFonts w:ascii="Cambria" w:eastAsia="Cambria" w:hAnsi="Cambria" w:cs="Cambria"/>
          <w:sz w:val="20"/>
          <w:szCs w:val="20"/>
          <w:lang w:val="en-US"/>
        </w:rPr>
        <w:t xml:space="preserve"> data be used to design, in coordination with the UEP, early warning systems, as well as contingency plans with a preventive approach for the purpose of avoiding potential attacks in the locations or entities in which circumstances meriting special attention are identified, based on patterns of attacks and risk maps developed by the National Executive Coordination, thus assigning shared responsibility to the authorities of </w:t>
      </w:r>
      <w:r w:rsidR="00365543" w:rsidRPr="00CC562A">
        <w:rPr>
          <w:rFonts w:ascii="Cambria" w:eastAsia="Cambria" w:hAnsi="Cambria" w:cs="Cambria"/>
          <w:sz w:val="20"/>
          <w:szCs w:val="20"/>
          <w:lang w:val="en-US"/>
        </w:rPr>
        <w:t>states</w:t>
      </w:r>
      <w:r w:rsidR="00053885" w:rsidRPr="00CC562A">
        <w:rPr>
          <w:rFonts w:ascii="Cambria" w:eastAsia="Cambria" w:hAnsi="Cambria" w:cs="Cambria"/>
          <w:sz w:val="20"/>
          <w:szCs w:val="20"/>
          <w:lang w:val="en-US"/>
        </w:rPr>
        <w:t xml:space="preserve"> and municipalities, both in contingency plans and in preventive policies.</w:t>
      </w:r>
      <w:r w:rsidR="00886665" w:rsidRPr="00CC562A">
        <w:rPr>
          <w:rStyle w:val="FootnoteReference"/>
          <w:rFonts w:ascii="Cambria" w:eastAsia="Cambria" w:hAnsi="Cambria" w:cs="Cambria"/>
          <w:sz w:val="20"/>
          <w:szCs w:val="20"/>
          <w:lang w:val="en-US"/>
        </w:rPr>
        <w:footnoteReference w:id="343"/>
      </w:r>
    </w:p>
    <w:p w14:paraId="49592DD6" w14:textId="167D216D" w:rsidR="00843C54" w:rsidRPr="00CC562A" w:rsidRDefault="0005388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For its part, Article</w:t>
      </w:r>
      <w:r w:rsidR="78A44651" w:rsidRPr="00CC562A">
        <w:rPr>
          <w:rFonts w:ascii="Cambria" w:eastAsia="Cambria" w:hAnsi="Cambria" w:cs="Cambria"/>
          <w:sz w:val="20"/>
          <w:szCs w:val="20"/>
          <w:lang w:val="en-US"/>
        </w:rPr>
        <w:t xml:space="preserve"> 19 </w:t>
      </w:r>
      <w:r w:rsidRPr="00CC562A">
        <w:rPr>
          <w:rFonts w:ascii="Cambria" w:eastAsia="Cambria" w:hAnsi="Cambria" w:cs="Cambria"/>
          <w:sz w:val="20"/>
          <w:szCs w:val="20"/>
          <w:lang w:val="en-US"/>
        </w:rPr>
        <w:t xml:space="preserve">noted that the State has been remiss </w:t>
      </w:r>
      <w:proofErr w:type="gramStart"/>
      <w:r w:rsidR="00D1618A" w:rsidRPr="00CC562A">
        <w:rPr>
          <w:rFonts w:ascii="Cambria" w:eastAsia="Cambria" w:hAnsi="Cambria" w:cs="Cambria"/>
          <w:sz w:val="20"/>
          <w:szCs w:val="20"/>
          <w:lang w:val="en-US"/>
        </w:rPr>
        <w:t>with regard to</w:t>
      </w:r>
      <w:proofErr w:type="gramEnd"/>
      <w:r w:rsidR="00D1618A" w:rsidRPr="00CC562A">
        <w:rPr>
          <w:rFonts w:ascii="Cambria" w:eastAsia="Cambria" w:hAnsi="Cambria" w:cs="Cambria"/>
          <w:sz w:val="20"/>
          <w:szCs w:val="20"/>
          <w:lang w:val="en-US"/>
        </w:rPr>
        <w:t xml:space="preserve"> </w:t>
      </w:r>
      <w:r w:rsidR="00EF27D5" w:rsidRPr="00CC562A">
        <w:rPr>
          <w:rFonts w:ascii="Cambria" w:eastAsia="Cambria" w:hAnsi="Cambria" w:cs="Cambria"/>
          <w:sz w:val="20"/>
          <w:szCs w:val="20"/>
          <w:lang w:val="en-US"/>
        </w:rPr>
        <w:t>the recommendation on designing policies to prevent violence against the press. Mexico continues to be one of the most dangerous countries in the wor</w:t>
      </w:r>
      <w:r w:rsidR="00D1618A" w:rsidRPr="00CC562A">
        <w:rPr>
          <w:rFonts w:ascii="Cambria" w:eastAsia="Cambria" w:hAnsi="Cambria" w:cs="Cambria"/>
          <w:sz w:val="20"/>
          <w:szCs w:val="20"/>
          <w:lang w:val="en-US"/>
        </w:rPr>
        <w:t>ld</w:t>
      </w:r>
      <w:r w:rsidR="00EF27D5" w:rsidRPr="00CC562A">
        <w:rPr>
          <w:rFonts w:ascii="Cambria" w:eastAsia="Cambria" w:hAnsi="Cambria" w:cs="Cambria"/>
          <w:sz w:val="20"/>
          <w:szCs w:val="20"/>
          <w:lang w:val="en-US"/>
        </w:rPr>
        <w:t xml:space="preserve"> for the exercise of journalism and freedom of expression, as current protection policies are insufficient, with a reactive and non-preventive approach. The organization indicated that, </w:t>
      </w:r>
      <w:r w:rsidR="00D1618A" w:rsidRPr="00CC562A">
        <w:rPr>
          <w:rFonts w:ascii="Cambria" w:eastAsia="Cambria" w:hAnsi="Cambria" w:cs="Cambria"/>
          <w:sz w:val="20"/>
          <w:szCs w:val="20"/>
          <w:lang w:val="en-US"/>
        </w:rPr>
        <w:t xml:space="preserve">as currently conceived, </w:t>
      </w:r>
      <w:r w:rsidR="00EF27D5" w:rsidRPr="00CC562A">
        <w:rPr>
          <w:rFonts w:ascii="Cambria" w:eastAsia="Cambria" w:hAnsi="Cambria" w:cs="Cambria"/>
          <w:sz w:val="20"/>
          <w:szCs w:val="20"/>
          <w:lang w:val="en-US"/>
        </w:rPr>
        <w:t xml:space="preserve">the Law for the Protection of Human Rights Defenders and Journalists has not been successful in counteracting the structural causes of violence and attacks against the press in recent years, with at least </w:t>
      </w:r>
      <w:r w:rsidR="78A44651" w:rsidRPr="00CC562A">
        <w:rPr>
          <w:rFonts w:ascii="Cambria" w:eastAsia="Cambria" w:hAnsi="Cambria" w:cs="Cambria"/>
          <w:sz w:val="20"/>
          <w:szCs w:val="20"/>
          <w:lang w:val="en-US"/>
        </w:rPr>
        <w:t xml:space="preserve">156 </w:t>
      </w:r>
      <w:r w:rsidR="00EF27D5" w:rsidRPr="00CC562A">
        <w:rPr>
          <w:rFonts w:ascii="Cambria" w:eastAsia="Cambria" w:hAnsi="Cambria" w:cs="Cambria"/>
          <w:sz w:val="20"/>
          <w:szCs w:val="20"/>
          <w:lang w:val="en-US"/>
        </w:rPr>
        <w:t>murders of journalists since the year</w:t>
      </w:r>
      <w:r w:rsidR="78A44651" w:rsidRPr="00CC562A">
        <w:rPr>
          <w:rFonts w:ascii="Cambria" w:eastAsia="Cambria" w:hAnsi="Cambria" w:cs="Cambria"/>
          <w:sz w:val="20"/>
          <w:szCs w:val="20"/>
          <w:lang w:val="en-US"/>
        </w:rPr>
        <w:t xml:space="preserve"> 2000, inclu</w:t>
      </w:r>
      <w:r w:rsidR="00EF27D5" w:rsidRPr="00CC562A">
        <w:rPr>
          <w:rFonts w:ascii="Cambria" w:eastAsia="Cambria" w:hAnsi="Cambria" w:cs="Cambria"/>
          <w:sz w:val="20"/>
          <w:szCs w:val="20"/>
          <w:lang w:val="en-US"/>
        </w:rPr>
        <w:t xml:space="preserve">ding </w:t>
      </w:r>
      <w:r w:rsidR="78A44651" w:rsidRPr="00CC562A">
        <w:rPr>
          <w:rFonts w:ascii="Cambria" w:eastAsia="Cambria" w:hAnsi="Cambria" w:cs="Cambria"/>
          <w:sz w:val="20"/>
          <w:szCs w:val="20"/>
          <w:lang w:val="en-US"/>
        </w:rPr>
        <w:t>12 pe</w:t>
      </w:r>
      <w:r w:rsidR="00EF27D5" w:rsidRPr="00CC562A">
        <w:rPr>
          <w:rFonts w:ascii="Cambria" w:eastAsia="Cambria" w:hAnsi="Cambria" w:cs="Cambria"/>
          <w:sz w:val="20"/>
          <w:szCs w:val="20"/>
          <w:lang w:val="en-US"/>
        </w:rPr>
        <w:t>ople who were beneficiaries of the Mechanism for their protection. Thus, the organization indicated that from</w:t>
      </w:r>
      <w:r w:rsidR="78A44651" w:rsidRPr="00CC562A">
        <w:rPr>
          <w:rFonts w:ascii="Cambria" w:hAnsi="Cambria"/>
          <w:sz w:val="20"/>
          <w:szCs w:val="20"/>
          <w:lang w:val="en-US"/>
        </w:rPr>
        <w:t xml:space="preserve"> 2016 </w:t>
      </w:r>
      <w:r w:rsidR="00EF27D5" w:rsidRPr="00CC562A">
        <w:rPr>
          <w:rFonts w:ascii="Cambria" w:hAnsi="Cambria"/>
          <w:sz w:val="20"/>
          <w:szCs w:val="20"/>
          <w:lang w:val="en-US"/>
        </w:rPr>
        <w:t xml:space="preserve">to June of </w:t>
      </w:r>
      <w:r w:rsidR="78A44651" w:rsidRPr="00CC562A">
        <w:rPr>
          <w:rFonts w:ascii="Cambria" w:hAnsi="Cambria"/>
          <w:sz w:val="20"/>
          <w:szCs w:val="20"/>
          <w:lang w:val="en-US"/>
        </w:rPr>
        <w:t>2022, A</w:t>
      </w:r>
      <w:r w:rsidR="00EF27D5" w:rsidRPr="00CC562A">
        <w:rPr>
          <w:rFonts w:ascii="Cambria" w:hAnsi="Cambria"/>
          <w:sz w:val="20"/>
          <w:szCs w:val="20"/>
          <w:lang w:val="en-US"/>
        </w:rPr>
        <w:t>rticle</w:t>
      </w:r>
      <w:r w:rsidR="78A44651" w:rsidRPr="00CC562A">
        <w:rPr>
          <w:rFonts w:ascii="Cambria" w:hAnsi="Cambria"/>
          <w:sz w:val="20"/>
          <w:szCs w:val="20"/>
          <w:lang w:val="en-US"/>
        </w:rPr>
        <w:t xml:space="preserve"> 19 re</w:t>
      </w:r>
      <w:r w:rsidR="00EF27D5" w:rsidRPr="00CC562A">
        <w:rPr>
          <w:rFonts w:ascii="Cambria" w:hAnsi="Cambria"/>
          <w:sz w:val="20"/>
          <w:szCs w:val="20"/>
          <w:lang w:val="en-US"/>
        </w:rPr>
        <w:t>corded</w:t>
      </w:r>
      <w:r w:rsidR="78A44651" w:rsidRPr="00CC562A">
        <w:rPr>
          <w:rFonts w:ascii="Cambria" w:hAnsi="Cambria"/>
          <w:sz w:val="20"/>
          <w:szCs w:val="20"/>
          <w:lang w:val="en-US"/>
        </w:rPr>
        <w:t xml:space="preserve"> 3,753 </w:t>
      </w:r>
      <w:r w:rsidR="00EF27D5" w:rsidRPr="00CC562A">
        <w:rPr>
          <w:rFonts w:ascii="Cambria" w:hAnsi="Cambria"/>
          <w:sz w:val="20"/>
          <w:szCs w:val="20"/>
          <w:lang w:val="en-US"/>
        </w:rPr>
        <w:t>attacks against the press possibly linked to their work, and each year</w:t>
      </w:r>
      <w:r w:rsidR="78A44651" w:rsidRPr="00CC562A">
        <w:rPr>
          <w:rFonts w:ascii="Cambria" w:hAnsi="Cambria"/>
          <w:sz w:val="20"/>
          <w:szCs w:val="20"/>
          <w:lang w:val="en-US"/>
        </w:rPr>
        <w:t xml:space="preserve"> 46.15% </w:t>
      </w:r>
      <w:r w:rsidR="00EF27D5" w:rsidRPr="00CC562A">
        <w:rPr>
          <w:rFonts w:ascii="Cambria" w:hAnsi="Cambria"/>
          <w:sz w:val="20"/>
          <w:szCs w:val="20"/>
          <w:lang w:val="en-US"/>
        </w:rPr>
        <w:t>of them were committed by civil servants</w:t>
      </w:r>
      <w:r w:rsidR="78A44651" w:rsidRPr="00CC562A">
        <w:rPr>
          <w:rFonts w:ascii="Cambria" w:hAnsi="Cambria"/>
          <w:sz w:val="20"/>
          <w:szCs w:val="20"/>
          <w:lang w:val="en-US"/>
        </w:rPr>
        <w:t>.</w:t>
      </w:r>
      <w:r w:rsidR="78A44651" w:rsidRPr="00CC562A">
        <w:rPr>
          <w:rFonts w:ascii="Spectral" w:hAnsi="Spectral"/>
          <w:lang w:val="en-US"/>
        </w:rPr>
        <w:t xml:space="preserve"> </w:t>
      </w:r>
    </w:p>
    <w:p w14:paraId="00E926A1" w14:textId="1574F523" w:rsidR="004A31AF" w:rsidRPr="00CC562A" w:rsidRDefault="00EF27D5" w:rsidP="00001918">
      <w:pPr>
        <w:numPr>
          <w:ilvl w:val="0"/>
          <w:numId w:val="2"/>
        </w:numPr>
        <w:shd w:val="clear" w:color="auto" w:fill="FFFFFF" w:themeFill="background1"/>
        <w:spacing w:before="240" w:line="240" w:lineRule="auto"/>
        <w:ind w:left="0" w:firstLine="720"/>
        <w:jc w:val="both"/>
        <w:rPr>
          <w:lang w:val="en-US"/>
        </w:rPr>
      </w:pPr>
      <w:r w:rsidRPr="00CC562A">
        <w:rPr>
          <w:rFonts w:ascii="Cambria" w:eastAsia="Cambria" w:hAnsi="Cambria" w:cs="Cambria"/>
          <w:sz w:val="20"/>
          <w:szCs w:val="20"/>
          <w:lang w:val="en-US"/>
        </w:rPr>
        <w:t xml:space="preserve">Given the lack of information that could be used to analyze significant advances, </w:t>
      </w:r>
      <w:r w:rsidR="00820E56" w:rsidRPr="00CC562A">
        <w:rPr>
          <w:rFonts w:ascii="Cambria" w:eastAsia="Cambria" w:hAnsi="Cambria" w:cs="Cambria"/>
          <w:sz w:val="20"/>
          <w:szCs w:val="20"/>
          <w:lang w:val="en-US"/>
        </w:rPr>
        <w:t xml:space="preserve">as in the latest reports, the Commission and </w:t>
      </w:r>
      <w:r w:rsidR="00ED23C2" w:rsidRPr="00CC562A">
        <w:rPr>
          <w:rFonts w:ascii="Cambria" w:eastAsia="Cambria" w:hAnsi="Cambria" w:cs="Cambria"/>
          <w:sz w:val="20"/>
          <w:szCs w:val="20"/>
          <w:lang w:val="en-US"/>
        </w:rPr>
        <w:t>the Office of the</w:t>
      </w:r>
      <w:r w:rsidR="00820E56" w:rsidRPr="00CC562A">
        <w:rPr>
          <w:rFonts w:ascii="Cambria" w:eastAsia="Cambria" w:hAnsi="Cambria" w:cs="Cambria"/>
          <w:sz w:val="20"/>
          <w:szCs w:val="20"/>
          <w:lang w:val="en-US"/>
        </w:rPr>
        <w:t xml:space="preserve"> Special Rapporteur consider that the status of </w:t>
      </w:r>
      <w:r w:rsidR="00D77397" w:rsidRPr="00CC562A">
        <w:rPr>
          <w:rFonts w:ascii="Cambria" w:eastAsia="Cambria" w:hAnsi="Cambria" w:cs="Cambria"/>
          <w:sz w:val="20"/>
          <w:szCs w:val="20"/>
          <w:lang w:val="en-US"/>
        </w:rPr>
        <w:t>the recommendation</w:t>
      </w:r>
      <w:r w:rsidR="00820E56" w:rsidRPr="00CC562A">
        <w:rPr>
          <w:rFonts w:ascii="Cambria" w:eastAsia="Cambria" w:hAnsi="Cambria" w:cs="Cambria"/>
          <w:sz w:val="20"/>
          <w:szCs w:val="20"/>
          <w:lang w:val="en-US"/>
        </w:rPr>
        <w:t xml:space="preserve"> continues to be one of </w:t>
      </w:r>
      <w:r w:rsidR="00820E56" w:rsidRPr="00CC562A">
        <w:rPr>
          <w:rFonts w:ascii="Cambria" w:eastAsia="Cambria" w:hAnsi="Cambria" w:cs="Cambria"/>
          <w:b/>
          <w:bCs/>
          <w:sz w:val="20"/>
          <w:szCs w:val="20"/>
          <w:lang w:val="en-US"/>
        </w:rPr>
        <w:t>partial compliance</w:t>
      </w:r>
      <w:r w:rsidR="3EB92E22" w:rsidRPr="00CC562A">
        <w:rPr>
          <w:rFonts w:ascii="Cambria" w:eastAsia="Cambria" w:hAnsi="Cambria" w:cs="Cambria"/>
          <w:sz w:val="20"/>
          <w:szCs w:val="20"/>
          <w:lang w:val="en-US"/>
        </w:rPr>
        <w:t>.</w:t>
      </w:r>
    </w:p>
    <w:p w14:paraId="0727C606" w14:textId="3C4A7071" w:rsidR="00843C54" w:rsidRPr="00CC562A" w:rsidRDefault="00820E56" w:rsidP="00001918">
      <w:pPr>
        <w:numPr>
          <w:ilvl w:val="0"/>
          <w:numId w:val="2"/>
        </w:numPr>
        <w:shd w:val="clear" w:color="auto" w:fill="FFFFFF" w:themeFill="background1"/>
        <w:spacing w:before="240" w:line="240" w:lineRule="auto"/>
        <w:ind w:left="0" w:firstLine="720"/>
        <w:jc w:val="both"/>
        <w:rPr>
          <w:rFonts w:ascii="Cambria" w:eastAsia="Cambria" w:hAnsi="Cambria" w:cs="Cambria"/>
          <w:i/>
          <w:iCs/>
          <w:color w:val="000000" w:themeColor="text1"/>
          <w:sz w:val="20"/>
          <w:szCs w:val="20"/>
          <w:lang w:val="en-US"/>
        </w:rPr>
      </w:pPr>
      <w:proofErr w:type="gramStart"/>
      <w:r w:rsidRPr="00CC562A">
        <w:rPr>
          <w:rFonts w:ascii="Cambria" w:eastAsia="Cambria" w:hAnsi="Cambria" w:cs="Cambria"/>
          <w:color w:val="000000" w:themeColor="text1"/>
          <w:sz w:val="20"/>
          <w:szCs w:val="20"/>
          <w:lang w:val="en-US"/>
        </w:rPr>
        <w:t>In order to</w:t>
      </w:r>
      <w:proofErr w:type="gramEnd"/>
      <w:r w:rsidRPr="00CC562A">
        <w:rPr>
          <w:rFonts w:ascii="Cambria" w:eastAsia="Cambria" w:hAnsi="Cambria" w:cs="Cambria"/>
          <w:color w:val="000000" w:themeColor="text1"/>
          <w:sz w:val="20"/>
          <w:szCs w:val="20"/>
          <w:lang w:val="en-US"/>
        </w:rPr>
        <w:t xml:space="preserve"> guide the implementation of this recommendation, the</w:t>
      </w:r>
      <w:r w:rsidR="00276638" w:rsidRPr="00CC562A">
        <w:rPr>
          <w:rFonts w:ascii="Cambria" w:eastAsia="Cambria" w:hAnsi="Cambria" w:cs="Cambria"/>
          <w:color w:val="000000" w:themeColor="text1"/>
          <w:sz w:val="20"/>
          <w:szCs w:val="20"/>
          <w:lang w:val="en-US"/>
        </w:rPr>
        <w:t xml:space="preserve"> IACHR</w:t>
      </w:r>
      <w:r w:rsidR="3EB92E22" w:rsidRPr="00CC562A">
        <w:rPr>
          <w:rFonts w:ascii="Cambria" w:eastAsia="Cambria" w:hAnsi="Cambria" w:cs="Cambria"/>
          <w:color w:val="000000" w:themeColor="text1"/>
          <w:sz w:val="20"/>
          <w:szCs w:val="20"/>
          <w:lang w:val="en-US"/>
        </w:rPr>
        <w:t xml:space="preserve"> </w:t>
      </w:r>
      <w:r w:rsidRPr="00CC562A">
        <w:rPr>
          <w:rFonts w:ascii="Cambria" w:eastAsia="Cambria" w:hAnsi="Cambria" w:cs="Cambria"/>
          <w:color w:val="000000" w:themeColor="text1"/>
          <w:sz w:val="20"/>
          <w:szCs w:val="20"/>
          <w:lang w:val="en-US"/>
        </w:rPr>
        <w:t>urges the State to continue its efforts to systematize and update the figures and indicators on the subject of violence against journalists, in addition to increas</w:t>
      </w:r>
      <w:r w:rsidR="00D1618A" w:rsidRPr="00CC562A">
        <w:rPr>
          <w:rFonts w:ascii="Cambria" w:eastAsia="Cambria" w:hAnsi="Cambria" w:cs="Cambria"/>
          <w:color w:val="000000" w:themeColor="text1"/>
          <w:sz w:val="20"/>
          <w:szCs w:val="20"/>
          <w:lang w:val="en-US"/>
        </w:rPr>
        <w:t>ing</w:t>
      </w:r>
      <w:r w:rsidRPr="00CC562A">
        <w:rPr>
          <w:rFonts w:ascii="Cambria" w:eastAsia="Cambria" w:hAnsi="Cambria" w:cs="Cambria"/>
          <w:color w:val="000000" w:themeColor="text1"/>
          <w:sz w:val="20"/>
          <w:szCs w:val="20"/>
          <w:lang w:val="en-US"/>
        </w:rPr>
        <w:t xml:space="preserve"> the work of coordinating among the various levels of government</w:t>
      </w:r>
      <w:r w:rsidR="3EB92E22" w:rsidRPr="00CC562A">
        <w:rPr>
          <w:rFonts w:ascii="Cambria" w:eastAsia="Cambria" w:hAnsi="Cambria" w:cs="Cambria"/>
          <w:sz w:val="20"/>
          <w:szCs w:val="20"/>
          <w:lang w:val="en-US"/>
        </w:rPr>
        <w:t>.</w:t>
      </w:r>
    </w:p>
    <w:p w14:paraId="538C7E6C" w14:textId="3EFC080D" w:rsidR="007A4A30" w:rsidRPr="00CC562A" w:rsidRDefault="49B170D1"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820E56" w:rsidRPr="00CC562A">
        <w:rPr>
          <w:rFonts w:ascii="Cambria" w:eastAsia="Cambria" w:hAnsi="Cambria" w:cs="Cambria"/>
          <w:sz w:val="20"/>
          <w:szCs w:val="20"/>
          <w:lang w:val="en-US"/>
        </w:rPr>
        <w:t xml:space="preserve">garding the recommendation to </w:t>
      </w:r>
      <w:r w:rsidRPr="00CC562A">
        <w:rPr>
          <w:rFonts w:ascii="Cambria" w:eastAsia="Cambria" w:hAnsi="Cambria" w:cs="Cambria"/>
          <w:b/>
          <w:bCs/>
          <w:sz w:val="20"/>
          <w:szCs w:val="20"/>
          <w:lang w:val="en-US"/>
        </w:rPr>
        <w:t>remove</w:t>
      </w:r>
      <w:r w:rsidR="00820E56" w:rsidRPr="00CC562A">
        <w:rPr>
          <w:rFonts w:ascii="Cambria" w:eastAsia="Cambria" w:hAnsi="Cambria" w:cs="Cambria"/>
          <w:b/>
          <w:bCs/>
          <w:sz w:val="20"/>
          <w:szCs w:val="20"/>
          <w:lang w:val="en-US"/>
        </w:rPr>
        <w:t xml:space="preserve"> all obstacles so that in practice the Special Prosecutor’s Office for Addressing Crimes against Freedom of Expression can take on the investigation of crimes committed against journalists and against freedom of expression,</w:t>
      </w:r>
      <w:r w:rsidRPr="00CC562A">
        <w:rPr>
          <w:rFonts w:ascii="Cambria" w:eastAsia="Cambria" w:hAnsi="Cambria" w:cs="Cambria"/>
          <w:sz w:val="20"/>
          <w:szCs w:val="20"/>
          <w:lang w:val="en-US"/>
        </w:rPr>
        <w:t xml:space="preserve"> </w:t>
      </w:r>
      <w:r w:rsidR="00820E56" w:rsidRPr="00CC562A">
        <w:rPr>
          <w:rFonts w:ascii="Cambria" w:eastAsia="Cambria" w:hAnsi="Cambria" w:cs="Cambria"/>
          <w:sz w:val="20"/>
          <w:szCs w:val="20"/>
          <w:lang w:val="en-US"/>
        </w:rPr>
        <w:t>t</w:t>
      </w:r>
      <w:r w:rsidR="00752FED" w:rsidRPr="00CC562A">
        <w:rPr>
          <w:rFonts w:ascii="Cambria" w:eastAsia="Cambria" w:hAnsi="Cambria" w:cs="Cambria"/>
          <w:sz w:val="20"/>
          <w:szCs w:val="20"/>
          <w:lang w:val="en-US"/>
        </w:rPr>
        <w:t>he State</w:t>
      </w:r>
      <w:r w:rsidR="34F4F0A7" w:rsidRPr="00CC562A">
        <w:rPr>
          <w:rFonts w:ascii="Cambria" w:eastAsia="Cambria" w:hAnsi="Cambria" w:cs="Cambria"/>
          <w:sz w:val="20"/>
          <w:szCs w:val="20"/>
          <w:lang w:val="en-US"/>
        </w:rPr>
        <w:t xml:space="preserve"> </w:t>
      </w:r>
      <w:r w:rsidR="00820E56" w:rsidRPr="00CC562A">
        <w:rPr>
          <w:rFonts w:ascii="Cambria" w:eastAsia="Cambria" w:hAnsi="Cambria" w:cs="Cambria"/>
          <w:sz w:val="20"/>
          <w:szCs w:val="20"/>
          <w:lang w:val="en-US"/>
        </w:rPr>
        <w:t xml:space="preserve">indicated that the Special Prosecutor’s Office for Addressing Crimes Committed against Freedom of Expression emphasized that the constitutional reform of section </w:t>
      </w:r>
      <w:r w:rsidR="601F96B9" w:rsidRPr="00CC562A">
        <w:rPr>
          <w:rFonts w:ascii="Cambria" w:eastAsia="Cambria" w:hAnsi="Cambria" w:cs="Cambria"/>
          <w:sz w:val="20"/>
          <w:szCs w:val="20"/>
          <w:lang w:val="en-US"/>
        </w:rPr>
        <w:t xml:space="preserve">XXI </w:t>
      </w:r>
      <w:r w:rsidR="00820E56" w:rsidRPr="00CC562A">
        <w:rPr>
          <w:rFonts w:ascii="Cambria" w:eastAsia="Cambria" w:hAnsi="Cambria" w:cs="Cambria"/>
          <w:sz w:val="20"/>
          <w:szCs w:val="20"/>
          <w:lang w:val="en-US"/>
        </w:rPr>
        <w:t xml:space="preserve">of Article </w:t>
      </w:r>
      <w:r w:rsidR="601F96B9" w:rsidRPr="00CC562A">
        <w:rPr>
          <w:rFonts w:ascii="Cambria" w:eastAsia="Cambria" w:hAnsi="Cambria" w:cs="Cambria"/>
          <w:sz w:val="20"/>
          <w:szCs w:val="20"/>
          <w:lang w:val="en-US"/>
        </w:rPr>
        <w:t>73, publi</w:t>
      </w:r>
      <w:r w:rsidR="00820E56" w:rsidRPr="00CC562A">
        <w:rPr>
          <w:rFonts w:ascii="Cambria" w:eastAsia="Cambria" w:hAnsi="Cambria" w:cs="Cambria"/>
          <w:sz w:val="20"/>
          <w:szCs w:val="20"/>
          <w:lang w:val="en-US"/>
        </w:rPr>
        <w:t>shed in the Official Journal of the Federation o</w:t>
      </w:r>
      <w:r w:rsidR="00D1618A" w:rsidRPr="00CC562A">
        <w:rPr>
          <w:rFonts w:ascii="Cambria" w:eastAsia="Cambria" w:hAnsi="Cambria" w:cs="Cambria"/>
          <w:sz w:val="20"/>
          <w:szCs w:val="20"/>
          <w:lang w:val="en-US"/>
        </w:rPr>
        <w:t>n</w:t>
      </w:r>
      <w:r w:rsidR="00820E56" w:rsidRPr="00CC562A">
        <w:rPr>
          <w:rFonts w:ascii="Cambria" w:eastAsia="Cambria" w:hAnsi="Cambria" w:cs="Cambria"/>
          <w:sz w:val="20"/>
          <w:szCs w:val="20"/>
          <w:lang w:val="en-US"/>
        </w:rPr>
        <w:t xml:space="preserve"> June 25, </w:t>
      </w:r>
      <w:r w:rsidR="601F96B9" w:rsidRPr="00CC562A">
        <w:rPr>
          <w:rFonts w:ascii="Cambria" w:eastAsia="Cambria" w:hAnsi="Cambria" w:cs="Cambria"/>
          <w:sz w:val="20"/>
          <w:szCs w:val="20"/>
          <w:lang w:val="en-US"/>
        </w:rPr>
        <w:t xml:space="preserve">2012, </w:t>
      </w:r>
      <w:r w:rsidR="00820E56" w:rsidRPr="00CC562A">
        <w:rPr>
          <w:rFonts w:ascii="Cambria" w:eastAsia="Cambria" w:hAnsi="Cambria" w:cs="Cambria"/>
          <w:sz w:val="20"/>
          <w:szCs w:val="20"/>
          <w:lang w:val="en-US"/>
        </w:rPr>
        <w:t>establishes that “The federal authorities may hear crime</w:t>
      </w:r>
      <w:r w:rsidR="00D1618A" w:rsidRPr="00CC562A">
        <w:rPr>
          <w:rFonts w:ascii="Cambria" w:eastAsia="Cambria" w:hAnsi="Cambria" w:cs="Cambria"/>
          <w:sz w:val="20"/>
          <w:szCs w:val="20"/>
          <w:lang w:val="en-US"/>
        </w:rPr>
        <w:t xml:space="preserve">s </w:t>
      </w:r>
      <w:r w:rsidR="00820E56" w:rsidRPr="00CC562A">
        <w:rPr>
          <w:rFonts w:ascii="Cambria" w:eastAsia="Cambria" w:hAnsi="Cambria" w:cs="Cambria"/>
          <w:sz w:val="20"/>
          <w:szCs w:val="20"/>
          <w:lang w:val="en-US"/>
        </w:rPr>
        <w:t xml:space="preserve">in the regular jurisdiction, when they are connected to federal crimes or crimes against journalists, persons or facilities that affect, limit, or diminish </w:t>
      </w:r>
      <w:r w:rsidR="009616E5" w:rsidRPr="00CC562A">
        <w:rPr>
          <w:rFonts w:ascii="Cambria" w:eastAsia="Cambria" w:hAnsi="Cambria" w:cs="Cambria"/>
          <w:sz w:val="20"/>
          <w:szCs w:val="20"/>
          <w:lang w:val="en-US"/>
        </w:rPr>
        <w:t>the right to information or the freedoms of expression or of the press.” Subsequently, on May 3,</w:t>
      </w:r>
      <w:r w:rsidR="601F96B9" w:rsidRPr="00CC562A">
        <w:rPr>
          <w:rFonts w:ascii="Cambria" w:eastAsia="Cambria" w:hAnsi="Cambria" w:cs="Cambria"/>
          <w:sz w:val="20"/>
          <w:szCs w:val="20"/>
          <w:lang w:val="en-US"/>
        </w:rPr>
        <w:t xml:space="preserve"> 2013</w:t>
      </w:r>
      <w:r w:rsidR="009616E5" w:rsidRPr="00CC562A">
        <w:rPr>
          <w:rFonts w:ascii="Cambria" w:eastAsia="Cambria" w:hAnsi="Cambria" w:cs="Cambria"/>
          <w:sz w:val="20"/>
          <w:szCs w:val="20"/>
          <w:lang w:val="en-US"/>
        </w:rPr>
        <w:t xml:space="preserve">, Article 10 of the Federal Code of Criminal Procedure </w:t>
      </w:r>
      <w:r w:rsidR="00D1618A" w:rsidRPr="00CC562A">
        <w:rPr>
          <w:rFonts w:ascii="Cambria" w:eastAsia="Cambria" w:hAnsi="Cambria" w:cs="Cambria"/>
          <w:sz w:val="20"/>
          <w:szCs w:val="20"/>
          <w:lang w:val="en-US"/>
        </w:rPr>
        <w:t xml:space="preserve">was </w:t>
      </w:r>
      <w:r w:rsidR="009616E5" w:rsidRPr="00CC562A">
        <w:rPr>
          <w:rFonts w:ascii="Cambria" w:eastAsia="Cambria" w:hAnsi="Cambria" w:cs="Cambria"/>
          <w:sz w:val="20"/>
          <w:szCs w:val="20"/>
          <w:lang w:val="en-US"/>
        </w:rPr>
        <w:t xml:space="preserve">amended, establishing the assumptions under which the Federation may exercise the oft-cited power to assert jurisdiction and subsequently as from May 5, </w:t>
      </w:r>
      <w:r w:rsidR="601F96B9" w:rsidRPr="00CC562A">
        <w:rPr>
          <w:rFonts w:ascii="Cambria" w:eastAsia="Cambria" w:hAnsi="Cambria" w:cs="Cambria"/>
          <w:sz w:val="20"/>
          <w:szCs w:val="20"/>
          <w:lang w:val="en-US"/>
        </w:rPr>
        <w:t>2014</w:t>
      </w:r>
      <w:r w:rsidR="009616E5" w:rsidRPr="00CC562A">
        <w:rPr>
          <w:rFonts w:ascii="Cambria" w:eastAsia="Cambria" w:hAnsi="Cambria" w:cs="Cambria"/>
          <w:sz w:val="20"/>
          <w:szCs w:val="20"/>
          <w:lang w:val="en-US"/>
        </w:rPr>
        <w:t xml:space="preserve">, the National Code of Criminal Procedures enters into force, which provides the same power under Article </w:t>
      </w:r>
      <w:r w:rsidR="601F96B9" w:rsidRPr="00CC562A">
        <w:rPr>
          <w:rFonts w:ascii="Cambria" w:eastAsia="Cambria" w:hAnsi="Cambria" w:cs="Cambria"/>
          <w:sz w:val="20"/>
          <w:szCs w:val="20"/>
          <w:lang w:val="en-US"/>
        </w:rPr>
        <w:t xml:space="preserve">21. </w:t>
      </w:r>
      <w:r w:rsidR="009616E5" w:rsidRPr="00CC562A">
        <w:rPr>
          <w:rFonts w:ascii="Cambria" w:eastAsia="Cambria" w:hAnsi="Cambria" w:cs="Cambria"/>
          <w:sz w:val="20"/>
          <w:szCs w:val="20"/>
          <w:lang w:val="en-US"/>
        </w:rPr>
        <w:t>In this regard, the State indicated that, since</w:t>
      </w:r>
      <w:r w:rsidR="601F96B9" w:rsidRPr="00CC562A">
        <w:rPr>
          <w:rFonts w:ascii="Cambria" w:eastAsia="Cambria" w:hAnsi="Cambria" w:cs="Cambria"/>
          <w:sz w:val="20"/>
          <w:szCs w:val="20"/>
          <w:lang w:val="en-US"/>
        </w:rPr>
        <w:t xml:space="preserve"> 2013</w:t>
      </w:r>
      <w:r w:rsidR="009616E5" w:rsidRPr="00CC562A">
        <w:rPr>
          <w:rFonts w:ascii="Cambria" w:eastAsia="Cambria" w:hAnsi="Cambria" w:cs="Cambria"/>
          <w:sz w:val="20"/>
          <w:szCs w:val="20"/>
          <w:lang w:val="en-US"/>
        </w:rPr>
        <w:t xml:space="preserve">, the </w:t>
      </w:r>
      <w:r w:rsidR="601F96B9" w:rsidRPr="00CC562A">
        <w:rPr>
          <w:rFonts w:ascii="Cambria" w:eastAsia="Cambria" w:hAnsi="Cambria" w:cs="Cambria"/>
          <w:sz w:val="20"/>
          <w:szCs w:val="20"/>
          <w:lang w:val="en-US"/>
        </w:rPr>
        <w:t>FEADLE ha</w:t>
      </w:r>
      <w:r w:rsidR="009616E5" w:rsidRPr="00CC562A">
        <w:rPr>
          <w:rFonts w:ascii="Cambria" w:eastAsia="Cambria" w:hAnsi="Cambria" w:cs="Cambria"/>
          <w:sz w:val="20"/>
          <w:szCs w:val="20"/>
          <w:lang w:val="en-US"/>
        </w:rPr>
        <w:t>s exercised the power to assert jurisdiction.</w:t>
      </w:r>
      <w:r w:rsidR="00070D01" w:rsidRPr="00CC562A">
        <w:rPr>
          <w:rStyle w:val="FootnoteReference"/>
          <w:rFonts w:ascii="Cambria" w:eastAsia="Cambria" w:hAnsi="Cambria" w:cs="Cambria"/>
          <w:sz w:val="20"/>
          <w:szCs w:val="20"/>
          <w:lang w:val="en-US"/>
        </w:rPr>
        <w:footnoteReference w:id="344"/>
      </w:r>
    </w:p>
    <w:p w14:paraId="64A740E8" w14:textId="70D518B1" w:rsidR="006E6955" w:rsidRPr="00CC562A" w:rsidRDefault="34F4F0A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9616E5" w:rsidRPr="00CC562A">
        <w:rPr>
          <w:rFonts w:ascii="Cambria" w:eastAsia="Cambria" w:hAnsi="Cambria" w:cs="Cambria"/>
          <w:sz w:val="20"/>
          <w:szCs w:val="20"/>
          <w:lang w:val="en-US"/>
        </w:rPr>
        <w:t>garding this recommendation, Article</w:t>
      </w:r>
      <w:r w:rsidRPr="00CC562A">
        <w:rPr>
          <w:rFonts w:ascii="Cambria" w:eastAsia="Cambria" w:hAnsi="Cambria" w:cs="Cambria"/>
          <w:sz w:val="20"/>
          <w:szCs w:val="20"/>
          <w:lang w:val="en-US"/>
        </w:rPr>
        <w:t xml:space="preserve"> 19 </w:t>
      </w:r>
      <w:r w:rsidR="009616E5" w:rsidRPr="00CC562A">
        <w:rPr>
          <w:rFonts w:ascii="Cambria" w:eastAsia="Cambria" w:hAnsi="Cambria" w:cs="Cambria"/>
          <w:sz w:val="20"/>
          <w:szCs w:val="20"/>
          <w:lang w:val="en-US"/>
        </w:rPr>
        <w:t>stated that the</w:t>
      </w:r>
      <w:r w:rsidR="58C3488F" w:rsidRPr="00CC562A">
        <w:rPr>
          <w:rFonts w:ascii="Cambria" w:eastAsia="Cambria" w:hAnsi="Cambria" w:cs="Cambria"/>
          <w:sz w:val="20"/>
          <w:szCs w:val="20"/>
          <w:lang w:val="en-US"/>
        </w:rPr>
        <w:t xml:space="preserve"> FEADLE </w:t>
      </w:r>
      <w:r w:rsidR="009616E5" w:rsidRPr="00CC562A">
        <w:rPr>
          <w:rFonts w:ascii="Cambria" w:eastAsia="Cambria" w:hAnsi="Cambria" w:cs="Cambria"/>
          <w:sz w:val="20"/>
          <w:szCs w:val="20"/>
          <w:lang w:val="en-US"/>
        </w:rPr>
        <w:t xml:space="preserve">as well as other state prosecutor’s offices report low numbers </w:t>
      </w:r>
      <w:proofErr w:type="gramStart"/>
      <w:r w:rsidR="009616E5" w:rsidRPr="00CC562A">
        <w:rPr>
          <w:rFonts w:ascii="Cambria" w:eastAsia="Cambria" w:hAnsi="Cambria" w:cs="Cambria"/>
          <w:sz w:val="20"/>
          <w:szCs w:val="20"/>
          <w:lang w:val="en-US"/>
        </w:rPr>
        <w:t>with regard to</w:t>
      </w:r>
      <w:proofErr w:type="gramEnd"/>
      <w:r w:rsidR="009616E5" w:rsidRPr="00CC562A">
        <w:rPr>
          <w:rFonts w:ascii="Cambria" w:eastAsia="Cambria" w:hAnsi="Cambria" w:cs="Cambria"/>
          <w:sz w:val="20"/>
          <w:szCs w:val="20"/>
          <w:lang w:val="en-US"/>
        </w:rPr>
        <w:t xml:space="preserve"> use of the </w:t>
      </w:r>
      <w:r w:rsidR="00D77397" w:rsidRPr="00CC562A">
        <w:rPr>
          <w:rFonts w:ascii="Cambria" w:eastAsia="Cambria" w:hAnsi="Cambria" w:cs="Cambria"/>
          <w:sz w:val="20"/>
          <w:szCs w:val="20"/>
          <w:lang w:val="en-US"/>
        </w:rPr>
        <w:t>Standardized Protocol</w:t>
      </w:r>
      <w:r w:rsidR="009616E5" w:rsidRPr="00CC562A">
        <w:rPr>
          <w:rFonts w:ascii="Cambria" w:eastAsia="Cambria" w:hAnsi="Cambria" w:cs="Cambria"/>
          <w:sz w:val="20"/>
          <w:szCs w:val="20"/>
          <w:lang w:val="en-US"/>
        </w:rPr>
        <w:t xml:space="preserve"> for Addressing Crimes against Freedom of Expression</w:t>
      </w:r>
      <w:r w:rsidR="58C3488F" w:rsidRPr="00CC562A">
        <w:rPr>
          <w:rFonts w:ascii="Cambria" w:eastAsia="Cambria" w:hAnsi="Cambria" w:cs="Cambria"/>
          <w:sz w:val="20"/>
          <w:szCs w:val="20"/>
          <w:lang w:val="en-US"/>
        </w:rPr>
        <w:t xml:space="preserve">. </w:t>
      </w:r>
      <w:r w:rsidR="00A70185" w:rsidRPr="00CC562A">
        <w:rPr>
          <w:rFonts w:ascii="Cambria" w:eastAsia="Cambria" w:hAnsi="Cambria" w:cs="Cambria"/>
          <w:sz w:val="20"/>
          <w:szCs w:val="20"/>
          <w:lang w:val="en-US"/>
        </w:rPr>
        <w:t>Article</w:t>
      </w:r>
      <w:r w:rsidRPr="00CC562A">
        <w:rPr>
          <w:rFonts w:ascii="Cambria" w:eastAsia="Cambria" w:hAnsi="Cambria" w:cs="Cambria"/>
          <w:sz w:val="20"/>
          <w:szCs w:val="20"/>
          <w:lang w:val="en-US"/>
        </w:rPr>
        <w:t xml:space="preserve"> 19</w:t>
      </w:r>
      <w:r w:rsidR="58C3488F" w:rsidRPr="00CC562A">
        <w:rPr>
          <w:rFonts w:ascii="Cambria" w:eastAsia="Cambria" w:hAnsi="Cambria" w:cs="Cambria"/>
          <w:sz w:val="20"/>
          <w:szCs w:val="20"/>
          <w:lang w:val="en-US"/>
        </w:rPr>
        <w:t xml:space="preserve"> ha</w:t>
      </w:r>
      <w:r w:rsidR="00A70185" w:rsidRPr="00CC562A">
        <w:rPr>
          <w:rFonts w:ascii="Cambria" w:eastAsia="Cambria" w:hAnsi="Cambria" w:cs="Cambria"/>
          <w:sz w:val="20"/>
          <w:szCs w:val="20"/>
          <w:lang w:val="en-US"/>
        </w:rPr>
        <w:t>s documented through requests for transparency information that from</w:t>
      </w:r>
      <w:r w:rsidR="58C3488F" w:rsidRPr="00CC562A">
        <w:rPr>
          <w:rFonts w:ascii="Cambria" w:eastAsia="Cambria" w:hAnsi="Cambria" w:cs="Cambria"/>
          <w:sz w:val="20"/>
          <w:szCs w:val="20"/>
          <w:lang w:val="en-US"/>
        </w:rPr>
        <w:t xml:space="preserve"> 2018 </w:t>
      </w:r>
      <w:r w:rsidR="00A70185" w:rsidRPr="00CC562A">
        <w:rPr>
          <w:rFonts w:ascii="Cambria" w:eastAsia="Cambria" w:hAnsi="Cambria" w:cs="Cambria"/>
          <w:sz w:val="20"/>
          <w:szCs w:val="20"/>
          <w:lang w:val="en-US"/>
        </w:rPr>
        <w:t>to</w:t>
      </w:r>
      <w:r w:rsidR="58C3488F" w:rsidRPr="00CC562A">
        <w:rPr>
          <w:rFonts w:ascii="Cambria" w:eastAsia="Cambria" w:hAnsi="Cambria" w:cs="Cambria"/>
          <w:sz w:val="20"/>
          <w:szCs w:val="20"/>
          <w:lang w:val="en-US"/>
        </w:rPr>
        <w:t xml:space="preserve"> 2020 </w:t>
      </w:r>
      <w:r w:rsidR="00A70185" w:rsidRPr="00CC562A">
        <w:rPr>
          <w:rFonts w:ascii="Cambria" w:eastAsia="Cambria" w:hAnsi="Cambria" w:cs="Cambria"/>
          <w:sz w:val="20"/>
          <w:szCs w:val="20"/>
          <w:lang w:val="en-US"/>
        </w:rPr>
        <w:t xml:space="preserve">the </w:t>
      </w:r>
      <w:r w:rsidR="58C3488F" w:rsidRPr="00CC562A">
        <w:rPr>
          <w:rFonts w:ascii="Cambria" w:eastAsia="Cambria" w:hAnsi="Cambria" w:cs="Cambria"/>
          <w:sz w:val="20"/>
          <w:szCs w:val="20"/>
          <w:lang w:val="en-US"/>
        </w:rPr>
        <w:t xml:space="preserve">FEADLE </w:t>
      </w:r>
      <w:r w:rsidR="00A70185" w:rsidRPr="00CC562A">
        <w:rPr>
          <w:rFonts w:ascii="Cambria" w:eastAsia="Cambria" w:hAnsi="Cambria" w:cs="Cambria"/>
          <w:sz w:val="20"/>
          <w:szCs w:val="20"/>
          <w:lang w:val="en-US"/>
        </w:rPr>
        <w:t xml:space="preserve">only reported </w:t>
      </w:r>
      <w:r w:rsidR="58C3488F" w:rsidRPr="00CC562A">
        <w:rPr>
          <w:rFonts w:ascii="Cambria" w:eastAsia="Cambria" w:hAnsi="Cambria" w:cs="Cambria"/>
          <w:sz w:val="20"/>
          <w:szCs w:val="20"/>
          <w:lang w:val="en-US"/>
        </w:rPr>
        <w:t xml:space="preserve">83 </w:t>
      </w:r>
      <w:r w:rsidR="00A70185" w:rsidRPr="00CC562A">
        <w:rPr>
          <w:rFonts w:ascii="Cambria" w:eastAsia="Cambria" w:hAnsi="Cambria" w:cs="Cambria"/>
          <w:sz w:val="20"/>
          <w:szCs w:val="20"/>
          <w:lang w:val="en-US"/>
        </w:rPr>
        <w:t xml:space="preserve">preliminary investigations in which context analysis was done </w:t>
      </w:r>
      <w:proofErr w:type="gramStart"/>
      <w:r w:rsidR="00A70185" w:rsidRPr="00CC562A">
        <w:rPr>
          <w:rFonts w:ascii="Cambria" w:eastAsia="Cambria" w:hAnsi="Cambria" w:cs="Cambria"/>
          <w:sz w:val="20"/>
          <w:szCs w:val="20"/>
          <w:lang w:val="en-US"/>
        </w:rPr>
        <w:t>on the basis of</w:t>
      </w:r>
      <w:proofErr w:type="gramEnd"/>
      <w:r w:rsidR="00A70185" w:rsidRPr="00CC562A">
        <w:rPr>
          <w:rFonts w:ascii="Cambria" w:eastAsia="Cambria" w:hAnsi="Cambria" w:cs="Cambria"/>
          <w:sz w:val="20"/>
          <w:szCs w:val="20"/>
          <w:lang w:val="en-US"/>
        </w:rPr>
        <w:t xml:space="preserve"> open sources using the methodology proposed in the Standardized Protocol</w:t>
      </w:r>
      <w:r w:rsidR="58C3488F" w:rsidRPr="00CC562A">
        <w:rPr>
          <w:rFonts w:ascii="Cambria" w:eastAsia="Cambria" w:hAnsi="Cambria" w:cs="Cambria"/>
          <w:sz w:val="20"/>
          <w:szCs w:val="20"/>
          <w:lang w:val="en-US"/>
        </w:rPr>
        <w:t xml:space="preserve">. </w:t>
      </w:r>
      <w:r w:rsidR="00A70185" w:rsidRPr="00CC562A">
        <w:rPr>
          <w:rFonts w:ascii="Cambria" w:eastAsia="Cambria" w:hAnsi="Cambria" w:cs="Cambria"/>
          <w:sz w:val="20"/>
          <w:szCs w:val="20"/>
          <w:lang w:val="en-US"/>
        </w:rPr>
        <w:t xml:space="preserve">During the same period, all state prosecutor’s offices reported only </w:t>
      </w:r>
      <w:r w:rsidR="58C3488F" w:rsidRPr="00CC562A">
        <w:rPr>
          <w:rFonts w:ascii="Cambria" w:eastAsia="Cambria" w:hAnsi="Cambria" w:cs="Cambria"/>
          <w:sz w:val="20"/>
          <w:szCs w:val="20"/>
          <w:lang w:val="en-US"/>
        </w:rPr>
        <w:t xml:space="preserve">190 </w:t>
      </w:r>
      <w:r w:rsidR="00A70185" w:rsidRPr="00CC562A">
        <w:rPr>
          <w:rFonts w:ascii="Cambria" w:eastAsia="Cambria" w:hAnsi="Cambria" w:cs="Cambria"/>
          <w:sz w:val="20"/>
          <w:szCs w:val="20"/>
          <w:lang w:val="en-US"/>
        </w:rPr>
        <w:t>preliminary investigations or investigative files that have followed the protocol.</w:t>
      </w:r>
      <w:r w:rsidR="58C3488F" w:rsidRPr="00CC562A">
        <w:rPr>
          <w:rFonts w:ascii="Cambria" w:eastAsia="Cambria" w:hAnsi="Cambria" w:cs="Cambria"/>
          <w:sz w:val="20"/>
          <w:szCs w:val="20"/>
          <w:lang w:val="en-US"/>
        </w:rPr>
        <w:t xml:space="preserve"> </w:t>
      </w:r>
    </w:p>
    <w:p w14:paraId="38E865E0" w14:textId="29D99470" w:rsidR="009D66EF" w:rsidRPr="00CC562A" w:rsidRDefault="34F4F0A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Art</w:t>
      </w:r>
      <w:r w:rsidR="00A70185" w:rsidRPr="00CC562A">
        <w:rPr>
          <w:rFonts w:ascii="Cambria" w:eastAsia="Cambria" w:hAnsi="Cambria" w:cs="Cambria"/>
          <w:sz w:val="20"/>
          <w:szCs w:val="20"/>
          <w:lang w:val="en-US"/>
        </w:rPr>
        <w:t>icle</w:t>
      </w:r>
      <w:r w:rsidRPr="00CC562A">
        <w:rPr>
          <w:rFonts w:ascii="Cambria" w:eastAsia="Cambria" w:hAnsi="Cambria" w:cs="Cambria"/>
          <w:sz w:val="20"/>
          <w:szCs w:val="20"/>
          <w:lang w:val="en-US"/>
        </w:rPr>
        <w:t xml:space="preserve"> 19 </w:t>
      </w:r>
      <w:r w:rsidR="00A70185" w:rsidRPr="00CC562A">
        <w:rPr>
          <w:rFonts w:ascii="Cambria" w:eastAsia="Cambria" w:hAnsi="Cambria" w:cs="Cambria"/>
          <w:sz w:val="20"/>
          <w:szCs w:val="20"/>
          <w:lang w:val="en-US"/>
        </w:rPr>
        <w:t>stated that, even if the</w:t>
      </w:r>
      <w:r w:rsidR="58C3488F" w:rsidRPr="00CC562A">
        <w:rPr>
          <w:rFonts w:ascii="Cambria" w:eastAsia="Cambria" w:hAnsi="Cambria" w:cs="Cambria"/>
          <w:sz w:val="20"/>
          <w:szCs w:val="20"/>
          <w:lang w:val="en-US"/>
        </w:rPr>
        <w:t xml:space="preserve"> FEADLE </w:t>
      </w:r>
      <w:r w:rsidR="00A70185" w:rsidRPr="00CC562A">
        <w:rPr>
          <w:rFonts w:ascii="Cambria" w:eastAsia="Cambria" w:hAnsi="Cambria" w:cs="Cambria"/>
          <w:sz w:val="20"/>
          <w:szCs w:val="20"/>
          <w:lang w:val="en-US"/>
        </w:rPr>
        <w:t>does decide to take a case, this does not mean access to justice, in that according to the same statistics from the FEADLE,</w:t>
      </w:r>
      <w:r w:rsidR="00783785" w:rsidRPr="00CC562A">
        <w:rPr>
          <w:rStyle w:val="FootnoteReference"/>
          <w:rFonts w:ascii="Cambria" w:eastAsia="Cambria" w:hAnsi="Cambria" w:cs="Cambria"/>
          <w:sz w:val="20"/>
          <w:szCs w:val="20"/>
          <w:lang w:val="en-US"/>
        </w:rPr>
        <w:footnoteReference w:id="345"/>
      </w:r>
      <w:r w:rsidR="00A70185" w:rsidRPr="00CC562A">
        <w:rPr>
          <w:rFonts w:ascii="Cambria" w:eastAsia="Cambria" w:hAnsi="Cambria" w:cs="Cambria"/>
          <w:sz w:val="20"/>
          <w:szCs w:val="20"/>
          <w:lang w:val="en-US"/>
        </w:rPr>
        <w:t xml:space="preserve"> it has heard </w:t>
      </w:r>
      <w:r w:rsidR="58C3488F" w:rsidRPr="00CC562A">
        <w:rPr>
          <w:rFonts w:ascii="Cambria" w:eastAsia="Cambria" w:hAnsi="Cambria" w:cs="Cambria"/>
          <w:sz w:val="20"/>
          <w:szCs w:val="20"/>
          <w:lang w:val="en-US"/>
        </w:rPr>
        <w:t>1</w:t>
      </w:r>
      <w:r w:rsidR="003A3529" w:rsidRPr="00CC562A">
        <w:rPr>
          <w:rFonts w:ascii="Cambria" w:eastAsia="Cambria" w:hAnsi="Cambria" w:cs="Cambria"/>
          <w:sz w:val="20"/>
          <w:szCs w:val="20"/>
          <w:lang w:val="en-US"/>
        </w:rPr>
        <w:t>,</w:t>
      </w:r>
      <w:r w:rsidR="58C3488F" w:rsidRPr="00CC562A">
        <w:rPr>
          <w:rFonts w:ascii="Cambria" w:eastAsia="Cambria" w:hAnsi="Cambria" w:cs="Cambria"/>
          <w:sz w:val="20"/>
          <w:szCs w:val="20"/>
          <w:lang w:val="en-US"/>
        </w:rPr>
        <w:t xml:space="preserve">433 </w:t>
      </w:r>
      <w:r w:rsidR="00A70185" w:rsidRPr="00CC562A">
        <w:rPr>
          <w:rFonts w:ascii="Cambria" w:eastAsia="Cambria" w:hAnsi="Cambria" w:cs="Cambria"/>
          <w:sz w:val="20"/>
          <w:szCs w:val="20"/>
          <w:lang w:val="en-US"/>
        </w:rPr>
        <w:t xml:space="preserve">complaints since </w:t>
      </w:r>
      <w:r w:rsidR="58C3488F" w:rsidRPr="00CC562A">
        <w:rPr>
          <w:rFonts w:ascii="Cambria" w:eastAsia="Cambria" w:hAnsi="Cambria" w:cs="Cambria"/>
          <w:sz w:val="20"/>
          <w:szCs w:val="20"/>
          <w:lang w:val="en-US"/>
        </w:rPr>
        <w:t>2010 (</w:t>
      </w:r>
      <w:r w:rsidR="00A70185" w:rsidRPr="00CC562A">
        <w:rPr>
          <w:rFonts w:ascii="Cambria" w:eastAsia="Cambria" w:hAnsi="Cambria" w:cs="Cambria"/>
          <w:sz w:val="20"/>
          <w:szCs w:val="20"/>
          <w:lang w:val="en-US"/>
        </w:rPr>
        <w:t>year it was created</w:t>
      </w:r>
      <w:r w:rsidR="58C3488F" w:rsidRPr="00CC562A">
        <w:rPr>
          <w:rFonts w:ascii="Cambria" w:eastAsia="Cambria" w:hAnsi="Cambria" w:cs="Cambria"/>
          <w:sz w:val="20"/>
          <w:szCs w:val="20"/>
          <w:lang w:val="en-US"/>
        </w:rPr>
        <w:t xml:space="preserve">) </w:t>
      </w:r>
      <w:r w:rsidR="00A70185" w:rsidRPr="00CC562A">
        <w:rPr>
          <w:rFonts w:ascii="Cambria" w:eastAsia="Cambria" w:hAnsi="Cambria" w:cs="Cambria"/>
          <w:sz w:val="20"/>
          <w:szCs w:val="20"/>
          <w:lang w:val="en-US"/>
        </w:rPr>
        <w:t xml:space="preserve">up to August </w:t>
      </w:r>
      <w:r w:rsidR="58C3488F" w:rsidRPr="00CC562A">
        <w:rPr>
          <w:rFonts w:ascii="Cambria" w:eastAsia="Cambria" w:hAnsi="Cambria" w:cs="Cambria"/>
          <w:sz w:val="20"/>
          <w:szCs w:val="20"/>
          <w:lang w:val="en-US"/>
        </w:rPr>
        <w:t xml:space="preserve">2021. </w:t>
      </w:r>
      <w:r w:rsidR="00A70185" w:rsidRPr="00CC562A">
        <w:rPr>
          <w:rFonts w:ascii="Cambria" w:eastAsia="Cambria" w:hAnsi="Cambria" w:cs="Cambria"/>
          <w:sz w:val="20"/>
          <w:szCs w:val="20"/>
          <w:lang w:val="en-US"/>
        </w:rPr>
        <w:t xml:space="preserve">It has a figure of </w:t>
      </w:r>
      <w:r w:rsidR="58C3488F" w:rsidRPr="00CC562A">
        <w:rPr>
          <w:rFonts w:ascii="Cambria" w:eastAsia="Cambria" w:hAnsi="Cambria" w:cs="Cambria"/>
          <w:sz w:val="20"/>
          <w:szCs w:val="20"/>
          <w:lang w:val="en-US"/>
        </w:rPr>
        <w:t xml:space="preserve">25 </w:t>
      </w:r>
      <w:r w:rsidR="00A70185" w:rsidRPr="00CC562A">
        <w:rPr>
          <w:rFonts w:ascii="Cambria" w:eastAsia="Cambria" w:hAnsi="Cambria" w:cs="Cambria"/>
          <w:sz w:val="20"/>
          <w:szCs w:val="20"/>
          <w:lang w:val="en-US"/>
        </w:rPr>
        <w:t>total decision</w:t>
      </w:r>
      <w:r w:rsidR="003A3529" w:rsidRPr="00CC562A">
        <w:rPr>
          <w:rFonts w:ascii="Cambria" w:eastAsia="Cambria" w:hAnsi="Cambria" w:cs="Cambria"/>
          <w:sz w:val="20"/>
          <w:szCs w:val="20"/>
          <w:lang w:val="en-US"/>
        </w:rPr>
        <w:t>s</w:t>
      </w:r>
      <w:r w:rsidR="00A70185" w:rsidRPr="00CC562A">
        <w:rPr>
          <w:rFonts w:ascii="Cambria" w:eastAsia="Cambria" w:hAnsi="Cambria" w:cs="Cambria"/>
          <w:sz w:val="20"/>
          <w:szCs w:val="20"/>
          <w:lang w:val="en-US"/>
        </w:rPr>
        <w:t>. In this sense, only</w:t>
      </w:r>
      <w:r w:rsidR="58C3488F" w:rsidRPr="00CC562A">
        <w:rPr>
          <w:rFonts w:ascii="Cambria" w:eastAsia="Cambria" w:hAnsi="Cambria" w:cs="Cambria"/>
          <w:sz w:val="20"/>
          <w:szCs w:val="20"/>
          <w:lang w:val="en-US"/>
        </w:rPr>
        <w:t xml:space="preserve"> 1.74% </w:t>
      </w:r>
      <w:r w:rsidR="00A70185" w:rsidRPr="00CC562A">
        <w:rPr>
          <w:rFonts w:ascii="Cambria" w:eastAsia="Cambria" w:hAnsi="Cambria" w:cs="Cambria"/>
          <w:sz w:val="20"/>
          <w:szCs w:val="20"/>
          <w:lang w:val="en-US"/>
        </w:rPr>
        <w:t xml:space="preserve">of the cases that have been heard by the </w:t>
      </w:r>
      <w:r w:rsidR="58C3488F" w:rsidRPr="00CC562A">
        <w:rPr>
          <w:rFonts w:ascii="Cambria" w:eastAsia="Cambria" w:hAnsi="Cambria" w:cs="Cambria"/>
          <w:sz w:val="20"/>
          <w:szCs w:val="20"/>
          <w:lang w:val="en-US"/>
        </w:rPr>
        <w:t>FEADLE ha</w:t>
      </w:r>
      <w:r w:rsidR="00A70185" w:rsidRPr="00CC562A">
        <w:rPr>
          <w:rFonts w:ascii="Cambria" w:eastAsia="Cambria" w:hAnsi="Cambria" w:cs="Cambria"/>
          <w:sz w:val="20"/>
          <w:szCs w:val="20"/>
          <w:lang w:val="en-US"/>
        </w:rPr>
        <w:t xml:space="preserve">ve obtained a judgment that can presume access to justice for the </w:t>
      </w:r>
      <w:r w:rsidR="00A70185" w:rsidRPr="00CC562A">
        <w:rPr>
          <w:rFonts w:ascii="Cambria" w:eastAsia="Cambria" w:hAnsi="Cambria" w:cs="Cambria"/>
          <w:sz w:val="20"/>
          <w:szCs w:val="20"/>
          <w:lang w:val="en-US"/>
        </w:rPr>
        <w:lastRenderedPageBreak/>
        <w:t xml:space="preserve">journalists involved. Considering these data, the figure for impunity in the cases that the </w:t>
      </w:r>
      <w:r w:rsidR="58C3488F" w:rsidRPr="00CC562A">
        <w:rPr>
          <w:rFonts w:ascii="Cambria" w:eastAsia="Cambria" w:hAnsi="Cambria" w:cs="Cambria"/>
          <w:sz w:val="20"/>
          <w:szCs w:val="20"/>
          <w:lang w:val="en-US"/>
        </w:rPr>
        <w:t xml:space="preserve">FEADLE </w:t>
      </w:r>
      <w:r w:rsidR="00A70185" w:rsidRPr="00CC562A">
        <w:rPr>
          <w:rFonts w:ascii="Cambria" w:eastAsia="Cambria" w:hAnsi="Cambria" w:cs="Cambria"/>
          <w:sz w:val="20"/>
          <w:szCs w:val="20"/>
          <w:lang w:val="en-US"/>
        </w:rPr>
        <w:t xml:space="preserve">has </w:t>
      </w:r>
      <w:proofErr w:type="gramStart"/>
      <w:r w:rsidR="00A70185" w:rsidRPr="00CC562A">
        <w:rPr>
          <w:rFonts w:ascii="Cambria" w:eastAsia="Cambria" w:hAnsi="Cambria" w:cs="Cambria"/>
          <w:sz w:val="20"/>
          <w:szCs w:val="20"/>
          <w:lang w:val="en-US"/>
        </w:rPr>
        <w:t>actually drawn</w:t>
      </w:r>
      <w:proofErr w:type="gramEnd"/>
      <w:r w:rsidR="00A70185" w:rsidRPr="00CC562A">
        <w:rPr>
          <w:rFonts w:ascii="Cambria" w:eastAsia="Cambria" w:hAnsi="Cambria" w:cs="Cambria"/>
          <w:sz w:val="20"/>
          <w:szCs w:val="20"/>
          <w:lang w:val="en-US"/>
        </w:rPr>
        <w:t xml:space="preserve"> is</w:t>
      </w:r>
      <w:r w:rsidR="58C3488F" w:rsidRPr="00CC562A">
        <w:rPr>
          <w:rFonts w:ascii="Cambria" w:eastAsia="Cambria" w:hAnsi="Cambria" w:cs="Cambria"/>
          <w:sz w:val="20"/>
          <w:szCs w:val="20"/>
          <w:lang w:val="en-US"/>
        </w:rPr>
        <w:t xml:space="preserve"> 98.26%, </w:t>
      </w:r>
      <w:r w:rsidR="00A70185" w:rsidRPr="00CC562A">
        <w:rPr>
          <w:rFonts w:ascii="Cambria" w:eastAsia="Cambria" w:hAnsi="Cambria" w:cs="Cambria"/>
          <w:sz w:val="20"/>
          <w:szCs w:val="20"/>
          <w:lang w:val="en-US"/>
        </w:rPr>
        <w:t>a historical figure</w:t>
      </w:r>
      <w:r w:rsidR="58C3488F" w:rsidRPr="00CC562A">
        <w:rPr>
          <w:rFonts w:ascii="Cambria" w:eastAsia="Cambria" w:hAnsi="Cambria" w:cs="Cambria"/>
          <w:sz w:val="20"/>
          <w:szCs w:val="20"/>
          <w:lang w:val="en-US"/>
        </w:rPr>
        <w:t xml:space="preserve">. </w:t>
      </w:r>
      <w:r w:rsidR="00A70185" w:rsidRPr="00CC562A">
        <w:rPr>
          <w:rFonts w:ascii="Cambria" w:eastAsia="Cambria" w:hAnsi="Cambria" w:cs="Cambria"/>
          <w:sz w:val="20"/>
          <w:szCs w:val="20"/>
          <w:lang w:val="en-US"/>
        </w:rPr>
        <w:t xml:space="preserve">This means that </w:t>
      </w:r>
      <w:proofErr w:type="gramStart"/>
      <w:r w:rsidR="00A70185" w:rsidRPr="00CC562A">
        <w:rPr>
          <w:rFonts w:ascii="Cambria" w:eastAsia="Cambria" w:hAnsi="Cambria" w:cs="Cambria"/>
          <w:sz w:val="20"/>
          <w:szCs w:val="20"/>
          <w:lang w:val="en-US"/>
        </w:rPr>
        <w:t xml:space="preserve">the large majority </w:t>
      </w:r>
      <w:r w:rsidR="003A3529" w:rsidRPr="00CC562A">
        <w:rPr>
          <w:rFonts w:ascii="Cambria" w:eastAsia="Cambria" w:hAnsi="Cambria" w:cs="Cambria"/>
          <w:sz w:val="20"/>
          <w:szCs w:val="20"/>
          <w:lang w:val="en-US"/>
        </w:rPr>
        <w:t>o</w:t>
      </w:r>
      <w:r w:rsidR="00A70185" w:rsidRPr="00CC562A">
        <w:rPr>
          <w:rFonts w:ascii="Cambria" w:eastAsia="Cambria" w:hAnsi="Cambria" w:cs="Cambria"/>
          <w:sz w:val="20"/>
          <w:szCs w:val="20"/>
          <w:lang w:val="en-US"/>
        </w:rPr>
        <w:t>f</w:t>
      </w:r>
      <w:proofErr w:type="gramEnd"/>
      <w:r w:rsidR="00A70185" w:rsidRPr="00CC562A">
        <w:rPr>
          <w:rFonts w:ascii="Cambria" w:eastAsia="Cambria" w:hAnsi="Cambria" w:cs="Cambria"/>
          <w:sz w:val="20"/>
          <w:szCs w:val="20"/>
          <w:lang w:val="en-US"/>
        </w:rPr>
        <w:t xml:space="preserve"> cases of crimes or human rights violations against the press go unpunished, regardless of whether the specialized institution takes it up or not.</w:t>
      </w:r>
      <w:r w:rsidR="58C3488F" w:rsidRPr="00CC562A">
        <w:rPr>
          <w:rFonts w:ascii="Cambria" w:eastAsia="Cambria" w:hAnsi="Cambria" w:cs="Cambria"/>
          <w:sz w:val="20"/>
          <w:szCs w:val="20"/>
          <w:lang w:val="en-US"/>
        </w:rPr>
        <w:t xml:space="preserve"> </w:t>
      </w:r>
    </w:p>
    <w:p w14:paraId="53696D2E" w14:textId="772BDA92" w:rsidR="00843C54" w:rsidRPr="00CC562A" w:rsidRDefault="009B0009" w:rsidP="00D20E1C">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 to the general patterns of violence, which have been documented by civil society organizations, Article</w:t>
      </w:r>
      <w:r w:rsidR="63C84658" w:rsidRPr="00CC562A">
        <w:rPr>
          <w:rFonts w:ascii="Cambria" w:eastAsia="Cambria" w:hAnsi="Cambria" w:cs="Cambria"/>
          <w:sz w:val="20"/>
          <w:szCs w:val="20"/>
          <w:lang w:val="en-US"/>
        </w:rPr>
        <w:t xml:space="preserve"> 19 document</w:t>
      </w:r>
      <w:r w:rsidRPr="00CC562A">
        <w:rPr>
          <w:rFonts w:ascii="Cambria" w:eastAsia="Cambria" w:hAnsi="Cambria" w:cs="Cambria"/>
          <w:sz w:val="20"/>
          <w:szCs w:val="20"/>
          <w:lang w:val="en-US"/>
        </w:rPr>
        <w:t>ed increasingly more attacks against women journalists. According to the National Institute of Statistics and Geograph</w:t>
      </w:r>
      <w:r w:rsidR="003A3529" w:rsidRPr="00CC562A">
        <w:rPr>
          <w:rFonts w:ascii="Cambria" w:eastAsia="Cambria" w:hAnsi="Cambria" w:cs="Cambria"/>
          <w:sz w:val="20"/>
          <w:szCs w:val="20"/>
          <w:lang w:val="en-US"/>
        </w:rPr>
        <w:t>y</w:t>
      </w:r>
      <w:r w:rsidRPr="00CC562A">
        <w:rPr>
          <w:rFonts w:ascii="Cambria" w:eastAsia="Cambria" w:hAnsi="Cambria" w:cs="Cambria"/>
          <w:sz w:val="20"/>
          <w:szCs w:val="20"/>
          <w:lang w:val="en-US"/>
        </w:rPr>
        <w:t>,</w:t>
      </w:r>
      <w:r w:rsidR="00AE4CFE" w:rsidRPr="00CC562A">
        <w:rPr>
          <w:rStyle w:val="FootnoteReference"/>
          <w:rFonts w:ascii="Cambria" w:eastAsia="Cambria" w:hAnsi="Cambria" w:cs="Cambria"/>
          <w:sz w:val="20"/>
          <w:szCs w:val="20"/>
          <w:lang w:val="en-US"/>
        </w:rPr>
        <w:footnoteReference w:id="346"/>
      </w:r>
      <w:r w:rsidRPr="00CC562A">
        <w:rPr>
          <w:rFonts w:ascii="Cambria" w:eastAsia="Cambria" w:hAnsi="Cambria" w:cs="Cambria"/>
          <w:sz w:val="20"/>
          <w:szCs w:val="20"/>
          <w:lang w:val="en-US"/>
        </w:rPr>
        <w:t xml:space="preserve"> of the total number of people who identify as journalists </w:t>
      </w:r>
      <w:r w:rsidR="00D77397" w:rsidRPr="00CC562A">
        <w:rPr>
          <w:rFonts w:ascii="Cambria" w:eastAsia="Cambria" w:hAnsi="Cambria" w:cs="Cambria"/>
          <w:sz w:val="20"/>
          <w:szCs w:val="20"/>
          <w:lang w:val="en-US"/>
        </w:rPr>
        <w:t>in 2020</w:t>
      </w:r>
      <w:r w:rsidR="63C84658" w:rsidRPr="00CC562A">
        <w:rPr>
          <w:rFonts w:ascii="Cambria" w:eastAsia="Cambria" w:hAnsi="Cambria" w:cs="Cambria"/>
          <w:sz w:val="20"/>
          <w:szCs w:val="20"/>
          <w:lang w:val="en-US"/>
        </w:rPr>
        <w:t xml:space="preserve">, 71.40% </w:t>
      </w:r>
      <w:r w:rsidRPr="00CC562A">
        <w:rPr>
          <w:rFonts w:ascii="Cambria" w:eastAsia="Cambria" w:hAnsi="Cambria" w:cs="Cambria"/>
          <w:sz w:val="20"/>
          <w:szCs w:val="20"/>
          <w:lang w:val="en-US"/>
        </w:rPr>
        <w:t>are men, while only</w:t>
      </w:r>
      <w:r w:rsidR="63C84658" w:rsidRPr="00CC562A">
        <w:rPr>
          <w:rFonts w:ascii="Cambria" w:eastAsia="Cambria" w:hAnsi="Cambria" w:cs="Cambria"/>
          <w:sz w:val="20"/>
          <w:szCs w:val="20"/>
          <w:lang w:val="en-US"/>
        </w:rPr>
        <w:t xml:space="preserve"> 28.6% </w:t>
      </w:r>
      <w:r w:rsidRPr="00CC562A">
        <w:rPr>
          <w:rFonts w:ascii="Cambria" w:eastAsia="Cambria" w:hAnsi="Cambria" w:cs="Cambria"/>
          <w:sz w:val="20"/>
          <w:szCs w:val="20"/>
          <w:lang w:val="en-US"/>
        </w:rPr>
        <w:t xml:space="preserve">are women. However, </w:t>
      </w:r>
      <w:proofErr w:type="gramStart"/>
      <w:r w:rsidRPr="00CC562A">
        <w:rPr>
          <w:rFonts w:ascii="Cambria" w:eastAsia="Cambria" w:hAnsi="Cambria" w:cs="Cambria"/>
          <w:sz w:val="20"/>
          <w:szCs w:val="20"/>
          <w:lang w:val="en-US"/>
        </w:rPr>
        <w:t>with regard to</w:t>
      </w:r>
      <w:proofErr w:type="gramEnd"/>
      <w:r w:rsidRPr="00CC562A">
        <w:rPr>
          <w:rFonts w:ascii="Cambria" w:eastAsia="Cambria" w:hAnsi="Cambria" w:cs="Cambria"/>
          <w:sz w:val="20"/>
          <w:szCs w:val="20"/>
          <w:lang w:val="en-US"/>
        </w:rPr>
        <w:t xml:space="preserve"> attacks, from </w:t>
      </w:r>
      <w:r w:rsidR="63C84658" w:rsidRPr="00CC562A">
        <w:rPr>
          <w:rFonts w:ascii="Cambria" w:eastAsia="Cambria" w:hAnsi="Cambria" w:cs="Cambria"/>
          <w:sz w:val="20"/>
          <w:szCs w:val="20"/>
          <w:lang w:val="en-US"/>
        </w:rPr>
        <w:t xml:space="preserve">2018 </w:t>
      </w:r>
      <w:r w:rsidRPr="00CC562A">
        <w:rPr>
          <w:rFonts w:ascii="Cambria" w:eastAsia="Cambria" w:hAnsi="Cambria" w:cs="Cambria"/>
          <w:sz w:val="20"/>
          <w:szCs w:val="20"/>
          <w:lang w:val="en-US"/>
        </w:rPr>
        <w:t>to</w:t>
      </w:r>
      <w:r w:rsidR="63C84658" w:rsidRPr="00CC562A">
        <w:rPr>
          <w:rFonts w:ascii="Cambria" w:eastAsia="Cambria" w:hAnsi="Cambria" w:cs="Cambria"/>
          <w:sz w:val="20"/>
          <w:szCs w:val="20"/>
          <w:lang w:val="en-US"/>
        </w:rPr>
        <w:t xml:space="preserve"> 2021</w:t>
      </w:r>
      <w:r w:rsidRPr="00CC562A">
        <w:rPr>
          <w:rFonts w:ascii="Cambria" w:eastAsia="Cambria" w:hAnsi="Cambria" w:cs="Cambria"/>
          <w:sz w:val="20"/>
          <w:szCs w:val="20"/>
          <w:lang w:val="en-US"/>
        </w:rPr>
        <w:t xml:space="preserve"> women represent higher percentages, a situation that is yet to be analyzed for the year</w:t>
      </w:r>
      <w:r w:rsidR="63C84658" w:rsidRPr="00CC562A">
        <w:rPr>
          <w:rFonts w:ascii="Cambria" w:eastAsia="Cambria" w:hAnsi="Cambria" w:cs="Cambria"/>
          <w:sz w:val="20"/>
          <w:szCs w:val="20"/>
          <w:lang w:val="en-US"/>
        </w:rPr>
        <w:t xml:space="preserve"> 2022. </w:t>
      </w:r>
      <w:r w:rsidRPr="00CC562A">
        <w:rPr>
          <w:rFonts w:ascii="Cambria" w:eastAsia="Cambria" w:hAnsi="Cambria" w:cs="Cambria"/>
          <w:sz w:val="20"/>
          <w:szCs w:val="20"/>
          <w:lang w:val="en-US"/>
        </w:rPr>
        <w:t>The organization emphasized the existence of a t</w:t>
      </w:r>
      <w:r w:rsidR="003A3529" w:rsidRPr="00CC562A">
        <w:rPr>
          <w:rFonts w:ascii="Cambria" w:eastAsia="Cambria" w:hAnsi="Cambria" w:cs="Cambria"/>
          <w:sz w:val="20"/>
          <w:szCs w:val="20"/>
          <w:lang w:val="en-US"/>
        </w:rPr>
        <w:t>r</w:t>
      </w:r>
      <w:r w:rsidRPr="00CC562A">
        <w:rPr>
          <w:rFonts w:ascii="Cambria" w:eastAsia="Cambria" w:hAnsi="Cambria" w:cs="Cambria"/>
          <w:sz w:val="20"/>
          <w:szCs w:val="20"/>
          <w:lang w:val="en-US"/>
        </w:rPr>
        <w:t xml:space="preserve">end toward increasing violence against women journalists. As can be seen in the following table, </w:t>
      </w:r>
      <w:r w:rsidR="003A3529" w:rsidRPr="00CC562A">
        <w:rPr>
          <w:rFonts w:ascii="Cambria" w:eastAsia="Cambria" w:hAnsi="Cambria" w:cs="Cambria"/>
          <w:sz w:val="20"/>
          <w:szCs w:val="20"/>
          <w:lang w:val="en-US"/>
        </w:rPr>
        <w:t xml:space="preserve">almost every year </w:t>
      </w:r>
      <w:r w:rsidRPr="00CC562A">
        <w:rPr>
          <w:rFonts w:ascii="Cambria" w:eastAsia="Cambria" w:hAnsi="Cambria" w:cs="Cambria"/>
          <w:sz w:val="20"/>
          <w:szCs w:val="20"/>
          <w:lang w:val="en-US"/>
        </w:rPr>
        <w:t xml:space="preserve">women journalists represent a higher percentage of attacks. Another </w:t>
      </w:r>
      <w:r w:rsidR="003A3529" w:rsidRPr="00CC562A">
        <w:rPr>
          <w:rFonts w:ascii="Cambria" w:eastAsia="Cambria" w:hAnsi="Cambria" w:cs="Cambria"/>
          <w:sz w:val="20"/>
          <w:szCs w:val="20"/>
          <w:lang w:val="en-US"/>
        </w:rPr>
        <w:t>trend</w:t>
      </w:r>
      <w:r w:rsidRPr="00CC562A">
        <w:rPr>
          <w:rFonts w:ascii="Cambria" w:eastAsia="Cambria" w:hAnsi="Cambria" w:cs="Cambria"/>
          <w:sz w:val="20"/>
          <w:szCs w:val="20"/>
          <w:lang w:val="en-US"/>
        </w:rPr>
        <w:t xml:space="preserve"> emphasized by Article </w:t>
      </w:r>
      <w:r w:rsidR="63C84658" w:rsidRPr="00CC562A">
        <w:rPr>
          <w:rFonts w:ascii="Cambria" w:eastAsia="Cambria" w:hAnsi="Cambria" w:cs="Cambria"/>
          <w:sz w:val="20"/>
          <w:szCs w:val="20"/>
          <w:lang w:val="en-US"/>
        </w:rPr>
        <w:t xml:space="preserve">19 </w:t>
      </w:r>
      <w:r w:rsidRPr="00CC562A">
        <w:rPr>
          <w:rFonts w:ascii="Cambria" w:eastAsia="Cambria" w:hAnsi="Cambria" w:cs="Cambria"/>
          <w:sz w:val="20"/>
          <w:szCs w:val="20"/>
          <w:lang w:val="en-US"/>
        </w:rPr>
        <w:t>was increase</w:t>
      </w:r>
      <w:r w:rsidR="003A3529" w:rsidRPr="00CC562A">
        <w:rPr>
          <w:rFonts w:ascii="Cambria" w:eastAsia="Cambria" w:hAnsi="Cambria" w:cs="Cambria"/>
          <w:sz w:val="20"/>
          <w:szCs w:val="20"/>
          <w:lang w:val="en-US"/>
        </w:rPr>
        <w:t>d</w:t>
      </w:r>
      <w:r w:rsidRPr="00CC562A">
        <w:rPr>
          <w:rFonts w:ascii="Cambria" w:eastAsia="Cambria" w:hAnsi="Cambria" w:cs="Cambria"/>
          <w:sz w:val="20"/>
          <w:szCs w:val="20"/>
          <w:lang w:val="en-US"/>
        </w:rPr>
        <w:t xml:space="preserve"> violence in the digital sphere</w:t>
      </w:r>
      <w:r w:rsidR="63C84658" w:rsidRPr="00CC562A">
        <w:rPr>
          <w:rFonts w:ascii="Cambria" w:eastAsia="Cambria" w:hAnsi="Cambria" w:cs="Cambria"/>
          <w:sz w:val="20"/>
          <w:szCs w:val="20"/>
          <w:lang w:val="en-US"/>
        </w:rPr>
        <w:t>.</w:t>
      </w:r>
      <w:r w:rsidR="63C84658" w:rsidRPr="00CC562A">
        <w:rPr>
          <w:rFonts w:ascii="Spectral" w:hAnsi="Spectral"/>
          <w:lang w:val="en-US"/>
        </w:rPr>
        <w:t xml:space="preserve"> </w:t>
      </w:r>
    </w:p>
    <w:p w14:paraId="192199E3" w14:textId="79C3CCCF" w:rsidR="00871230" w:rsidRPr="00CC562A" w:rsidRDefault="009B0009"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As shown in the statistical report of the </w:t>
      </w:r>
      <w:r w:rsidR="6CFD3F37" w:rsidRPr="00CC562A">
        <w:rPr>
          <w:rFonts w:ascii="Cambria" w:eastAsia="Cambria" w:hAnsi="Cambria" w:cs="Cambria"/>
          <w:sz w:val="20"/>
          <w:szCs w:val="20"/>
          <w:lang w:val="en-US"/>
        </w:rPr>
        <w:t xml:space="preserve">FEADLE </w:t>
      </w:r>
      <w:r w:rsidRPr="00CC562A">
        <w:rPr>
          <w:rFonts w:ascii="Cambria" w:eastAsia="Cambria" w:hAnsi="Cambria" w:cs="Cambria"/>
          <w:sz w:val="20"/>
          <w:szCs w:val="20"/>
          <w:lang w:val="en-US"/>
        </w:rPr>
        <w:t xml:space="preserve">updated as of September </w:t>
      </w:r>
      <w:r w:rsidR="6CFD3F37" w:rsidRPr="00CC562A">
        <w:rPr>
          <w:rFonts w:ascii="Cambria" w:eastAsia="Cambria" w:hAnsi="Cambria" w:cs="Cambria"/>
          <w:sz w:val="20"/>
          <w:szCs w:val="20"/>
          <w:lang w:val="en-US"/>
        </w:rPr>
        <w:t xml:space="preserve">2021, </w:t>
      </w:r>
      <w:r w:rsidRPr="00CC562A">
        <w:rPr>
          <w:rFonts w:ascii="Cambria" w:eastAsia="Cambria" w:hAnsi="Cambria" w:cs="Cambria"/>
          <w:sz w:val="20"/>
          <w:szCs w:val="20"/>
          <w:lang w:val="en-US"/>
        </w:rPr>
        <w:t xml:space="preserve">of the </w:t>
      </w:r>
      <w:r w:rsidR="6CFD3F37" w:rsidRPr="00CC562A">
        <w:rPr>
          <w:rFonts w:ascii="Cambria" w:eastAsia="Cambria" w:hAnsi="Cambria" w:cs="Cambria"/>
          <w:sz w:val="20"/>
          <w:szCs w:val="20"/>
          <w:lang w:val="en-US"/>
        </w:rPr>
        <w:t xml:space="preserve">92 </w:t>
      </w:r>
      <w:r w:rsidRPr="00CC562A">
        <w:rPr>
          <w:rFonts w:ascii="Cambria" w:eastAsia="Cambria" w:hAnsi="Cambria" w:cs="Cambria"/>
          <w:sz w:val="20"/>
          <w:szCs w:val="20"/>
          <w:lang w:val="en-US"/>
        </w:rPr>
        <w:t xml:space="preserve">murders of journalists recorded from </w:t>
      </w:r>
      <w:r w:rsidR="6CFD3F37" w:rsidRPr="00CC562A">
        <w:rPr>
          <w:rFonts w:ascii="Cambria" w:eastAsia="Cambria" w:hAnsi="Cambria" w:cs="Cambria"/>
          <w:sz w:val="20"/>
          <w:szCs w:val="20"/>
          <w:lang w:val="en-US"/>
        </w:rPr>
        <w:t xml:space="preserve">2010 </w:t>
      </w:r>
      <w:r w:rsidRPr="00CC562A">
        <w:rPr>
          <w:rFonts w:ascii="Cambria" w:eastAsia="Cambria" w:hAnsi="Cambria" w:cs="Cambria"/>
          <w:sz w:val="20"/>
          <w:szCs w:val="20"/>
          <w:lang w:val="en-US"/>
        </w:rPr>
        <w:t xml:space="preserve">to date, the Special Prosecutor’s Office has acknowledged jurisdiction in </w:t>
      </w:r>
      <w:r w:rsidR="6CFD3F37" w:rsidRPr="00CC562A">
        <w:rPr>
          <w:rFonts w:ascii="Cambria" w:eastAsia="Cambria" w:hAnsi="Cambria" w:cs="Cambria"/>
          <w:sz w:val="20"/>
          <w:szCs w:val="20"/>
          <w:lang w:val="en-US"/>
        </w:rPr>
        <w:t xml:space="preserve">27 </w:t>
      </w:r>
      <w:r w:rsidRPr="00CC562A">
        <w:rPr>
          <w:rFonts w:ascii="Cambria" w:eastAsia="Cambria" w:hAnsi="Cambria" w:cs="Cambria"/>
          <w:sz w:val="20"/>
          <w:szCs w:val="20"/>
          <w:lang w:val="en-US"/>
        </w:rPr>
        <w:t xml:space="preserve">of them, </w:t>
      </w:r>
      <w:r w:rsidR="003A3529" w:rsidRPr="00CC562A">
        <w:rPr>
          <w:rFonts w:ascii="Cambria" w:eastAsia="Cambria" w:hAnsi="Cambria" w:cs="Cambria"/>
          <w:sz w:val="20"/>
          <w:szCs w:val="20"/>
          <w:lang w:val="en-US"/>
        </w:rPr>
        <w:t xml:space="preserve">with the </w:t>
      </w:r>
      <w:r w:rsidRPr="00CC562A">
        <w:rPr>
          <w:rFonts w:ascii="Cambria" w:eastAsia="Cambria" w:hAnsi="Cambria" w:cs="Cambria"/>
          <w:sz w:val="20"/>
          <w:szCs w:val="20"/>
          <w:lang w:val="en-US"/>
        </w:rPr>
        <w:t>understanding that there was a motive linked to journalistic activity.</w:t>
      </w:r>
      <w:r w:rsidR="00871230" w:rsidRPr="00CC562A">
        <w:rPr>
          <w:rFonts w:ascii="Cambria" w:eastAsia="Cambria" w:hAnsi="Cambria" w:cs="Cambria"/>
          <w:sz w:val="20"/>
          <w:szCs w:val="20"/>
          <w:vertAlign w:val="superscript"/>
          <w:lang w:val="en-US"/>
        </w:rPr>
        <w:footnoteReference w:id="347"/>
      </w:r>
      <w:r w:rsidRPr="00CC562A">
        <w:rPr>
          <w:rFonts w:ascii="Cambria" w:eastAsia="Cambria" w:hAnsi="Cambria" w:cs="Cambria"/>
          <w:sz w:val="20"/>
          <w:szCs w:val="20"/>
          <w:lang w:val="en-US"/>
        </w:rPr>
        <w:t xml:space="preserve"> In contrast, in</w:t>
      </w:r>
      <w:r w:rsidR="6CFD3F37" w:rsidRPr="00CC562A">
        <w:rPr>
          <w:rFonts w:ascii="Cambria" w:eastAsia="Cambria" w:hAnsi="Cambria" w:cs="Cambria"/>
          <w:sz w:val="20"/>
          <w:szCs w:val="20"/>
          <w:lang w:val="en-US"/>
        </w:rPr>
        <w:t xml:space="preserve"> 65 cas</w:t>
      </w:r>
      <w:r w:rsidRPr="00CC562A">
        <w:rPr>
          <w:rFonts w:ascii="Cambria" w:eastAsia="Cambria" w:hAnsi="Cambria" w:cs="Cambria"/>
          <w:sz w:val="20"/>
          <w:szCs w:val="20"/>
          <w:lang w:val="en-US"/>
        </w:rPr>
        <w:t>e</w:t>
      </w:r>
      <w:r w:rsidR="6CFD3F37" w:rsidRPr="00CC562A">
        <w:rPr>
          <w:rFonts w:ascii="Cambria" w:eastAsia="Cambria" w:hAnsi="Cambria" w:cs="Cambria"/>
          <w:sz w:val="20"/>
          <w:szCs w:val="20"/>
          <w:lang w:val="en-US"/>
        </w:rPr>
        <w:t>s –</w:t>
      </w:r>
      <w:r w:rsidRPr="00CC562A">
        <w:rPr>
          <w:rFonts w:ascii="Cambria" w:eastAsia="Cambria" w:hAnsi="Cambria" w:cs="Cambria"/>
          <w:sz w:val="20"/>
          <w:szCs w:val="20"/>
          <w:lang w:val="en-US"/>
        </w:rPr>
        <w:t xml:space="preserve"> which represent </w:t>
      </w:r>
      <w:r w:rsidR="6CFD3F37" w:rsidRPr="00CC562A">
        <w:rPr>
          <w:rFonts w:ascii="Cambria" w:eastAsia="Cambria" w:hAnsi="Cambria" w:cs="Cambria"/>
          <w:sz w:val="20"/>
          <w:szCs w:val="20"/>
          <w:lang w:val="en-US"/>
        </w:rPr>
        <w:t>70.7%</w:t>
      </w:r>
      <w:r w:rsidRPr="00CC562A">
        <w:rPr>
          <w:rFonts w:ascii="Cambria" w:eastAsia="Cambria" w:hAnsi="Cambria" w:cs="Cambria"/>
          <w:sz w:val="20"/>
          <w:szCs w:val="20"/>
          <w:lang w:val="en-US"/>
        </w:rPr>
        <w:t xml:space="preserve"> </w:t>
      </w:r>
      <w:r w:rsidR="6CFD3F3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 lack of jurisdiction has been determined as no relationship was found linking then to the exercise of the right to freedom of expression.</w:t>
      </w:r>
      <w:r w:rsidR="00871230" w:rsidRPr="00CC562A">
        <w:rPr>
          <w:rFonts w:ascii="Cambria" w:eastAsia="Cambria" w:hAnsi="Cambria" w:cs="Cambria"/>
          <w:sz w:val="20"/>
          <w:szCs w:val="20"/>
          <w:vertAlign w:val="superscript"/>
          <w:lang w:val="en-US"/>
        </w:rPr>
        <w:footnoteReference w:id="348"/>
      </w:r>
      <w:r w:rsidRPr="00CC562A">
        <w:rPr>
          <w:rFonts w:ascii="Cambria" w:eastAsia="Cambria" w:hAnsi="Cambria" w:cs="Cambria"/>
          <w:sz w:val="20"/>
          <w:szCs w:val="20"/>
          <w:lang w:val="en-US"/>
        </w:rPr>
        <w:t xml:space="preserve"> The Commission and </w:t>
      </w:r>
      <w:r w:rsidR="00ED23C2" w:rsidRPr="00CC562A">
        <w:rPr>
          <w:rFonts w:ascii="Cambria" w:eastAsia="Cambria" w:hAnsi="Cambria" w:cs="Cambria"/>
          <w:sz w:val="20"/>
          <w:szCs w:val="20"/>
          <w:lang w:val="en-US"/>
        </w:rPr>
        <w:t>the Office of the Special Rapporteur</w:t>
      </w:r>
      <w:r w:rsidRPr="00CC562A">
        <w:rPr>
          <w:rFonts w:ascii="Cambria" w:eastAsia="Cambria" w:hAnsi="Cambria" w:cs="Cambria"/>
          <w:sz w:val="20"/>
          <w:szCs w:val="20"/>
          <w:lang w:val="en-US"/>
        </w:rPr>
        <w:t xml:space="preserve"> consider that the number of cases under the jurisdiction of the </w:t>
      </w:r>
      <w:r w:rsidR="6CFD3F37" w:rsidRPr="00CC562A">
        <w:rPr>
          <w:rFonts w:ascii="Cambria" w:eastAsia="Cambria" w:hAnsi="Cambria" w:cs="Cambria"/>
          <w:sz w:val="20"/>
          <w:szCs w:val="20"/>
          <w:lang w:val="en-US"/>
        </w:rPr>
        <w:t xml:space="preserve">FEADLE </w:t>
      </w:r>
      <w:r w:rsidRPr="00CC562A">
        <w:rPr>
          <w:rFonts w:ascii="Cambria" w:eastAsia="Cambria" w:hAnsi="Cambria" w:cs="Cambria"/>
          <w:sz w:val="20"/>
          <w:szCs w:val="20"/>
          <w:lang w:val="en-US"/>
        </w:rPr>
        <w:t xml:space="preserve">continues to be low in comparison </w:t>
      </w:r>
      <w:r w:rsidR="003A3529" w:rsidRPr="00CC562A">
        <w:rPr>
          <w:rFonts w:ascii="Cambria" w:eastAsia="Cambria" w:hAnsi="Cambria" w:cs="Cambria"/>
          <w:sz w:val="20"/>
          <w:szCs w:val="20"/>
          <w:lang w:val="en-US"/>
        </w:rPr>
        <w:t>to</w:t>
      </w:r>
      <w:r w:rsidRPr="00CC562A">
        <w:rPr>
          <w:rFonts w:ascii="Cambria" w:eastAsia="Cambria" w:hAnsi="Cambria" w:cs="Cambria"/>
          <w:sz w:val="20"/>
          <w:szCs w:val="20"/>
          <w:lang w:val="en-US"/>
        </w:rPr>
        <w:t xml:space="preserve"> the </w:t>
      </w:r>
      <w:r w:rsidR="00D20E1C" w:rsidRPr="00CC562A">
        <w:rPr>
          <w:rFonts w:ascii="Cambria" w:eastAsia="Cambria" w:hAnsi="Cambria" w:cs="Cambria"/>
          <w:sz w:val="20"/>
          <w:szCs w:val="20"/>
          <w:lang w:val="en-US"/>
        </w:rPr>
        <w:t>figures on numerous murders of journalists reported.</w:t>
      </w:r>
      <w:r w:rsidR="6CFD3F37" w:rsidRPr="00CC562A">
        <w:rPr>
          <w:rFonts w:ascii="Cambria" w:eastAsia="Cambria" w:hAnsi="Cambria" w:cs="Cambria"/>
          <w:sz w:val="20"/>
          <w:szCs w:val="20"/>
          <w:lang w:val="en-US"/>
        </w:rPr>
        <w:t xml:space="preserve"> </w:t>
      </w:r>
    </w:p>
    <w:p w14:paraId="31481E23" w14:textId="38B9639A" w:rsidR="00843C54"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addition,</w:t>
      </w:r>
      <w:r w:rsidR="6CFD3F37" w:rsidRPr="00CC562A">
        <w:rPr>
          <w:rFonts w:ascii="Cambria" w:eastAsia="Cambria" w:hAnsi="Cambria" w:cs="Cambria"/>
          <w:sz w:val="20"/>
          <w:szCs w:val="20"/>
          <w:lang w:val="en-US"/>
        </w:rPr>
        <w:t xml:space="preserve"> </w:t>
      </w:r>
      <w:r w:rsidR="00D20E1C" w:rsidRPr="00CC562A">
        <w:rPr>
          <w:rFonts w:ascii="Cambria" w:eastAsia="Cambria" w:hAnsi="Cambria" w:cs="Cambria"/>
          <w:sz w:val="20"/>
          <w:szCs w:val="20"/>
          <w:lang w:val="en-US"/>
        </w:rPr>
        <w:t xml:space="preserve">challenges </w:t>
      </w:r>
      <w:r w:rsidR="00D77397" w:rsidRPr="00CC562A">
        <w:rPr>
          <w:rFonts w:ascii="Cambria" w:eastAsia="Cambria" w:hAnsi="Cambria" w:cs="Cambria"/>
          <w:sz w:val="20"/>
          <w:szCs w:val="20"/>
          <w:lang w:val="en-US"/>
        </w:rPr>
        <w:t>persist</w:t>
      </w:r>
      <w:r w:rsidR="00D20E1C" w:rsidRPr="00CC562A">
        <w:rPr>
          <w:rFonts w:ascii="Cambria" w:eastAsia="Cambria" w:hAnsi="Cambria" w:cs="Cambria"/>
          <w:sz w:val="20"/>
          <w:szCs w:val="20"/>
          <w:lang w:val="en-US"/>
        </w:rPr>
        <w:t xml:space="preserve"> related to the failure to assert jurisdiction in cases that involve the possible participation of state or municipal public officials. In this regard, the Commission considers that in view of the setbacks identified in this area, the recommendation is </w:t>
      </w:r>
      <w:r w:rsidR="00D20E1C" w:rsidRPr="00CC562A">
        <w:rPr>
          <w:rFonts w:ascii="Cambria" w:eastAsia="Cambria" w:hAnsi="Cambria" w:cs="Cambria"/>
          <w:b/>
          <w:bCs/>
          <w:sz w:val="20"/>
          <w:szCs w:val="20"/>
          <w:lang w:val="en-US"/>
        </w:rPr>
        <w:t>pending compliance</w:t>
      </w:r>
      <w:r w:rsidR="6048D45E" w:rsidRPr="00CC562A">
        <w:rPr>
          <w:rFonts w:ascii="Cambria" w:eastAsia="Cambria" w:hAnsi="Cambria" w:cs="Cambria"/>
          <w:b/>
          <w:bCs/>
          <w:sz w:val="20"/>
          <w:szCs w:val="20"/>
          <w:lang w:val="en-US"/>
        </w:rPr>
        <w:t>.</w:t>
      </w:r>
    </w:p>
    <w:p w14:paraId="770715FE" w14:textId="4299DA1E" w:rsidR="00843C54" w:rsidRPr="00CC562A" w:rsidRDefault="00D20E1C" w:rsidP="00507873">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On the recommendation to </w:t>
      </w:r>
      <w:r w:rsidRPr="00CC562A">
        <w:rPr>
          <w:rFonts w:ascii="Cambria" w:hAnsi="Cambria"/>
          <w:b/>
          <w:bCs/>
          <w:sz w:val="20"/>
          <w:szCs w:val="20"/>
          <w:lang w:val="en-US"/>
        </w:rPr>
        <w:t>maintain the specialized nature of the FEADLE and providing it with resources</w:t>
      </w:r>
      <w:r w:rsidR="49B170D1" w:rsidRPr="00CC562A">
        <w:rPr>
          <w:rFonts w:ascii="Cambria" w:eastAsia="Cambria" w:hAnsi="Cambria" w:cs="Cambria"/>
          <w:b/>
          <w:bCs/>
          <w:sz w:val="20"/>
          <w:szCs w:val="20"/>
          <w:lang w:val="en-US"/>
        </w:rPr>
        <w:t xml:space="preserve">, </w:t>
      </w:r>
      <w:r w:rsidR="00752FED" w:rsidRPr="00CC562A">
        <w:rPr>
          <w:rFonts w:ascii="Cambria" w:eastAsia="Cambria" w:hAnsi="Cambria" w:cs="Cambria"/>
          <w:sz w:val="20"/>
          <w:szCs w:val="20"/>
          <w:lang w:val="en-US"/>
        </w:rPr>
        <w:t>the State</w:t>
      </w:r>
      <w:r w:rsidR="2ACA77E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indicated that according to agreement </w:t>
      </w:r>
      <w:r w:rsidR="601F96B9" w:rsidRPr="00CC562A">
        <w:rPr>
          <w:rFonts w:ascii="Cambria" w:eastAsia="Cambria" w:hAnsi="Cambria" w:cs="Cambria"/>
          <w:sz w:val="20"/>
          <w:szCs w:val="20"/>
          <w:lang w:val="en-US"/>
        </w:rPr>
        <w:t xml:space="preserve">A/145/10 </w:t>
      </w:r>
      <w:r w:rsidRPr="00CC562A">
        <w:rPr>
          <w:rFonts w:ascii="Cambria" w:eastAsia="Cambria" w:hAnsi="Cambria" w:cs="Cambria"/>
          <w:sz w:val="20"/>
          <w:szCs w:val="20"/>
          <w:lang w:val="en-US"/>
        </w:rPr>
        <w:t xml:space="preserve">of July 5, </w:t>
      </w:r>
      <w:r w:rsidR="601F96B9" w:rsidRPr="00CC562A">
        <w:rPr>
          <w:rFonts w:ascii="Cambria" w:eastAsia="Cambria" w:hAnsi="Cambria" w:cs="Cambria"/>
          <w:sz w:val="20"/>
          <w:szCs w:val="20"/>
          <w:lang w:val="en-US"/>
        </w:rPr>
        <w:t>2010,</w:t>
      </w:r>
      <w:r w:rsidRPr="00CC562A">
        <w:rPr>
          <w:rFonts w:ascii="Cambria" w:eastAsia="Cambria" w:hAnsi="Cambria" w:cs="Cambria"/>
          <w:sz w:val="20"/>
          <w:szCs w:val="20"/>
          <w:lang w:val="en-US"/>
        </w:rPr>
        <w:t xml:space="preserve"> creating the Special Prosecutor’s Office for Addressing Crimes Committed against Freedom of Expression, which is the specialized agency for directing, coordinating, and supervising investigations and, as applicable, prosecuting crimes committed against those who </w:t>
      </w:r>
      <w:r w:rsidR="00902DD3" w:rsidRPr="00CC562A">
        <w:rPr>
          <w:rFonts w:ascii="Cambria" w:eastAsia="Cambria" w:hAnsi="Cambria" w:cs="Cambria"/>
          <w:sz w:val="20"/>
          <w:szCs w:val="20"/>
          <w:lang w:val="en-US"/>
        </w:rPr>
        <w:t xml:space="preserve">practice journalism. </w:t>
      </w:r>
      <w:proofErr w:type="gramStart"/>
      <w:r w:rsidR="00902DD3" w:rsidRPr="00CC562A">
        <w:rPr>
          <w:rFonts w:ascii="Cambria" w:eastAsia="Cambria" w:hAnsi="Cambria" w:cs="Cambria"/>
          <w:sz w:val="20"/>
          <w:szCs w:val="20"/>
          <w:lang w:val="en-US"/>
        </w:rPr>
        <w:t>With regard to</w:t>
      </w:r>
      <w:proofErr w:type="gramEnd"/>
      <w:r w:rsidR="00902DD3" w:rsidRPr="00CC562A">
        <w:rPr>
          <w:rFonts w:ascii="Cambria" w:eastAsia="Cambria" w:hAnsi="Cambria" w:cs="Cambria"/>
          <w:sz w:val="20"/>
          <w:szCs w:val="20"/>
          <w:lang w:val="en-US"/>
        </w:rPr>
        <w:t xml:space="preserve"> providing the FEADLE with economic resources, the State indicated that it is important to point out that the allocation and determination of the institutional budget falls to the Congress of the Union, and to the areas specializing in budgetary matters in each institution as applicable.</w:t>
      </w:r>
      <w:r w:rsidR="00070D01" w:rsidRPr="00CC562A">
        <w:rPr>
          <w:rStyle w:val="FootnoteReference"/>
          <w:rFonts w:ascii="Cambria" w:eastAsia="Cambria" w:hAnsi="Cambria" w:cs="Cambria"/>
          <w:sz w:val="20"/>
          <w:szCs w:val="20"/>
          <w:lang w:val="en-US"/>
        </w:rPr>
        <w:footnoteReference w:id="349"/>
      </w:r>
    </w:p>
    <w:p w14:paraId="7F2A3458" w14:textId="2D6748B6" w:rsidR="00843C54" w:rsidRPr="00CC562A" w:rsidRDefault="6048D45E" w:rsidP="003A3529">
      <w:pPr>
        <w:numPr>
          <w:ilvl w:val="0"/>
          <w:numId w:val="2"/>
        </w:numPr>
        <w:shd w:val="clear" w:color="auto" w:fill="FFFFFF" w:themeFill="background1"/>
        <w:tabs>
          <w:tab w:val="left" w:pos="1440"/>
        </w:tabs>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902DD3" w:rsidRPr="00CC562A">
        <w:rPr>
          <w:rFonts w:ascii="Cambria" w:eastAsia="Cambria" w:hAnsi="Cambria" w:cs="Cambria"/>
          <w:sz w:val="20"/>
          <w:szCs w:val="20"/>
          <w:lang w:val="en-US"/>
        </w:rPr>
        <w:t>garding this recommendation, the Commission received information on an alleged budge</w:t>
      </w:r>
      <w:r w:rsidR="009E0E6A" w:rsidRPr="00CC562A">
        <w:rPr>
          <w:rFonts w:ascii="Cambria" w:eastAsia="Cambria" w:hAnsi="Cambria" w:cs="Cambria"/>
          <w:sz w:val="20"/>
          <w:szCs w:val="20"/>
          <w:lang w:val="en-US"/>
        </w:rPr>
        <w:t>t</w:t>
      </w:r>
      <w:r w:rsidR="00902DD3" w:rsidRPr="00CC562A">
        <w:rPr>
          <w:rFonts w:ascii="Cambria" w:eastAsia="Cambria" w:hAnsi="Cambria" w:cs="Cambria"/>
          <w:sz w:val="20"/>
          <w:szCs w:val="20"/>
          <w:lang w:val="en-US"/>
        </w:rPr>
        <w:t xml:space="preserve"> reduction for the year</w:t>
      </w:r>
      <w:r w:rsidR="3EB92E22" w:rsidRPr="00CC562A">
        <w:rPr>
          <w:rFonts w:ascii="Cambria" w:eastAsia="Cambria" w:hAnsi="Cambria" w:cs="Cambria"/>
          <w:sz w:val="20"/>
          <w:szCs w:val="20"/>
          <w:lang w:val="en-US"/>
        </w:rPr>
        <w:t xml:space="preserve"> 2022,</w:t>
      </w:r>
      <w:r w:rsidR="00902DD3" w:rsidRPr="00CC562A">
        <w:rPr>
          <w:rFonts w:ascii="Cambria" w:eastAsia="Cambria" w:hAnsi="Cambria" w:cs="Cambria"/>
          <w:sz w:val="20"/>
          <w:szCs w:val="20"/>
          <w:lang w:val="en-US"/>
        </w:rPr>
        <w:t xml:space="preserve"> both in the </w:t>
      </w:r>
      <w:r w:rsidR="3EB92E22" w:rsidRPr="00CC562A">
        <w:rPr>
          <w:rFonts w:ascii="Cambria" w:eastAsia="Cambria" w:hAnsi="Cambria" w:cs="Cambria"/>
          <w:sz w:val="20"/>
          <w:szCs w:val="20"/>
          <w:lang w:val="en-US"/>
        </w:rPr>
        <w:t xml:space="preserve">FEADLE </w:t>
      </w:r>
      <w:r w:rsidR="00902DD3" w:rsidRPr="00CC562A">
        <w:rPr>
          <w:rFonts w:ascii="Cambria" w:eastAsia="Cambria" w:hAnsi="Cambria" w:cs="Cambria"/>
          <w:sz w:val="20"/>
          <w:szCs w:val="20"/>
          <w:lang w:val="en-US"/>
        </w:rPr>
        <w:t xml:space="preserve">and in other specialized prosecutor’s offices attached to the Attorney General’s Office </w:t>
      </w:r>
      <w:r w:rsidR="3EB92E22" w:rsidRPr="00CC562A">
        <w:rPr>
          <w:rFonts w:ascii="Cambria" w:eastAsia="Cambria" w:hAnsi="Cambria" w:cs="Cambria"/>
          <w:sz w:val="20"/>
          <w:szCs w:val="20"/>
          <w:lang w:val="en-US"/>
        </w:rPr>
        <w:t>(FGR)</w:t>
      </w:r>
      <w:r w:rsidR="00902DD3" w:rsidRPr="00CC562A">
        <w:rPr>
          <w:rFonts w:ascii="Cambria" w:eastAsia="Cambria" w:hAnsi="Cambria" w:cs="Cambria"/>
          <w:sz w:val="20"/>
          <w:szCs w:val="20"/>
          <w:lang w:val="en-US"/>
        </w:rPr>
        <w:t>.</w:t>
      </w:r>
      <w:r w:rsidR="005B5AAA" w:rsidRPr="00CC562A">
        <w:rPr>
          <w:rFonts w:ascii="Cambria" w:eastAsia="Cambria" w:hAnsi="Cambria" w:cs="Cambria"/>
          <w:sz w:val="20"/>
          <w:szCs w:val="20"/>
          <w:vertAlign w:val="superscript"/>
          <w:lang w:val="en-US"/>
        </w:rPr>
        <w:footnoteReference w:id="350"/>
      </w:r>
      <w:r w:rsidR="00902DD3" w:rsidRPr="00CC562A">
        <w:rPr>
          <w:rFonts w:ascii="Cambria" w:eastAsia="Cambria" w:hAnsi="Cambria" w:cs="Cambria"/>
          <w:sz w:val="20"/>
          <w:szCs w:val="20"/>
          <w:lang w:val="en-US"/>
        </w:rPr>
        <w:t xml:space="preserve"> According to the information available, the budget bill for the Special </w:t>
      </w:r>
      <w:r w:rsidR="00902DD3" w:rsidRPr="00CC562A">
        <w:rPr>
          <w:rFonts w:ascii="Cambria" w:eastAsia="Cambria" w:hAnsi="Cambria" w:cs="Cambria"/>
          <w:sz w:val="20"/>
          <w:szCs w:val="20"/>
          <w:lang w:val="en-US"/>
        </w:rPr>
        <w:lastRenderedPageBreak/>
        <w:t xml:space="preserve">Prosecutor’s Office for Addressing Crimes against Freedom of Expression would represent one of the lowest among all the special prosecutor’s offices in the </w:t>
      </w:r>
      <w:r w:rsidR="3EB92E22" w:rsidRPr="00CC562A">
        <w:rPr>
          <w:rFonts w:ascii="Cambria" w:eastAsia="Cambria" w:hAnsi="Cambria" w:cs="Cambria"/>
          <w:sz w:val="20"/>
          <w:szCs w:val="20"/>
          <w:lang w:val="en-US"/>
        </w:rPr>
        <w:t>FGR</w:t>
      </w:r>
      <w:r w:rsidR="00902DD3" w:rsidRPr="00CC562A">
        <w:rPr>
          <w:rFonts w:ascii="Cambria" w:eastAsia="Cambria" w:hAnsi="Cambria" w:cs="Cambria"/>
          <w:sz w:val="20"/>
          <w:szCs w:val="20"/>
          <w:lang w:val="en-US"/>
        </w:rPr>
        <w:t>.</w:t>
      </w:r>
      <w:r w:rsidR="005B5AAA" w:rsidRPr="00CC562A">
        <w:rPr>
          <w:rFonts w:ascii="Cambria" w:eastAsia="Cambria" w:hAnsi="Cambria" w:cs="Cambria"/>
          <w:sz w:val="20"/>
          <w:szCs w:val="20"/>
          <w:vertAlign w:val="superscript"/>
          <w:lang w:val="en-US"/>
        </w:rPr>
        <w:footnoteReference w:id="351"/>
      </w:r>
      <w:r w:rsidR="00902DD3" w:rsidRPr="00CC562A">
        <w:rPr>
          <w:rFonts w:ascii="Cambria" w:eastAsia="Cambria" w:hAnsi="Cambria" w:cs="Cambria"/>
          <w:sz w:val="20"/>
          <w:szCs w:val="20"/>
          <w:lang w:val="en-US"/>
        </w:rPr>
        <w:t xml:space="preserve"> Thus, the Commission considers that the recommendation is </w:t>
      </w:r>
      <w:r w:rsidR="00902DD3" w:rsidRPr="00CC562A">
        <w:rPr>
          <w:rFonts w:ascii="Cambria" w:eastAsia="Cambria" w:hAnsi="Cambria" w:cs="Cambria"/>
          <w:b/>
          <w:bCs/>
          <w:sz w:val="20"/>
          <w:szCs w:val="20"/>
          <w:lang w:val="en-US"/>
        </w:rPr>
        <w:t>pending compliance</w:t>
      </w:r>
      <w:r w:rsidRPr="00CC562A">
        <w:rPr>
          <w:rFonts w:ascii="Cambria" w:eastAsia="Cambria" w:hAnsi="Cambria" w:cs="Cambria"/>
          <w:b/>
          <w:bCs/>
          <w:sz w:val="20"/>
          <w:szCs w:val="20"/>
          <w:lang w:val="en-US"/>
        </w:rPr>
        <w:t>.</w:t>
      </w:r>
    </w:p>
    <w:p w14:paraId="125061AC" w14:textId="6DB41533" w:rsidR="00783785" w:rsidRPr="00CC562A" w:rsidRDefault="001B32F4"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49B170D1" w:rsidRPr="00CC562A">
        <w:rPr>
          <w:rFonts w:ascii="Cambria" w:eastAsia="Cambria" w:hAnsi="Cambria" w:cs="Cambria"/>
          <w:b/>
          <w:bCs/>
          <w:sz w:val="20"/>
          <w:szCs w:val="20"/>
          <w:lang w:val="en-US"/>
        </w:rPr>
        <w:t>adopt</w:t>
      </w:r>
      <w:r w:rsidRPr="00CC562A">
        <w:rPr>
          <w:rFonts w:ascii="Cambria" w:eastAsia="Cambria" w:hAnsi="Cambria" w:cs="Cambria"/>
          <w:b/>
          <w:bCs/>
          <w:sz w:val="20"/>
          <w:szCs w:val="20"/>
          <w:lang w:val="en-US"/>
        </w:rPr>
        <w:t xml:space="preserve"> special investigation protocols</w:t>
      </w:r>
      <w:r w:rsidR="49B170D1" w:rsidRPr="00CC562A">
        <w:rPr>
          <w:rFonts w:ascii="Cambria" w:eastAsia="Cambria" w:hAnsi="Cambria" w:cs="Cambria"/>
          <w:b/>
          <w:bCs/>
          <w:sz w:val="20"/>
          <w:szCs w:val="20"/>
          <w:lang w:val="en-US"/>
        </w:rPr>
        <w:t>,</w:t>
      </w:r>
      <w:r w:rsidR="49B170D1"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CA77E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reported that during the 40</w:t>
      </w:r>
      <w:r w:rsidR="00D77397" w:rsidRPr="00CC562A">
        <w:rPr>
          <w:rFonts w:ascii="Cambria" w:eastAsia="Cambria" w:hAnsi="Cambria" w:cs="Cambria"/>
          <w:sz w:val="20"/>
          <w:szCs w:val="20"/>
          <w:vertAlign w:val="superscript"/>
          <w:lang w:val="en-US"/>
        </w:rPr>
        <w:t xml:space="preserve">th </w:t>
      </w:r>
      <w:r w:rsidR="00D77397" w:rsidRPr="00CC562A">
        <w:rPr>
          <w:rFonts w:ascii="Cambria" w:eastAsia="Cambria" w:hAnsi="Cambria" w:cs="Cambria"/>
          <w:sz w:val="20"/>
          <w:szCs w:val="20"/>
          <w:lang w:val="en-US"/>
        </w:rPr>
        <w:t>Plenary</w:t>
      </w:r>
      <w:r w:rsidRPr="00CC562A">
        <w:rPr>
          <w:rFonts w:ascii="Cambria" w:eastAsia="Cambria" w:hAnsi="Cambria" w:cs="Cambria"/>
          <w:sz w:val="20"/>
          <w:szCs w:val="20"/>
          <w:lang w:val="en-US"/>
        </w:rPr>
        <w:t xml:space="preserve"> </w:t>
      </w:r>
      <w:r w:rsidR="00507873" w:rsidRPr="00CC562A">
        <w:rPr>
          <w:rFonts w:ascii="Cambria" w:eastAsia="Cambria" w:hAnsi="Cambria" w:cs="Cambria"/>
          <w:sz w:val="20"/>
          <w:szCs w:val="20"/>
          <w:lang w:val="en-US"/>
        </w:rPr>
        <w:t>Session</w:t>
      </w:r>
      <w:r w:rsidRPr="00CC562A">
        <w:rPr>
          <w:rFonts w:ascii="Cambria" w:eastAsia="Cambria" w:hAnsi="Cambria" w:cs="Cambria"/>
          <w:sz w:val="20"/>
          <w:szCs w:val="20"/>
          <w:lang w:val="en-US"/>
        </w:rPr>
        <w:t xml:space="preserve"> of the CNPJ that took place October 11-12, 2018, the members of the</w:t>
      </w:r>
      <w:r w:rsidR="00270289" w:rsidRPr="00CC562A">
        <w:rPr>
          <w:rFonts w:ascii="Cambria" w:eastAsia="Cambria" w:hAnsi="Cambria" w:cs="Cambria"/>
          <w:sz w:val="20"/>
          <w:szCs w:val="20"/>
          <w:lang w:val="en-US"/>
        </w:rPr>
        <w:t xml:space="preserve"> National Conference of Judicial Prosecutors approved the Standardized Protocol for Investigation of Crimes Committed against Freedom of Expression. On November 12, </w:t>
      </w:r>
      <w:r w:rsidR="601F96B9" w:rsidRPr="00CC562A">
        <w:rPr>
          <w:rFonts w:ascii="Cambria" w:eastAsia="Cambria" w:hAnsi="Cambria" w:cs="Cambria"/>
          <w:sz w:val="20"/>
          <w:szCs w:val="20"/>
          <w:lang w:val="en-US"/>
        </w:rPr>
        <w:t xml:space="preserve">2018, </w:t>
      </w:r>
      <w:r w:rsidR="00270289" w:rsidRPr="00CC562A">
        <w:rPr>
          <w:rFonts w:ascii="Cambria" w:eastAsia="Cambria" w:hAnsi="Cambria" w:cs="Cambria"/>
          <w:sz w:val="20"/>
          <w:szCs w:val="20"/>
          <w:lang w:val="en-US"/>
        </w:rPr>
        <w:t xml:space="preserve">the Technical Secretariat of the </w:t>
      </w:r>
      <w:r w:rsidR="601F96B9" w:rsidRPr="00CC562A">
        <w:rPr>
          <w:rFonts w:ascii="Cambria" w:eastAsia="Cambria" w:hAnsi="Cambria" w:cs="Cambria"/>
          <w:sz w:val="20"/>
          <w:szCs w:val="20"/>
          <w:lang w:val="en-US"/>
        </w:rPr>
        <w:t>CNPJ publi</w:t>
      </w:r>
      <w:r w:rsidR="00270289" w:rsidRPr="00CC562A">
        <w:rPr>
          <w:rFonts w:ascii="Cambria" w:eastAsia="Cambria" w:hAnsi="Cambria" w:cs="Cambria"/>
          <w:sz w:val="20"/>
          <w:szCs w:val="20"/>
          <w:lang w:val="en-US"/>
        </w:rPr>
        <w:t xml:space="preserve">shed the abstract of the Protocol </w:t>
      </w:r>
      <w:r w:rsidR="00D77397" w:rsidRPr="00CC562A">
        <w:rPr>
          <w:rFonts w:ascii="Cambria" w:eastAsia="Cambria" w:hAnsi="Cambria" w:cs="Cambria"/>
          <w:sz w:val="20"/>
          <w:szCs w:val="20"/>
          <w:lang w:val="en-US"/>
        </w:rPr>
        <w:t>in the</w:t>
      </w:r>
      <w:r w:rsidR="00270289" w:rsidRPr="00CC562A">
        <w:rPr>
          <w:rFonts w:ascii="Cambria" w:eastAsia="Cambria" w:hAnsi="Cambria" w:cs="Cambria"/>
          <w:sz w:val="20"/>
          <w:szCs w:val="20"/>
          <w:lang w:val="en-US"/>
        </w:rPr>
        <w:t xml:space="preserve"> Official Gazette of the Federation (</w:t>
      </w:r>
      <w:r w:rsidR="601F96B9" w:rsidRPr="00CC562A">
        <w:rPr>
          <w:rFonts w:ascii="Cambria" w:eastAsia="Cambria" w:hAnsi="Cambria" w:cs="Cambria"/>
          <w:sz w:val="20"/>
          <w:szCs w:val="20"/>
          <w:lang w:val="en-US"/>
        </w:rPr>
        <w:t>DOF</w:t>
      </w:r>
      <w:r w:rsidR="00270289" w:rsidRPr="00CC562A">
        <w:rPr>
          <w:rFonts w:ascii="Cambria" w:eastAsia="Cambria" w:hAnsi="Cambria" w:cs="Cambria"/>
          <w:sz w:val="20"/>
          <w:szCs w:val="20"/>
          <w:lang w:val="en-US"/>
        </w:rPr>
        <w:t>)</w:t>
      </w:r>
      <w:r w:rsidR="601F96B9" w:rsidRPr="00CC562A">
        <w:rPr>
          <w:rFonts w:ascii="Cambria" w:eastAsia="Cambria" w:hAnsi="Cambria" w:cs="Cambria"/>
          <w:sz w:val="20"/>
          <w:szCs w:val="20"/>
          <w:lang w:val="en-US"/>
        </w:rPr>
        <w:t>.</w:t>
      </w:r>
      <w:r w:rsidR="2ACA77EF" w:rsidRPr="00CC562A">
        <w:rPr>
          <w:rFonts w:ascii="Cambria" w:eastAsia="Cambria" w:hAnsi="Cambria" w:cs="Cambria"/>
          <w:sz w:val="20"/>
          <w:szCs w:val="20"/>
          <w:lang w:val="en-US"/>
        </w:rPr>
        <w:t xml:space="preserve"> </w:t>
      </w:r>
      <w:r w:rsidR="00270289" w:rsidRPr="00CC562A">
        <w:rPr>
          <w:rFonts w:ascii="Cambria" w:eastAsia="Cambria" w:hAnsi="Cambria" w:cs="Cambria"/>
          <w:sz w:val="20"/>
          <w:szCs w:val="20"/>
          <w:lang w:val="en-US"/>
        </w:rPr>
        <w:t>In addition, the Special Prosecutor’s Office for Addressing Crimes Committed against Freedom of Expression</w:t>
      </w:r>
      <w:r w:rsidR="00507873" w:rsidRPr="00CC562A">
        <w:rPr>
          <w:rFonts w:ascii="Cambria" w:eastAsia="Cambria" w:hAnsi="Cambria" w:cs="Cambria"/>
          <w:sz w:val="20"/>
          <w:szCs w:val="20"/>
          <w:lang w:val="en-US"/>
        </w:rPr>
        <w:t xml:space="preserve"> </w:t>
      </w:r>
      <w:r w:rsidR="00270289" w:rsidRPr="00CC562A">
        <w:rPr>
          <w:rFonts w:ascii="Cambria" w:eastAsia="Cambria" w:hAnsi="Cambria" w:cs="Cambria"/>
          <w:sz w:val="20"/>
          <w:szCs w:val="20"/>
          <w:lang w:val="en-US"/>
        </w:rPr>
        <w:t xml:space="preserve">developed the Standardized Protocol for the Investigation of Crimes Committed against Freedom of Expression </w:t>
      </w:r>
      <w:proofErr w:type="gramStart"/>
      <w:r w:rsidR="00270289" w:rsidRPr="00CC562A">
        <w:rPr>
          <w:rFonts w:ascii="Cambria" w:eastAsia="Cambria" w:hAnsi="Cambria" w:cs="Cambria"/>
          <w:sz w:val="20"/>
          <w:szCs w:val="20"/>
          <w:lang w:val="en-US"/>
        </w:rPr>
        <w:t>in order to</w:t>
      </w:r>
      <w:proofErr w:type="gramEnd"/>
      <w:r w:rsidR="00270289" w:rsidRPr="00CC562A">
        <w:rPr>
          <w:rFonts w:ascii="Cambria" w:eastAsia="Cambria" w:hAnsi="Cambria" w:cs="Cambria"/>
          <w:sz w:val="20"/>
          <w:szCs w:val="20"/>
          <w:lang w:val="en-US"/>
        </w:rPr>
        <w:t xml:space="preserve"> </w:t>
      </w:r>
      <w:r w:rsidR="00C956C8" w:rsidRPr="00CC562A">
        <w:rPr>
          <w:rFonts w:ascii="Cambria" w:eastAsia="Cambria" w:hAnsi="Cambria" w:cs="Cambria"/>
          <w:sz w:val="20"/>
          <w:szCs w:val="20"/>
          <w:lang w:val="en-US"/>
        </w:rPr>
        <w:t>give</w:t>
      </w:r>
      <w:r w:rsidR="00270289" w:rsidRPr="00CC562A">
        <w:rPr>
          <w:rFonts w:ascii="Cambria" w:eastAsia="Cambria" w:hAnsi="Cambria" w:cs="Cambria"/>
          <w:sz w:val="20"/>
          <w:szCs w:val="20"/>
          <w:lang w:val="en-US"/>
        </w:rPr>
        <w:t xml:space="preserve"> journalists</w:t>
      </w:r>
      <w:r w:rsidR="00994C0D" w:rsidRPr="00CC562A">
        <w:rPr>
          <w:rFonts w:ascii="Cambria" w:eastAsia="Cambria" w:hAnsi="Cambria" w:cs="Cambria"/>
          <w:sz w:val="20"/>
          <w:szCs w:val="20"/>
          <w:lang w:val="en-US"/>
        </w:rPr>
        <w:t>,</w:t>
      </w:r>
      <w:r w:rsidR="00270289" w:rsidRPr="00CC562A">
        <w:rPr>
          <w:rFonts w:ascii="Cambria" w:eastAsia="Cambria" w:hAnsi="Cambria" w:cs="Cambria"/>
          <w:sz w:val="20"/>
          <w:szCs w:val="20"/>
          <w:lang w:val="en-US"/>
        </w:rPr>
        <w:t xml:space="preserve"> </w:t>
      </w:r>
      <w:r w:rsidR="00994C0D" w:rsidRPr="00CC562A">
        <w:rPr>
          <w:rFonts w:ascii="Cambria" w:eastAsia="Cambria" w:hAnsi="Cambria" w:cs="Cambria"/>
          <w:sz w:val="20"/>
          <w:szCs w:val="20"/>
          <w:lang w:val="en-US"/>
        </w:rPr>
        <w:t xml:space="preserve">as well as their direct family members, </w:t>
      </w:r>
      <w:r w:rsidR="00270289" w:rsidRPr="00CC562A">
        <w:rPr>
          <w:rFonts w:ascii="Cambria" w:eastAsia="Cambria" w:hAnsi="Cambria" w:cs="Cambria"/>
          <w:sz w:val="20"/>
          <w:szCs w:val="20"/>
          <w:lang w:val="en-US"/>
        </w:rPr>
        <w:t>support, guidance, legal counsel, and protection t</w:t>
      </w:r>
      <w:r w:rsidR="00C956C8" w:rsidRPr="00CC562A">
        <w:rPr>
          <w:rFonts w:ascii="Cambria" w:eastAsia="Cambria" w:hAnsi="Cambria" w:cs="Cambria"/>
          <w:sz w:val="20"/>
          <w:szCs w:val="20"/>
          <w:lang w:val="en-US"/>
        </w:rPr>
        <w:t>o</w:t>
      </w:r>
      <w:r w:rsidR="00270289" w:rsidRPr="00CC562A">
        <w:rPr>
          <w:rFonts w:ascii="Cambria" w:eastAsia="Cambria" w:hAnsi="Cambria" w:cs="Cambria"/>
          <w:sz w:val="20"/>
          <w:szCs w:val="20"/>
          <w:lang w:val="en-US"/>
        </w:rPr>
        <w:t xml:space="preserve"> guarantee the life, integrity, freedom, and security of thos</w:t>
      </w:r>
      <w:r w:rsidR="00994C0D" w:rsidRPr="00CC562A">
        <w:rPr>
          <w:rFonts w:ascii="Cambria" w:eastAsia="Cambria" w:hAnsi="Cambria" w:cs="Cambria"/>
          <w:sz w:val="20"/>
          <w:szCs w:val="20"/>
          <w:lang w:val="en-US"/>
        </w:rPr>
        <w:t>e</w:t>
      </w:r>
      <w:r w:rsidR="00270289" w:rsidRPr="00CC562A">
        <w:rPr>
          <w:rFonts w:ascii="Cambria" w:eastAsia="Cambria" w:hAnsi="Cambria" w:cs="Cambria"/>
          <w:sz w:val="20"/>
          <w:szCs w:val="20"/>
          <w:lang w:val="en-US"/>
        </w:rPr>
        <w:t xml:space="preserve"> </w:t>
      </w:r>
      <w:r w:rsidR="00994C0D" w:rsidRPr="00CC562A">
        <w:rPr>
          <w:rFonts w:ascii="Cambria" w:eastAsia="Cambria" w:hAnsi="Cambria" w:cs="Cambria"/>
          <w:sz w:val="20"/>
          <w:szCs w:val="20"/>
          <w:lang w:val="en-US"/>
        </w:rPr>
        <w:t xml:space="preserve">in at-risk situations as a result </w:t>
      </w:r>
      <w:r w:rsidR="00D77397" w:rsidRPr="00CC562A">
        <w:rPr>
          <w:rFonts w:ascii="Cambria" w:eastAsia="Cambria" w:hAnsi="Cambria" w:cs="Cambria"/>
          <w:sz w:val="20"/>
          <w:szCs w:val="20"/>
          <w:lang w:val="en-US"/>
        </w:rPr>
        <w:t>of the</w:t>
      </w:r>
      <w:r w:rsidR="00994C0D" w:rsidRPr="00CC562A">
        <w:rPr>
          <w:rFonts w:ascii="Cambria" w:eastAsia="Cambria" w:hAnsi="Cambria" w:cs="Cambria"/>
          <w:sz w:val="20"/>
          <w:szCs w:val="20"/>
          <w:lang w:val="en-US"/>
        </w:rPr>
        <w:t xml:space="preserve"> practice of journalism. That protocol was approved on October 11, </w:t>
      </w:r>
      <w:r w:rsidR="601F96B9" w:rsidRPr="00CC562A">
        <w:rPr>
          <w:rFonts w:ascii="Cambria" w:eastAsia="Cambria" w:hAnsi="Cambria" w:cs="Cambria"/>
          <w:sz w:val="20"/>
          <w:szCs w:val="20"/>
          <w:lang w:val="en-US"/>
        </w:rPr>
        <w:t>2018.</w:t>
      </w:r>
      <w:r w:rsidR="2ACA77EF"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2ACA77EF"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CA77EF"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 xml:space="preserve">reported </w:t>
      </w:r>
      <w:r w:rsidR="00994C0D" w:rsidRPr="00CC562A">
        <w:rPr>
          <w:rFonts w:ascii="Cambria" w:eastAsia="Cambria" w:hAnsi="Cambria" w:cs="Cambria"/>
          <w:sz w:val="20"/>
          <w:szCs w:val="20"/>
          <w:lang w:val="en-US"/>
        </w:rPr>
        <w:t xml:space="preserve">the preparation of the Standard of Competence for the “investigation of crimes committed against freedom of expression </w:t>
      </w:r>
      <w:r w:rsidR="00C956C8" w:rsidRPr="00CC562A">
        <w:rPr>
          <w:rFonts w:ascii="Cambria" w:eastAsia="Cambria" w:hAnsi="Cambria" w:cs="Cambria"/>
          <w:sz w:val="20"/>
          <w:szCs w:val="20"/>
          <w:lang w:val="en-US"/>
        </w:rPr>
        <w:t>using</w:t>
      </w:r>
      <w:r w:rsidR="00994C0D" w:rsidRPr="00CC562A">
        <w:rPr>
          <w:rFonts w:ascii="Cambria" w:eastAsia="Cambria" w:hAnsi="Cambria" w:cs="Cambria"/>
          <w:sz w:val="20"/>
          <w:szCs w:val="20"/>
          <w:lang w:val="en-US"/>
        </w:rPr>
        <w:t xml:space="preserve"> a differential and specialized approach” for the purpose of showing the knowledge, capabilities, skills, and attitudes required for someone to carry out that activity. In this regard, the National Institute of Criminal Sciences, in collaboration with the United States Agency for International Development (USAID),</w:t>
      </w:r>
      <w:r w:rsidR="00213CC7" w:rsidRPr="00CC562A">
        <w:rPr>
          <w:rFonts w:ascii="Cambria" w:eastAsia="Cambria" w:hAnsi="Cambria" w:cs="Cambria"/>
          <w:sz w:val="20"/>
          <w:szCs w:val="20"/>
          <w:lang w:val="en-US"/>
        </w:rPr>
        <w:t xml:space="preserve"> conducted a course on the “investigation of crimes committed against freedom of expression” for substantive staff attached to the FEADLE during the period from October 23 to November 6,</w:t>
      </w:r>
      <w:r w:rsidR="601F96B9" w:rsidRPr="00CC562A">
        <w:rPr>
          <w:rFonts w:ascii="Cambria" w:eastAsia="Cambria" w:hAnsi="Cambria" w:cs="Cambria"/>
          <w:sz w:val="20"/>
          <w:szCs w:val="20"/>
          <w:lang w:val="en-US"/>
        </w:rPr>
        <w:t xml:space="preserve"> 2018.</w:t>
      </w:r>
    </w:p>
    <w:p w14:paraId="0E00E36B" w14:textId="6665FCF4" w:rsidR="00871230" w:rsidRPr="00CC562A" w:rsidRDefault="00213CC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 also indicated that, as part of the entry into effect of the Standardized Protocol on the Investigation of Crimes Committed against Freedom of Expression, the</w:t>
      </w:r>
      <w:r w:rsidR="601F96B9" w:rsidRPr="00CC562A">
        <w:rPr>
          <w:rFonts w:ascii="Cambria" w:eastAsia="Cambria" w:hAnsi="Cambria" w:cs="Cambria"/>
          <w:sz w:val="20"/>
          <w:szCs w:val="20"/>
          <w:lang w:val="en-US"/>
        </w:rPr>
        <w:t xml:space="preserve"> FEADLE</w:t>
      </w:r>
      <w:r w:rsidRPr="00CC562A">
        <w:rPr>
          <w:rFonts w:ascii="Cambria" w:eastAsia="Cambria" w:hAnsi="Cambria" w:cs="Cambria"/>
          <w:sz w:val="20"/>
          <w:szCs w:val="20"/>
          <w:lang w:val="en-US"/>
        </w:rPr>
        <w:t xml:space="preserve">, in coordination with the civil organization </w:t>
      </w:r>
      <w:proofErr w:type="spellStart"/>
      <w:r w:rsidR="601F96B9" w:rsidRPr="00CC562A">
        <w:rPr>
          <w:rFonts w:ascii="Cambria" w:eastAsia="Cambria" w:hAnsi="Cambria" w:cs="Cambria"/>
          <w:sz w:val="20"/>
          <w:szCs w:val="20"/>
          <w:lang w:val="en-US"/>
        </w:rPr>
        <w:t>ProVoces</w:t>
      </w:r>
      <w:proofErr w:type="spellEnd"/>
      <w:r w:rsidR="601F96B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project financed by </w:t>
      </w:r>
      <w:r w:rsidR="601F96B9" w:rsidRPr="00CC562A">
        <w:rPr>
          <w:rFonts w:ascii="Cambria" w:eastAsia="Cambria" w:hAnsi="Cambria" w:cs="Cambria"/>
          <w:sz w:val="20"/>
          <w:szCs w:val="20"/>
          <w:lang w:val="en-US"/>
        </w:rPr>
        <w:t xml:space="preserve">USAID), </w:t>
      </w:r>
      <w:r w:rsidRPr="00CC562A">
        <w:rPr>
          <w:rFonts w:ascii="Cambria" w:eastAsia="Cambria" w:hAnsi="Cambria" w:cs="Cambria"/>
          <w:sz w:val="20"/>
          <w:szCs w:val="20"/>
          <w:lang w:val="en-US"/>
        </w:rPr>
        <w:t>conducted training for prosecutors in entities of the Republic in the facilities of the Office of the Attorney General of the Republic</w:t>
      </w:r>
      <w:r w:rsidR="601F96B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That training process included a one-week, in-person course at the “La </w:t>
      </w:r>
      <w:proofErr w:type="spellStart"/>
      <w:r w:rsidRPr="00CC562A">
        <w:rPr>
          <w:rFonts w:ascii="Cambria" w:eastAsia="Cambria" w:hAnsi="Cambria" w:cs="Cambria"/>
          <w:sz w:val="20"/>
          <w:szCs w:val="20"/>
          <w:lang w:val="en-US"/>
        </w:rPr>
        <w:t>Muralla</w:t>
      </w:r>
      <w:proofErr w:type="spellEnd"/>
      <w:r w:rsidRPr="00CC562A">
        <w:rPr>
          <w:rFonts w:ascii="Cambria" w:eastAsia="Cambria" w:hAnsi="Cambria" w:cs="Cambria"/>
          <w:sz w:val="20"/>
          <w:szCs w:val="20"/>
          <w:lang w:val="en-US"/>
        </w:rPr>
        <w:t>” facilities from March 25 to March 29,</w:t>
      </w:r>
      <w:r w:rsidR="601F96B9" w:rsidRPr="00CC562A">
        <w:rPr>
          <w:rFonts w:ascii="Cambria" w:eastAsia="Cambria" w:hAnsi="Cambria" w:cs="Cambria"/>
          <w:sz w:val="20"/>
          <w:szCs w:val="20"/>
          <w:lang w:val="en-US"/>
        </w:rPr>
        <w:t xml:space="preserve"> 2019.</w:t>
      </w:r>
      <w:r w:rsidR="2ACA77EF"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CA77EF" w:rsidRPr="00CC562A">
        <w:rPr>
          <w:rFonts w:ascii="Cambria" w:eastAsia="Cambria" w:hAnsi="Cambria" w:cs="Cambria"/>
          <w:sz w:val="20"/>
          <w:szCs w:val="20"/>
          <w:lang w:val="en-US"/>
        </w:rPr>
        <w:t xml:space="preserve"> </w:t>
      </w:r>
      <w:r w:rsidR="00507873" w:rsidRPr="00CC562A">
        <w:rPr>
          <w:rFonts w:ascii="Cambria" w:eastAsia="Cambria" w:hAnsi="Cambria" w:cs="Cambria"/>
          <w:sz w:val="20"/>
          <w:szCs w:val="20"/>
          <w:lang w:val="en-US"/>
        </w:rPr>
        <w:t xml:space="preserve">indicated that the Protocol established the parameters and elements that a complete and impartial investigation must bring together </w:t>
      </w:r>
      <w:proofErr w:type="gramStart"/>
      <w:r w:rsidR="00507873" w:rsidRPr="00CC562A">
        <w:rPr>
          <w:rFonts w:ascii="Cambria" w:eastAsia="Cambria" w:hAnsi="Cambria" w:cs="Cambria"/>
          <w:sz w:val="20"/>
          <w:szCs w:val="20"/>
          <w:lang w:val="en-US"/>
        </w:rPr>
        <w:t>in order to</w:t>
      </w:r>
      <w:proofErr w:type="gramEnd"/>
      <w:r w:rsidR="00507873" w:rsidRPr="00CC562A">
        <w:rPr>
          <w:rFonts w:ascii="Cambria" w:eastAsia="Cambria" w:hAnsi="Cambria" w:cs="Cambria"/>
          <w:sz w:val="20"/>
          <w:szCs w:val="20"/>
          <w:lang w:val="en-US"/>
        </w:rPr>
        <w:t xml:space="preserve"> determine criminal responsibilities in crimes committed against journalists and/or communications media institutions based on their exercise of the right to freedom of expression. The Standardized Protocol for the Investigation of Crimes of Forced Disappearance and Disappear</w:t>
      </w:r>
      <w:r w:rsidR="00C956C8" w:rsidRPr="00CC562A">
        <w:rPr>
          <w:rFonts w:ascii="Cambria" w:eastAsia="Cambria" w:hAnsi="Cambria" w:cs="Cambria"/>
          <w:sz w:val="20"/>
          <w:szCs w:val="20"/>
          <w:lang w:val="en-US"/>
        </w:rPr>
        <w:t>ance</w:t>
      </w:r>
      <w:r w:rsidR="00507873" w:rsidRPr="00CC562A">
        <w:rPr>
          <w:rFonts w:ascii="Cambria" w:eastAsia="Cambria" w:hAnsi="Cambria" w:cs="Cambria"/>
          <w:sz w:val="20"/>
          <w:szCs w:val="20"/>
          <w:lang w:val="en-US"/>
        </w:rPr>
        <w:t xml:space="preserve">s Committed by Private Parties </w:t>
      </w:r>
      <w:r w:rsidR="601F96B9" w:rsidRPr="00CC562A">
        <w:rPr>
          <w:rFonts w:ascii="Cambria" w:eastAsia="Cambria" w:hAnsi="Cambria" w:cs="Cambria"/>
          <w:sz w:val="20"/>
          <w:szCs w:val="20"/>
          <w:lang w:val="en-US"/>
        </w:rPr>
        <w:t xml:space="preserve">(PHI) </w:t>
      </w:r>
      <w:r w:rsidR="00507873" w:rsidRPr="00CC562A">
        <w:rPr>
          <w:rFonts w:ascii="Cambria" w:eastAsia="Cambria" w:hAnsi="Cambria" w:cs="Cambria"/>
          <w:sz w:val="20"/>
          <w:szCs w:val="20"/>
          <w:lang w:val="en-US"/>
        </w:rPr>
        <w:t xml:space="preserve">establishes a specific and differentiated </w:t>
      </w:r>
      <w:r w:rsidR="009C5845" w:rsidRPr="00CC562A">
        <w:rPr>
          <w:rFonts w:ascii="Cambria" w:eastAsia="Cambria" w:hAnsi="Cambria" w:cs="Cambria"/>
          <w:sz w:val="20"/>
          <w:szCs w:val="20"/>
          <w:lang w:val="en-US"/>
        </w:rPr>
        <w:t>technique for the investigation of these crimes, offering a detailed guide on the investigation of these crime during the initial stage of the criminal process, as well as guidelines for</w:t>
      </w:r>
      <w:r w:rsidR="007F1318" w:rsidRPr="00CC562A">
        <w:rPr>
          <w:rFonts w:ascii="Cambria" w:eastAsia="Cambria" w:hAnsi="Cambria" w:cs="Cambria"/>
          <w:sz w:val="20"/>
          <w:szCs w:val="20"/>
          <w:lang w:val="en-US"/>
        </w:rPr>
        <w:t xml:space="preserve"> conducting the investigation using the methodological scheme of an Investigation Plan, on the use of investigative actions that take into consideration the victim’s specific characteristics and vulnerable conditions.</w:t>
      </w:r>
      <w:r w:rsidR="00070D01" w:rsidRPr="00CC562A">
        <w:rPr>
          <w:rStyle w:val="FootnoteReference"/>
          <w:rFonts w:ascii="Cambria" w:eastAsia="Cambria" w:hAnsi="Cambria" w:cs="Cambria"/>
          <w:sz w:val="20"/>
          <w:szCs w:val="20"/>
          <w:lang w:val="en-US"/>
        </w:rPr>
        <w:footnoteReference w:id="352"/>
      </w:r>
    </w:p>
    <w:p w14:paraId="196D922D" w14:textId="71A61306" w:rsidR="00871230" w:rsidRPr="00CC562A" w:rsidRDefault="007F131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its follow-up reports on previous recommendations, the IACHR and </w:t>
      </w:r>
      <w:r w:rsidR="00ED23C2" w:rsidRPr="00CC562A">
        <w:rPr>
          <w:rFonts w:ascii="Cambria" w:eastAsia="Cambria" w:hAnsi="Cambria" w:cs="Cambria"/>
          <w:sz w:val="20"/>
          <w:szCs w:val="20"/>
          <w:lang w:val="en-US"/>
        </w:rPr>
        <w:t>the Office of the</w:t>
      </w:r>
      <w:r w:rsidRPr="00CC562A">
        <w:rPr>
          <w:rFonts w:ascii="Cambria" w:eastAsia="Cambria" w:hAnsi="Cambria" w:cs="Cambria"/>
          <w:sz w:val="20"/>
          <w:szCs w:val="20"/>
          <w:lang w:val="en-US"/>
        </w:rPr>
        <w:t xml:space="preserve"> Special Rapporteur have recognized the FEADLE’s efforts in the procedural impetus for investigating and punishing crimes committed against those who practice journalism</w:t>
      </w:r>
      <w:r w:rsidR="6CFD3F3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They have also observed that the</w:t>
      </w:r>
      <w:r w:rsidR="6CFD3F37" w:rsidRPr="00CC562A">
        <w:rPr>
          <w:rFonts w:ascii="Cambria" w:eastAsia="Cambria" w:hAnsi="Cambria" w:cs="Cambria"/>
          <w:sz w:val="20"/>
          <w:szCs w:val="20"/>
          <w:lang w:val="en-US"/>
        </w:rPr>
        <w:t xml:space="preserve"> FEADLE ha</w:t>
      </w:r>
      <w:r w:rsidRPr="00CC562A">
        <w:rPr>
          <w:rFonts w:ascii="Cambria" w:eastAsia="Cambria" w:hAnsi="Cambria" w:cs="Cambria"/>
          <w:sz w:val="20"/>
          <w:szCs w:val="20"/>
          <w:lang w:val="en-US"/>
        </w:rPr>
        <w:t>s made significant progress in convictions and arrests of those accused of crimes against journalists</w:t>
      </w:r>
      <w:r w:rsidR="6CFD3F37"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6CFD3F3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Commission is concerned by the increased violence in Mexico against those engaged in the work of journalism, so that the Commission considers the recommendation to be </w:t>
      </w:r>
      <w:r w:rsidRPr="00CC562A">
        <w:rPr>
          <w:rFonts w:ascii="Cambria" w:eastAsia="Cambria" w:hAnsi="Cambria" w:cs="Cambria"/>
          <w:b/>
          <w:bCs/>
          <w:sz w:val="20"/>
          <w:szCs w:val="20"/>
          <w:lang w:val="en-US"/>
        </w:rPr>
        <w:t>pending compliance</w:t>
      </w:r>
      <w:r w:rsidR="6CFD3F37" w:rsidRPr="00CC562A">
        <w:rPr>
          <w:rFonts w:ascii="Cambria" w:eastAsia="Cambria" w:hAnsi="Cambria" w:cs="Cambria"/>
          <w:b/>
          <w:bCs/>
          <w:sz w:val="20"/>
          <w:szCs w:val="20"/>
          <w:lang w:val="en-US"/>
        </w:rPr>
        <w:t>.</w:t>
      </w:r>
    </w:p>
    <w:p w14:paraId="1950E7C6" w14:textId="7B1B5C6E" w:rsidR="00843C54" w:rsidRPr="00CC562A" w:rsidRDefault="007F131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 xml:space="preserve">To guide the implementation of this recommendation, preventive measures need to be adopted to ensure </w:t>
      </w:r>
      <w:r w:rsidR="00C956C8" w:rsidRPr="00CC562A">
        <w:rPr>
          <w:rFonts w:ascii="Cambria" w:eastAsia="Cambria" w:hAnsi="Cambria" w:cs="Cambria"/>
          <w:sz w:val="20"/>
          <w:szCs w:val="20"/>
          <w:lang w:val="en-US"/>
        </w:rPr>
        <w:t>that</w:t>
      </w:r>
      <w:r w:rsidRPr="00CC562A">
        <w:rPr>
          <w:rFonts w:ascii="Cambria" w:eastAsia="Cambria" w:hAnsi="Cambria" w:cs="Cambria"/>
          <w:sz w:val="20"/>
          <w:szCs w:val="20"/>
          <w:lang w:val="en-US"/>
        </w:rPr>
        <w:t xml:space="preserve"> journalistic activities can develop without being exposed to risk</w:t>
      </w:r>
      <w:r w:rsidR="6CFD3F37"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6CFD3F37"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Commission urges the State to provide information comparing complaints received from journalists in at-risk contexts due to their work and judgments handed down by the </w:t>
      </w:r>
      <w:r w:rsidR="0022264D" w:rsidRPr="00CC562A">
        <w:rPr>
          <w:rFonts w:ascii="Cambria" w:eastAsia="Cambria" w:hAnsi="Cambria" w:cs="Cambria"/>
          <w:sz w:val="20"/>
          <w:szCs w:val="20"/>
          <w:lang w:val="en-US"/>
        </w:rPr>
        <w:t>jurisdictional authority competent in this area</w:t>
      </w:r>
      <w:r w:rsidR="6CFD3F37" w:rsidRPr="00CC562A">
        <w:rPr>
          <w:rFonts w:ascii="Cambria" w:eastAsia="Cambria" w:hAnsi="Cambria" w:cs="Cambria"/>
          <w:sz w:val="20"/>
          <w:szCs w:val="20"/>
          <w:lang w:val="en-US"/>
        </w:rPr>
        <w:t>.</w:t>
      </w:r>
    </w:p>
    <w:p w14:paraId="5D597740" w14:textId="233E71C8" w:rsidR="006E6590" w:rsidRPr="00CC562A" w:rsidRDefault="0022264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eastAsia="Cambria" w:hAnsi="Cambria" w:cs="Cambria"/>
          <w:b/>
          <w:bCs/>
          <w:sz w:val="20"/>
          <w:szCs w:val="20"/>
          <w:lang w:val="en-US"/>
        </w:rPr>
        <w:t>improve the relationship between the federal jurisdiction and the state jurisdiction</w:t>
      </w:r>
      <w:r w:rsidR="49B170D1"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CA77EF" w:rsidRPr="00CC562A">
        <w:rPr>
          <w:rFonts w:ascii="Cambria" w:eastAsia="Cambria" w:hAnsi="Cambria" w:cs="Cambria"/>
          <w:sz w:val="20"/>
          <w:szCs w:val="20"/>
          <w:lang w:val="en-US"/>
        </w:rPr>
        <w:t xml:space="preserve"> indic</w:t>
      </w:r>
      <w:r w:rsidRPr="00CC562A">
        <w:rPr>
          <w:rFonts w:ascii="Cambria" w:eastAsia="Cambria" w:hAnsi="Cambria" w:cs="Cambria"/>
          <w:sz w:val="20"/>
          <w:szCs w:val="20"/>
          <w:lang w:val="en-US"/>
        </w:rPr>
        <w:t xml:space="preserve">ated that the existing relationship between the jurisdictions is one of </w:t>
      </w:r>
      <w:proofErr w:type="gramStart"/>
      <w:r w:rsidRPr="00CC562A">
        <w:rPr>
          <w:rFonts w:ascii="Cambria" w:eastAsia="Cambria" w:hAnsi="Cambria" w:cs="Cambria"/>
          <w:sz w:val="20"/>
          <w:szCs w:val="20"/>
          <w:lang w:val="en-US"/>
        </w:rPr>
        <w:t>mutual cooperation</w:t>
      </w:r>
      <w:proofErr w:type="gramEnd"/>
      <w:r w:rsidRPr="00CC562A">
        <w:rPr>
          <w:rFonts w:ascii="Cambria" w:eastAsia="Cambria" w:hAnsi="Cambria" w:cs="Cambria"/>
          <w:sz w:val="20"/>
          <w:szCs w:val="20"/>
          <w:lang w:val="en-US"/>
        </w:rPr>
        <w:t>, information-sharing, and constant support in order to obtain positive results in existing investigations.</w:t>
      </w:r>
      <w:r w:rsidR="2ACA77EF"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2ACA77EF"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emphasized that when there is an investigation where the jurisdiction of the state Attorney General’s Office is noted, the investigation is referred to it as competent based on the forum, thus avoiding unnecessary procedural delays. Thus, in all correlated cases there is </w:t>
      </w:r>
      <w:r w:rsidR="00D77397" w:rsidRPr="00CC562A">
        <w:rPr>
          <w:rFonts w:ascii="Cambria" w:eastAsia="Cambria" w:hAnsi="Cambria" w:cs="Cambria"/>
          <w:sz w:val="20"/>
          <w:szCs w:val="20"/>
          <w:lang w:val="en-US"/>
        </w:rPr>
        <w:t>coordination,</w:t>
      </w:r>
      <w:r w:rsidRPr="00CC562A">
        <w:rPr>
          <w:rFonts w:ascii="Cambria" w:eastAsia="Cambria" w:hAnsi="Cambria" w:cs="Cambria"/>
          <w:sz w:val="20"/>
          <w:szCs w:val="20"/>
          <w:lang w:val="en-US"/>
        </w:rPr>
        <w:t xml:space="preserve"> and the case is assigned to local prosecutors whenever firearms are involved.</w:t>
      </w:r>
      <w:r w:rsidR="601F96B9"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48E22F4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indicated that in all investigation files the criminal investigation is conducted properly based on action protocols consistent with the legal framework and unrestricted respect </w:t>
      </w:r>
      <w:r w:rsidR="0075188D" w:rsidRPr="00CC562A">
        <w:rPr>
          <w:rFonts w:ascii="Cambria" w:eastAsia="Cambria" w:hAnsi="Cambria" w:cs="Cambria"/>
          <w:sz w:val="20"/>
          <w:szCs w:val="20"/>
          <w:lang w:val="en-US"/>
        </w:rPr>
        <w:t>for human rights</w:t>
      </w:r>
      <w:r w:rsidR="601F96B9" w:rsidRPr="00CC562A">
        <w:rPr>
          <w:rFonts w:ascii="Cambria" w:eastAsia="Cambria" w:hAnsi="Cambria" w:cs="Cambria"/>
          <w:sz w:val="20"/>
          <w:szCs w:val="20"/>
          <w:lang w:val="en-US"/>
        </w:rPr>
        <w:t>.</w:t>
      </w:r>
    </w:p>
    <w:p w14:paraId="1907AB93" w14:textId="2863DC69" w:rsidR="007A4A30" w:rsidRPr="00CC562A" w:rsidRDefault="48E22F4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Final</w:t>
      </w:r>
      <w:r w:rsidR="0075188D" w:rsidRPr="00CC562A">
        <w:rPr>
          <w:rFonts w:ascii="Cambria" w:eastAsia="Cambria" w:hAnsi="Cambria" w:cs="Cambria"/>
          <w:sz w:val="20"/>
          <w:szCs w:val="20"/>
          <w:lang w:val="en-US"/>
        </w:rPr>
        <w:t>ly, the</w:t>
      </w:r>
      <w:r w:rsidR="00752FED" w:rsidRPr="00CC562A">
        <w:rPr>
          <w:rFonts w:ascii="Cambria" w:eastAsia="Cambria" w:hAnsi="Cambria" w:cs="Cambria"/>
          <w:sz w:val="20"/>
          <w:szCs w:val="20"/>
          <w:lang w:val="en-US"/>
        </w:rPr>
        <w:t xml:space="preserve"> State</w:t>
      </w:r>
      <w:r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w:t>
      </w:r>
      <w:r w:rsidR="0075188D" w:rsidRPr="00CC562A">
        <w:rPr>
          <w:rFonts w:ascii="Cambria" w:eastAsia="Cambria" w:hAnsi="Cambria" w:cs="Cambria"/>
          <w:sz w:val="20"/>
          <w:szCs w:val="20"/>
          <w:lang w:val="en-US"/>
        </w:rPr>
        <w:t xml:space="preserve">t the National Code of Criminal Procedures establishes the guidelines for competence between the regular jurisdiction and the federal jurisdiction, which </w:t>
      </w:r>
      <w:proofErr w:type="gramStart"/>
      <w:r w:rsidR="0075188D" w:rsidRPr="00CC562A">
        <w:rPr>
          <w:rFonts w:ascii="Cambria" w:eastAsia="Cambria" w:hAnsi="Cambria" w:cs="Cambria"/>
          <w:sz w:val="20"/>
          <w:szCs w:val="20"/>
          <w:lang w:val="en-US"/>
        </w:rPr>
        <w:t>should at all times</w:t>
      </w:r>
      <w:proofErr w:type="gramEnd"/>
      <w:r w:rsidR="0075188D" w:rsidRPr="00CC562A">
        <w:rPr>
          <w:rFonts w:ascii="Cambria" w:eastAsia="Cambria" w:hAnsi="Cambria" w:cs="Cambria"/>
          <w:sz w:val="20"/>
          <w:szCs w:val="20"/>
          <w:lang w:val="en-US"/>
        </w:rPr>
        <w:t xml:space="preserve"> be respected by the Special Prosecutor’s Office for Addressing Crimes Committed against Freedom of Expression, so as not to hamper the investigation into crimes of this type. Thus, competence is properly defined in the National Code of Criminal Procedures</w:t>
      </w:r>
      <w:r w:rsidR="601F96B9" w:rsidRPr="00CC562A">
        <w:rPr>
          <w:rFonts w:ascii="Cambria" w:eastAsia="Cambria" w:hAnsi="Cambria" w:cs="Cambria"/>
          <w:sz w:val="20"/>
          <w:szCs w:val="20"/>
          <w:lang w:val="en-US"/>
        </w:rPr>
        <w:t xml:space="preserve">, </w:t>
      </w:r>
      <w:r w:rsidR="0075188D" w:rsidRPr="00CC562A">
        <w:rPr>
          <w:rFonts w:ascii="Cambria" w:eastAsia="Cambria" w:hAnsi="Cambria" w:cs="Cambria"/>
          <w:sz w:val="20"/>
          <w:szCs w:val="20"/>
          <w:lang w:val="en-US"/>
        </w:rPr>
        <w:t xml:space="preserve">the Federal Penal Code, and in the Organic Law of the Judicial Branch of the Federation, and thus considered fulfilled. Based on the foregoing, the relationship between the federal jurisdiction and the state jurisdiction has been improved </w:t>
      </w:r>
      <w:proofErr w:type="gramStart"/>
      <w:r w:rsidR="0075188D" w:rsidRPr="00CC562A">
        <w:rPr>
          <w:rFonts w:ascii="Cambria" w:eastAsia="Cambria" w:hAnsi="Cambria" w:cs="Cambria"/>
          <w:sz w:val="20"/>
          <w:szCs w:val="20"/>
          <w:lang w:val="en-US"/>
        </w:rPr>
        <w:t>in order to</w:t>
      </w:r>
      <w:proofErr w:type="gramEnd"/>
      <w:r w:rsidR="0075188D" w:rsidRPr="00CC562A">
        <w:rPr>
          <w:rFonts w:ascii="Cambria" w:eastAsia="Cambria" w:hAnsi="Cambria" w:cs="Cambria"/>
          <w:sz w:val="20"/>
          <w:szCs w:val="20"/>
          <w:lang w:val="en-US"/>
        </w:rPr>
        <w:t xml:space="preserve"> prevent </w:t>
      </w:r>
      <w:r w:rsidR="00C956C8" w:rsidRPr="00CC562A">
        <w:rPr>
          <w:rFonts w:ascii="Cambria" w:eastAsia="Cambria" w:hAnsi="Cambria" w:cs="Cambria"/>
          <w:sz w:val="20"/>
          <w:szCs w:val="20"/>
          <w:lang w:val="en-US"/>
        </w:rPr>
        <w:t>forum</w:t>
      </w:r>
      <w:r w:rsidR="0075188D" w:rsidRPr="00CC562A">
        <w:rPr>
          <w:rFonts w:ascii="Cambria" w:eastAsia="Cambria" w:hAnsi="Cambria" w:cs="Cambria"/>
          <w:sz w:val="20"/>
          <w:szCs w:val="20"/>
          <w:lang w:val="en-US"/>
        </w:rPr>
        <w:t xml:space="preserve"> disputes from hampering or delaying investigations.</w:t>
      </w:r>
      <w:r w:rsidR="00070D01" w:rsidRPr="00CC562A">
        <w:rPr>
          <w:rStyle w:val="FootnoteReference"/>
          <w:rFonts w:ascii="Cambria" w:eastAsia="Cambria" w:hAnsi="Cambria" w:cs="Cambria"/>
          <w:sz w:val="20"/>
          <w:szCs w:val="20"/>
          <w:lang w:val="en-US"/>
        </w:rPr>
        <w:footnoteReference w:id="353"/>
      </w:r>
    </w:p>
    <w:p w14:paraId="4C7FCDF1" w14:textId="087DF57B" w:rsidR="00BF0F09" w:rsidRPr="00CC562A" w:rsidRDefault="0075188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Article 19 organization indicated that the State </w:t>
      </w:r>
      <w:r w:rsidR="009E3E3E" w:rsidRPr="00CC562A">
        <w:rPr>
          <w:rFonts w:ascii="Cambria" w:eastAsia="Cambria" w:hAnsi="Cambria" w:cs="Cambria"/>
          <w:sz w:val="20"/>
          <w:szCs w:val="20"/>
          <w:lang w:val="en-US"/>
        </w:rPr>
        <w:t xml:space="preserve">has yet to produce a Comprehensive Public Policy that recognizes the interrelationship and interdependency of the State’s obligations to ensure that journalism and the right to freedom of expression and access to information are exercised freely and safely. The organization emphasized that thus the Mexican State should </w:t>
      </w:r>
      <w:r w:rsidR="00C956C8" w:rsidRPr="00CC562A">
        <w:rPr>
          <w:rFonts w:ascii="Cambria" w:eastAsia="Cambria" w:hAnsi="Cambria" w:cs="Cambria"/>
          <w:sz w:val="20"/>
          <w:szCs w:val="20"/>
          <w:lang w:val="en-US"/>
        </w:rPr>
        <w:t xml:space="preserve">work </w:t>
      </w:r>
      <w:r w:rsidR="009E3E3E" w:rsidRPr="00CC562A">
        <w:rPr>
          <w:rFonts w:ascii="Cambria" w:eastAsia="Cambria" w:hAnsi="Cambria" w:cs="Cambria"/>
          <w:sz w:val="20"/>
          <w:szCs w:val="20"/>
          <w:lang w:val="en-US"/>
        </w:rPr>
        <w:t xml:space="preserve">not only on prevention but also on coordination between the different </w:t>
      </w:r>
      <w:r w:rsidR="00365543" w:rsidRPr="00CC562A">
        <w:rPr>
          <w:rFonts w:ascii="Cambria" w:eastAsia="Cambria" w:hAnsi="Cambria" w:cs="Cambria"/>
          <w:sz w:val="20"/>
          <w:szCs w:val="20"/>
          <w:lang w:val="en-US"/>
        </w:rPr>
        <w:t>states</w:t>
      </w:r>
      <w:r w:rsidR="009E3E3E" w:rsidRPr="00CC562A">
        <w:rPr>
          <w:rFonts w:ascii="Cambria" w:eastAsia="Cambria" w:hAnsi="Cambria" w:cs="Cambria"/>
          <w:sz w:val="20"/>
          <w:szCs w:val="20"/>
          <w:lang w:val="en-US"/>
        </w:rPr>
        <w:t xml:space="preserve"> and levels of government </w:t>
      </w:r>
      <w:proofErr w:type="gramStart"/>
      <w:r w:rsidR="009E3E3E" w:rsidRPr="00CC562A">
        <w:rPr>
          <w:rFonts w:ascii="Cambria" w:eastAsia="Cambria" w:hAnsi="Cambria" w:cs="Cambria"/>
          <w:sz w:val="20"/>
          <w:szCs w:val="20"/>
          <w:lang w:val="en-US"/>
        </w:rPr>
        <w:t>so</w:t>
      </w:r>
      <w:r w:rsidR="63C84658" w:rsidRPr="00CC562A">
        <w:rPr>
          <w:rFonts w:ascii="Cambria" w:eastAsia="Cambria" w:hAnsi="Cambria" w:cs="Cambria"/>
          <w:sz w:val="20"/>
          <w:szCs w:val="20"/>
          <w:lang w:val="en-US"/>
        </w:rPr>
        <w:t xml:space="preserve"> </w:t>
      </w:r>
      <w:r w:rsidR="009E3E3E" w:rsidRPr="00CC562A">
        <w:rPr>
          <w:rFonts w:ascii="Cambria" w:eastAsia="Cambria" w:hAnsi="Cambria" w:cs="Cambria"/>
          <w:sz w:val="20"/>
          <w:szCs w:val="20"/>
          <w:lang w:val="en-US"/>
        </w:rPr>
        <w:t>as to</w:t>
      </w:r>
      <w:proofErr w:type="gramEnd"/>
      <w:r w:rsidR="009E3E3E" w:rsidRPr="00CC562A">
        <w:rPr>
          <w:rFonts w:ascii="Cambria" w:eastAsia="Cambria" w:hAnsi="Cambria" w:cs="Cambria"/>
          <w:sz w:val="20"/>
          <w:szCs w:val="20"/>
          <w:lang w:val="en-US"/>
        </w:rPr>
        <w:t xml:space="preserve"> produce measures of protection, as well as combat impunity by diligently investigati</w:t>
      </w:r>
      <w:r w:rsidR="00C956C8" w:rsidRPr="00CC562A">
        <w:rPr>
          <w:rFonts w:ascii="Cambria" w:eastAsia="Cambria" w:hAnsi="Cambria" w:cs="Cambria"/>
          <w:sz w:val="20"/>
          <w:szCs w:val="20"/>
          <w:lang w:val="en-US"/>
        </w:rPr>
        <w:t>ng</w:t>
      </w:r>
      <w:r w:rsidR="009E3E3E" w:rsidRPr="00CC562A">
        <w:rPr>
          <w:rFonts w:ascii="Cambria" w:eastAsia="Cambria" w:hAnsi="Cambria" w:cs="Cambria"/>
          <w:sz w:val="20"/>
          <w:szCs w:val="20"/>
          <w:lang w:val="en-US"/>
        </w:rPr>
        <w:t xml:space="preserve"> attacks against the press and murders of professional journalists</w:t>
      </w:r>
      <w:r w:rsidR="63C84658" w:rsidRPr="00CC562A">
        <w:rPr>
          <w:rFonts w:ascii="Cambria" w:eastAsia="Cambria" w:hAnsi="Cambria" w:cs="Cambria"/>
          <w:sz w:val="20"/>
          <w:szCs w:val="20"/>
          <w:lang w:val="en-US"/>
        </w:rPr>
        <w:t xml:space="preserve">. </w:t>
      </w:r>
    </w:p>
    <w:p w14:paraId="219F8D6E" w14:textId="51CD22C0" w:rsidR="00BF0F09" w:rsidRPr="00CC562A" w:rsidRDefault="009E3E3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In this regard, as indicated by the FEADLE’s statistical report updated as of September</w:t>
      </w:r>
      <w:r w:rsidR="6048D45E" w:rsidRPr="00CC562A">
        <w:rPr>
          <w:rFonts w:ascii="Cambria" w:eastAsia="Cambria" w:hAnsi="Cambria" w:cs="Cambria"/>
          <w:sz w:val="20"/>
          <w:szCs w:val="20"/>
          <w:lang w:val="en-US"/>
        </w:rPr>
        <w:t xml:space="preserve"> 2021, </w:t>
      </w:r>
      <w:r w:rsidRPr="00CC562A">
        <w:rPr>
          <w:rFonts w:ascii="Cambria" w:eastAsia="Cambria" w:hAnsi="Cambria" w:cs="Cambria"/>
          <w:sz w:val="20"/>
          <w:szCs w:val="20"/>
          <w:lang w:val="en-US"/>
        </w:rPr>
        <w:t xml:space="preserve">of the 92 murders of journalists recorded from </w:t>
      </w:r>
      <w:r w:rsidR="6048D45E" w:rsidRPr="00CC562A">
        <w:rPr>
          <w:rFonts w:ascii="Cambria" w:eastAsia="Cambria" w:hAnsi="Cambria" w:cs="Cambria"/>
          <w:sz w:val="20"/>
          <w:szCs w:val="20"/>
          <w:lang w:val="en-US"/>
        </w:rPr>
        <w:t xml:space="preserve">2010 </w:t>
      </w:r>
      <w:r w:rsidRPr="00CC562A">
        <w:rPr>
          <w:rFonts w:ascii="Cambria" w:eastAsia="Cambria" w:hAnsi="Cambria" w:cs="Cambria"/>
          <w:sz w:val="20"/>
          <w:szCs w:val="20"/>
          <w:lang w:val="en-US"/>
        </w:rPr>
        <w:t>to date, the Special Prosecutor’s Office has acknowledged jurisdiction in</w:t>
      </w:r>
      <w:r w:rsidR="6048D45E" w:rsidRPr="00CC562A">
        <w:rPr>
          <w:rFonts w:ascii="Cambria" w:eastAsia="Cambria" w:hAnsi="Cambria" w:cs="Cambria"/>
          <w:sz w:val="20"/>
          <w:szCs w:val="20"/>
          <w:lang w:val="en-US"/>
        </w:rPr>
        <w:t xml:space="preserve"> 27 </w:t>
      </w:r>
      <w:r w:rsidRPr="00CC562A">
        <w:rPr>
          <w:rFonts w:ascii="Cambria" w:eastAsia="Cambria" w:hAnsi="Cambria" w:cs="Cambria"/>
          <w:sz w:val="20"/>
          <w:szCs w:val="20"/>
          <w:lang w:val="en-US"/>
        </w:rPr>
        <w:t xml:space="preserve">of them, understanding the motive </w:t>
      </w:r>
      <w:r w:rsidR="00C956C8" w:rsidRPr="00CC562A">
        <w:rPr>
          <w:rFonts w:ascii="Cambria" w:eastAsia="Cambria" w:hAnsi="Cambria" w:cs="Cambria"/>
          <w:sz w:val="20"/>
          <w:szCs w:val="20"/>
          <w:lang w:val="en-US"/>
        </w:rPr>
        <w:t>to be linked</w:t>
      </w:r>
      <w:r w:rsidRPr="00CC562A">
        <w:rPr>
          <w:rFonts w:ascii="Cambria" w:eastAsia="Cambria" w:hAnsi="Cambria" w:cs="Cambria"/>
          <w:sz w:val="20"/>
          <w:szCs w:val="20"/>
          <w:lang w:val="en-US"/>
        </w:rPr>
        <w:t xml:space="preserve"> to journalistic activity.</w:t>
      </w:r>
      <w:r w:rsidR="00BF0F09" w:rsidRPr="00CC562A">
        <w:rPr>
          <w:rFonts w:ascii="Cambria" w:eastAsia="Cambria" w:hAnsi="Cambria" w:cs="Cambria"/>
          <w:sz w:val="20"/>
          <w:szCs w:val="20"/>
          <w:vertAlign w:val="superscript"/>
          <w:lang w:val="en-US"/>
        </w:rPr>
        <w:footnoteReference w:id="354"/>
      </w:r>
      <w:r w:rsidR="6048D45E" w:rsidRPr="00CC562A">
        <w:rPr>
          <w:rFonts w:ascii="Cambria" w:eastAsia="Cambria" w:hAnsi="Cambria" w:cs="Cambria"/>
          <w:sz w:val="20"/>
          <w:szCs w:val="20"/>
          <w:vertAlign w:val="superscript"/>
          <w:lang w:val="en-US"/>
        </w:rPr>
        <w:t>.</w:t>
      </w:r>
      <w:r w:rsidR="6048D45E" w:rsidRPr="00CC562A">
        <w:rPr>
          <w:rFonts w:ascii="Cambria" w:eastAsia="Cambria" w:hAnsi="Cambria" w:cs="Cambria"/>
          <w:sz w:val="20"/>
          <w:szCs w:val="20"/>
          <w:lang w:val="en-US"/>
        </w:rPr>
        <w:t xml:space="preserve"> </w:t>
      </w:r>
      <w:r w:rsidR="00312165" w:rsidRPr="00CC562A">
        <w:rPr>
          <w:rFonts w:ascii="Cambria" w:eastAsia="Cambria" w:hAnsi="Cambria" w:cs="Cambria"/>
          <w:sz w:val="20"/>
          <w:szCs w:val="20"/>
          <w:lang w:val="en-US"/>
        </w:rPr>
        <w:t>In contrast, in</w:t>
      </w:r>
      <w:r w:rsidR="6048D45E" w:rsidRPr="00CC562A">
        <w:rPr>
          <w:rFonts w:ascii="Cambria" w:eastAsia="Cambria" w:hAnsi="Cambria" w:cs="Cambria"/>
          <w:sz w:val="20"/>
          <w:szCs w:val="20"/>
          <w:lang w:val="en-US"/>
        </w:rPr>
        <w:t xml:space="preserve"> 65 cas</w:t>
      </w:r>
      <w:r w:rsidR="00312165" w:rsidRPr="00CC562A">
        <w:rPr>
          <w:rFonts w:ascii="Cambria" w:eastAsia="Cambria" w:hAnsi="Cambria" w:cs="Cambria"/>
          <w:sz w:val="20"/>
          <w:szCs w:val="20"/>
          <w:lang w:val="en-US"/>
        </w:rPr>
        <w:t>e</w:t>
      </w:r>
      <w:r w:rsidR="6048D45E" w:rsidRPr="00CC562A">
        <w:rPr>
          <w:rFonts w:ascii="Cambria" w:eastAsia="Cambria" w:hAnsi="Cambria" w:cs="Cambria"/>
          <w:sz w:val="20"/>
          <w:szCs w:val="20"/>
          <w:lang w:val="en-US"/>
        </w:rPr>
        <w:t>s –</w:t>
      </w:r>
      <w:r w:rsidR="00312165" w:rsidRPr="00CC562A">
        <w:rPr>
          <w:rFonts w:ascii="Cambria" w:eastAsia="Cambria" w:hAnsi="Cambria" w:cs="Cambria"/>
          <w:sz w:val="20"/>
          <w:szCs w:val="20"/>
          <w:lang w:val="en-US"/>
        </w:rPr>
        <w:t xml:space="preserve"> representing </w:t>
      </w:r>
      <w:r w:rsidR="6048D45E" w:rsidRPr="00CC562A">
        <w:rPr>
          <w:rFonts w:ascii="Cambria" w:eastAsia="Cambria" w:hAnsi="Cambria" w:cs="Cambria"/>
          <w:sz w:val="20"/>
          <w:szCs w:val="20"/>
          <w:lang w:val="en-US"/>
        </w:rPr>
        <w:t>70.7%</w:t>
      </w:r>
      <w:r w:rsidR="00312165" w:rsidRPr="00CC562A">
        <w:rPr>
          <w:rFonts w:ascii="Cambria" w:eastAsia="Cambria" w:hAnsi="Cambria" w:cs="Cambria"/>
          <w:sz w:val="20"/>
          <w:szCs w:val="20"/>
          <w:lang w:val="en-US"/>
        </w:rPr>
        <w:t xml:space="preserve"> </w:t>
      </w:r>
      <w:r w:rsidR="6048D45E" w:rsidRPr="00CC562A">
        <w:rPr>
          <w:rFonts w:ascii="Cambria" w:eastAsia="Cambria" w:hAnsi="Cambria" w:cs="Cambria"/>
          <w:sz w:val="20"/>
          <w:szCs w:val="20"/>
          <w:lang w:val="en-US"/>
        </w:rPr>
        <w:t xml:space="preserve">– </w:t>
      </w:r>
      <w:r w:rsidR="00312165" w:rsidRPr="00CC562A">
        <w:rPr>
          <w:rFonts w:ascii="Cambria" w:eastAsia="Cambria" w:hAnsi="Cambria" w:cs="Cambria"/>
          <w:sz w:val="20"/>
          <w:szCs w:val="20"/>
          <w:lang w:val="en-US"/>
        </w:rPr>
        <w:t>it determined that it did not have jurisdiction as no tie was found with the exercise of the right to freedom of expression.</w:t>
      </w:r>
      <w:r w:rsidR="00BF0F09" w:rsidRPr="00CC562A">
        <w:rPr>
          <w:rFonts w:ascii="Cambria" w:eastAsia="Cambria" w:hAnsi="Cambria" w:cs="Cambria"/>
          <w:sz w:val="20"/>
          <w:szCs w:val="20"/>
          <w:vertAlign w:val="superscript"/>
          <w:lang w:val="en-US"/>
        </w:rPr>
        <w:footnoteReference w:id="355"/>
      </w:r>
      <w:r w:rsidR="00312165" w:rsidRPr="00CC562A">
        <w:rPr>
          <w:rFonts w:ascii="Cambria" w:eastAsia="Cambria" w:hAnsi="Cambria" w:cs="Cambria"/>
          <w:sz w:val="20"/>
          <w:szCs w:val="20"/>
          <w:lang w:val="en-US"/>
        </w:rPr>
        <w:t xml:space="preserve"> The Commission and </w:t>
      </w:r>
      <w:r w:rsidR="00ED23C2" w:rsidRPr="00CC562A">
        <w:rPr>
          <w:rFonts w:ascii="Cambria" w:eastAsia="Cambria" w:hAnsi="Cambria" w:cs="Cambria"/>
          <w:sz w:val="20"/>
          <w:szCs w:val="20"/>
          <w:lang w:val="en-US"/>
        </w:rPr>
        <w:t xml:space="preserve">the Office of the </w:t>
      </w:r>
      <w:r w:rsidR="00D77397" w:rsidRPr="00CC562A">
        <w:rPr>
          <w:rFonts w:ascii="Cambria" w:eastAsia="Cambria" w:hAnsi="Cambria" w:cs="Cambria"/>
          <w:sz w:val="20"/>
          <w:szCs w:val="20"/>
          <w:lang w:val="en-US"/>
        </w:rPr>
        <w:t>Special Rapporteur</w:t>
      </w:r>
      <w:r w:rsidR="00ED23C2" w:rsidRPr="00CC562A">
        <w:rPr>
          <w:rFonts w:ascii="Cambria" w:eastAsia="Cambria" w:hAnsi="Cambria" w:cs="Cambria"/>
          <w:sz w:val="20"/>
          <w:szCs w:val="20"/>
          <w:lang w:val="en-US"/>
        </w:rPr>
        <w:t xml:space="preserve"> </w:t>
      </w:r>
      <w:r w:rsidR="00312165" w:rsidRPr="00CC562A">
        <w:rPr>
          <w:rFonts w:ascii="Cambria" w:eastAsia="Cambria" w:hAnsi="Cambria" w:cs="Cambria"/>
          <w:sz w:val="20"/>
          <w:szCs w:val="20"/>
          <w:lang w:val="en-US"/>
        </w:rPr>
        <w:t xml:space="preserve">believe that the number of cases under the jurisdiction of the </w:t>
      </w:r>
      <w:r w:rsidR="6048D45E" w:rsidRPr="00CC562A">
        <w:rPr>
          <w:rFonts w:ascii="Cambria" w:eastAsia="Cambria" w:hAnsi="Cambria" w:cs="Cambria"/>
          <w:sz w:val="20"/>
          <w:szCs w:val="20"/>
          <w:lang w:val="en-US"/>
        </w:rPr>
        <w:t>FEADLE contin</w:t>
      </w:r>
      <w:r w:rsidR="00312165" w:rsidRPr="00CC562A">
        <w:rPr>
          <w:rFonts w:ascii="Cambria" w:eastAsia="Cambria" w:hAnsi="Cambria" w:cs="Cambria"/>
          <w:sz w:val="20"/>
          <w:szCs w:val="20"/>
          <w:lang w:val="en-US"/>
        </w:rPr>
        <w:t>ues to be low compared to the high figures on murders of journalists</w:t>
      </w:r>
      <w:r w:rsidR="6048D45E" w:rsidRPr="00CC562A">
        <w:rPr>
          <w:rFonts w:ascii="Cambria" w:eastAsia="Cambria" w:hAnsi="Cambria" w:cs="Cambria"/>
          <w:sz w:val="20"/>
          <w:szCs w:val="20"/>
          <w:lang w:val="en-US"/>
        </w:rPr>
        <w:t xml:space="preserve">. </w:t>
      </w:r>
    </w:p>
    <w:p w14:paraId="62C24163" w14:textId="42382569" w:rsidR="00540016" w:rsidRPr="00CC562A" w:rsidRDefault="0031216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According to the information reported by civil society, since its creation in</w:t>
      </w:r>
      <w:r w:rsidR="6048D45E" w:rsidRPr="00CC562A">
        <w:rPr>
          <w:rFonts w:ascii="Cambria" w:eastAsia="Cambria" w:hAnsi="Cambria" w:cs="Cambria"/>
          <w:sz w:val="20"/>
          <w:szCs w:val="20"/>
          <w:lang w:val="en-US"/>
        </w:rPr>
        <w:t xml:space="preserve"> 2010</w:t>
      </w:r>
      <w:r w:rsidRPr="00CC562A">
        <w:rPr>
          <w:rFonts w:ascii="Cambria" w:eastAsia="Cambria" w:hAnsi="Cambria" w:cs="Cambria"/>
          <w:sz w:val="20"/>
          <w:szCs w:val="20"/>
          <w:lang w:val="en-US"/>
        </w:rPr>
        <w:t xml:space="preserve"> and up to </w:t>
      </w:r>
      <w:r w:rsidR="6048D45E" w:rsidRPr="00CC562A">
        <w:rPr>
          <w:rFonts w:ascii="Cambria" w:eastAsia="Cambria" w:hAnsi="Cambria" w:cs="Cambria"/>
          <w:sz w:val="20"/>
          <w:szCs w:val="20"/>
          <w:lang w:val="en-US"/>
        </w:rPr>
        <w:t xml:space="preserve">2021, </w:t>
      </w:r>
      <w:r w:rsidRPr="00CC562A">
        <w:rPr>
          <w:rFonts w:ascii="Cambria" w:eastAsia="Cambria" w:hAnsi="Cambria" w:cs="Cambria"/>
          <w:sz w:val="20"/>
          <w:szCs w:val="20"/>
          <w:lang w:val="en-US"/>
        </w:rPr>
        <w:t>the</w:t>
      </w:r>
      <w:r w:rsidR="6048D45E" w:rsidRPr="00CC562A">
        <w:rPr>
          <w:rFonts w:ascii="Cambria" w:eastAsia="Cambria" w:hAnsi="Cambria" w:cs="Cambria"/>
          <w:sz w:val="20"/>
          <w:szCs w:val="20"/>
          <w:lang w:val="en-US"/>
        </w:rPr>
        <w:t xml:space="preserve"> FEADLE ha</w:t>
      </w:r>
      <w:r w:rsidRPr="00CC562A">
        <w:rPr>
          <w:rFonts w:ascii="Cambria" w:eastAsia="Cambria" w:hAnsi="Cambria" w:cs="Cambria"/>
          <w:sz w:val="20"/>
          <w:szCs w:val="20"/>
          <w:lang w:val="en-US"/>
        </w:rPr>
        <w:t xml:space="preserve">s obtained </w:t>
      </w:r>
      <w:r w:rsidR="6048D45E" w:rsidRPr="00CC562A">
        <w:rPr>
          <w:rFonts w:ascii="Cambria" w:eastAsia="Cambria" w:hAnsi="Cambria" w:cs="Cambria"/>
          <w:sz w:val="20"/>
          <w:szCs w:val="20"/>
          <w:lang w:val="en-US"/>
        </w:rPr>
        <w:t>28 con</w:t>
      </w:r>
      <w:r w:rsidRPr="00CC562A">
        <w:rPr>
          <w:rFonts w:ascii="Cambria" w:eastAsia="Cambria" w:hAnsi="Cambria" w:cs="Cambria"/>
          <w:sz w:val="20"/>
          <w:szCs w:val="20"/>
          <w:lang w:val="en-US"/>
        </w:rPr>
        <w:t>victions, six of which correspond to cases of murdered journalists.</w:t>
      </w:r>
      <w:r w:rsidR="00BF0F09" w:rsidRPr="00CC562A">
        <w:rPr>
          <w:rFonts w:ascii="Cambria" w:eastAsia="Cambria" w:hAnsi="Cambria" w:cs="Cambria"/>
          <w:sz w:val="20"/>
          <w:szCs w:val="20"/>
          <w:vertAlign w:val="superscript"/>
          <w:lang w:val="en-US"/>
        </w:rPr>
        <w:footnoteReference w:id="356"/>
      </w:r>
      <w:r w:rsidR="6048D45E"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6048D45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figures on crimes against the press that occurred between </w:t>
      </w:r>
      <w:r w:rsidR="6048D45E" w:rsidRPr="00CC562A">
        <w:rPr>
          <w:rFonts w:ascii="Cambria" w:eastAsia="Cambria" w:hAnsi="Cambria" w:cs="Cambria"/>
          <w:sz w:val="20"/>
          <w:szCs w:val="20"/>
          <w:lang w:val="en-US"/>
        </w:rPr>
        <w:t xml:space="preserve">2010 </w:t>
      </w:r>
      <w:r w:rsidRPr="00CC562A">
        <w:rPr>
          <w:rFonts w:ascii="Cambria" w:eastAsia="Cambria" w:hAnsi="Cambria" w:cs="Cambria"/>
          <w:sz w:val="20"/>
          <w:szCs w:val="20"/>
          <w:lang w:val="en-US"/>
        </w:rPr>
        <w:t>and</w:t>
      </w:r>
      <w:r w:rsidR="6048D45E" w:rsidRPr="00CC562A">
        <w:rPr>
          <w:rFonts w:ascii="Cambria" w:eastAsia="Cambria" w:hAnsi="Cambria" w:cs="Cambria"/>
          <w:sz w:val="20"/>
          <w:szCs w:val="20"/>
          <w:lang w:val="en-US"/>
        </w:rPr>
        <w:t xml:space="preserve"> 2021</w:t>
      </w:r>
      <w:r w:rsidRPr="00CC562A">
        <w:rPr>
          <w:rFonts w:ascii="Cambria" w:eastAsia="Cambria" w:hAnsi="Cambria" w:cs="Cambria"/>
          <w:sz w:val="20"/>
          <w:szCs w:val="20"/>
          <w:lang w:val="en-US"/>
        </w:rPr>
        <w:t xml:space="preserve"> exceeds that figure by far.</w:t>
      </w:r>
      <w:r w:rsidR="00BF0F09" w:rsidRPr="00CC562A">
        <w:rPr>
          <w:rFonts w:ascii="Cambria" w:eastAsia="Cambria" w:hAnsi="Cambria" w:cs="Cambria"/>
          <w:sz w:val="20"/>
          <w:szCs w:val="20"/>
          <w:vertAlign w:val="superscript"/>
          <w:lang w:val="en-US"/>
        </w:rPr>
        <w:footnoteReference w:id="357"/>
      </w:r>
      <w:r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6048D45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civil society has reported that the </w:t>
      </w:r>
      <w:r w:rsidR="6048D45E" w:rsidRPr="00CC562A">
        <w:rPr>
          <w:rFonts w:ascii="Cambria" w:eastAsia="Cambria" w:hAnsi="Cambria" w:cs="Cambria"/>
          <w:sz w:val="20"/>
          <w:szCs w:val="20"/>
          <w:lang w:val="en-US"/>
        </w:rPr>
        <w:t>FEADLE a</w:t>
      </w:r>
      <w:r w:rsidRPr="00CC562A">
        <w:rPr>
          <w:rFonts w:ascii="Cambria" w:eastAsia="Cambria" w:hAnsi="Cambria" w:cs="Cambria"/>
          <w:sz w:val="20"/>
          <w:szCs w:val="20"/>
          <w:lang w:val="en-US"/>
        </w:rPr>
        <w:t xml:space="preserve">cts with </w:t>
      </w:r>
      <w:r w:rsidR="6048D45E" w:rsidRPr="00CC562A">
        <w:rPr>
          <w:rFonts w:ascii="Cambria" w:eastAsia="Cambria" w:hAnsi="Cambria" w:cs="Cambria"/>
          <w:sz w:val="20"/>
          <w:szCs w:val="20"/>
          <w:lang w:val="en-US"/>
        </w:rPr>
        <w:t>“exces</w:t>
      </w:r>
      <w:r w:rsidRPr="00CC562A">
        <w:rPr>
          <w:rFonts w:ascii="Cambria" w:eastAsia="Cambria" w:hAnsi="Cambria" w:cs="Cambria"/>
          <w:sz w:val="20"/>
          <w:szCs w:val="20"/>
          <w:lang w:val="en-US"/>
        </w:rPr>
        <w:t>sive discretion” when taking on cases.</w:t>
      </w:r>
      <w:r w:rsidR="00BF0F09" w:rsidRPr="00CC562A">
        <w:rPr>
          <w:rFonts w:ascii="Cambria" w:eastAsia="Cambria" w:hAnsi="Cambria" w:cs="Cambria"/>
          <w:sz w:val="20"/>
          <w:szCs w:val="20"/>
          <w:vertAlign w:val="superscript"/>
          <w:lang w:val="en-US"/>
        </w:rPr>
        <w:footnoteReference w:id="358"/>
      </w:r>
      <w:r w:rsidRPr="00CC562A">
        <w:rPr>
          <w:rFonts w:ascii="Cambria" w:eastAsia="Cambria" w:hAnsi="Cambria" w:cs="Cambria"/>
          <w:sz w:val="20"/>
          <w:szCs w:val="20"/>
          <w:lang w:val="en-US"/>
        </w:rPr>
        <w:t xml:space="preserve"> The Committee for the Protection of Journalists has documented </w:t>
      </w:r>
      <w:r w:rsidR="6048D45E" w:rsidRPr="00CC562A">
        <w:rPr>
          <w:rFonts w:ascii="Cambria" w:eastAsia="Cambria" w:hAnsi="Cambria" w:cs="Cambria"/>
          <w:sz w:val="20"/>
          <w:szCs w:val="20"/>
          <w:lang w:val="en-US"/>
        </w:rPr>
        <w:t xml:space="preserve">28 </w:t>
      </w:r>
      <w:r w:rsidRPr="00CC562A">
        <w:rPr>
          <w:rFonts w:ascii="Cambria" w:eastAsia="Cambria" w:hAnsi="Cambria" w:cs="Cambria"/>
          <w:sz w:val="20"/>
          <w:szCs w:val="20"/>
          <w:lang w:val="en-US"/>
        </w:rPr>
        <w:t>unresolved murders of journalists during the last ten years, which they maintained is the highest number of cases without a conviction in the countries under analysis, and they thus consider Mexico “the most dangerous country for journalists in the western hemisphere.”</w:t>
      </w:r>
      <w:r w:rsidR="00BF0F09" w:rsidRPr="00CC562A">
        <w:rPr>
          <w:rFonts w:ascii="Cambria" w:eastAsia="Cambria" w:hAnsi="Cambria" w:cs="Cambria"/>
          <w:sz w:val="20"/>
          <w:szCs w:val="20"/>
          <w:vertAlign w:val="superscript"/>
          <w:lang w:val="en-US"/>
        </w:rPr>
        <w:footnoteReference w:id="359"/>
      </w:r>
      <w:r w:rsidRPr="00CC562A">
        <w:rPr>
          <w:rFonts w:ascii="Cambria" w:eastAsia="Cambria" w:hAnsi="Cambria" w:cs="Cambria"/>
          <w:sz w:val="20"/>
          <w:szCs w:val="20"/>
          <w:lang w:val="en-US"/>
        </w:rPr>
        <w:t xml:space="preserve"> Based on the foregoing, the Commission</w:t>
      </w:r>
      <w:r w:rsidR="00060CBC" w:rsidRPr="00CC562A">
        <w:rPr>
          <w:rFonts w:ascii="Cambria" w:eastAsia="Cambria" w:hAnsi="Cambria" w:cs="Cambria"/>
          <w:sz w:val="20"/>
          <w:szCs w:val="20"/>
          <w:lang w:val="en-US"/>
        </w:rPr>
        <w:t xml:space="preserve"> considers</w:t>
      </w:r>
      <w:r w:rsidRPr="00CC562A">
        <w:rPr>
          <w:rFonts w:ascii="Cambria" w:eastAsia="Cambria" w:hAnsi="Cambria" w:cs="Cambria"/>
          <w:sz w:val="20"/>
          <w:szCs w:val="20"/>
          <w:lang w:val="en-US"/>
        </w:rPr>
        <w:t xml:space="preserve"> the recommendation </w:t>
      </w:r>
      <w:r w:rsidR="00060CBC" w:rsidRPr="00CC562A">
        <w:rPr>
          <w:rFonts w:ascii="Cambria" w:eastAsia="Cambria" w:hAnsi="Cambria" w:cs="Cambria"/>
          <w:sz w:val="20"/>
          <w:szCs w:val="20"/>
          <w:lang w:val="en-US"/>
        </w:rPr>
        <w:t>to be</w:t>
      </w:r>
      <w:r w:rsidRPr="00CC562A">
        <w:rPr>
          <w:rFonts w:ascii="Cambria" w:eastAsia="Cambria" w:hAnsi="Cambria" w:cs="Cambria"/>
          <w:sz w:val="20"/>
          <w:szCs w:val="20"/>
          <w:lang w:val="en-US"/>
        </w:rPr>
        <w:t xml:space="preserve"> </w:t>
      </w:r>
      <w:r w:rsidRPr="00CC562A">
        <w:rPr>
          <w:rFonts w:ascii="Cambria" w:eastAsia="Cambria" w:hAnsi="Cambria" w:cs="Cambria"/>
          <w:b/>
          <w:bCs/>
          <w:sz w:val="20"/>
          <w:szCs w:val="20"/>
          <w:lang w:val="en-US"/>
        </w:rPr>
        <w:t>pending compliance</w:t>
      </w:r>
      <w:r w:rsidR="014F1F8C" w:rsidRPr="00CC562A">
        <w:rPr>
          <w:rFonts w:ascii="Cambria" w:eastAsia="Cambria" w:hAnsi="Cambria" w:cs="Cambria"/>
          <w:b/>
          <w:bCs/>
          <w:sz w:val="20"/>
          <w:szCs w:val="20"/>
          <w:lang w:val="en-US"/>
        </w:rPr>
        <w:t>.</w:t>
      </w:r>
    </w:p>
    <w:p w14:paraId="29C88149" w14:textId="2E8A697F" w:rsidR="00843C54" w:rsidRPr="00CC562A" w:rsidRDefault="000B14B3"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compliance with this recommendation, objective criteria need to be established making it possible to determine when the power to assert jurisdiction at the federal level is exercised, avoiding discretionary measures. </w:t>
      </w:r>
      <w:r w:rsidR="00FC76F6"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14F1F8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given the increas</w:t>
      </w:r>
      <w:r w:rsidR="00060CBC" w:rsidRPr="00CC562A">
        <w:rPr>
          <w:rFonts w:ascii="Cambria" w:eastAsia="Cambria" w:hAnsi="Cambria" w:cs="Cambria"/>
          <w:sz w:val="20"/>
          <w:szCs w:val="20"/>
          <w:lang w:val="en-US"/>
        </w:rPr>
        <w:t xml:space="preserve">ed </w:t>
      </w:r>
      <w:r w:rsidRPr="00CC562A">
        <w:rPr>
          <w:rFonts w:ascii="Cambria" w:eastAsia="Cambria" w:hAnsi="Cambria" w:cs="Cambria"/>
          <w:sz w:val="20"/>
          <w:szCs w:val="20"/>
          <w:lang w:val="en-US"/>
        </w:rPr>
        <w:t>violence against journalists in the country, it is necessary to strengthen investigative procedures and avoid procedural delays</w:t>
      </w:r>
      <w:r w:rsidR="014F1F8C" w:rsidRPr="00CC562A">
        <w:rPr>
          <w:rFonts w:ascii="Cambria" w:eastAsia="Cambria" w:hAnsi="Cambria" w:cs="Cambria"/>
          <w:sz w:val="20"/>
          <w:szCs w:val="20"/>
          <w:lang w:val="en-US"/>
        </w:rPr>
        <w:t>.</w:t>
      </w:r>
    </w:p>
    <w:p w14:paraId="2B3876A0" w14:textId="66B6D256" w:rsidR="006E6590" w:rsidRPr="00CC562A" w:rsidRDefault="00DE485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respect to </w:t>
      </w:r>
      <w:r w:rsidRPr="00CC562A">
        <w:rPr>
          <w:rFonts w:ascii="Cambria" w:eastAsia="Cambria" w:hAnsi="Cambria" w:cs="Cambria"/>
          <w:b/>
          <w:bCs/>
          <w:sz w:val="20"/>
          <w:szCs w:val="20"/>
          <w:lang w:val="en-US"/>
        </w:rPr>
        <w:t>allowing victims, their families and, where appropriate, third parties to participate in criminal proceedings</w:t>
      </w:r>
      <w:r w:rsidR="49B170D1"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48E22F4E" w:rsidRPr="00CC562A">
        <w:rPr>
          <w:rFonts w:ascii="Cambria" w:eastAsia="Cambria" w:hAnsi="Cambria" w:cs="Cambria"/>
          <w:sz w:val="20"/>
          <w:szCs w:val="20"/>
          <w:lang w:val="en-US"/>
        </w:rPr>
        <w:t xml:space="preserve"> indic</w:t>
      </w:r>
      <w:r w:rsidRPr="00CC562A">
        <w:rPr>
          <w:rFonts w:ascii="Cambria" w:eastAsia="Cambria" w:hAnsi="Cambria" w:cs="Cambria"/>
          <w:sz w:val="20"/>
          <w:szCs w:val="20"/>
          <w:lang w:val="en-US"/>
        </w:rPr>
        <w:t xml:space="preserve">ated that the Executive Commission for Attention to Victims has provided support and legal counsel to the victims of crimes at various stages in the criminal </w:t>
      </w:r>
      <w:r w:rsidR="00AB799D" w:rsidRPr="00CC562A">
        <w:rPr>
          <w:rFonts w:ascii="Cambria" w:eastAsia="Cambria" w:hAnsi="Cambria" w:cs="Cambria"/>
          <w:sz w:val="20"/>
          <w:szCs w:val="20"/>
          <w:lang w:val="en-US"/>
        </w:rPr>
        <w:t>process</w:t>
      </w:r>
      <w:r w:rsidRPr="00CC562A">
        <w:rPr>
          <w:rFonts w:ascii="Cambria" w:eastAsia="Cambria" w:hAnsi="Cambria" w:cs="Cambria"/>
          <w:sz w:val="20"/>
          <w:szCs w:val="20"/>
          <w:lang w:val="en-US"/>
        </w:rPr>
        <w:t>.</w:t>
      </w:r>
      <w:r w:rsidR="601F96B9"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601F96B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through the Specialized Directorate for Attention to Journalists and Human Rights Defenders, it grants guidance, counsel, representation, and legal support service in </w:t>
      </w:r>
      <w:r w:rsidR="601F96B9" w:rsidRPr="00CC562A">
        <w:rPr>
          <w:rFonts w:ascii="Cambria" w:eastAsia="Cambria" w:hAnsi="Cambria" w:cs="Cambria"/>
          <w:sz w:val="20"/>
          <w:szCs w:val="20"/>
          <w:lang w:val="en-US"/>
        </w:rPr>
        <w:t>472 cas</w:t>
      </w:r>
      <w:r w:rsidRPr="00CC562A">
        <w:rPr>
          <w:rFonts w:ascii="Cambria" w:eastAsia="Cambria" w:hAnsi="Cambria" w:cs="Cambria"/>
          <w:sz w:val="20"/>
          <w:szCs w:val="20"/>
          <w:lang w:val="en-US"/>
        </w:rPr>
        <w:t>es involving journalists who are victims of crimes against freedom of expression and human integrity, which applies to the crime of murder, with a view to guaranteeing access to justice, truth, and comprehensive reparation in investigative actions, criminal procedures, and non-jurisdictional procedures.</w:t>
      </w:r>
    </w:p>
    <w:p w14:paraId="10EBEE37" w14:textId="31264942" w:rsidR="006E6590" w:rsidRPr="00CC562A" w:rsidRDefault="00752FE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48E22F4E" w:rsidRPr="00CC562A">
        <w:rPr>
          <w:rFonts w:ascii="Cambria" w:eastAsia="Cambria" w:hAnsi="Cambria" w:cs="Cambria"/>
          <w:sz w:val="20"/>
          <w:szCs w:val="20"/>
          <w:lang w:val="en-US"/>
        </w:rPr>
        <w:t xml:space="preserve"> </w:t>
      </w:r>
      <w:r w:rsidR="008A784B" w:rsidRPr="00CC562A">
        <w:rPr>
          <w:rFonts w:ascii="Cambria" w:eastAsia="Cambria" w:hAnsi="Cambria" w:cs="Cambria"/>
          <w:sz w:val="20"/>
          <w:szCs w:val="20"/>
          <w:lang w:val="en-US"/>
        </w:rPr>
        <w:t>indicated that the</w:t>
      </w:r>
      <w:r w:rsidR="601F96B9" w:rsidRPr="00CC562A">
        <w:rPr>
          <w:rFonts w:ascii="Cambria" w:eastAsia="Cambria" w:hAnsi="Cambria" w:cs="Cambria"/>
          <w:sz w:val="20"/>
          <w:szCs w:val="20"/>
          <w:lang w:val="en-US"/>
        </w:rPr>
        <w:t xml:space="preserve"> CEAV</w:t>
      </w:r>
      <w:r w:rsidR="008A784B" w:rsidRPr="00CC562A">
        <w:rPr>
          <w:rFonts w:ascii="Cambria" w:eastAsia="Cambria" w:hAnsi="Cambria" w:cs="Cambria"/>
          <w:sz w:val="20"/>
          <w:szCs w:val="20"/>
          <w:lang w:val="en-US"/>
        </w:rPr>
        <w:t xml:space="preserve">, through the General Coordinating Office for Comprehensive Care Centers, provides support on requests received provide care and/or multidisciplinary </w:t>
      </w:r>
      <w:r w:rsidR="00060CBC" w:rsidRPr="00CC562A">
        <w:rPr>
          <w:rFonts w:ascii="Cambria" w:eastAsia="Cambria" w:hAnsi="Cambria" w:cs="Cambria"/>
          <w:sz w:val="20"/>
          <w:szCs w:val="20"/>
          <w:lang w:val="en-US"/>
        </w:rPr>
        <w:t xml:space="preserve">support </w:t>
      </w:r>
      <w:r w:rsidR="008A784B" w:rsidRPr="00CC562A">
        <w:rPr>
          <w:rFonts w:ascii="Cambria" w:eastAsia="Cambria" w:hAnsi="Cambria" w:cs="Cambria"/>
          <w:sz w:val="20"/>
          <w:szCs w:val="20"/>
          <w:lang w:val="en-US"/>
        </w:rPr>
        <w:t>to allow victims, their families, and third parties, when applicable, to participate in criminal proceedings with full guarantees, both to search for the tru</w:t>
      </w:r>
      <w:r w:rsidR="00060CBC" w:rsidRPr="00CC562A">
        <w:rPr>
          <w:rFonts w:ascii="Cambria" w:eastAsia="Cambria" w:hAnsi="Cambria" w:cs="Cambria"/>
          <w:sz w:val="20"/>
          <w:szCs w:val="20"/>
          <w:lang w:val="en-US"/>
        </w:rPr>
        <w:t>th and to</w:t>
      </w:r>
      <w:r w:rsidR="008A784B" w:rsidRPr="00CC562A">
        <w:rPr>
          <w:rFonts w:ascii="Cambria" w:eastAsia="Cambria" w:hAnsi="Cambria" w:cs="Cambria"/>
          <w:sz w:val="20"/>
          <w:szCs w:val="20"/>
          <w:lang w:val="en-US"/>
        </w:rPr>
        <w:t xml:space="preserve"> clarify the facts and when demanding reparations.  </w:t>
      </w:r>
      <w:r w:rsidR="00F108AA" w:rsidRPr="00CC562A">
        <w:rPr>
          <w:rFonts w:ascii="Cambria" w:eastAsia="Cambria" w:hAnsi="Cambria" w:cs="Cambria"/>
          <w:sz w:val="20"/>
          <w:szCs w:val="20"/>
          <w:lang w:val="en-US"/>
        </w:rPr>
        <w:t>In addition,</w:t>
      </w:r>
      <w:r w:rsidR="48E22F4E" w:rsidRPr="00CC562A">
        <w:rPr>
          <w:rFonts w:ascii="Cambria" w:eastAsia="Cambria" w:hAnsi="Cambria" w:cs="Cambria"/>
          <w:sz w:val="20"/>
          <w:szCs w:val="20"/>
          <w:lang w:val="en-US"/>
        </w:rPr>
        <w:t xml:space="preserve"> </w:t>
      </w:r>
      <w:r w:rsidR="003C6739" w:rsidRPr="00CC562A">
        <w:rPr>
          <w:rFonts w:ascii="Cambria" w:eastAsia="Cambria" w:hAnsi="Cambria" w:cs="Cambria"/>
          <w:sz w:val="20"/>
          <w:szCs w:val="20"/>
          <w:lang w:val="en-US"/>
        </w:rPr>
        <w:t>the</w:t>
      </w:r>
      <w:r w:rsidR="601F96B9" w:rsidRPr="00CC562A">
        <w:rPr>
          <w:rFonts w:ascii="Cambria" w:eastAsia="Cambria" w:hAnsi="Cambria" w:cs="Cambria"/>
          <w:sz w:val="20"/>
          <w:szCs w:val="20"/>
          <w:lang w:val="en-US"/>
        </w:rPr>
        <w:t xml:space="preserve"> CEAV </w:t>
      </w:r>
      <w:r w:rsidR="003C6739" w:rsidRPr="00CC562A">
        <w:rPr>
          <w:rFonts w:ascii="Cambria" w:eastAsia="Cambria" w:hAnsi="Cambria" w:cs="Cambria"/>
          <w:sz w:val="20"/>
          <w:szCs w:val="20"/>
          <w:lang w:val="en-US"/>
        </w:rPr>
        <w:t>has a Protocol o</w:t>
      </w:r>
      <w:r w:rsidR="00060CBC" w:rsidRPr="00CC562A">
        <w:rPr>
          <w:rFonts w:ascii="Cambria" w:eastAsia="Cambria" w:hAnsi="Cambria" w:cs="Cambria"/>
          <w:sz w:val="20"/>
          <w:szCs w:val="20"/>
          <w:lang w:val="en-US"/>
        </w:rPr>
        <w:t>f</w:t>
      </w:r>
      <w:r w:rsidR="003C6739" w:rsidRPr="00CC562A">
        <w:rPr>
          <w:rFonts w:ascii="Cambria" w:eastAsia="Cambria" w:hAnsi="Cambria" w:cs="Cambria"/>
          <w:sz w:val="20"/>
          <w:szCs w:val="20"/>
          <w:lang w:val="en-US"/>
        </w:rPr>
        <w:t xml:space="preserve"> the Federal Legal Counsel, the objective of which is to provide the Federal Legal Counsel with a tool that can be used to develop each of the various activities within the adversarial criminal procedure for guaranteeing victims’ rights, particularly the right to protection, the truth, justice, and comprehensive reparation, ensuring investigation and due process</w:t>
      </w:r>
      <w:r w:rsidR="601F96B9" w:rsidRPr="00CC562A">
        <w:rPr>
          <w:rFonts w:ascii="Cambria" w:eastAsia="Cambria" w:hAnsi="Cambria" w:cs="Cambria"/>
          <w:sz w:val="20"/>
          <w:szCs w:val="20"/>
          <w:lang w:val="en-US"/>
        </w:rPr>
        <w:t>.</w:t>
      </w:r>
      <w:r w:rsidR="48E22F4E"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State</w:t>
      </w:r>
      <w:r w:rsidR="003C6739" w:rsidRPr="00CC562A">
        <w:rPr>
          <w:rFonts w:ascii="Cambria" w:eastAsia="Cambria" w:hAnsi="Cambria" w:cs="Cambria"/>
          <w:sz w:val="20"/>
          <w:szCs w:val="20"/>
          <w:lang w:val="en-US"/>
        </w:rPr>
        <w:t xml:space="preserve"> emphasized that, in view of the principal of joint participation established in the General Law on Victims, the Federal Legal Counsel is required to guarantee the right of victims to collaborate with the investigations and measures to overcome their vulnerable conditions, considering the context, whenever such measures do not involve impairment of their rights</w:t>
      </w:r>
      <w:r w:rsidR="48E22F4E" w:rsidRPr="00CC562A">
        <w:rPr>
          <w:rFonts w:ascii="Cambria" w:eastAsia="Cambria" w:hAnsi="Cambria" w:cs="Cambria"/>
          <w:sz w:val="20"/>
          <w:szCs w:val="20"/>
          <w:lang w:val="en-US"/>
        </w:rPr>
        <w:t>.</w:t>
      </w:r>
    </w:p>
    <w:p w14:paraId="73D04529" w14:textId="51062F78" w:rsidR="005D5941" w:rsidRPr="00CC562A" w:rsidRDefault="48E22F4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Final</w:t>
      </w:r>
      <w:r w:rsidR="00666829" w:rsidRPr="00CC562A">
        <w:rPr>
          <w:rFonts w:ascii="Cambria" w:eastAsia="Cambria" w:hAnsi="Cambria" w:cs="Cambria"/>
          <w:sz w:val="20"/>
          <w:szCs w:val="20"/>
          <w:lang w:val="en-US"/>
        </w:rPr>
        <w:t xml:space="preserve">ly, </w:t>
      </w:r>
      <w:r w:rsidR="00752FED" w:rsidRPr="00CC562A">
        <w:rPr>
          <w:rFonts w:ascii="Cambria" w:eastAsia="Cambria" w:hAnsi="Cambria" w:cs="Cambria"/>
          <w:sz w:val="20"/>
          <w:szCs w:val="20"/>
          <w:lang w:val="en-US"/>
        </w:rPr>
        <w:t>the State</w:t>
      </w:r>
      <w:r w:rsidRPr="00CC562A">
        <w:rPr>
          <w:rFonts w:ascii="Cambria" w:eastAsia="Cambria" w:hAnsi="Cambria" w:cs="Cambria"/>
          <w:sz w:val="20"/>
          <w:szCs w:val="20"/>
          <w:lang w:val="en-US"/>
        </w:rPr>
        <w:t xml:space="preserve"> </w:t>
      </w:r>
      <w:r w:rsidR="00666829" w:rsidRPr="00CC562A">
        <w:rPr>
          <w:rFonts w:ascii="Cambria" w:eastAsia="Cambria" w:hAnsi="Cambria" w:cs="Cambria"/>
          <w:sz w:val="20"/>
          <w:szCs w:val="20"/>
          <w:lang w:val="en-US"/>
        </w:rPr>
        <w:t>indicated that Article</w:t>
      </w:r>
      <w:r w:rsidR="601F96B9" w:rsidRPr="00CC562A">
        <w:rPr>
          <w:rFonts w:ascii="Cambria" w:eastAsia="Cambria" w:hAnsi="Cambria" w:cs="Cambria"/>
          <w:sz w:val="20"/>
          <w:szCs w:val="20"/>
          <w:lang w:val="en-US"/>
        </w:rPr>
        <w:t xml:space="preserve"> 110</w:t>
      </w:r>
      <w:r w:rsidR="00666829" w:rsidRPr="00CC562A">
        <w:rPr>
          <w:rFonts w:ascii="Cambria" w:eastAsia="Cambria" w:hAnsi="Cambria" w:cs="Cambria"/>
          <w:sz w:val="20"/>
          <w:szCs w:val="20"/>
          <w:lang w:val="en-US"/>
        </w:rPr>
        <w:t xml:space="preserve"> of the National Code of Criminal Procedures establishes that legal counsel may be appointed at any stage in the procedure by the victims or injured parties</w:t>
      </w:r>
      <w:r w:rsidR="002E5080" w:rsidRPr="00CC562A">
        <w:rPr>
          <w:rFonts w:ascii="Cambria" w:eastAsia="Cambria" w:hAnsi="Cambria" w:cs="Cambria"/>
          <w:sz w:val="20"/>
          <w:szCs w:val="20"/>
          <w:lang w:val="en-US"/>
        </w:rPr>
        <w:t xml:space="preserve">. </w:t>
      </w:r>
      <w:r w:rsidR="002E5080" w:rsidRPr="00CC562A">
        <w:rPr>
          <w:rFonts w:ascii="Cambria" w:eastAsia="Cambria" w:hAnsi="Cambria" w:cs="Cambria"/>
          <w:sz w:val="20"/>
          <w:szCs w:val="20"/>
          <w:lang w:val="en-US"/>
        </w:rPr>
        <w:lastRenderedPageBreak/>
        <w:t xml:space="preserve">Legal counsel must </w:t>
      </w:r>
      <w:r w:rsidR="00666829" w:rsidRPr="00CC562A">
        <w:rPr>
          <w:rFonts w:ascii="Cambria" w:eastAsia="Cambria" w:hAnsi="Cambria" w:cs="Cambria"/>
          <w:sz w:val="20"/>
          <w:szCs w:val="20"/>
          <w:lang w:val="en-US"/>
        </w:rPr>
        <w:t xml:space="preserve">have a law degree or be a licensed attorney and </w:t>
      </w:r>
      <w:r w:rsidR="002E5080" w:rsidRPr="00CC562A">
        <w:rPr>
          <w:rFonts w:ascii="Cambria" w:eastAsia="Cambria" w:hAnsi="Cambria" w:cs="Cambria"/>
          <w:sz w:val="20"/>
          <w:szCs w:val="20"/>
          <w:lang w:val="en-US"/>
        </w:rPr>
        <w:t>must</w:t>
      </w:r>
      <w:r w:rsidR="601F96B9" w:rsidRPr="00CC562A">
        <w:rPr>
          <w:rFonts w:ascii="Cambria" w:eastAsia="Cambria" w:hAnsi="Cambria" w:cs="Cambria"/>
          <w:sz w:val="20"/>
          <w:szCs w:val="20"/>
          <w:lang w:val="en-US"/>
        </w:rPr>
        <w:t xml:space="preserve"> </w:t>
      </w:r>
      <w:r w:rsidR="00666829" w:rsidRPr="00CC562A">
        <w:rPr>
          <w:rFonts w:ascii="Cambria" w:eastAsia="Cambria" w:hAnsi="Cambria" w:cs="Cambria"/>
          <w:sz w:val="20"/>
          <w:szCs w:val="20"/>
          <w:lang w:val="en-US"/>
        </w:rPr>
        <w:t>certify his/her profession</w:t>
      </w:r>
      <w:r w:rsidR="002E5080" w:rsidRPr="00CC562A">
        <w:rPr>
          <w:rFonts w:ascii="Cambria" w:eastAsia="Cambria" w:hAnsi="Cambria" w:cs="Cambria"/>
          <w:sz w:val="20"/>
          <w:szCs w:val="20"/>
          <w:lang w:val="en-US"/>
        </w:rPr>
        <w:t xml:space="preserve"> </w:t>
      </w:r>
      <w:r w:rsidR="00666829" w:rsidRPr="00CC562A">
        <w:rPr>
          <w:rFonts w:ascii="Cambria" w:eastAsia="Cambria" w:hAnsi="Cambria" w:cs="Cambria"/>
          <w:sz w:val="20"/>
          <w:szCs w:val="20"/>
          <w:lang w:val="en-US"/>
        </w:rPr>
        <w:t xml:space="preserve">from the time his/her intervention starts based on a professional license. He shall only promote what he has previously reported to his client and shall intervene to represent the victim or the injured party on equal footing with the </w:t>
      </w:r>
      <w:r w:rsidR="000547EF" w:rsidRPr="00CC562A">
        <w:rPr>
          <w:rFonts w:ascii="Cambria" w:eastAsia="Cambria" w:hAnsi="Cambria" w:cs="Cambria"/>
          <w:sz w:val="20"/>
          <w:szCs w:val="20"/>
          <w:lang w:val="en-US"/>
        </w:rPr>
        <w:t>Defender</w:t>
      </w:r>
      <w:r w:rsidR="601F96B9" w:rsidRPr="00CC562A">
        <w:rPr>
          <w:rFonts w:ascii="Cambria" w:eastAsia="Cambria" w:hAnsi="Cambria" w:cs="Cambria"/>
          <w:sz w:val="20"/>
          <w:szCs w:val="20"/>
          <w:lang w:val="en-US"/>
        </w:rPr>
        <w:t>.</w:t>
      </w:r>
      <w:r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601F96B9" w:rsidRPr="00CC562A">
        <w:rPr>
          <w:rFonts w:ascii="Cambria" w:eastAsia="Cambria" w:hAnsi="Cambria" w:cs="Cambria"/>
          <w:sz w:val="20"/>
          <w:szCs w:val="20"/>
          <w:lang w:val="en-US"/>
        </w:rPr>
        <w:t xml:space="preserve"> </w:t>
      </w:r>
      <w:r w:rsidR="002E5080" w:rsidRPr="00CC562A">
        <w:rPr>
          <w:rFonts w:ascii="Cambria" w:eastAsia="Cambria" w:hAnsi="Cambria" w:cs="Cambria"/>
          <w:sz w:val="20"/>
          <w:szCs w:val="20"/>
          <w:lang w:val="en-US"/>
        </w:rPr>
        <w:t>the Code</w:t>
      </w:r>
      <w:r w:rsidR="000547EF" w:rsidRPr="00CC562A">
        <w:rPr>
          <w:rFonts w:ascii="Cambria" w:eastAsia="Cambria" w:hAnsi="Cambria" w:cs="Cambria"/>
          <w:sz w:val="20"/>
          <w:szCs w:val="20"/>
          <w:lang w:val="en-US"/>
        </w:rPr>
        <w:t xml:space="preserve"> provides that when the victim or injured party belongs to an indigenous people or community, </w:t>
      </w:r>
      <w:r w:rsidR="002E5080" w:rsidRPr="00CC562A">
        <w:rPr>
          <w:rFonts w:ascii="Cambria" w:eastAsia="Cambria" w:hAnsi="Cambria" w:cs="Cambria"/>
          <w:sz w:val="20"/>
          <w:szCs w:val="20"/>
          <w:lang w:val="en-US"/>
        </w:rPr>
        <w:t>l</w:t>
      </w:r>
      <w:r w:rsidR="000547EF" w:rsidRPr="00CC562A">
        <w:rPr>
          <w:rFonts w:ascii="Cambria" w:eastAsia="Cambria" w:hAnsi="Cambria" w:cs="Cambria"/>
          <w:sz w:val="20"/>
          <w:szCs w:val="20"/>
          <w:lang w:val="en-US"/>
        </w:rPr>
        <w:t xml:space="preserve">egal </w:t>
      </w:r>
      <w:r w:rsidR="002E5080" w:rsidRPr="00CC562A">
        <w:rPr>
          <w:rFonts w:ascii="Cambria" w:eastAsia="Cambria" w:hAnsi="Cambria" w:cs="Cambria"/>
          <w:sz w:val="20"/>
          <w:szCs w:val="20"/>
          <w:lang w:val="en-US"/>
        </w:rPr>
        <w:t xml:space="preserve">counsel </w:t>
      </w:r>
      <w:r w:rsidR="000547EF" w:rsidRPr="00CC562A">
        <w:rPr>
          <w:rFonts w:ascii="Cambria" w:eastAsia="Cambria" w:hAnsi="Cambria" w:cs="Cambria"/>
          <w:sz w:val="20"/>
          <w:szCs w:val="20"/>
          <w:lang w:val="en-US"/>
        </w:rPr>
        <w:t>shall have knowledge of their language and culture and, if this is not possible, must be assisted by an interpreter who has that knowledge.</w:t>
      </w:r>
      <w:r w:rsidR="00070D01" w:rsidRPr="00CC562A">
        <w:rPr>
          <w:rStyle w:val="FootnoteReference"/>
          <w:rFonts w:ascii="Cambria" w:eastAsia="Cambria" w:hAnsi="Cambria" w:cs="Cambria"/>
          <w:sz w:val="20"/>
          <w:szCs w:val="20"/>
          <w:lang w:val="en-US"/>
        </w:rPr>
        <w:footnoteReference w:id="360"/>
      </w:r>
    </w:p>
    <w:p w14:paraId="64C750FF" w14:textId="02BC8055" w:rsidR="004A31AF" w:rsidRPr="00CC562A" w:rsidRDefault="000547EF"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Commission notes that the </w:t>
      </w:r>
      <w:r w:rsidR="00752FED" w:rsidRPr="00CC562A">
        <w:rPr>
          <w:rFonts w:ascii="Cambria" w:eastAsia="Cambria" w:hAnsi="Cambria" w:cs="Cambria"/>
          <w:sz w:val="20"/>
          <w:szCs w:val="20"/>
          <w:lang w:val="en-US"/>
        </w:rPr>
        <w:t>State</w:t>
      </w:r>
      <w:r w:rsidR="34AEEBAC"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the families’ guarantee of participation in the investigation is achieved through the </w:t>
      </w:r>
      <w:r w:rsidR="34AEEBAC" w:rsidRPr="00CC562A">
        <w:rPr>
          <w:rFonts w:ascii="Cambria" w:eastAsia="Cambria" w:hAnsi="Cambria" w:cs="Cambria"/>
          <w:sz w:val="20"/>
          <w:szCs w:val="20"/>
          <w:lang w:val="en-US"/>
        </w:rPr>
        <w:t>CEAV</w:t>
      </w:r>
      <w:r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34AEEBA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 request that may be made through that institution through </w:t>
      </w:r>
      <w:r w:rsidR="002E5080" w:rsidRPr="00CC562A">
        <w:rPr>
          <w:rFonts w:ascii="Cambria" w:eastAsia="Cambria" w:hAnsi="Cambria" w:cs="Cambria"/>
          <w:sz w:val="20"/>
          <w:szCs w:val="20"/>
          <w:lang w:val="en-US"/>
        </w:rPr>
        <w:t>their advisors</w:t>
      </w:r>
      <w:r w:rsidRPr="00CC562A">
        <w:rPr>
          <w:rFonts w:ascii="Cambria" w:eastAsia="Cambria" w:hAnsi="Cambria" w:cs="Cambria"/>
          <w:sz w:val="20"/>
          <w:szCs w:val="20"/>
          <w:lang w:val="en-US"/>
        </w:rPr>
        <w:t xml:space="preserve"> does not thereby guarantee that the prosecutor’s office will allow the family’s participation in and access to the investigations.</w:t>
      </w:r>
      <w:r w:rsidR="34AEEBAC"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34AEEBAC"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34AEEBA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does not provide information on examples or results indicating that the right provided for in the recommendation is guaranteed. Based on the foregoing, the Commission considers that the recommendation is </w:t>
      </w:r>
      <w:r w:rsidRPr="00CC562A">
        <w:rPr>
          <w:rFonts w:ascii="Cambria" w:eastAsia="Cambria" w:hAnsi="Cambria" w:cs="Cambria"/>
          <w:b/>
          <w:bCs/>
          <w:sz w:val="20"/>
          <w:szCs w:val="20"/>
          <w:lang w:val="en-US"/>
        </w:rPr>
        <w:t>pending compliance</w:t>
      </w:r>
      <w:r w:rsidR="34AEEBAC" w:rsidRPr="00CC562A">
        <w:rPr>
          <w:rFonts w:ascii="Cambria" w:eastAsia="Cambria" w:hAnsi="Cambria" w:cs="Cambria"/>
          <w:b/>
          <w:bCs/>
          <w:sz w:val="20"/>
          <w:szCs w:val="20"/>
          <w:lang w:val="en-US"/>
        </w:rPr>
        <w:t>.</w:t>
      </w:r>
    </w:p>
    <w:p w14:paraId="53E7190A" w14:textId="4EFAD2F3" w:rsidR="00843C54" w:rsidRPr="00CC562A" w:rsidRDefault="2D308A46"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b/>
          <w:bCs/>
          <w:sz w:val="20"/>
          <w:szCs w:val="20"/>
          <w:lang w:val="en-US"/>
        </w:rPr>
        <w:t xml:space="preserve"> </w:t>
      </w:r>
      <w:r w:rsidR="000547EF" w:rsidRPr="00CC562A">
        <w:rPr>
          <w:rFonts w:ascii="Cambria" w:eastAsia="Cambria" w:hAnsi="Cambria" w:cs="Cambria"/>
          <w:sz w:val="20"/>
          <w:szCs w:val="20"/>
          <w:lang w:val="en-US"/>
        </w:rPr>
        <w:t xml:space="preserve">To guide compliance with this recommendation, it is necessary for the institutions charged with representing the victims </w:t>
      </w:r>
      <w:r w:rsidR="00BE2C6E" w:rsidRPr="00CC562A">
        <w:rPr>
          <w:rFonts w:ascii="Cambria" w:hAnsi="Cambria"/>
          <w:sz w:val="20"/>
          <w:lang w:val="en-US"/>
        </w:rPr>
        <w:t>a</w:t>
      </w:r>
      <w:r w:rsidR="005D3441" w:rsidRPr="00CC562A">
        <w:rPr>
          <w:rFonts w:ascii="Cambria" w:hAnsi="Cambria"/>
          <w:sz w:val="20"/>
          <w:lang w:val="en-US"/>
        </w:rPr>
        <w:t>t the federal and state level</w:t>
      </w:r>
      <w:r w:rsidR="00BE2C6E" w:rsidRPr="00CC562A">
        <w:rPr>
          <w:rFonts w:ascii="Cambria" w:hAnsi="Cambria"/>
          <w:sz w:val="20"/>
          <w:lang w:val="en-US"/>
        </w:rPr>
        <w:t xml:space="preserve">, </w:t>
      </w:r>
      <w:r w:rsidR="000547EF" w:rsidRPr="00CC562A">
        <w:rPr>
          <w:rFonts w:ascii="Cambria" w:eastAsia="Cambria" w:hAnsi="Cambria" w:cs="Cambria"/>
          <w:sz w:val="20"/>
          <w:szCs w:val="20"/>
          <w:lang w:val="en-US"/>
        </w:rPr>
        <w:t xml:space="preserve">or the victims </w:t>
      </w:r>
      <w:r w:rsidR="000547EF" w:rsidRPr="00CC562A">
        <w:rPr>
          <w:rFonts w:ascii="Cambria" w:eastAsia="Cambria" w:hAnsi="Cambria" w:cs="Cambria"/>
          <w:i/>
          <w:iCs/>
          <w:sz w:val="20"/>
          <w:szCs w:val="20"/>
          <w:lang w:val="en-US"/>
        </w:rPr>
        <w:t xml:space="preserve">per se </w:t>
      </w:r>
      <w:r w:rsidR="000547EF" w:rsidRPr="00CC562A">
        <w:rPr>
          <w:rFonts w:ascii="Cambria" w:eastAsia="Cambria" w:hAnsi="Cambria" w:cs="Cambria"/>
          <w:sz w:val="20"/>
          <w:szCs w:val="20"/>
          <w:lang w:val="en-US"/>
        </w:rPr>
        <w:t xml:space="preserve">to have guaranteed the right before the prosecution to be able to participate in investigations. Similarly, the State needs to submit information regarding how </w:t>
      </w:r>
      <w:r w:rsidR="00037E38" w:rsidRPr="00CC562A">
        <w:rPr>
          <w:rFonts w:ascii="Cambria" w:eastAsia="Cambria" w:hAnsi="Cambria" w:cs="Cambria"/>
          <w:sz w:val="20"/>
          <w:szCs w:val="20"/>
          <w:lang w:val="en-US"/>
        </w:rPr>
        <w:t xml:space="preserve">prosecutorial authorities </w:t>
      </w:r>
      <w:r w:rsidR="000547EF" w:rsidRPr="00CC562A">
        <w:rPr>
          <w:rFonts w:ascii="Cambria" w:eastAsia="Cambria" w:hAnsi="Cambria" w:cs="Cambria"/>
          <w:sz w:val="20"/>
          <w:szCs w:val="20"/>
          <w:lang w:val="en-US"/>
        </w:rPr>
        <w:t>guarantee compliance with the recommendation.</w:t>
      </w:r>
    </w:p>
    <w:p w14:paraId="137057FC" w14:textId="1F2E2AD7" w:rsidR="00205BF4" w:rsidRPr="00CC562A" w:rsidRDefault="00037E38" w:rsidP="003835DF">
      <w:pPr>
        <w:pStyle w:val="Heading2"/>
        <w:numPr>
          <w:ilvl w:val="0"/>
          <w:numId w:val="5"/>
        </w:numPr>
        <w:spacing w:before="240" w:after="200" w:line="240" w:lineRule="auto"/>
        <w:ind w:left="1440" w:hanging="720"/>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Access to Information</w:t>
      </w:r>
    </w:p>
    <w:p w14:paraId="3706641E" w14:textId="02F0CB27" w:rsidR="005A319F" w:rsidRPr="00CC562A" w:rsidRDefault="00037E38" w:rsidP="00001918">
      <w:pPr>
        <w:widowControl w:val="0"/>
        <w:numPr>
          <w:ilvl w:val="0"/>
          <w:numId w:val="18"/>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hAnsi="Cambria"/>
          <w:lang w:val="en-US"/>
        </w:rPr>
      </w:pPr>
      <w:r w:rsidRPr="00CC562A">
        <w:rPr>
          <w:rFonts w:ascii="Cambria" w:eastAsia="Cambria" w:hAnsi="Cambria" w:cs="Cambria"/>
          <w:sz w:val="20"/>
          <w:szCs w:val="20"/>
          <w:lang w:val="en-US"/>
        </w:rPr>
        <w:t>Regarding the authority conferred by the Access to Information Law on the Legal Counsel Office of the Presidency, the Commission recommends regulating it in accordance with international principles related to access to public information and national security</w:t>
      </w:r>
      <w:r w:rsidR="00843C54" w:rsidRPr="00CC562A">
        <w:rPr>
          <w:rFonts w:ascii="Cambria" w:eastAsia="Cambria" w:hAnsi="Cambria" w:cs="Cambria"/>
          <w:sz w:val="20"/>
          <w:szCs w:val="20"/>
          <w:lang w:val="en-US"/>
        </w:rPr>
        <w:t xml:space="preserve">. </w:t>
      </w:r>
    </w:p>
    <w:p w14:paraId="21A2302B" w14:textId="086CB986" w:rsidR="005A319F" w:rsidRPr="00CC562A" w:rsidRDefault="00037E38" w:rsidP="00001918">
      <w:pPr>
        <w:widowControl w:val="0"/>
        <w:numPr>
          <w:ilvl w:val="0"/>
          <w:numId w:val="18"/>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hAnsi="Cambria"/>
          <w:lang w:val="en-US"/>
        </w:rPr>
      </w:pPr>
      <w:r w:rsidRPr="00CC562A">
        <w:rPr>
          <w:rFonts w:ascii="Cambria" w:hAnsi="Cambria"/>
          <w:sz w:val="20"/>
          <w:szCs w:val="20"/>
          <w:lang w:val="en-US"/>
        </w:rPr>
        <w:t>Strengthen laws, policies, and practices to ensure</w:t>
      </w:r>
      <w:r w:rsidR="00543755" w:rsidRPr="00CC562A">
        <w:rPr>
          <w:rFonts w:ascii="Cambria" w:hAnsi="Cambria"/>
          <w:sz w:val="20"/>
          <w:szCs w:val="20"/>
          <w:lang w:val="en-US"/>
        </w:rPr>
        <w:t xml:space="preserve"> that judicial authorities have full access to relevant information when investigating and prosecuting cases of human rights violations attributed to members of the security forces</w:t>
      </w:r>
      <w:r w:rsidR="005A319F" w:rsidRPr="00CC562A">
        <w:rPr>
          <w:rFonts w:ascii="Cambria" w:hAnsi="Cambria"/>
          <w:sz w:val="20"/>
          <w:szCs w:val="20"/>
          <w:lang w:val="en-US"/>
        </w:rPr>
        <w:t xml:space="preserve">. </w:t>
      </w:r>
    </w:p>
    <w:p w14:paraId="7D43F3A3" w14:textId="7521439B" w:rsidR="00843C54" w:rsidRPr="00CC562A" w:rsidRDefault="005A319F" w:rsidP="00543755">
      <w:pPr>
        <w:widowControl w:val="0"/>
        <w:numPr>
          <w:ilvl w:val="0"/>
          <w:numId w:val="18"/>
        </w:numPr>
        <w:pBdr>
          <w:top w:val="nil"/>
          <w:left w:val="nil"/>
          <w:bottom w:val="nil"/>
          <w:right w:val="nil"/>
          <w:between w:val="nil"/>
        </w:pBdr>
        <w:shd w:val="clear" w:color="auto" w:fill="D9D9D9" w:themeFill="background1" w:themeFillShade="D9"/>
        <w:tabs>
          <w:tab w:val="left" w:pos="2970"/>
          <w:tab w:val="left" w:pos="5850"/>
        </w:tabs>
        <w:spacing w:before="240" w:line="240" w:lineRule="auto"/>
        <w:ind w:left="1440" w:hanging="720"/>
        <w:jc w:val="both"/>
        <w:rPr>
          <w:rFonts w:ascii="Cambria" w:hAnsi="Cambria"/>
          <w:lang w:val="en-US"/>
        </w:rPr>
      </w:pPr>
      <w:r w:rsidRPr="00CC562A">
        <w:rPr>
          <w:rFonts w:ascii="Cambria" w:hAnsi="Cambria"/>
          <w:sz w:val="20"/>
          <w:szCs w:val="20"/>
          <w:lang w:val="en-US"/>
        </w:rPr>
        <w:t>Adopt</w:t>
      </w:r>
      <w:r w:rsidR="00543755" w:rsidRPr="00CC562A">
        <w:rPr>
          <w:rFonts w:ascii="Cambria" w:hAnsi="Cambria"/>
          <w:sz w:val="20"/>
          <w:szCs w:val="20"/>
          <w:lang w:val="en-US"/>
        </w:rPr>
        <w:t xml:space="preserve"> pertinent measures to ensure that the security forces compile, systematize, and periodically publish the information regarding harm done to life and integrity, </w:t>
      </w:r>
      <w:proofErr w:type="gramStart"/>
      <w:r w:rsidR="00543755" w:rsidRPr="00CC562A">
        <w:rPr>
          <w:rFonts w:ascii="Cambria" w:hAnsi="Cambria"/>
          <w:sz w:val="20"/>
          <w:szCs w:val="20"/>
          <w:lang w:val="en-US"/>
        </w:rPr>
        <w:t>as a consequence of</w:t>
      </w:r>
      <w:proofErr w:type="gramEnd"/>
      <w:r w:rsidR="00543755" w:rsidRPr="00CC562A">
        <w:rPr>
          <w:rFonts w:ascii="Cambria" w:hAnsi="Cambria"/>
          <w:sz w:val="20"/>
          <w:szCs w:val="20"/>
          <w:lang w:val="en-US"/>
        </w:rPr>
        <w:t xml:space="preserve"> efforts to combat organized crime. The information related to such harm shall include a description of the place where it occurred, the date, data on the security sector unit reportedly present when it occurred, and information regarding that unit’s mandate and oversight. Likewise, what were the causes of the harm done and the inability to prevent it</w:t>
      </w:r>
      <w:r w:rsidRPr="00CC562A">
        <w:rPr>
          <w:rFonts w:ascii="Cambria" w:hAnsi="Cambria"/>
          <w:sz w:val="20"/>
          <w:szCs w:val="20"/>
          <w:lang w:val="en-US"/>
        </w:rPr>
        <w:t xml:space="preserve">. </w:t>
      </w:r>
    </w:p>
    <w:p w14:paraId="48DB5D7B" w14:textId="53964C6F" w:rsidR="00BE2C6E" w:rsidRPr="003835DF" w:rsidRDefault="2D308A46" w:rsidP="003835DF">
      <w:pPr>
        <w:numPr>
          <w:ilvl w:val="0"/>
          <w:numId w:val="2"/>
        </w:numPr>
        <w:shd w:val="clear" w:color="auto" w:fill="FFFFFF" w:themeFill="background1"/>
        <w:spacing w:before="240" w:line="240" w:lineRule="auto"/>
        <w:ind w:left="0" w:firstLine="720"/>
        <w:jc w:val="both"/>
        <w:rPr>
          <w:rFonts w:ascii="Cambria" w:hAnsi="Cambria" w:cs="Segoe UI"/>
          <w:b/>
          <w:bCs/>
          <w:sz w:val="20"/>
          <w:szCs w:val="20"/>
          <w:lang w:val="en-US"/>
        </w:rPr>
      </w:pPr>
      <w:r w:rsidRPr="003835DF">
        <w:rPr>
          <w:rFonts w:ascii="Cambria" w:eastAsia="Cambria" w:hAnsi="Cambria" w:cs="Cambria"/>
          <w:sz w:val="20"/>
          <w:szCs w:val="20"/>
          <w:lang w:val="en-US"/>
        </w:rPr>
        <w:t xml:space="preserve"> </w:t>
      </w:r>
      <w:r w:rsidR="00543755" w:rsidRPr="003835DF">
        <w:rPr>
          <w:rFonts w:ascii="Cambria" w:eastAsia="Cambria" w:hAnsi="Cambria" w:cs="Cambria"/>
          <w:sz w:val="20"/>
          <w:szCs w:val="20"/>
          <w:lang w:val="en-US"/>
        </w:rPr>
        <w:t xml:space="preserve">Regarding the recommendation on </w:t>
      </w:r>
      <w:r w:rsidR="0ED6A699" w:rsidRPr="003835DF">
        <w:rPr>
          <w:rFonts w:ascii="Cambria" w:hAnsi="Cambria"/>
          <w:sz w:val="20"/>
          <w:szCs w:val="20"/>
          <w:lang w:val="en-US"/>
        </w:rPr>
        <w:t>reg</w:t>
      </w:r>
      <w:r w:rsidR="00543755" w:rsidRPr="003835DF">
        <w:rPr>
          <w:rFonts w:ascii="Cambria" w:hAnsi="Cambria"/>
          <w:sz w:val="20"/>
          <w:szCs w:val="20"/>
          <w:lang w:val="en-US"/>
        </w:rPr>
        <w:t xml:space="preserve">ulating the authority conferred by the Access to Information Law on the Legal Counsel of the Presidency, </w:t>
      </w:r>
      <w:r w:rsidR="002E5080" w:rsidRPr="003835DF">
        <w:rPr>
          <w:rFonts w:ascii="Cambria" w:hAnsi="Cambria"/>
          <w:sz w:val="20"/>
          <w:szCs w:val="20"/>
          <w:lang w:val="en-US"/>
        </w:rPr>
        <w:t>i</w:t>
      </w:r>
      <w:r w:rsidR="00543755" w:rsidRPr="003835DF">
        <w:rPr>
          <w:rFonts w:ascii="Cambria" w:hAnsi="Cambria"/>
          <w:sz w:val="20"/>
          <w:szCs w:val="20"/>
          <w:lang w:val="en-US"/>
        </w:rPr>
        <w:t>n accordance with international principles related to access to public information and national security</w:t>
      </w:r>
      <w:r w:rsidR="48E22F4E" w:rsidRPr="003835DF">
        <w:rPr>
          <w:rFonts w:ascii="Cambria" w:eastAsia="Cambria" w:hAnsi="Cambria" w:cs="Cambria"/>
          <w:sz w:val="20"/>
          <w:szCs w:val="20"/>
          <w:lang w:val="en-US"/>
        </w:rPr>
        <w:t xml:space="preserve">, </w:t>
      </w:r>
      <w:r w:rsidR="005D3441" w:rsidRPr="003835DF">
        <w:rPr>
          <w:rFonts w:ascii="Cambria" w:hAnsi="Cambria"/>
          <w:sz w:val="20"/>
          <w:lang w:val="en-US"/>
        </w:rPr>
        <w:t>in its first report the State indicated that it did not have updated information.</w:t>
      </w:r>
      <w:r w:rsidR="00BE2C6E" w:rsidRPr="003835DF">
        <w:rPr>
          <w:rStyle w:val="FootnoteReference"/>
          <w:rFonts w:ascii="Cambria" w:hAnsi="Cambria"/>
          <w:sz w:val="20"/>
          <w:lang w:val="es-CO"/>
        </w:rPr>
        <w:footnoteReference w:id="361"/>
      </w:r>
      <w:r w:rsidR="005D3441" w:rsidRPr="003835DF">
        <w:rPr>
          <w:rFonts w:ascii="Cambria" w:hAnsi="Cambria"/>
          <w:sz w:val="20"/>
          <w:lang w:val="en-US"/>
        </w:rPr>
        <w:t xml:space="preserve"> Nonetheless, in its observations on the preliminary version of the report, the State indicated that Article </w:t>
      </w:r>
      <w:r w:rsidR="00BE2C6E" w:rsidRPr="003835DF">
        <w:rPr>
          <w:rStyle w:val="cf01"/>
          <w:rFonts w:ascii="Cambria" w:hAnsi="Cambria"/>
          <w:sz w:val="20"/>
          <w:szCs w:val="20"/>
          <w:lang w:val="en-US"/>
        </w:rPr>
        <w:t xml:space="preserve">5 </w:t>
      </w:r>
      <w:r w:rsidR="005D3441" w:rsidRPr="003835DF">
        <w:rPr>
          <w:rStyle w:val="cf01"/>
          <w:rFonts w:ascii="Cambria" w:hAnsi="Cambria"/>
          <w:sz w:val="20"/>
          <w:szCs w:val="20"/>
          <w:lang w:val="en-US"/>
        </w:rPr>
        <w:t xml:space="preserve">of the General Law on Transparency and Access to Public Information </w:t>
      </w:r>
      <w:r w:rsidR="00BE2C6E" w:rsidRPr="003835DF">
        <w:rPr>
          <w:rStyle w:val="cf01"/>
          <w:rFonts w:ascii="Cambria" w:hAnsi="Cambria"/>
          <w:sz w:val="20"/>
          <w:szCs w:val="20"/>
          <w:lang w:val="en-US"/>
        </w:rPr>
        <w:t xml:space="preserve">(LGTAIP) </w:t>
      </w:r>
      <w:r w:rsidR="005D3441" w:rsidRPr="003835DF">
        <w:rPr>
          <w:rStyle w:val="cf01"/>
          <w:rFonts w:ascii="Cambria" w:hAnsi="Cambria"/>
          <w:sz w:val="20"/>
          <w:szCs w:val="20"/>
          <w:lang w:val="en-US"/>
        </w:rPr>
        <w:t xml:space="preserve">provides that information may not be </w:t>
      </w:r>
      <w:r w:rsidR="00BE2C6E" w:rsidRPr="003835DF">
        <w:rPr>
          <w:rStyle w:val="cf01"/>
          <w:rFonts w:ascii="Cambria" w:hAnsi="Cambria"/>
          <w:sz w:val="20"/>
          <w:szCs w:val="20"/>
          <w:lang w:val="en-US"/>
        </w:rPr>
        <w:t xml:space="preserve"> </w:t>
      </w:r>
      <w:r w:rsidR="005D3441" w:rsidRPr="003835DF">
        <w:rPr>
          <w:rStyle w:val="cf01"/>
          <w:rFonts w:ascii="Cambria" w:hAnsi="Cambria"/>
          <w:sz w:val="20"/>
          <w:szCs w:val="20"/>
          <w:lang w:val="en-US"/>
        </w:rPr>
        <w:t>restricted when, among other cases</w:t>
      </w:r>
      <w:r w:rsidR="00851BCF" w:rsidRPr="003835DF">
        <w:rPr>
          <w:rStyle w:val="cf01"/>
          <w:rFonts w:ascii="Cambria" w:hAnsi="Cambria"/>
          <w:sz w:val="20"/>
          <w:szCs w:val="20"/>
          <w:lang w:val="en-US"/>
        </w:rPr>
        <w:t>, it</w:t>
      </w:r>
      <w:r w:rsidR="00BE2C6E" w:rsidRPr="003835DF">
        <w:rPr>
          <w:rStyle w:val="cf01"/>
          <w:rFonts w:ascii="Cambria" w:hAnsi="Cambria"/>
          <w:sz w:val="20"/>
          <w:szCs w:val="20"/>
          <w:lang w:val="en-US"/>
        </w:rPr>
        <w:t xml:space="preserve">: </w:t>
      </w:r>
      <w:r w:rsidR="00BE2C6E" w:rsidRPr="003835DF">
        <w:rPr>
          <w:rStyle w:val="cf21"/>
          <w:rFonts w:ascii="Cambria" w:hAnsi="Cambria"/>
          <w:sz w:val="20"/>
          <w:szCs w:val="20"/>
          <w:lang w:val="en-US"/>
        </w:rPr>
        <w:t xml:space="preserve">a) </w:t>
      </w:r>
      <w:r w:rsidR="005D3441" w:rsidRPr="003835DF">
        <w:rPr>
          <w:rStyle w:val="cf01"/>
          <w:rFonts w:ascii="Cambria" w:hAnsi="Cambria"/>
          <w:sz w:val="20"/>
          <w:szCs w:val="20"/>
          <w:lang w:val="en-US"/>
        </w:rPr>
        <w:t xml:space="preserve">involves serious human rights violations; and </w:t>
      </w:r>
      <w:r w:rsidR="00BE2C6E" w:rsidRPr="003835DF">
        <w:rPr>
          <w:rStyle w:val="cf21"/>
          <w:rFonts w:ascii="Cambria" w:hAnsi="Cambria"/>
          <w:sz w:val="20"/>
          <w:szCs w:val="20"/>
          <w:lang w:val="en-US"/>
        </w:rPr>
        <w:t>b)</w:t>
      </w:r>
      <w:r w:rsidR="00BE2C6E" w:rsidRPr="003835DF">
        <w:rPr>
          <w:rStyle w:val="cf01"/>
          <w:rFonts w:ascii="Cambria" w:hAnsi="Cambria"/>
          <w:sz w:val="20"/>
          <w:szCs w:val="20"/>
          <w:lang w:val="en-US"/>
        </w:rPr>
        <w:t xml:space="preserve"> </w:t>
      </w:r>
      <w:r w:rsidR="00851BCF" w:rsidRPr="003835DF">
        <w:rPr>
          <w:rStyle w:val="cf01"/>
          <w:rFonts w:ascii="Cambria" w:hAnsi="Cambria"/>
          <w:sz w:val="20"/>
          <w:szCs w:val="20"/>
          <w:lang w:val="en-US"/>
        </w:rPr>
        <w:t>crimes against humanity in accordance with international treaties ratified by</w:t>
      </w:r>
      <w:r w:rsidR="00BE2C6E" w:rsidRPr="003835DF">
        <w:rPr>
          <w:rStyle w:val="cf01"/>
          <w:rFonts w:ascii="Cambria" w:hAnsi="Cambria"/>
          <w:sz w:val="20"/>
          <w:szCs w:val="20"/>
          <w:lang w:val="en-US"/>
        </w:rPr>
        <w:t xml:space="preserve"> </w:t>
      </w:r>
      <w:r w:rsidR="00851BCF" w:rsidRPr="003835DF">
        <w:rPr>
          <w:rStyle w:val="cf01"/>
          <w:rFonts w:ascii="Cambria" w:hAnsi="Cambria"/>
          <w:sz w:val="20"/>
          <w:szCs w:val="20"/>
          <w:lang w:val="en-US"/>
        </w:rPr>
        <w:t xml:space="preserve">the Mexican State, the resolutions issued by international organizations whose jurisdiction is recognized by the Mexican </w:t>
      </w:r>
      <w:r w:rsidR="00851BCF" w:rsidRPr="003835DF">
        <w:rPr>
          <w:rStyle w:val="cf01"/>
          <w:rFonts w:ascii="Cambria" w:hAnsi="Cambria"/>
          <w:sz w:val="20"/>
          <w:szCs w:val="20"/>
          <w:lang w:val="en-US"/>
        </w:rPr>
        <w:lastRenderedPageBreak/>
        <w:t>State, as well as applicable legal provisions. In this regard, it stated that the power of the</w:t>
      </w:r>
      <w:r w:rsidR="00BE2C6E" w:rsidRPr="003835DF">
        <w:rPr>
          <w:rStyle w:val="cf01"/>
          <w:rFonts w:ascii="Cambria" w:hAnsi="Cambria"/>
          <w:sz w:val="20"/>
          <w:szCs w:val="20"/>
          <w:lang w:val="en-US"/>
        </w:rPr>
        <w:t xml:space="preserve"> </w:t>
      </w:r>
      <w:r w:rsidR="00851BCF" w:rsidRPr="003835DF">
        <w:rPr>
          <w:rStyle w:val="cf01"/>
          <w:rFonts w:ascii="Cambria" w:hAnsi="Cambria"/>
          <w:sz w:val="20"/>
          <w:szCs w:val="20"/>
          <w:lang w:val="en-US"/>
        </w:rPr>
        <w:t>Legal Counsel of the Federal Executive to file an appeal for review before the Supreme Court of Justice of the Nation to challenge the INAI’s resolutions based on reasons of national security was already regulated by the Legislative Branch and</w:t>
      </w:r>
      <w:r w:rsidR="00BE2C6E" w:rsidRPr="003835DF">
        <w:rPr>
          <w:rStyle w:val="cf01"/>
          <w:rFonts w:ascii="Cambria" w:hAnsi="Cambria"/>
          <w:sz w:val="20"/>
          <w:szCs w:val="20"/>
          <w:lang w:val="en-US"/>
        </w:rPr>
        <w:t xml:space="preserve"> </w:t>
      </w:r>
      <w:r w:rsidR="00851BCF" w:rsidRPr="003835DF">
        <w:rPr>
          <w:rStyle w:val="cf01"/>
          <w:rFonts w:ascii="Cambria" w:hAnsi="Cambria"/>
          <w:sz w:val="20"/>
          <w:szCs w:val="20"/>
          <w:lang w:val="en-US"/>
        </w:rPr>
        <w:t>limited to the indicated assumptions, so that, in its judgment, the exercise of that power respects international principles on access to public information and national security</w:t>
      </w:r>
      <w:r w:rsidR="00BE2C6E" w:rsidRPr="003835DF">
        <w:rPr>
          <w:rStyle w:val="cf01"/>
          <w:rFonts w:ascii="Cambria" w:hAnsi="Cambria"/>
          <w:sz w:val="20"/>
          <w:szCs w:val="20"/>
          <w:lang w:val="en-US"/>
        </w:rPr>
        <w:t xml:space="preserve">. </w:t>
      </w:r>
      <w:r w:rsidR="00851BCF" w:rsidRPr="003835DF">
        <w:rPr>
          <w:rStyle w:val="cf01"/>
          <w:rFonts w:ascii="Cambria" w:hAnsi="Cambria"/>
          <w:sz w:val="20"/>
          <w:szCs w:val="20"/>
          <w:lang w:val="en-US"/>
        </w:rPr>
        <w:t xml:space="preserve"> In this regard, it stated that </w:t>
      </w:r>
      <w:r w:rsidR="00390F03" w:rsidRPr="003835DF">
        <w:rPr>
          <w:rStyle w:val="cf01"/>
          <w:rFonts w:ascii="Cambria" w:hAnsi="Cambria"/>
          <w:sz w:val="20"/>
          <w:szCs w:val="20"/>
          <w:lang w:val="en-US"/>
        </w:rPr>
        <w:t>this</w:t>
      </w:r>
      <w:r w:rsidR="00851BCF" w:rsidRPr="003835DF">
        <w:rPr>
          <w:rStyle w:val="cf01"/>
          <w:rFonts w:ascii="Cambria" w:hAnsi="Cambria"/>
          <w:sz w:val="20"/>
          <w:szCs w:val="20"/>
          <w:lang w:val="en-US"/>
        </w:rPr>
        <w:t xml:space="preserve"> is so, considering that the appeal for review is only filed in those cases in which it is considered necessary to safeguard </w:t>
      </w:r>
      <w:r w:rsidR="005E4097" w:rsidRPr="003835DF">
        <w:rPr>
          <w:rStyle w:val="cf01"/>
          <w:rFonts w:ascii="Cambria" w:hAnsi="Cambria"/>
          <w:sz w:val="20"/>
          <w:szCs w:val="20"/>
          <w:lang w:val="en-US"/>
        </w:rPr>
        <w:t>information related to guaranteeing the bases and minimum structures required to achieve the stability, permanence, and integrity of the Mexican State.</w:t>
      </w:r>
      <w:r w:rsidR="00BE2C6E" w:rsidRPr="003835DF">
        <w:rPr>
          <w:rStyle w:val="FootnoteReference"/>
          <w:rFonts w:ascii="Cambria" w:hAnsi="Cambria"/>
          <w:sz w:val="20"/>
          <w:lang w:val="en-US"/>
        </w:rPr>
        <w:footnoteReference w:id="362"/>
      </w:r>
    </w:p>
    <w:p w14:paraId="6749B9B0" w14:textId="286FE155" w:rsidR="00BE2C6E" w:rsidRPr="003835DF" w:rsidRDefault="005E4097" w:rsidP="003835DF">
      <w:pPr>
        <w:numPr>
          <w:ilvl w:val="0"/>
          <w:numId w:val="2"/>
        </w:numPr>
        <w:shd w:val="clear" w:color="auto" w:fill="FFFFFF" w:themeFill="background1"/>
        <w:spacing w:before="240" w:line="240" w:lineRule="auto"/>
        <w:ind w:left="0" w:firstLine="720"/>
        <w:jc w:val="both"/>
        <w:rPr>
          <w:rFonts w:ascii="Cambria" w:hAnsi="Cambria" w:cs="Arial"/>
          <w:i/>
          <w:iCs/>
          <w:sz w:val="20"/>
          <w:szCs w:val="20"/>
          <w:lang w:val="en-US"/>
        </w:rPr>
      </w:pPr>
      <w:r w:rsidRPr="003835DF">
        <w:rPr>
          <w:rStyle w:val="cf01"/>
          <w:rFonts w:ascii="Cambria" w:hAnsi="Cambria"/>
          <w:sz w:val="20"/>
          <w:szCs w:val="20"/>
          <w:lang w:val="en-US"/>
        </w:rPr>
        <w:t xml:space="preserve">In addition, the State indicated that, on May 16, </w:t>
      </w:r>
      <w:r w:rsidR="00BE2C6E" w:rsidRPr="003835DF">
        <w:rPr>
          <w:rStyle w:val="cf01"/>
          <w:rFonts w:ascii="Cambria" w:hAnsi="Cambria"/>
          <w:sz w:val="20"/>
          <w:szCs w:val="20"/>
          <w:lang w:val="en-US"/>
        </w:rPr>
        <w:t xml:space="preserve">2022, </w:t>
      </w:r>
      <w:r w:rsidRPr="003835DF">
        <w:rPr>
          <w:rStyle w:val="cf01"/>
          <w:rFonts w:ascii="Cambria" w:hAnsi="Cambria"/>
          <w:sz w:val="20"/>
          <w:szCs w:val="20"/>
          <w:lang w:val="en-US"/>
        </w:rPr>
        <w:t xml:space="preserve">the Supreme Court of Justice of the Nation, when ruling on the appeal for review on national security matter </w:t>
      </w:r>
      <w:r w:rsidR="00BE2C6E" w:rsidRPr="003835DF">
        <w:rPr>
          <w:rStyle w:val="cf21"/>
          <w:rFonts w:ascii="Cambria" w:hAnsi="Cambria"/>
          <w:sz w:val="20"/>
          <w:szCs w:val="20"/>
          <w:lang w:val="en-US"/>
        </w:rPr>
        <w:t xml:space="preserve">3/2021 </w:t>
      </w:r>
      <w:r w:rsidRPr="003835DF">
        <w:rPr>
          <w:rStyle w:val="cf21"/>
          <w:rFonts w:ascii="Cambria" w:hAnsi="Cambria"/>
          <w:sz w:val="20"/>
          <w:szCs w:val="20"/>
          <w:lang w:val="en-US"/>
        </w:rPr>
        <w:t>and</w:t>
      </w:r>
      <w:r w:rsidR="00BE2C6E" w:rsidRPr="003835DF">
        <w:rPr>
          <w:rStyle w:val="cf01"/>
          <w:rFonts w:ascii="Cambria" w:hAnsi="Cambria"/>
          <w:sz w:val="20"/>
          <w:szCs w:val="20"/>
          <w:lang w:val="en-US"/>
        </w:rPr>
        <w:t xml:space="preserve"> </w:t>
      </w:r>
      <w:r w:rsidR="00BE2C6E" w:rsidRPr="003835DF">
        <w:rPr>
          <w:rStyle w:val="cf21"/>
          <w:rFonts w:ascii="Cambria" w:hAnsi="Cambria"/>
          <w:sz w:val="20"/>
          <w:szCs w:val="20"/>
          <w:lang w:val="en-US"/>
        </w:rPr>
        <w:t xml:space="preserve">6/2021, </w:t>
      </w:r>
      <w:r w:rsidR="00BE2C6E" w:rsidRPr="003835DF">
        <w:rPr>
          <w:rStyle w:val="cf01"/>
          <w:rFonts w:ascii="Cambria" w:hAnsi="Cambria"/>
          <w:sz w:val="20"/>
          <w:szCs w:val="20"/>
          <w:lang w:val="en-US"/>
        </w:rPr>
        <w:t>determi</w:t>
      </w:r>
      <w:r w:rsidRPr="003835DF">
        <w:rPr>
          <w:rStyle w:val="cf01"/>
          <w:rFonts w:ascii="Cambria" w:hAnsi="Cambria"/>
          <w:sz w:val="20"/>
          <w:szCs w:val="20"/>
          <w:lang w:val="en-US"/>
        </w:rPr>
        <w:t xml:space="preserve">ned that </w:t>
      </w:r>
      <w:r w:rsidR="00BE2C6E" w:rsidRPr="003835DF">
        <w:rPr>
          <w:rStyle w:val="cf01"/>
          <w:rFonts w:ascii="Cambria" w:hAnsi="Cambria"/>
          <w:sz w:val="20"/>
          <w:szCs w:val="20"/>
          <w:lang w:val="en-US"/>
        </w:rPr>
        <w:t>“</w:t>
      </w:r>
      <w:r w:rsidRPr="003835DF">
        <w:rPr>
          <w:rStyle w:val="cf41"/>
          <w:rFonts w:ascii="Cambria" w:hAnsi="Cambria"/>
          <w:sz w:val="20"/>
          <w:szCs w:val="20"/>
          <w:lang w:val="en-US"/>
        </w:rPr>
        <w:t>the appeal for review on matters of national security constitutes an extraordinary or exceptional means of legal defense. This is so because in the case of</w:t>
      </w:r>
      <w:r w:rsidR="00BE2C6E" w:rsidRPr="003835DF">
        <w:rPr>
          <w:rStyle w:val="cf31"/>
          <w:rFonts w:ascii="Cambria" w:hAnsi="Cambria"/>
          <w:sz w:val="20"/>
          <w:szCs w:val="20"/>
          <w:lang w:val="en-US"/>
        </w:rPr>
        <w:t xml:space="preserve"> </w:t>
      </w:r>
      <w:r w:rsidRPr="003835DF">
        <w:rPr>
          <w:rStyle w:val="cf31"/>
          <w:rFonts w:ascii="Cambria" w:hAnsi="Cambria"/>
          <w:sz w:val="20"/>
          <w:szCs w:val="20"/>
          <w:lang w:val="en-US"/>
        </w:rPr>
        <w:t>subject entities, both the Constitution and legislation in this area established as a general principle the binding, definitive, and</w:t>
      </w:r>
      <w:r w:rsidR="00BE2C6E" w:rsidRPr="003835DF">
        <w:rPr>
          <w:rStyle w:val="cf31"/>
          <w:rFonts w:ascii="Cambria" w:hAnsi="Cambria"/>
          <w:sz w:val="20"/>
          <w:szCs w:val="20"/>
          <w:lang w:val="en-US"/>
        </w:rPr>
        <w:t xml:space="preserve"> </w:t>
      </w:r>
      <w:r w:rsidRPr="003835DF">
        <w:rPr>
          <w:rStyle w:val="cf31"/>
          <w:rFonts w:ascii="Cambria" w:hAnsi="Cambria"/>
          <w:sz w:val="20"/>
          <w:szCs w:val="20"/>
          <w:lang w:val="en-US"/>
        </w:rPr>
        <w:t>unassailable nature of the resolutions of the</w:t>
      </w:r>
      <w:r w:rsidR="00BE2C6E" w:rsidRPr="003835DF">
        <w:rPr>
          <w:rStyle w:val="cf31"/>
          <w:rFonts w:ascii="Cambria" w:hAnsi="Cambria"/>
          <w:sz w:val="20"/>
          <w:szCs w:val="20"/>
          <w:lang w:val="en-US"/>
        </w:rPr>
        <w:t xml:space="preserve"> INAI (…)</w:t>
      </w:r>
      <w:r w:rsidRPr="003835DF">
        <w:rPr>
          <w:rStyle w:val="cf31"/>
          <w:rFonts w:ascii="Cambria" w:hAnsi="Cambria"/>
          <w:sz w:val="20"/>
          <w:szCs w:val="20"/>
          <w:lang w:val="en-US"/>
        </w:rPr>
        <w:t>.</w:t>
      </w:r>
      <w:r w:rsidR="00BE2C6E" w:rsidRPr="003835DF">
        <w:rPr>
          <w:rStyle w:val="cf31"/>
          <w:rFonts w:ascii="Cambria" w:hAnsi="Cambria"/>
          <w:sz w:val="20"/>
          <w:szCs w:val="20"/>
          <w:lang w:val="en-US"/>
        </w:rPr>
        <w:t>”</w:t>
      </w:r>
      <w:r w:rsidRPr="003835DF">
        <w:rPr>
          <w:rStyle w:val="cf31"/>
          <w:rFonts w:ascii="Cambria" w:hAnsi="Cambria"/>
          <w:sz w:val="20"/>
          <w:szCs w:val="20"/>
          <w:lang w:val="en-US"/>
        </w:rPr>
        <w:t xml:space="preserve"> In this regard, the State indicated that, according to these decisions, this appeal</w:t>
      </w:r>
      <w:r w:rsidR="00BE2C6E" w:rsidRPr="003835DF">
        <w:rPr>
          <w:rStyle w:val="cf31"/>
          <w:rFonts w:ascii="Cambria" w:hAnsi="Cambria"/>
          <w:sz w:val="20"/>
          <w:szCs w:val="20"/>
          <w:lang w:val="en-US"/>
        </w:rPr>
        <w:t xml:space="preserve"> “</w:t>
      </w:r>
      <w:r w:rsidRPr="003835DF">
        <w:rPr>
          <w:rFonts w:ascii="Cambria" w:hAnsi="Cambria" w:cs="Segoe UI"/>
          <w:sz w:val="20"/>
          <w:szCs w:val="20"/>
          <w:lang w:val="en-US"/>
        </w:rPr>
        <w:t xml:space="preserve">may not assume a means for defining the legality of each and every one of the questions resolved by the </w:t>
      </w:r>
      <w:r w:rsidR="00BE2C6E" w:rsidRPr="003835DF">
        <w:rPr>
          <w:rFonts w:ascii="Cambria" w:hAnsi="Cambria" w:cs="Segoe UI"/>
          <w:sz w:val="20"/>
          <w:szCs w:val="20"/>
          <w:lang w:val="en-US"/>
        </w:rPr>
        <w:t xml:space="preserve">INAI, </w:t>
      </w:r>
      <w:r w:rsidRPr="003835DF">
        <w:rPr>
          <w:rFonts w:ascii="Cambria" w:hAnsi="Cambria" w:cs="Segoe UI"/>
          <w:sz w:val="20"/>
          <w:szCs w:val="20"/>
          <w:lang w:val="en-US"/>
        </w:rPr>
        <w:t xml:space="preserve">as if a second instance were involved; thus it is that, based on its very nature, the appeal is limited to the analysis of those determinations, whether substantive or adjectival in nature, that result in the disclosure of certain information that, in the judgment of the responsible authorities or subject entities, may </w:t>
      </w:r>
      <w:r w:rsidR="0025089D" w:rsidRPr="003835DF">
        <w:rPr>
          <w:rFonts w:ascii="Cambria" w:hAnsi="Cambria" w:cs="Segoe UI"/>
          <w:sz w:val="20"/>
          <w:szCs w:val="20"/>
          <w:lang w:val="en-US"/>
        </w:rPr>
        <w:t>jeopardize natural security</w:t>
      </w:r>
      <w:r w:rsidR="00BE2C6E" w:rsidRPr="003835DF">
        <w:rPr>
          <w:rFonts w:ascii="Cambria" w:hAnsi="Cambria" w:cs="Segoe UI"/>
          <w:sz w:val="20"/>
          <w:szCs w:val="20"/>
          <w:lang w:val="en-US"/>
        </w:rPr>
        <w:t>;</w:t>
      </w:r>
      <w:r w:rsidR="0025089D" w:rsidRPr="003835DF">
        <w:rPr>
          <w:rFonts w:ascii="Cambria" w:hAnsi="Cambria" w:cs="Segoe UI"/>
          <w:sz w:val="20"/>
          <w:szCs w:val="20"/>
          <w:lang w:val="en-US"/>
        </w:rPr>
        <w:t xml:space="preserve"> a question that shall be resolve</w:t>
      </w:r>
      <w:r w:rsidR="00556F93" w:rsidRPr="003835DF">
        <w:rPr>
          <w:rFonts w:ascii="Cambria" w:hAnsi="Cambria" w:cs="Segoe UI"/>
          <w:sz w:val="20"/>
          <w:szCs w:val="20"/>
          <w:lang w:val="en-US"/>
        </w:rPr>
        <w:t xml:space="preserve">d </w:t>
      </w:r>
      <w:r w:rsidR="0025089D" w:rsidRPr="003835DF">
        <w:rPr>
          <w:rFonts w:ascii="Cambria" w:hAnsi="Cambria" w:cs="Segoe UI"/>
          <w:sz w:val="20"/>
          <w:szCs w:val="20"/>
          <w:lang w:val="en-US"/>
        </w:rPr>
        <w:t>definitively by and under the full jurisdiction of the Supreme Court of Justice of the Nation.</w:t>
      </w:r>
      <w:r w:rsidR="00BE2C6E" w:rsidRPr="003835DF">
        <w:rPr>
          <w:rStyle w:val="cf31"/>
          <w:rFonts w:ascii="Cambria" w:hAnsi="Cambria"/>
          <w:sz w:val="20"/>
          <w:szCs w:val="20"/>
          <w:lang w:val="en-US"/>
        </w:rPr>
        <w:t>”</w:t>
      </w:r>
      <w:r w:rsidR="00BE2C6E" w:rsidRPr="003835DF">
        <w:rPr>
          <w:rStyle w:val="FootnoteReference"/>
          <w:rFonts w:ascii="Cambria" w:hAnsi="Cambria"/>
          <w:sz w:val="20"/>
          <w:lang w:val="en-US"/>
        </w:rPr>
        <w:footnoteReference w:id="363"/>
      </w:r>
    </w:p>
    <w:p w14:paraId="2E86A568" w14:textId="34785FD3" w:rsidR="002B21B1" w:rsidRPr="00CC562A" w:rsidRDefault="0054375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On the subject of access</w:t>
      </w:r>
      <w:proofErr w:type="gramEnd"/>
      <w:r w:rsidRPr="00CC562A">
        <w:rPr>
          <w:rFonts w:ascii="Cambria" w:eastAsia="Cambria" w:hAnsi="Cambria" w:cs="Cambria"/>
          <w:sz w:val="20"/>
          <w:szCs w:val="20"/>
          <w:lang w:val="en-US"/>
        </w:rPr>
        <w:t xml:space="preserve"> to information, Article 19 </w:t>
      </w:r>
      <w:r w:rsidR="00D77397" w:rsidRPr="00CC562A">
        <w:rPr>
          <w:rFonts w:ascii="Cambria" w:eastAsia="Cambria" w:hAnsi="Cambria" w:cs="Cambria"/>
          <w:sz w:val="20"/>
          <w:szCs w:val="20"/>
          <w:lang w:val="en-US"/>
        </w:rPr>
        <w:t>referred</w:t>
      </w:r>
      <w:r w:rsidRPr="00CC562A">
        <w:rPr>
          <w:rFonts w:ascii="Cambria" w:eastAsia="Cambria" w:hAnsi="Cambria" w:cs="Cambria"/>
          <w:sz w:val="20"/>
          <w:szCs w:val="20"/>
          <w:lang w:val="en-US"/>
        </w:rPr>
        <w:t xml:space="preserve"> to the</w:t>
      </w:r>
      <w:r w:rsidR="63C84658" w:rsidRPr="00CC562A">
        <w:rPr>
          <w:rFonts w:ascii="Cambria" w:eastAsia="Cambria" w:hAnsi="Cambria" w:cs="Cambria"/>
          <w:sz w:val="20"/>
          <w:szCs w:val="20"/>
          <w:lang w:val="en-US"/>
        </w:rPr>
        <w:t xml:space="preserve"> </w:t>
      </w:r>
      <w:r w:rsidR="00FB1661" w:rsidRPr="00CC562A">
        <w:rPr>
          <w:rFonts w:ascii="Cambria" w:eastAsia="Cambria" w:hAnsi="Cambria" w:cs="Cambria"/>
          <w:sz w:val="20"/>
          <w:szCs w:val="20"/>
          <w:lang w:val="en-US"/>
        </w:rPr>
        <w:t>National Evaluation of Organizations Guaranteeing the Right to Information (hereinafter “</w:t>
      </w:r>
      <w:r w:rsidR="63C84658" w:rsidRPr="00CC562A">
        <w:rPr>
          <w:rFonts w:ascii="Cambria" w:eastAsia="Cambria" w:hAnsi="Cambria" w:cs="Cambria"/>
          <w:sz w:val="20"/>
          <w:szCs w:val="20"/>
          <w:lang w:val="en-US"/>
        </w:rPr>
        <w:t>ENOGDAI</w:t>
      </w:r>
      <w:r w:rsidR="0D065706" w:rsidRPr="00CC562A">
        <w:rPr>
          <w:rFonts w:ascii="Cambria" w:eastAsia="Cambria" w:hAnsi="Cambria" w:cs="Cambria"/>
          <w:sz w:val="20"/>
          <w:szCs w:val="20"/>
          <w:lang w:val="en-US"/>
        </w:rPr>
        <w:t>”</w:t>
      </w:r>
      <w:r w:rsidR="63C84658" w:rsidRPr="00CC562A">
        <w:rPr>
          <w:rFonts w:ascii="Cambria" w:eastAsia="Cambria" w:hAnsi="Cambria" w:cs="Cambria"/>
          <w:sz w:val="20"/>
          <w:szCs w:val="20"/>
          <w:lang w:val="en-US"/>
        </w:rPr>
        <w:t>)</w:t>
      </w:r>
      <w:r w:rsidR="002E5080" w:rsidRPr="00CC562A">
        <w:rPr>
          <w:rFonts w:ascii="Cambria" w:eastAsia="Cambria" w:hAnsi="Cambria" w:cs="Cambria"/>
          <w:sz w:val="20"/>
          <w:szCs w:val="20"/>
          <w:lang w:val="en-US"/>
        </w:rPr>
        <w:t>. B</w:t>
      </w:r>
      <w:r w:rsidR="00FB1661" w:rsidRPr="00CC562A">
        <w:rPr>
          <w:rFonts w:ascii="Cambria" w:eastAsia="Cambria" w:hAnsi="Cambria" w:cs="Cambria"/>
          <w:sz w:val="20"/>
          <w:szCs w:val="20"/>
          <w:lang w:val="en-US"/>
        </w:rPr>
        <w:t xml:space="preserve">ased on that initiative we analyzed the actions of the </w:t>
      </w:r>
      <w:r w:rsidR="63C84658" w:rsidRPr="00CC562A">
        <w:rPr>
          <w:rFonts w:ascii="Cambria" w:eastAsia="Cambria" w:hAnsi="Cambria" w:cs="Cambria"/>
          <w:sz w:val="20"/>
          <w:szCs w:val="20"/>
          <w:lang w:val="en-US"/>
        </w:rPr>
        <w:t xml:space="preserve">33 </w:t>
      </w:r>
      <w:r w:rsidR="00FB1661" w:rsidRPr="00CC562A">
        <w:rPr>
          <w:rFonts w:ascii="Cambria" w:eastAsia="Cambria" w:hAnsi="Cambria" w:cs="Cambria"/>
          <w:sz w:val="20"/>
          <w:szCs w:val="20"/>
          <w:lang w:val="en-US"/>
        </w:rPr>
        <w:t>Guarantor Organizations of the Right to Information</w:t>
      </w:r>
      <w:r w:rsidR="63C84658" w:rsidRPr="00CC562A">
        <w:rPr>
          <w:rFonts w:ascii="Cambria" w:eastAsia="Cambria" w:hAnsi="Cambria" w:cs="Cambria"/>
          <w:sz w:val="20"/>
          <w:szCs w:val="20"/>
          <w:lang w:val="en-US"/>
        </w:rPr>
        <w:t xml:space="preserve"> (32 local</w:t>
      </w:r>
      <w:r w:rsidR="00FB1661" w:rsidRPr="00CC562A">
        <w:rPr>
          <w:rFonts w:ascii="Cambria" w:eastAsia="Cambria" w:hAnsi="Cambria" w:cs="Cambria"/>
          <w:sz w:val="20"/>
          <w:szCs w:val="20"/>
          <w:lang w:val="en-US"/>
        </w:rPr>
        <w:t xml:space="preserve"> and one at the federal level, using as a basis the obligations and powers granted to them by the General Law on Transparency and Access to Public Information</w:t>
      </w:r>
      <w:r w:rsidR="002E5080" w:rsidRPr="00CC562A">
        <w:rPr>
          <w:rFonts w:ascii="Cambria" w:eastAsia="Cambria" w:hAnsi="Cambria" w:cs="Cambria"/>
          <w:sz w:val="20"/>
          <w:szCs w:val="20"/>
          <w:lang w:val="en-US"/>
        </w:rPr>
        <w:t>).</w:t>
      </w:r>
      <w:r w:rsidR="63C84658" w:rsidRPr="00CC562A">
        <w:rPr>
          <w:rFonts w:ascii="Cambria" w:eastAsia="Cambria" w:hAnsi="Cambria" w:cs="Cambria"/>
          <w:sz w:val="20"/>
          <w:szCs w:val="20"/>
          <w:lang w:val="en-US"/>
        </w:rPr>
        <w:t xml:space="preserve"> </w:t>
      </w:r>
      <w:r w:rsidR="00FB1661" w:rsidRPr="00CC562A">
        <w:rPr>
          <w:rFonts w:ascii="Cambria" w:eastAsia="Cambria" w:hAnsi="Cambria" w:cs="Cambria"/>
          <w:sz w:val="20"/>
          <w:szCs w:val="20"/>
          <w:lang w:val="en-US"/>
        </w:rPr>
        <w:t>The</w:t>
      </w:r>
      <w:r w:rsidR="63C84658" w:rsidRPr="00CC562A">
        <w:rPr>
          <w:rFonts w:ascii="Cambria" w:eastAsia="Cambria" w:hAnsi="Cambria" w:cs="Cambria"/>
          <w:sz w:val="20"/>
          <w:szCs w:val="20"/>
          <w:lang w:val="en-US"/>
        </w:rPr>
        <w:t xml:space="preserve"> ENOGDAI </w:t>
      </w:r>
      <w:r w:rsidR="00FB1661" w:rsidRPr="00CC562A">
        <w:rPr>
          <w:rFonts w:ascii="Cambria" w:eastAsia="Cambria" w:hAnsi="Cambria" w:cs="Cambria"/>
          <w:sz w:val="20"/>
          <w:szCs w:val="20"/>
          <w:lang w:val="en-US"/>
        </w:rPr>
        <w:t>calculates the rate of recurrence of those bound by the obligation in each federative entity, i.e., the percentage of appeals for review that were filed compared to total requests for information submitted</w:t>
      </w:r>
      <w:r w:rsidR="63C84658" w:rsidRPr="00CC562A">
        <w:rPr>
          <w:rFonts w:ascii="Cambria" w:eastAsia="Cambria" w:hAnsi="Cambria" w:cs="Cambria"/>
          <w:sz w:val="20"/>
          <w:szCs w:val="20"/>
          <w:lang w:val="en-US"/>
        </w:rPr>
        <w:t xml:space="preserve">. </w:t>
      </w:r>
    </w:p>
    <w:p w14:paraId="0BEB7FA6" w14:textId="5B3F6F31" w:rsidR="00843C54" w:rsidRPr="00CC562A" w:rsidRDefault="00E415A2"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organization indicated that the findings have shown that the states with the highest rates o</w:t>
      </w:r>
      <w:r w:rsidR="002E5080" w:rsidRPr="00CC562A">
        <w:rPr>
          <w:rFonts w:ascii="Cambria" w:eastAsia="Cambria" w:hAnsi="Cambria" w:cs="Cambria"/>
          <w:sz w:val="20"/>
          <w:szCs w:val="20"/>
          <w:lang w:val="en-US"/>
        </w:rPr>
        <w:t>f</w:t>
      </w:r>
      <w:r w:rsidRPr="00CC562A">
        <w:rPr>
          <w:rFonts w:ascii="Cambria" w:eastAsia="Cambria" w:hAnsi="Cambria" w:cs="Cambria"/>
          <w:sz w:val="20"/>
          <w:szCs w:val="20"/>
          <w:lang w:val="en-US"/>
        </w:rPr>
        <w:t xml:space="preserve"> recurrence were</w:t>
      </w:r>
      <w:r w:rsidR="63C84658" w:rsidRPr="00CC562A">
        <w:rPr>
          <w:rFonts w:ascii="Cambria" w:eastAsia="Cambria" w:hAnsi="Cambria" w:cs="Cambria"/>
          <w:sz w:val="20"/>
          <w:szCs w:val="20"/>
          <w:lang w:val="en-US"/>
        </w:rPr>
        <w:t xml:space="preserve"> Veracruz (31.9%), San Luis Potosí (22.1%)</w:t>
      </w:r>
      <w:r w:rsidRPr="00CC562A">
        <w:rPr>
          <w:rFonts w:ascii="Cambria" w:eastAsia="Cambria" w:hAnsi="Cambria" w:cs="Cambria"/>
          <w:sz w:val="20"/>
          <w:szCs w:val="20"/>
          <w:lang w:val="en-US"/>
        </w:rPr>
        <w:t xml:space="preserve"> and the State of Mexico</w:t>
      </w:r>
      <w:r w:rsidR="63C84658" w:rsidRPr="00CC562A">
        <w:rPr>
          <w:rFonts w:ascii="Cambria" w:eastAsia="Cambria" w:hAnsi="Cambria" w:cs="Cambria"/>
          <w:sz w:val="20"/>
          <w:szCs w:val="20"/>
          <w:lang w:val="en-US"/>
        </w:rPr>
        <w:t xml:space="preserve"> (19.8%). </w:t>
      </w:r>
      <w:r w:rsidR="002E5080" w:rsidRPr="00CC562A">
        <w:rPr>
          <w:rFonts w:ascii="Cambria" w:eastAsia="Cambria" w:hAnsi="Cambria" w:cs="Cambria"/>
          <w:sz w:val="20"/>
          <w:szCs w:val="20"/>
          <w:lang w:val="en-US"/>
        </w:rPr>
        <w:t>In contrast</w:t>
      </w:r>
      <w:r w:rsidRPr="00CC562A">
        <w:rPr>
          <w:rFonts w:ascii="Cambria" w:eastAsia="Cambria" w:hAnsi="Cambria" w:cs="Cambria"/>
          <w:sz w:val="20"/>
          <w:szCs w:val="20"/>
          <w:lang w:val="en-US"/>
        </w:rPr>
        <w:t>, the lowest rates of recurrence were recorded in</w:t>
      </w:r>
      <w:r w:rsidR="63C84658" w:rsidRPr="00CC562A">
        <w:rPr>
          <w:rFonts w:ascii="Cambria" w:eastAsia="Cambria" w:hAnsi="Cambria" w:cs="Cambria"/>
          <w:sz w:val="20"/>
          <w:szCs w:val="20"/>
          <w:lang w:val="en-US"/>
        </w:rPr>
        <w:t xml:space="preserve"> Jalisco (2.3%), Nayarit (2.8%)</w:t>
      </w:r>
      <w:r w:rsidRPr="00CC562A">
        <w:rPr>
          <w:rFonts w:ascii="Cambria" w:eastAsia="Cambria" w:hAnsi="Cambria" w:cs="Cambria"/>
          <w:sz w:val="20"/>
          <w:szCs w:val="20"/>
          <w:lang w:val="en-US"/>
        </w:rPr>
        <w:t>, and Mexico City</w:t>
      </w:r>
      <w:r w:rsidR="63C84658" w:rsidRPr="00CC562A">
        <w:rPr>
          <w:rFonts w:ascii="Cambria" w:eastAsia="Cambria" w:hAnsi="Cambria" w:cs="Cambria"/>
          <w:sz w:val="20"/>
          <w:szCs w:val="20"/>
          <w:lang w:val="en-US"/>
        </w:rPr>
        <w:t xml:space="preserve"> (3.5%). </w:t>
      </w:r>
      <w:r w:rsidRPr="00CC562A">
        <w:rPr>
          <w:rFonts w:ascii="Cambria" w:eastAsia="Cambria" w:hAnsi="Cambria" w:cs="Cambria"/>
          <w:sz w:val="20"/>
          <w:szCs w:val="20"/>
          <w:lang w:val="en-US"/>
        </w:rPr>
        <w:t xml:space="preserve">It also emphasizes that the most common reason why appeals for review were filed during </w:t>
      </w:r>
      <w:r w:rsidR="63C84658" w:rsidRPr="00CC562A">
        <w:rPr>
          <w:rFonts w:ascii="Cambria" w:eastAsia="Cambria" w:hAnsi="Cambria" w:cs="Cambria"/>
          <w:sz w:val="20"/>
          <w:szCs w:val="20"/>
          <w:lang w:val="en-US"/>
        </w:rPr>
        <w:t xml:space="preserve">2019 </w:t>
      </w:r>
      <w:r w:rsidRPr="00CC562A">
        <w:rPr>
          <w:rFonts w:ascii="Cambria" w:eastAsia="Cambria" w:hAnsi="Cambria" w:cs="Cambria"/>
          <w:sz w:val="20"/>
          <w:szCs w:val="20"/>
          <w:lang w:val="en-US"/>
        </w:rPr>
        <w:t xml:space="preserve">was the lack of a response from the person bound by the obligation within the deadlines set by the law. It is also significant that in </w:t>
      </w:r>
      <w:r w:rsidR="63C84658" w:rsidRPr="00CC562A">
        <w:rPr>
          <w:rFonts w:ascii="Cambria" w:eastAsia="Cambria" w:hAnsi="Cambria" w:cs="Cambria"/>
          <w:sz w:val="20"/>
          <w:szCs w:val="20"/>
          <w:lang w:val="en-US"/>
        </w:rPr>
        <w:t xml:space="preserve">36.5% </w:t>
      </w:r>
      <w:r w:rsidRPr="00CC562A">
        <w:rPr>
          <w:rFonts w:ascii="Cambria" w:eastAsia="Cambria" w:hAnsi="Cambria" w:cs="Cambria"/>
          <w:sz w:val="20"/>
          <w:szCs w:val="20"/>
          <w:lang w:val="en-US"/>
        </w:rPr>
        <w:t xml:space="preserve">of the </w:t>
      </w:r>
      <w:r w:rsidR="002E5080" w:rsidRPr="00CC562A">
        <w:rPr>
          <w:rFonts w:ascii="Cambria" w:eastAsia="Cambria" w:hAnsi="Cambria" w:cs="Cambria"/>
          <w:sz w:val="20"/>
          <w:szCs w:val="20"/>
          <w:lang w:val="en-US"/>
        </w:rPr>
        <w:t>rulings on</w:t>
      </w:r>
      <w:r w:rsidRPr="00CC562A">
        <w:rPr>
          <w:rFonts w:ascii="Cambria" w:eastAsia="Cambria" w:hAnsi="Cambria" w:cs="Cambria"/>
          <w:sz w:val="20"/>
          <w:szCs w:val="20"/>
          <w:lang w:val="en-US"/>
        </w:rPr>
        <w:t xml:space="preserve"> appeals for review issued during </w:t>
      </w:r>
      <w:r w:rsidR="63C84658" w:rsidRPr="00CC562A">
        <w:rPr>
          <w:rFonts w:ascii="Cambria" w:eastAsia="Cambria" w:hAnsi="Cambria" w:cs="Cambria"/>
          <w:sz w:val="20"/>
          <w:szCs w:val="20"/>
          <w:lang w:val="en-US"/>
        </w:rPr>
        <w:t>2019,</w:t>
      </w:r>
      <w:r w:rsidRPr="00CC562A">
        <w:rPr>
          <w:rFonts w:ascii="Cambria" w:eastAsia="Cambria" w:hAnsi="Cambria" w:cs="Cambria"/>
          <w:sz w:val="20"/>
          <w:szCs w:val="20"/>
          <w:lang w:val="en-US"/>
        </w:rPr>
        <w:t xml:space="preserve"> the Guarantor Organizations did not analyze the merits of the appeals, as</w:t>
      </w:r>
      <w:r w:rsidR="63C84658" w:rsidRPr="00CC562A">
        <w:rPr>
          <w:rFonts w:ascii="Cambria" w:eastAsia="Cambria" w:hAnsi="Cambria" w:cs="Cambria"/>
          <w:sz w:val="20"/>
          <w:szCs w:val="20"/>
          <w:lang w:val="en-US"/>
        </w:rPr>
        <w:t xml:space="preserve"> 20.4% </w:t>
      </w:r>
      <w:r w:rsidRPr="00CC562A">
        <w:rPr>
          <w:rFonts w:ascii="Cambria" w:eastAsia="Cambria" w:hAnsi="Cambria" w:cs="Cambria"/>
          <w:sz w:val="20"/>
          <w:szCs w:val="20"/>
          <w:lang w:val="en-US"/>
        </w:rPr>
        <w:t>of the rulings dismissed the appeals for review and</w:t>
      </w:r>
      <w:r w:rsidR="63C84658" w:rsidRPr="00CC562A">
        <w:rPr>
          <w:rFonts w:ascii="Cambria" w:eastAsia="Cambria" w:hAnsi="Cambria" w:cs="Cambria"/>
          <w:sz w:val="20"/>
          <w:szCs w:val="20"/>
          <w:lang w:val="en-US"/>
        </w:rPr>
        <w:t xml:space="preserve"> 16.1% </w:t>
      </w:r>
      <w:r w:rsidRPr="00CC562A">
        <w:rPr>
          <w:rFonts w:ascii="Cambria" w:eastAsia="Cambria" w:hAnsi="Cambria" w:cs="Cambria"/>
          <w:sz w:val="20"/>
          <w:szCs w:val="20"/>
          <w:lang w:val="en-US"/>
        </w:rPr>
        <w:t>threw out the appeals.</w:t>
      </w:r>
      <w:r w:rsidR="63C84658" w:rsidRPr="00CC562A">
        <w:rPr>
          <w:rFonts w:ascii="Cambria" w:eastAsia="Cambria" w:hAnsi="Cambria" w:cs="Cambria"/>
          <w:sz w:val="20"/>
          <w:szCs w:val="20"/>
          <w:lang w:val="en-US"/>
        </w:rPr>
        <w:t xml:space="preserve"> </w:t>
      </w:r>
    </w:p>
    <w:p w14:paraId="4E2FBA90" w14:textId="04DDB8C6" w:rsidR="00BE2C6E" w:rsidRPr="00CC562A" w:rsidRDefault="0025089D" w:rsidP="00BE2C6E">
      <w:pPr>
        <w:numPr>
          <w:ilvl w:val="0"/>
          <w:numId w:val="2"/>
        </w:numPr>
        <w:shd w:val="clear" w:color="auto" w:fill="FFFFFF" w:themeFill="background1"/>
        <w:spacing w:before="240" w:line="240" w:lineRule="auto"/>
        <w:ind w:left="0" w:firstLine="720"/>
        <w:jc w:val="both"/>
        <w:rPr>
          <w:rFonts w:ascii="Cambria" w:hAnsi="Cambria"/>
          <w:sz w:val="20"/>
          <w:lang w:val="en-US"/>
        </w:rPr>
      </w:pPr>
      <w:bookmarkStart w:id="0" w:name="_Hlk126942097"/>
      <w:r w:rsidRPr="00CC562A">
        <w:rPr>
          <w:rFonts w:ascii="Cambria" w:hAnsi="Cambria"/>
          <w:sz w:val="20"/>
          <w:lang w:val="en-US"/>
        </w:rPr>
        <w:t xml:space="preserve">With regard to the relative opacity of the information on “national security,” the Commission noted a decree issued by the federal government </w:t>
      </w:r>
      <w:r w:rsidR="00613DEE" w:rsidRPr="00CC562A">
        <w:rPr>
          <w:rFonts w:ascii="Cambria" w:hAnsi="Cambria"/>
          <w:sz w:val="20"/>
          <w:lang w:val="en-US"/>
        </w:rPr>
        <w:t xml:space="preserve">declaring as a matter of “public interest and national security the performance of projects and works in the Mexican Government’s charge associated with infrastructure in the communications, telecommunications, customs, border, hydraulic, hydric, environmental, tourism, health, railways, railroads in all their modalities, energy, ports, </w:t>
      </w:r>
      <w:r w:rsidR="00556F93" w:rsidRPr="00CC562A">
        <w:rPr>
          <w:rFonts w:ascii="Cambria" w:hAnsi="Cambria"/>
          <w:sz w:val="20"/>
          <w:lang w:val="en-US"/>
        </w:rPr>
        <w:t xml:space="preserve">and </w:t>
      </w:r>
      <w:r w:rsidR="00613DEE" w:rsidRPr="00CC562A">
        <w:rPr>
          <w:rFonts w:ascii="Cambria" w:hAnsi="Cambria"/>
          <w:sz w:val="20"/>
          <w:lang w:val="en-US"/>
        </w:rPr>
        <w:t>airports sectors and those sectors that, based on their purpose, characteristics, nature, complexity, and magnitude are considered to be priorities and/or strategic for national development.”</w:t>
      </w:r>
      <w:r w:rsidR="00BE2C6E" w:rsidRPr="00CC562A">
        <w:rPr>
          <w:rFonts w:ascii="Cambria" w:hAnsi="Cambria"/>
          <w:sz w:val="20"/>
          <w:lang w:val="en-US"/>
        </w:rPr>
        <w:t xml:space="preserve"> </w:t>
      </w:r>
      <w:r w:rsidR="00613DEE" w:rsidRPr="00CC562A">
        <w:rPr>
          <w:rFonts w:ascii="Cambria" w:hAnsi="Cambria"/>
          <w:sz w:val="20"/>
          <w:lang w:val="en-US"/>
        </w:rPr>
        <w:t xml:space="preserve">As reported to the Commission and its Special Rapporteurship, the </w:t>
      </w:r>
      <w:r w:rsidR="00613DEE" w:rsidRPr="00CC562A">
        <w:rPr>
          <w:rFonts w:ascii="Cambria" w:hAnsi="Cambria"/>
          <w:sz w:val="20"/>
          <w:lang w:val="en-US"/>
        </w:rPr>
        <w:lastRenderedPageBreak/>
        <w:t>standard may constitute a direct violation of the right of access to public information, recognized by the Mexican Constitution and international human rights treaties acceded to by the State.</w:t>
      </w:r>
      <w:bookmarkEnd w:id="0"/>
      <w:r w:rsidR="00BE2C6E" w:rsidRPr="00CC562A">
        <w:rPr>
          <w:rStyle w:val="FootnoteReference"/>
          <w:rFonts w:ascii="Cambria" w:hAnsi="Cambria"/>
          <w:sz w:val="20"/>
          <w:lang w:val="en-US"/>
        </w:rPr>
        <w:footnoteReference w:id="364"/>
      </w:r>
      <w:r w:rsidR="00BE2C6E" w:rsidRPr="00CC562A">
        <w:rPr>
          <w:rFonts w:ascii="Helvetica Neue" w:hAnsi="Helvetica Neue" w:cs="Helvetica Neue"/>
          <w:color w:val="000000"/>
          <w:sz w:val="26"/>
          <w:szCs w:val="26"/>
          <w:lang w:val="en-US" w:eastAsia="en-US"/>
        </w:rPr>
        <w:t xml:space="preserve">  </w:t>
      </w:r>
    </w:p>
    <w:p w14:paraId="18150028" w14:textId="279806BD" w:rsidR="00BE2C6E" w:rsidRPr="00CC562A" w:rsidRDefault="0030652D" w:rsidP="00BE2C6E">
      <w:pPr>
        <w:numPr>
          <w:ilvl w:val="0"/>
          <w:numId w:val="2"/>
        </w:numPr>
        <w:shd w:val="clear" w:color="auto" w:fill="FFFFFF" w:themeFill="background1"/>
        <w:spacing w:before="240" w:line="240" w:lineRule="auto"/>
        <w:ind w:left="0" w:firstLine="720"/>
        <w:jc w:val="both"/>
        <w:rPr>
          <w:rFonts w:ascii="Cambria" w:hAnsi="Cambria"/>
          <w:sz w:val="20"/>
          <w:lang w:val="en-US"/>
        </w:rPr>
      </w:pPr>
      <w:r w:rsidRPr="00CC562A">
        <w:rPr>
          <w:rFonts w:ascii="Cambria" w:hAnsi="Cambria"/>
          <w:sz w:val="20"/>
          <w:lang w:val="en-US"/>
        </w:rPr>
        <w:t xml:space="preserve">With respect to the above, in its observations on this report, the State informed </w:t>
      </w:r>
      <w:r w:rsidR="00556F93" w:rsidRPr="00CC562A">
        <w:rPr>
          <w:rFonts w:ascii="Cambria" w:hAnsi="Cambria"/>
          <w:sz w:val="20"/>
          <w:lang w:val="en-US"/>
        </w:rPr>
        <w:t>the</w:t>
      </w:r>
      <w:r w:rsidRPr="00CC562A">
        <w:rPr>
          <w:rFonts w:ascii="Cambria" w:hAnsi="Cambria"/>
          <w:sz w:val="20"/>
          <w:lang w:val="en-US"/>
        </w:rPr>
        <w:t xml:space="preserve"> IACHR </w:t>
      </w:r>
      <w:r w:rsidR="00556F93" w:rsidRPr="00CC562A">
        <w:rPr>
          <w:rFonts w:ascii="Cambria" w:hAnsi="Cambria"/>
          <w:sz w:val="20"/>
          <w:lang w:val="en-US"/>
        </w:rPr>
        <w:t>that</w:t>
      </w:r>
      <w:r w:rsidRPr="00CC562A">
        <w:rPr>
          <w:rFonts w:ascii="Cambria" w:hAnsi="Cambria"/>
          <w:sz w:val="20"/>
          <w:lang w:val="en-US"/>
        </w:rPr>
        <w:t xml:space="preserve"> the</w:t>
      </w:r>
      <w:r w:rsidR="00BE2C6E" w:rsidRPr="00CC562A">
        <w:rPr>
          <w:rFonts w:ascii="Cambria" w:hAnsi="Cambria"/>
          <w:sz w:val="20"/>
          <w:lang w:val="en-US"/>
        </w:rPr>
        <w:t xml:space="preserve"> INAI </w:t>
      </w:r>
      <w:r w:rsidR="00F32030" w:rsidRPr="00CC562A">
        <w:rPr>
          <w:rFonts w:ascii="Cambria" w:hAnsi="Cambria"/>
          <w:sz w:val="20"/>
          <w:lang w:val="en-US"/>
        </w:rPr>
        <w:t>filed constitutional challenge</w:t>
      </w:r>
      <w:r w:rsidR="00BE2C6E" w:rsidRPr="00CC562A">
        <w:rPr>
          <w:rFonts w:ascii="Cambria" w:hAnsi="Cambria"/>
          <w:sz w:val="20"/>
          <w:lang w:val="en-US"/>
        </w:rPr>
        <w:t xml:space="preserve"> (217/2021) </w:t>
      </w:r>
      <w:r w:rsidR="00F32030" w:rsidRPr="00CC562A">
        <w:rPr>
          <w:rFonts w:ascii="Cambria" w:hAnsi="Cambria"/>
          <w:sz w:val="20"/>
          <w:lang w:val="en-US"/>
        </w:rPr>
        <w:t xml:space="preserve">before the SCJN </w:t>
      </w:r>
      <w:r w:rsidR="00BE2C6E" w:rsidRPr="00CC562A">
        <w:rPr>
          <w:rFonts w:ascii="Cambria" w:hAnsi="Cambria"/>
          <w:sz w:val="20"/>
          <w:lang w:val="en-US"/>
        </w:rPr>
        <w:t>re</w:t>
      </w:r>
      <w:r w:rsidR="00F32030" w:rsidRPr="00CC562A">
        <w:rPr>
          <w:rFonts w:ascii="Cambria" w:hAnsi="Cambria"/>
          <w:sz w:val="20"/>
          <w:lang w:val="en-US"/>
        </w:rPr>
        <w:t xml:space="preserve">garding the cited agreement. Thus, on December 13, </w:t>
      </w:r>
      <w:r w:rsidR="00BE2C6E" w:rsidRPr="00CC562A">
        <w:rPr>
          <w:rFonts w:ascii="Cambria" w:hAnsi="Cambria"/>
          <w:sz w:val="20"/>
          <w:lang w:val="en-US"/>
        </w:rPr>
        <w:t xml:space="preserve">2021, </w:t>
      </w:r>
      <w:r w:rsidR="00F32030" w:rsidRPr="00CC562A">
        <w:rPr>
          <w:rFonts w:ascii="Cambria" w:hAnsi="Cambria"/>
          <w:sz w:val="20"/>
          <w:lang w:val="en-US"/>
        </w:rPr>
        <w:t xml:space="preserve">the Examining Magistrate in the matter ruled on the suspension sought by the </w:t>
      </w:r>
      <w:r w:rsidR="00BE2C6E" w:rsidRPr="00CC562A">
        <w:rPr>
          <w:rFonts w:ascii="Cambria" w:hAnsi="Cambria"/>
          <w:sz w:val="20"/>
          <w:lang w:val="en-US"/>
        </w:rPr>
        <w:t xml:space="preserve">INAI, </w:t>
      </w:r>
      <w:r w:rsidR="00F32030" w:rsidRPr="00CC562A">
        <w:rPr>
          <w:rFonts w:ascii="Cambria" w:hAnsi="Cambria"/>
          <w:sz w:val="20"/>
          <w:lang w:val="en-US"/>
        </w:rPr>
        <w:t>indicating as appropriate the suspension of all the effects and consequences of the challenged agreement that derive from categorizing the information detailed therein as being matters of public interest and national security, without complying with the assumptions that the respective laws provide for that purpose</w:t>
      </w:r>
      <w:r w:rsidR="00BE2C6E" w:rsidRPr="00CC562A">
        <w:rPr>
          <w:rFonts w:ascii="Cambria" w:hAnsi="Cambria"/>
          <w:sz w:val="20"/>
          <w:lang w:val="en-US"/>
        </w:rPr>
        <w:t xml:space="preserve">. </w:t>
      </w:r>
      <w:r w:rsidR="00F32030" w:rsidRPr="00CC562A">
        <w:rPr>
          <w:rFonts w:ascii="Cambria" w:hAnsi="Cambria"/>
          <w:sz w:val="20"/>
          <w:lang w:val="en-US"/>
        </w:rPr>
        <w:t>On that basis, the State indicated that the</w:t>
      </w:r>
      <w:r w:rsidR="00BE2C6E" w:rsidRPr="00CC562A">
        <w:rPr>
          <w:rFonts w:ascii="Cambria" w:hAnsi="Cambria"/>
          <w:sz w:val="20"/>
          <w:lang w:val="en-US"/>
        </w:rPr>
        <w:t xml:space="preserve"> SCJN suspend</w:t>
      </w:r>
      <w:r w:rsidR="00F32030" w:rsidRPr="00CC562A">
        <w:rPr>
          <w:rFonts w:ascii="Cambria" w:hAnsi="Cambria"/>
          <w:sz w:val="20"/>
          <w:lang w:val="en-US"/>
        </w:rPr>
        <w:t xml:space="preserve">ed the effects of the agreement under analysis, although it clarified that the effects of said agreement do not </w:t>
      </w:r>
      <w:r w:rsidR="001A02BE" w:rsidRPr="00CC562A">
        <w:rPr>
          <w:rFonts w:ascii="Cambria" w:hAnsi="Cambria"/>
          <w:sz w:val="20"/>
          <w:lang w:val="en-US"/>
        </w:rPr>
        <w:t xml:space="preserve">mean that information related to </w:t>
      </w:r>
      <w:r w:rsidR="005745C6" w:rsidRPr="00CC562A">
        <w:rPr>
          <w:rFonts w:ascii="Cambria" w:hAnsi="Cambria"/>
          <w:sz w:val="20"/>
          <w:lang w:val="en-US"/>
        </w:rPr>
        <w:t xml:space="preserve">Mexican Government </w:t>
      </w:r>
      <w:r w:rsidR="002D749A" w:rsidRPr="00CC562A">
        <w:rPr>
          <w:rFonts w:ascii="Cambria" w:hAnsi="Cambria"/>
          <w:sz w:val="20"/>
          <w:lang w:val="en-US"/>
        </w:rPr>
        <w:t xml:space="preserve">projects and works considered to be in the public interest </w:t>
      </w:r>
      <w:r w:rsidR="00AD6109" w:rsidRPr="00CC562A">
        <w:rPr>
          <w:rFonts w:ascii="Cambria" w:hAnsi="Cambria"/>
          <w:sz w:val="20"/>
          <w:lang w:val="en-US"/>
        </w:rPr>
        <w:t xml:space="preserve">are categorized as restricted information in general terms, considering that it </w:t>
      </w:r>
      <w:r w:rsidR="00FB5C6E" w:rsidRPr="00CC562A">
        <w:rPr>
          <w:rFonts w:ascii="Cambria" w:hAnsi="Cambria"/>
          <w:sz w:val="20"/>
          <w:lang w:val="en-US"/>
        </w:rPr>
        <w:t>falls to each subject entity to attend to requests for access to information under the terms of the General Law on Transparency and Access to Public Information and the Federal Law on Transparency and Access to Public Information.</w:t>
      </w:r>
      <w:r w:rsidR="00BE2C6E" w:rsidRPr="00CC562A">
        <w:rPr>
          <w:rStyle w:val="FootnoteReference"/>
          <w:rFonts w:ascii="Cambria" w:hAnsi="Cambria"/>
          <w:sz w:val="20"/>
          <w:lang w:val="en-US"/>
        </w:rPr>
        <w:footnoteReference w:id="365"/>
      </w:r>
    </w:p>
    <w:p w14:paraId="0C8384EF" w14:textId="0D41AC20" w:rsidR="00BE2C6E" w:rsidRPr="00CC562A" w:rsidRDefault="00FD010E" w:rsidP="00BE2C6E">
      <w:pPr>
        <w:numPr>
          <w:ilvl w:val="0"/>
          <w:numId w:val="2"/>
        </w:numPr>
        <w:shd w:val="clear" w:color="auto" w:fill="FFFFFF" w:themeFill="background1"/>
        <w:spacing w:before="240" w:line="240" w:lineRule="auto"/>
        <w:ind w:left="0" w:firstLine="720"/>
        <w:jc w:val="both"/>
        <w:rPr>
          <w:rFonts w:ascii="Cambria" w:hAnsi="Cambria"/>
          <w:sz w:val="20"/>
          <w:lang w:val="en-US"/>
        </w:rPr>
      </w:pPr>
      <w:r w:rsidRPr="00CC562A">
        <w:rPr>
          <w:rFonts w:ascii="Cambria" w:hAnsi="Cambria"/>
          <w:sz w:val="20"/>
          <w:lang w:val="en-US"/>
        </w:rPr>
        <w:t xml:space="preserve">In addition, the IACHR and its </w:t>
      </w:r>
      <w:r w:rsidR="007566C8" w:rsidRPr="00CC562A">
        <w:rPr>
          <w:rFonts w:ascii="Cambria" w:hAnsi="Cambria"/>
          <w:sz w:val="20"/>
          <w:lang w:val="en-US"/>
        </w:rPr>
        <w:t xml:space="preserve">Special </w:t>
      </w:r>
      <w:r w:rsidRPr="00CC562A">
        <w:rPr>
          <w:rFonts w:ascii="Cambria" w:hAnsi="Cambria"/>
          <w:sz w:val="20"/>
          <w:lang w:val="en-US"/>
        </w:rPr>
        <w:t xml:space="preserve">Rapporteur have received information on the existence of restrictions </w:t>
      </w:r>
      <w:r w:rsidR="00A944A8" w:rsidRPr="00CC562A">
        <w:rPr>
          <w:rFonts w:ascii="Cambria" w:hAnsi="Cambria"/>
          <w:sz w:val="20"/>
          <w:lang w:val="en-US"/>
        </w:rPr>
        <w:t>on the effective use of the formal mechanisms for access to information as provided in the General Law on Transparency and Access to Public Information.</w:t>
      </w:r>
      <w:r w:rsidR="00BE2C6E" w:rsidRPr="00CC562A">
        <w:rPr>
          <w:rFonts w:ascii="Cambria" w:hAnsi="Cambria"/>
          <w:sz w:val="20"/>
          <w:vertAlign w:val="superscript"/>
          <w:lang w:val="en-US"/>
        </w:rPr>
        <w:footnoteReference w:id="366"/>
      </w:r>
      <w:r w:rsidR="00A944A8" w:rsidRPr="00CC562A">
        <w:rPr>
          <w:rFonts w:ascii="Cambria" w:hAnsi="Cambria"/>
          <w:sz w:val="20"/>
          <w:lang w:val="en-US"/>
        </w:rPr>
        <w:t xml:space="preserve"> </w:t>
      </w:r>
      <w:r w:rsidR="00EA31FC" w:rsidRPr="00CC562A">
        <w:rPr>
          <w:rFonts w:ascii="Cambria" w:hAnsi="Cambria"/>
          <w:sz w:val="20"/>
          <w:lang w:val="en-US"/>
        </w:rPr>
        <w:t xml:space="preserve">In this regard, the IACHR and the Special Rapporteur </w:t>
      </w:r>
      <w:r w:rsidR="00E82319" w:rsidRPr="00CC562A">
        <w:rPr>
          <w:rFonts w:ascii="Cambria" w:hAnsi="Cambria"/>
          <w:sz w:val="20"/>
          <w:lang w:val="en-US"/>
        </w:rPr>
        <w:t xml:space="preserve">noted that the Office of the President would </w:t>
      </w:r>
      <w:r w:rsidR="004A5AF9" w:rsidRPr="00CC562A">
        <w:rPr>
          <w:rFonts w:ascii="Cambria" w:hAnsi="Cambria"/>
          <w:sz w:val="20"/>
          <w:lang w:val="en-US"/>
        </w:rPr>
        <w:t xml:space="preserve">likely </w:t>
      </w:r>
      <w:r w:rsidR="00E82319" w:rsidRPr="00CC562A">
        <w:rPr>
          <w:rFonts w:ascii="Cambria" w:hAnsi="Cambria"/>
          <w:sz w:val="20"/>
          <w:lang w:val="en-US"/>
        </w:rPr>
        <w:t xml:space="preserve">be one of the </w:t>
      </w:r>
      <w:r w:rsidR="007941F8" w:rsidRPr="00CC562A">
        <w:rPr>
          <w:rFonts w:ascii="Cambria" w:hAnsi="Cambria"/>
          <w:sz w:val="20"/>
          <w:lang w:val="en-US"/>
        </w:rPr>
        <w:t xml:space="preserve">subject entities </w:t>
      </w:r>
      <w:r w:rsidR="00B9094E" w:rsidRPr="00CC562A">
        <w:rPr>
          <w:rFonts w:ascii="Cambria" w:hAnsi="Cambria"/>
          <w:sz w:val="20"/>
          <w:lang w:val="en-US"/>
        </w:rPr>
        <w:t>that presents the greatest obstacles when granting public information at the request of private parties.</w:t>
      </w:r>
      <w:r w:rsidR="00BE2C6E" w:rsidRPr="00CC562A">
        <w:rPr>
          <w:rFonts w:ascii="Cambria" w:hAnsi="Cambria"/>
          <w:sz w:val="20"/>
          <w:vertAlign w:val="superscript"/>
          <w:lang w:val="en-US"/>
        </w:rPr>
        <w:footnoteReference w:id="367"/>
      </w:r>
      <w:r w:rsidR="00B9094E" w:rsidRPr="00CC562A">
        <w:rPr>
          <w:rFonts w:ascii="Cambria" w:hAnsi="Cambria"/>
          <w:sz w:val="20"/>
          <w:lang w:val="en-US"/>
        </w:rPr>
        <w:t xml:space="preserve"> Acco</w:t>
      </w:r>
      <w:r w:rsidR="00C603AF" w:rsidRPr="00CC562A">
        <w:rPr>
          <w:rFonts w:ascii="Cambria" w:hAnsi="Cambria"/>
          <w:sz w:val="20"/>
          <w:lang w:val="en-US"/>
        </w:rPr>
        <w:t>rding to a report from the Article 19 organization Mexico, when analyzing the responses to</w:t>
      </w:r>
      <w:r w:rsidR="00BE2C6E" w:rsidRPr="00CC562A">
        <w:rPr>
          <w:rFonts w:ascii="Cambria" w:hAnsi="Cambria"/>
          <w:sz w:val="20"/>
          <w:lang w:val="en-US"/>
        </w:rPr>
        <w:t xml:space="preserve"> 30 </w:t>
      </w:r>
      <w:r w:rsidR="00C603AF" w:rsidRPr="00CC562A">
        <w:rPr>
          <w:rFonts w:ascii="Cambria" w:hAnsi="Cambria"/>
          <w:sz w:val="20"/>
          <w:lang w:val="en-US"/>
        </w:rPr>
        <w:t xml:space="preserve">requests for information directed to the Office of the President of the Republic related to 28 statements made by the President, they observed that in </w:t>
      </w:r>
      <w:r w:rsidR="00BE2C6E" w:rsidRPr="00CC562A">
        <w:rPr>
          <w:rFonts w:ascii="Cambria" w:hAnsi="Cambria"/>
          <w:sz w:val="20"/>
          <w:lang w:val="en-US"/>
        </w:rPr>
        <w:t xml:space="preserve">50% </w:t>
      </w:r>
      <w:r w:rsidR="00C603AF" w:rsidRPr="00CC562A">
        <w:rPr>
          <w:rFonts w:ascii="Cambria" w:hAnsi="Cambria"/>
          <w:sz w:val="20"/>
          <w:lang w:val="en-US"/>
        </w:rPr>
        <w:t>of the cases, this subject entity declared itself to be incompetent, while in</w:t>
      </w:r>
      <w:r w:rsidR="00BE2C6E" w:rsidRPr="00CC562A">
        <w:rPr>
          <w:rFonts w:ascii="Cambria" w:hAnsi="Cambria"/>
          <w:sz w:val="20"/>
          <w:lang w:val="en-US"/>
        </w:rPr>
        <w:t xml:space="preserve"> 27% </w:t>
      </w:r>
      <w:r w:rsidR="00C603AF" w:rsidRPr="00CC562A">
        <w:rPr>
          <w:rFonts w:ascii="Cambria" w:hAnsi="Cambria"/>
          <w:sz w:val="20"/>
          <w:lang w:val="en-US"/>
        </w:rPr>
        <w:t>it indicated that it had not found the documentary information related to the request, and in</w:t>
      </w:r>
      <w:r w:rsidR="00BE2C6E" w:rsidRPr="00CC562A">
        <w:rPr>
          <w:rFonts w:ascii="Cambria" w:hAnsi="Cambria"/>
          <w:sz w:val="20"/>
          <w:lang w:val="en-US"/>
        </w:rPr>
        <w:t xml:space="preserve"> 3% </w:t>
      </w:r>
      <w:r w:rsidR="00C603AF" w:rsidRPr="00CC562A">
        <w:rPr>
          <w:rFonts w:ascii="Cambria" w:hAnsi="Cambria"/>
          <w:sz w:val="20"/>
          <w:lang w:val="en-US"/>
        </w:rPr>
        <w:t>it indicated that it had previously declared that the information did not exist. In conclusion, they state that in practically</w:t>
      </w:r>
      <w:r w:rsidR="00BE2C6E" w:rsidRPr="00CC562A">
        <w:rPr>
          <w:rFonts w:ascii="Cambria" w:hAnsi="Cambria"/>
          <w:sz w:val="20"/>
          <w:lang w:val="en-US"/>
        </w:rPr>
        <w:t xml:space="preserve"> 80% </w:t>
      </w:r>
      <w:r w:rsidR="00C603AF" w:rsidRPr="00CC562A">
        <w:rPr>
          <w:rFonts w:ascii="Cambria" w:hAnsi="Cambria"/>
          <w:sz w:val="20"/>
          <w:lang w:val="en-US"/>
        </w:rPr>
        <w:t>of the total responses no documentary support was provided by said officials, based on various reasons.</w:t>
      </w:r>
      <w:r w:rsidR="00BE2C6E" w:rsidRPr="00CC562A">
        <w:rPr>
          <w:rFonts w:ascii="Cambria" w:hAnsi="Cambria"/>
          <w:sz w:val="20"/>
          <w:vertAlign w:val="superscript"/>
          <w:lang w:val="en-US"/>
        </w:rPr>
        <w:footnoteReference w:id="368"/>
      </w:r>
      <w:r w:rsidR="00BE2C6E" w:rsidRPr="00CC562A">
        <w:rPr>
          <w:rFonts w:ascii="Cambria" w:hAnsi="Cambria"/>
          <w:sz w:val="20"/>
          <w:lang w:val="en-US"/>
        </w:rPr>
        <w:t xml:space="preserve"> </w:t>
      </w:r>
    </w:p>
    <w:p w14:paraId="2C8F7DFF" w14:textId="22870CB8" w:rsidR="00BE2C6E" w:rsidRPr="00CC562A" w:rsidRDefault="00C603AF" w:rsidP="00BE2C6E">
      <w:pPr>
        <w:numPr>
          <w:ilvl w:val="0"/>
          <w:numId w:val="2"/>
        </w:numPr>
        <w:shd w:val="clear" w:color="auto" w:fill="FFFFFF" w:themeFill="background1"/>
        <w:spacing w:before="240" w:line="240" w:lineRule="auto"/>
        <w:ind w:left="0" w:firstLine="720"/>
        <w:jc w:val="both"/>
        <w:rPr>
          <w:rFonts w:ascii="Cambria" w:hAnsi="Cambria"/>
          <w:sz w:val="20"/>
          <w:lang w:val="en-US"/>
        </w:rPr>
      </w:pPr>
      <w:bookmarkStart w:id="1" w:name="_Hlk126941736"/>
      <w:r w:rsidRPr="00CC562A">
        <w:rPr>
          <w:rFonts w:ascii="Cambria" w:hAnsi="Cambria"/>
          <w:sz w:val="20"/>
          <w:lang w:val="en-US"/>
        </w:rPr>
        <w:t xml:space="preserve">The IACHR has indicated on various occasions that the power that the </w:t>
      </w:r>
      <w:r w:rsidR="00BE2C6E" w:rsidRPr="00CC562A">
        <w:rPr>
          <w:rFonts w:ascii="Cambria" w:hAnsi="Cambria"/>
          <w:sz w:val="20"/>
          <w:lang w:val="en-US"/>
        </w:rPr>
        <w:t>LGTAIP</w:t>
      </w:r>
      <w:r w:rsidRPr="00CC562A">
        <w:rPr>
          <w:rFonts w:ascii="Cambria" w:hAnsi="Cambria"/>
          <w:sz w:val="20"/>
          <w:lang w:val="en-US"/>
        </w:rPr>
        <w:t xml:space="preserve"> assigns to the Legal Counsel of the Office of the President to </w:t>
      </w:r>
      <w:r w:rsidR="004A5AF9" w:rsidRPr="00CC562A">
        <w:rPr>
          <w:rFonts w:ascii="Cambria" w:hAnsi="Cambria"/>
          <w:sz w:val="20"/>
          <w:lang w:val="en-US"/>
        </w:rPr>
        <w:t>seek</w:t>
      </w:r>
      <w:r w:rsidRPr="00CC562A">
        <w:rPr>
          <w:rFonts w:ascii="Cambria" w:hAnsi="Cambria"/>
          <w:sz w:val="20"/>
          <w:lang w:val="en-US"/>
        </w:rPr>
        <w:t xml:space="preserve"> review of a decision made by the </w:t>
      </w:r>
      <w:r w:rsidR="00BE2C6E" w:rsidRPr="00CC562A">
        <w:rPr>
          <w:rFonts w:ascii="Cambria" w:hAnsi="Cambria"/>
          <w:sz w:val="20"/>
          <w:lang w:val="en-US"/>
        </w:rPr>
        <w:t xml:space="preserve">INAI </w:t>
      </w:r>
      <w:r w:rsidRPr="00CC562A">
        <w:rPr>
          <w:rFonts w:ascii="Cambria" w:hAnsi="Cambria"/>
          <w:sz w:val="20"/>
          <w:lang w:val="en-US"/>
        </w:rPr>
        <w:t>to declassify information, arguing reasons of national security</w:t>
      </w:r>
      <w:r w:rsidR="00BE2C6E" w:rsidRPr="00CC562A">
        <w:rPr>
          <w:rFonts w:ascii="Cambria" w:hAnsi="Cambria"/>
          <w:sz w:val="20"/>
          <w:lang w:val="en-US"/>
        </w:rPr>
        <w:t>, represent</w:t>
      </w:r>
      <w:r w:rsidRPr="00CC562A">
        <w:rPr>
          <w:rFonts w:ascii="Cambria" w:hAnsi="Cambria"/>
          <w:sz w:val="20"/>
          <w:lang w:val="en-US"/>
        </w:rPr>
        <w:t>s risks to access to information of high public interest. However, based on the information provided by the State, the IACHR has</w:t>
      </w:r>
      <w:r w:rsidR="0006160F" w:rsidRPr="00CC562A">
        <w:rPr>
          <w:rFonts w:ascii="Cambria" w:hAnsi="Cambria"/>
          <w:sz w:val="20"/>
          <w:lang w:val="en-US"/>
        </w:rPr>
        <w:t xml:space="preserve"> carefully noted that Article </w:t>
      </w:r>
      <w:r w:rsidR="00BE2C6E" w:rsidRPr="00CC562A">
        <w:rPr>
          <w:rFonts w:ascii="Cambria" w:hAnsi="Cambria"/>
          <w:sz w:val="20"/>
          <w:lang w:val="en-US"/>
        </w:rPr>
        <w:t xml:space="preserve">5 </w:t>
      </w:r>
      <w:r w:rsidR="0006160F" w:rsidRPr="00CC562A">
        <w:rPr>
          <w:rFonts w:ascii="Cambria" w:hAnsi="Cambria"/>
          <w:sz w:val="20"/>
          <w:lang w:val="en-US"/>
        </w:rPr>
        <w:t>of the</w:t>
      </w:r>
      <w:r w:rsidR="00BE2C6E" w:rsidRPr="00CC562A">
        <w:rPr>
          <w:rFonts w:ascii="Cambria" w:hAnsi="Cambria"/>
          <w:sz w:val="20"/>
          <w:lang w:val="en-US"/>
        </w:rPr>
        <w:t xml:space="preserve"> LGTAIP </w:t>
      </w:r>
      <w:r w:rsidR="0006160F" w:rsidRPr="00CC562A">
        <w:rPr>
          <w:rFonts w:ascii="Cambria" w:hAnsi="Cambria"/>
          <w:sz w:val="20"/>
          <w:lang w:val="en-US"/>
        </w:rPr>
        <w:t>indicate</w:t>
      </w:r>
      <w:r w:rsidR="004A5AF9" w:rsidRPr="00CC562A">
        <w:rPr>
          <w:rFonts w:ascii="Cambria" w:hAnsi="Cambria"/>
          <w:sz w:val="20"/>
          <w:lang w:val="en-US"/>
        </w:rPr>
        <w:t>s</w:t>
      </w:r>
      <w:r w:rsidR="0006160F" w:rsidRPr="00CC562A">
        <w:rPr>
          <w:rFonts w:ascii="Cambria" w:hAnsi="Cambria"/>
          <w:sz w:val="20"/>
          <w:lang w:val="en-US"/>
        </w:rPr>
        <w:t xml:space="preserve"> that information related to serious human right violations or crimes against humanity </w:t>
      </w:r>
      <w:r w:rsidR="0006160F" w:rsidRPr="00CC562A">
        <w:rPr>
          <w:rFonts w:ascii="Cambria" w:hAnsi="Cambria"/>
          <w:sz w:val="20"/>
          <w:lang w:val="en-US"/>
        </w:rPr>
        <w:lastRenderedPageBreak/>
        <w:t>cannot be classified as restricted. In addition, it has noted the information submitted on the two rulings of the Supreme Court of Justice of the Nation in</w:t>
      </w:r>
      <w:r w:rsidR="00BE2C6E" w:rsidRPr="00CC562A">
        <w:rPr>
          <w:rFonts w:ascii="Cambria" w:hAnsi="Cambria"/>
          <w:sz w:val="20"/>
          <w:lang w:val="en-US"/>
        </w:rPr>
        <w:t xml:space="preserve"> 2022 </w:t>
      </w:r>
      <w:r w:rsidR="0006160F" w:rsidRPr="00CC562A">
        <w:rPr>
          <w:rFonts w:ascii="Cambria" w:hAnsi="Cambria"/>
          <w:sz w:val="20"/>
          <w:lang w:val="en-US"/>
        </w:rPr>
        <w:t xml:space="preserve">in response to appeals for review filed by the Legal Counsel of the Office of the President against decisions made by the </w:t>
      </w:r>
      <w:r w:rsidR="00BE2C6E" w:rsidRPr="00CC562A">
        <w:rPr>
          <w:rFonts w:ascii="Cambria" w:hAnsi="Cambria"/>
          <w:sz w:val="20"/>
          <w:lang w:val="en-US"/>
        </w:rPr>
        <w:t xml:space="preserve">INAI. </w:t>
      </w:r>
      <w:r w:rsidR="0006160F" w:rsidRPr="00CC562A">
        <w:rPr>
          <w:rFonts w:ascii="Cambria" w:hAnsi="Cambria"/>
          <w:sz w:val="20"/>
          <w:lang w:val="en-US"/>
        </w:rPr>
        <w:t xml:space="preserve">In this regard, the IACHR appreciates that the decisions of the Supreme Court stress the exceptional nature of the power established in Article </w:t>
      </w:r>
      <w:r w:rsidR="00BE2C6E" w:rsidRPr="00CC562A">
        <w:rPr>
          <w:rFonts w:ascii="Cambria" w:hAnsi="Cambria"/>
          <w:sz w:val="20"/>
          <w:lang w:val="en-US"/>
        </w:rPr>
        <w:t xml:space="preserve">157 </w:t>
      </w:r>
      <w:r w:rsidR="0006160F" w:rsidRPr="00CC562A">
        <w:rPr>
          <w:rFonts w:ascii="Cambria" w:hAnsi="Cambria"/>
          <w:sz w:val="20"/>
          <w:lang w:val="en-US"/>
        </w:rPr>
        <w:t>of the</w:t>
      </w:r>
      <w:r w:rsidR="00BE2C6E" w:rsidRPr="00CC562A">
        <w:rPr>
          <w:rFonts w:ascii="Cambria" w:hAnsi="Cambria"/>
          <w:sz w:val="20"/>
          <w:lang w:val="en-US"/>
        </w:rPr>
        <w:t xml:space="preserve"> LGTAIP, </w:t>
      </w:r>
      <w:r w:rsidR="0006160F" w:rsidRPr="00CC562A">
        <w:rPr>
          <w:rFonts w:ascii="Cambria" w:hAnsi="Cambria"/>
          <w:sz w:val="20"/>
          <w:lang w:val="en-US"/>
        </w:rPr>
        <w:t>although it cannot be used as a second instance and considering that the appeal must be limited to counterac</w:t>
      </w:r>
      <w:r w:rsidR="004A5AF9" w:rsidRPr="00CC562A">
        <w:rPr>
          <w:rFonts w:ascii="Cambria" w:hAnsi="Cambria"/>
          <w:sz w:val="20"/>
          <w:lang w:val="en-US"/>
        </w:rPr>
        <w:t>ting</w:t>
      </w:r>
      <w:r w:rsidR="0006160F" w:rsidRPr="00CC562A">
        <w:rPr>
          <w:rFonts w:ascii="Cambria" w:hAnsi="Cambria"/>
          <w:sz w:val="20"/>
          <w:lang w:val="en-US"/>
        </w:rPr>
        <w:t xml:space="preserve"> determinations to disclose information that could jeopardize national security, which is definitively resolved by the Supreme Court. Based on the foregoing, the IACHR notes that the power established in Article</w:t>
      </w:r>
      <w:r w:rsidR="00BE2C6E" w:rsidRPr="00CC562A">
        <w:rPr>
          <w:rFonts w:ascii="Cambria" w:hAnsi="Cambria" w:cs="Segoe UI"/>
          <w:sz w:val="20"/>
          <w:szCs w:val="20"/>
          <w:lang w:val="en-US"/>
        </w:rPr>
        <w:t xml:space="preserve"> 157 </w:t>
      </w:r>
      <w:r w:rsidR="0006160F" w:rsidRPr="00CC562A">
        <w:rPr>
          <w:rFonts w:ascii="Cambria" w:hAnsi="Cambria" w:cs="Segoe UI"/>
          <w:sz w:val="20"/>
          <w:szCs w:val="20"/>
          <w:lang w:val="en-US"/>
        </w:rPr>
        <w:t>of the</w:t>
      </w:r>
      <w:r w:rsidR="00BE2C6E" w:rsidRPr="00CC562A">
        <w:rPr>
          <w:rFonts w:ascii="Cambria" w:hAnsi="Cambria" w:cs="Segoe UI"/>
          <w:sz w:val="20"/>
          <w:szCs w:val="20"/>
          <w:lang w:val="en-US"/>
        </w:rPr>
        <w:t xml:space="preserve"> LGTAIP </w:t>
      </w:r>
      <w:r w:rsidR="0006160F" w:rsidRPr="00CC562A">
        <w:rPr>
          <w:rFonts w:ascii="Cambria" w:hAnsi="Cambria" w:cs="Segoe UI"/>
          <w:sz w:val="20"/>
          <w:szCs w:val="20"/>
          <w:lang w:val="en-US"/>
        </w:rPr>
        <w:t xml:space="preserve">would be legally limited by Article </w:t>
      </w:r>
      <w:r w:rsidR="00BE2C6E" w:rsidRPr="00CC562A">
        <w:rPr>
          <w:rFonts w:ascii="Cambria" w:hAnsi="Cambria" w:cs="Segoe UI"/>
          <w:sz w:val="20"/>
          <w:szCs w:val="20"/>
          <w:lang w:val="en-US"/>
        </w:rPr>
        <w:t xml:space="preserve">5 </w:t>
      </w:r>
      <w:r w:rsidR="0006160F" w:rsidRPr="00CC562A">
        <w:rPr>
          <w:rFonts w:ascii="Cambria" w:hAnsi="Cambria" w:cs="Segoe UI"/>
          <w:sz w:val="20"/>
          <w:szCs w:val="20"/>
          <w:lang w:val="en-US"/>
        </w:rPr>
        <w:t>of the same law, in the sense that it could not be used to classify as restricted information related to serious human rights violations and</w:t>
      </w:r>
      <w:r w:rsidR="00F72807" w:rsidRPr="00CC562A">
        <w:rPr>
          <w:rFonts w:ascii="Cambria" w:hAnsi="Cambria" w:cs="Segoe UI"/>
          <w:sz w:val="20"/>
          <w:szCs w:val="20"/>
          <w:lang w:val="en-US"/>
        </w:rPr>
        <w:t xml:space="preserve"> additionally that it involves a power that, as has been confirmed by the Supreme Court, in addition to the fact that it must be resolved by that judicial body, it is exceptional and limited in nature. Considering the most recent position reported by the State regarding the decisions of the Supreme Court of Justice, the IACHR</w:t>
      </w:r>
      <w:r w:rsidR="00BE2C6E" w:rsidRPr="00CC562A">
        <w:rPr>
          <w:rFonts w:ascii="Cambria" w:hAnsi="Cambria" w:cs="Segoe UI"/>
          <w:sz w:val="20"/>
          <w:szCs w:val="20"/>
          <w:lang w:val="en-US"/>
        </w:rPr>
        <w:t xml:space="preserve"> consider</w:t>
      </w:r>
      <w:r w:rsidR="00F72807" w:rsidRPr="00CC562A">
        <w:rPr>
          <w:rFonts w:ascii="Cambria" w:hAnsi="Cambria" w:cs="Segoe UI"/>
          <w:sz w:val="20"/>
          <w:szCs w:val="20"/>
          <w:lang w:val="en-US"/>
        </w:rPr>
        <w:t xml:space="preserve">s this recommendation to be the complied with at a </w:t>
      </w:r>
      <w:r w:rsidR="00F72807" w:rsidRPr="00CC562A">
        <w:rPr>
          <w:rFonts w:ascii="Cambria" w:hAnsi="Cambria" w:cs="Segoe UI"/>
          <w:b/>
          <w:bCs/>
          <w:sz w:val="20"/>
          <w:szCs w:val="20"/>
          <w:lang w:val="en-US"/>
        </w:rPr>
        <w:t>substantively partial</w:t>
      </w:r>
      <w:r w:rsidR="00F72807" w:rsidRPr="00CC562A">
        <w:rPr>
          <w:rFonts w:ascii="Cambria" w:hAnsi="Cambria" w:cs="Segoe UI"/>
          <w:sz w:val="20"/>
          <w:szCs w:val="20"/>
          <w:lang w:val="en-US"/>
        </w:rPr>
        <w:t xml:space="preserve"> level.</w:t>
      </w:r>
      <w:r w:rsidR="00BE2C6E" w:rsidRPr="00CC562A">
        <w:rPr>
          <w:rFonts w:ascii="Cambria" w:hAnsi="Cambria" w:cs="Segoe UI"/>
          <w:sz w:val="20"/>
          <w:szCs w:val="20"/>
          <w:lang w:val="en-US"/>
        </w:rPr>
        <w:t xml:space="preserve"> </w:t>
      </w:r>
    </w:p>
    <w:p w14:paraId="17E169D2" w14:textId="6B98BF82" w:rsidR="00BE2C6E" w:rsidRPr="00CC562A" w:rsidRDefault="00A92391" w:rsidP="00A92391">
      <w:pPr>
        <w:numPr>
          <w:ilvl w:val="0"/>
          <w:numId w:val="2"/>
        </w:numPr>
        <w:shd w:val="clear" w:color="auto" w:fill="FFFFFF" w:themeFill="background1"/>
        <w:spacing w:before="240" w:line="240" w:lineRule="auto"/>
        <w:ind w:left="0" w:firstLine="720"/>
        <w:jc w:val="both"/>
        <w:rPr>
          <w:rFonts w:ascii="Cambria" w:hAnsi="Cambria"/>
          <w:sz w:val="20"/>
          <w:lang w:val="en-US"/>
        </w:rPr>
      </w:pPr>
      <w:bookmarkStart w:id="2" w:name="_Hlk126941776"/>
      <w:bookmarkEnd w:id="1"/>
      <w:r w:rsidRPr="00CC562A">
        <w:rPr>
          <w:rFonts w:ascii="Cambria" w:hAnsi="Cambria"/>
          <w:sz w:val="20"/>
          <w:lang w:val="en-US"/>
        </w:rPr>
        <w:t xml:space="preserve">Likewise, </w:t>
      </w:r>
      <w:proofErr w:type="gramStart"/>
      <w:r w:rsidRPr="00CC562A">
        <w:rPr>
          <w:rFonts w:ascii="Cambria" w:hAnsi="Cambria"/>
          <w:sz w:val="20"/>
          <w:lang w:val="en-US"/>
        </w:rPr>
        <w:t>in order to</w:t>
      </w:r>
      <w:proofErr w:type="gramEnd"/>
      <w:r w:rsidRPr="00CC562A">
        <w:rPr>
          <w:rFonts w:ascii="Cambria" w:hAnsi="Cambria"/>
          <w:sz w:val="20"/>
          <w:lang w:val="en-US"/>
        </w:rPr>
        <w:t xml:space="preserve"> guide the implementation of this recommendation, the Commission invites the State to </w:t>
      </w:r>
      <w:r w:rsidR="00BE2C6E" w:rsidRPr="00CC562A">
        <w:rPr>
          <w:rFonts w:ascii="Cambria" w:hAnsi="Cambria"/>
          <w:sz w:val="20"/>
          <w:lang w:val="en-US"/>
        </w:rPr>
        <w:t>pro</w:t>
      </w:r>
      <w:r w:rsidR="00F72807" w:rsidRPr="00CC562A">
        <w:rPr>
          <w:rFonts w:ascii="Cambria" w:hAnsi="Cambria"/>
          <w:sz w:val="20"/>
          <w:lang w:val="en-US"/>
        </w:rPr>
        <w:t xml:space="preserve">vide additional information regarding the decisions that the Supreme Court of Justice has adopted to resolve the appeal for review indicated in the </w:t>
      </w:r>
      <w:r w:rsidR="00BE2C6E" w:rsidRPr="00CC562A">
        <w:rPr>
          <w:rFonts w:ascii="Cambria" w:hAnsi="Cambria"/>
          <w:sz w:val="20"/>
          <w:lang w:val="en-US"/>
        </w:rPr>
        <w:t xml:space="preserve">LGTAIP, </w:t>
      </w:r>
      <w:r w:rsidR="00F72807" w:rsidRPr="00CC562A">
        <w:rPr>
          <w:rFonts w:ascii="Cambria" w:hAnsi="Cambria"/>
          <w:sz w:val="20"/>
          <w:lang w:val="en-US"/>
        </w:rPr>
        <w:t xml:space="preserve">with a view to verifying whether that Court has defined other limits on the power of the Legal Counsel of the Office of the President, considering access to information of public interest. In addition, the Commission asks the State to report whether there is another standard or internal regulation that confirms the exceptional nature of the power of the Legal Counsel of the Office of the President established in Article </w:t>
      </w:r>
      <w:r w:rsidR="00BE2C6E" w:rsidRPr="00CC562A">
        <w:rPr>
          <w:rFonts w:ascii="Cambria" w:hAnsi="Cambria"/>
          <w:sz w:val="20"/>
          <w:lang w:val="en-US"/>
        </w:rPr>
        <w:t xml:space="preserve">157 </w:t>
      </w:r>
      <w:r w:rsidR="00F72807" w:rsidRPr="00CC562A">
        <w:rPr>
          <w:rFonts w:ascii="Cambria" w:hAnsi="Cambria"/>
          <w:sz w:val="20"/>
          <w:lang w:val="en-US"/>
        </w:rPr>
        <w:t>of the</w:t>
      </w:r>
      <w:r w:rsidR="00BE2C6E" w:rsidRPr="00CC562A">
        <w:rPr>
          <w:rFonts w:ascii="Cambria" w:hAnsi="Cambria"/>
          <w:sz w:val="20"/>
          <w:lang w:val="en-US"/>
        </w:rPr>
        <w:t xml:space="preserve"> LGTAIP, a</w:t>
      </w:r>
      <w:r w:rsidR="00F72807" w:rsidRPr="00CC562A">
        <w:rPr>
          <w:rFonts w:ascii="Cambria" w:hAnsi="Cambria"/>
          <w:sz w:val="20"/>
          <w:lang w:val="en-US"/>
        </w:rPr>
        <w:t>s well as data demonstrating that in practice the exercise of that power is not used to limit access to information in the public interest. Finally, the Commission is also awaiting development</w:t>
      </w:r>
      <w:r w:rsidR="004A5AF9" w:rsidRPr="00CC562A">
        <w:rPr>
          <w:rFonts w:ascii="Cambria" w:hAnsi="Cambria"/>
          <w:sz w:val="20"/>
          <w:lang w:val="en-US"/>
        </w:rPr>
        <w:t>s</w:t>
      </w:r>
      <w:r w:rsidR="00F72807" w:rsidRPr="00CC562A">
        <w:rPr>
          <w:rFonts w:ascii="Cambria" w:hAnsi="Cambria"/>
          <w:sz w:val="20"/>
          <w:lang w:val="en-US"/>
        </w:rPr>
        <w:t xml:space="preserve"> in the constitutional dispute reported by the State</w:t>
      </w:r>
      <w:r w:rsidR="00BE2C6E" w:rsidRPr="00CC562A">
        <w:rPr>
          <w:rFonts w:ascii="Cambria" w:hAnsi="Cambria"/>
          <w:sz w:val="20"/>
          <w:lang w:val="en-US"/>
        </w:rPr>
        <w:t xml:space="preserve"> (217/2021) </w:t>
      </w:r>
      <w:r w:rsidR="00F72807" w:rsidRPr="00CC562A">
        <w:rPr>
          <w:rFonts w:ascii="Cambria" w:hAnsi="Cambria"/>
          <w:sz w:val="20"/>
          <w:lang w:val="en-US"/>
        </w:rPr>
        <w:t xml:space="preserve">with respect to the decree issued by the federal government declaring as a matter of “public interest and national security the performance of projects and works in the charge of the Mexican Government associated with infrastructure in the communications, telecommunications, customs, border, hydraulic, hydric, environmental, tourism, health, railways, </w:t>
      </w:r>
      <w:r w:rsidR="00712554" w:rsidRPr="00CC562A">
        <w:rPr>
          <w:rFonts w:ascii="Cambria" w:hAnsi="Cambria"/>
          <w:sz w:val="20"/>
          <w:lang w:val="en-US"/>
        </w:rPr>
        <w:t xml:space="preserve">and railroads in all their forms, energy, ports, </w:t>
      </w:r>
      <w:r w:rsidR="004A5AF9" w:rsidRPr="00CC562A">
        <w:rPr>
          <w:rFonts w:ascii="Cambria" w:hAnsi="Cambria"/>
          <w:sz w:val="20"/>
          <w:lang w:val="en-US"/>
        </w:rPr>
        <w:t xml:space="preserve">and </w:t>
      </w:r>
      <w:r w:rsidR="00712554" w:rsidRPr="00CC562A">
        <w:rPr>
          <w:rFonts w:ascii="Cambria" w:hAnsi="Cambria"/>
          <w:sz w:val="20"/>
          <w:lang w:val="en-US"/>
        </w:rPr>
        <w:t>airports sectors and those sectors that, based on their purpose, characteristics, nature, complexity, and magnitude</w:t>
      </w:r>
      <w:r w:rsidR="004A5AF9" w:rsidRPr="00CC562A">
        <w:rPr>
          <w:rFonts w:ascii="Cambria" w:hAnsi="Cambria"/>
          <w:sz w:val="20"/>
          <w:lang w:val="en-US"/>
        </w:rPr>
        <w:t>,</w:t>
      </w:r>
      <w:r w:rsidR="00712554" w:rsidRPr="00CC562A">
        <w:rPr>
          <w:rFonts w:ascii="Cambria" w:hAnsi="Cambria"/>
          <w:sz w:val="20"/>
          <w:lang w:val="en-US"/>
        </w:rPr>
        <w:t xml:space="preserve"> are considered to be priorities and/or strategic for national development.”</w:t>
      </w:r>
      <w:r w:rsidR="00BE2C6E" w:rsidRPr="00CC562A">
        <w:rPr>
          <w:rFonts w:ascii="Cambria" w:hAnsi="Cambria"/>
          <w:sz w:val="20"/>
          <w:lang w:val="en-US"/>
        </w:rPr>
        <w:t xml:space="preserve"> </w:t>
      </w:r>
      <w:bookmarkEnd w:id="2"/>
    </w:p>
    <w:p w14:paraId="129650BF" w14:textId="6438ACD2" w:rsidR="006E6590" w:rsidRPr="00CC562A" w:rsidRDefault="002F1062" w:rsidP="00FF310C">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hAnsi="Cambria"/>
          <w:b/>
          <w:bCs/>
          <w:sz w:val="20"/>
          <w:szCs w:val="20"/>
          <w:lang w:val="en-US"/>
        </w:rPr>
        <w:t>strengthen laws, policies, and practices to ensure that judicial authorities have full access to relevant information when investigating and prosecuting cases of human rights violations attributed to members of the security forces</w:t>
      </w:r>
      <w:r w:rsidR="0ED6A699" w:rsidRPr="00CC562A">
        <w:rPr>
          <w:rFonts w:ascii="Cambria" w:hAnsi="Cambria"/>
          <w:sz w:val="20"/>
          <w:szCs w:val="20"/>
          <w:lang w:val="en-US"/>
        </w:rPr>
        <w:t xml:space="preserve">, </w:t>
      </w:r>
      <w:r w:rsidR="00752FED" w:rsidRPr="00CC562A">
        <w:rPr>
          <w:rFonts w:ascii="Cambria" w:eastAsia="Cambria" w:hAnsi="Cambria" w:cs="Cambria"/>
          <w:sz w:val="20"/>
          <w:szCs w:val="20"/>
          <w:lang w:val="en-US"/>
        </w:rPr>
        <w:t>the State</w:t>
      </w:r>
      <w:r w:rsidR="601F96B9" w:rsidRPr="00CC562A">
        <w:rPr>
          <w:rFonts w:ascii="Cambria" w:eastAsia="Cambria" w:hAnsi="Cambria" w:cs="Cambria"/>
          <w:sz w:val="20"/>
          <w:szCs w:val="20"/>
          <w:lang w:val="en-US"/>
        </w:rPr>
        <w:t xml:space="preserve"> </w:t>
      </w:r>
      <w:r w:rsidR="48E22F4E" w:rsidRPr="00CC562A">
        <w:rPr>
          <w:rFonts w:ascii="Cambria" w:eastAsia="Cambria" w:hAnsi="Cambria" w:cs="Cambria"/>
          <w:sz w:val="20"/>
          <w:szCs w:val="20"/>
          <w:lang w:val="en-US"/>
        </w:rPr>
        <w:t>r</w:t>
      </w:r>
      <w:r w:rsidRPr="00CC562A">
        <w:rPr>
          <w:rFonts w:ascii="Cambria" w:eastAsia="Cambria" w:hAnsi="Cambria" w:cs="Cambria"/>
          <w:sz w:val="20"/>
          <w:szCs w:val="20"/>
          <w:lang w:val="en-US"/>
        </w:rPr>
        <w:t>eported that it is committed to legislating in collaboration with the three levels of government the laws and regulations needed to establish laws and policies guaranteeing that judicial authorities have access to information on the subject of crimes committed against human rights.</w:t>
      </w:r>
      <w:r w:rsidR="601F96B9" w:rsidRPr="00CC562A">
        <w:rPr>
          <w:rFonts w:ascii="Cambria" w:eastAsia="Cambria" w:hAnsi="Cambria" w:cs="Cambria"/>
          <w:sz w:val="20"/>
          <w:szCs w:val="20"/>
          <w:lang w:val="en-US"/>
        </w:rPr>
        <w:t> </w:t>
      </w:r>
      <w:r w:rsidR="00752FED" w:rsidRPr="00CC562A">
        <w:rPr>
          <w:rFonts w:ascii="Cambria" w:eastAsia="Cambria" w:hAnsi="Cambria" w:cs="Cambria"/>
          <w:sz w:val="20"/>
          <w:szCs w:val="20"/>
          <w:lang w:val="en-US"/>
        </w:rPr>
        <w:t>The State</w:t>
      </w:r>
      <w:r w:rsidR="48E22F4E" w:rsidRPr="00CC562A">
        <w:rPr>
          <w:rFonts w:ascii="Cambria" w:eastAsia="Cambria" w:hAnsi="Cambria" w:cs="Cambria"/>
          <w:sz w:val="20"/>
          <w:szCs w:val="20"/>
          <w:lang w:val="en-US"/>
        </w:rPr>
        <w:t xml:space="preserve"> indi</w:t>
      </w:r>
      <w:r w:rsidRPr="00CC562A">
        <w:rPr>
          <w:rFonts w:ascii="Cambria" w:eastAsia="Cambria" w:hAnsi="Cambria" w:cs="Cambria"/>
          <w:sz w:val="20"/>
          <w:szCs w:val="20"/>
          <w:lang w:val="en-US"/>
        </w:rPr>
        <w:t xml:space="preserve">cated that laws, policies, and practices have been strengthened to ensure that judicial authorities have full access to relevant information when investigating and prosecuting human rights violations attributed to members of the security </w:t>
      </w:r>
      <w:r w:rsidR="00D77397" w:rsidRPr="00CC562A">
        <w:rPr>
          <w:rFonts w:ascii="Cambria" w:eastAsia="Cambria" w:hAnsi="Cambria" w:cs="Cambria"/>
          <w:sz w:val="20"/>
          <w:szCs w:val="20"/>
          <w:lang w:val="en-US"/>
        </w:rPr>
        <w:t>forces.</w:t>
      </w:r>
      <w:r w:rsidR="48E22F4E" w:rsidRPr="00CC562A">
        <w:rPr>
          <w:rFonts w:ascii="Cambria" w:eastAsia="Cambria" w:hAnsi="Cambria" w:cs="Cambria"/>
          <w:sz w:val="20"/>
          <w:szCs w:val="20"/>
          <w:lang w:val="en-US"/>
        </w:rPr>
        <w:t xml:space="preserve"> </w:t>
      </w:r>
    </w:p>
    <w:p w14:paraId="03D5FDF8" w14:textId="18AC7C99" w:rsidR="00F41C4C" w:rsidRPr="00CC562A" w:rsidRDefault="00752FE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002F1062" w:rsidRPr="00CC562A">
        <w:rPr>
          <w:rFonts w:ascii="Cambria" w:eastAsia="Cambria" w:hAnsi="Cambria" w:cs="Cambria"/>
          <w:sz w:val="20"/>
          <w:szCs w:val="20"/>
          <w:lang w:val="en-US"/>
        </w:rPr>
        <w:t xml:space="preserve"> reported that the General Law on Transparency and Access to Public Information and the Federal Law on Transparency and Access to Public Information extend the exercise of the rights of access to information seamlessly throughout the country </w:t>
      </w:r>
      <w:proofErr w:type="gramStart"/>
      <w:r w:rsidR="002F1062" w:rsidRPr="00CC562A">
        <w:rPr>
          <w:rFonts w:ascii="Cambria" w:eastAsia="Cambria" w:hAnsi="Cambria" w:cs="Cambria"/>
          <w:sz w:val="20"/>
          <w:szCs w:val="20"/>
          <w:lang w:val="en-US"/>
        </w:rPr>
        <w:t>in order to</w:t>
      </w:r>
      <w:proofErr w:type="gramEnd"/>
      <w:r w:rsidR="002F1062" w:rsidRPr="00CC562A">
        <w:rPr>
          <w:rFonts w:ascii="Cambria" w:eastAsia="Cambria" w:hAnsi="Cambria" w:cs="Cambria"/>
          <w:sz w:val="20"/>
          <w:szCs w:val="20"/>
          <w:lang w:val="en-US"/>
        </w:rPr>
        <w:t xml:space="preserve"> continue guaranteeing the right of access to public information </w:t>
      </w:r>
      <w:r w:rsidR="004B2B83" w:rsidRPr="00CC562A">
        <w:rPr>
          <w:rFonts w:ascii="Cambria" w:eastAsia="Cambria" w:hAnsi="Cambria" w:cs="Cambria"/>
          <w:sz w:val="20"/>
          <w:szCs w:val="20"/>
          <w:lang w:val="en-US"/>
        </w:rPr>
        <w:t xml:space="preserve">in the possession of </w:t>
      </w:r>
      <w:r w:rsidR="002F1062" w:rsidRPr="00CC562A">
        <w:rPr>
          <w:rFonts w:ascii="Cambria" w:eastAsia="Cambria" w:hAnsi="Cambria" w:cs="Cambria"/>
          <w:sz w:val="20"/>
          <w:szCs w:val="20"/>
          <w:lang w:val="en-US"/>
        </w:rPr>
        <w:t>any authority.</w:t>
      </w:r>
      <w:r w:rsidR="48E22F4E"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601F96B9" w:rsidRPr="00CC562A">
        <w:rPr>
          <w:rFonts w:ascii="Cambria" w:eastAsia="Cambria" w:hAnsi="Cambria" w:cs="Cambria"/>
          <w:sz w:val="20"/>
          <w:szCs w:val="20"/>
          <w:lang w:val="en-US"/>
        </w:rPr>
        <w:t xml:space="preserve"> </w:t>
      </w:r>
      <w:r w:rsidR="004B2B83" w:rsidRPr="00CC562A">
        <w:rPr>
          <w:rFonts w:ascii="Cambria" w:eastAsia="Cambria" w:hAnsi="Cambria" w:cs="Cambria"/>
          <w:sz w:val="20"/>
          <w:szCs w:val="20"/>
          <w:lang w:val="en-US"/>
        </w:rPr>
        <w:t xml:space="preserve">there has been follow-up on the initiative to reform Article </w:t>
      </w:r>
      <w:r w:rsidR="601F96B9" w:rsidRPr="00CC562A">
        <w:rPr>
          <w:rFonts w:ascii="Cambria" w:eastAsia="Cambria" w:hAnsi="Cambria" w:cs="Cambria"/>
          <w:sz w:val="20"/>
          <w:szCs w:val="20"/>
          <w:lang w:val="en-US"/>
        </w:rPr>
        <w:t xml:space="preserve">20 </w:t>
      </w:r>
      <w:r w:rsidR="004B2B83" w:rsidRPr="00CC562A">
        <w:rPr>
          <w:rFonts w:ascii="Cambria" w:eastAsia="Cambria" w:hAnsi="Cambria" w:cs="Cambria"/>
          <w:sz w:val="20"/>
          <w:szCs w:val="20"/>
          <w:lang w:val="en-US"/>
        </w:rPr>
        <w:t>of the Political Constitut</w:t>
      </w:r>
      <w:r w:rsidR="00893A9F" w:rsidRPr="00CC562A">
        <w:rPr>
          <w:rFonts w:ascii="Cambria" w:eastAsia="Cambria" w:hAnsi="Cambria" w:cs="Cambria"/>
          <w:sz w:val="20"/>
          <w:szCs w:val="20"/>
          <w:lang w:val="en-US"/>
        </w:rPr>
        <w:t>ion</w:t>
      </w:r>
      <w:r w:rsidR="004B2B83" w:rsidRPr="00CC562A">
        <w:rPr>
          <w:rFonts w:ascii="Cambria" w:eastAsia="Cambria" w:hAnsi="Cambria" w:cs="Cambria"/>
          <w:sz w:val="20"/>
          <w:szCs w:val="20"/>
          <w:lang w:val="en-US"/>
        </w:rPr>
        <w:t xml:space="preserve"> of the United Mexican States, the purpose of which is to guarantee the right to the truth, providing that the State must guarantee that victims know about all data in the investigation that leads to the truth, as well as the initiative presented to reform Article</w:t>
      </w:r>
      <w:r w:rsidR="601F96B9" w:rsidRPr="00CC562A">
        <w:rPr>
          <w:rFonts w:ascii="Cambria" w:eastAsia="Cambria" w:hAnsi="Cambria" w:cs="Cambria"/>
          <w:sz w:val="20"/>
          <w:szCs w:val="20"/>
          <w:lang w:val="en-US"/>
        </w:rPr>
        <w:t xml:space="preserve"> 20 </w:t>
      </w:r>
      <w:r w:rsidR="004B2B83" w:rsidRPr="00CC562A">
        <w:rPr>
          <w:rFonts w:ascii="Cambria" w:eastAsia="Cambria" w:hAnsi="Cambria" w:cs="Cambria"/>
          <w:sz w:val="20"/>
          <w:szCs w:val="20"/>
          <w:lang w:val="en-US"/>
        </w:rPr>
        <w:t xml:space="preserve">of the Constitution to provide that when human rights violations are carried out by agents of the State, all measures must be issued </w:t>
      </w:r>
      <w:r w:rsidR="004B2B83" w:rsidRPr="00CC562A">
        <w:rPr>
          <w:rFonts w:ascii="Cambria" w:eastAsia="Cambria" w:hAnsi="Cambria" w:cs="Cambria"/>
          <w:sz w:val="20"/>
          <w:szCs w:val="20"/>
          <w:lang w:val="en-US"/>
        </w:rPr>
        <w:lastRenderedPageBreak/>
        <w:t>to clarify the facts within a reasonable and peremptory period of time, which shall be established in a Regulatory Law.</w:t>
      </w:r>
      <w:r w:rsidR="00070D01" w:rsidRPr="00CC562A">
        <w:rPr>
          <w:rStyle w:val="FootnoteReference"/>
          <w:rFonts w:ascii="Cambria" w:eastAsia="Cambria" w:hAnsi="Cambria" w:cs="Cambria"/>
          <w:sz w:val="20"/>
          <w:szCs w:val="20"/>
          <w:lang w:val="en-US"/>
        </w:rPr>
        <w:footnoteReference w:id="369"/>
      </w:r>
    </w:p>
    <w:p w14:paraId="70173B60" w14:textId="2DBB035B" w:rsidR="004A31AF" w:rsidRPr="00CC562A" w:rsidRDefault="00276638"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eastAsia="Cambria" w:hAnsi="Cambria" w:cs="Cambria"/>
          <w:sz w:val="20"/>
          <w:szCs w:val="20"/>
          <w:lang w:val="en-US"/>
        </w:rPr>
        <w:t>The IACHR</w:t>
      </w:r>
      <w:r w:rsidR="014F1F8C" w:rsidRPr="00CC562A">
        <w:rPr>
          <w:rFonts w:ascii="Cambria" w:eastAsia="Cambria" w:hAnsi="Cambria" w:cs="Cambria"/>
          <w:sz w:val="20"/>
          <w:szCs w:val="20"/>
          <w:lang w:val="en-US"/>
        </w:rPr>
        <w:t xml:space="preserve"> consider</w:t>
      </w:r>
      <w:r w:rsidR="004B2B83" w:rsidRPr="00CC562A">
        <w:rPr>
          <w:rFonts w:ascii="Cambria" w:eastAsia="Cambria" w:hAnsi="Cambria" w:cs="Cambria"/>
          <w:sz w:val="20"/>
          <w:szCs w:val="20"/>
          <w:lang w:val="en-US"/>
        </w:rPr>
        <w:t xml:space="preserve">s the information provided by the State to be insufficient for the purposes </w:t>
      </w:r>
      <w:r w:rsidR="00D77397" w:rsidRPr="00CC562A">
        <w:rPr>
          <w:rFonts w:ascii="Cambria" w:eastAsia="Cambria" w:hAnsi="Cambria" w:cs="Cambria"/>
          <w:sz w:val="20"/>
          <w:szCs w:val="20"/>
          <w:lang w:val="en-US"/>
        </w:rPr>
        <w:t>of complying with</w:t>
      </w:r>
      <w:r w:rsidR="004B2B83" w:rsidRPr="00CC562A">
        <w:rPr>
          <w:rFonts w:ascii="Cambria" w:eastAsia="Cambria" w:hAnsi="Cambria" w:cs="Cambria"/>
          <w:sz w:val="20"/>
          <w:szCs w:val="20"/>
          <w:lang w:val="en-US"/>
        </w:rPr>
        <w:t xml:space="preserve"> the recommendation. As indicated in recent annual reports, the Commission understands that the context of serious human rights violations faces significant </w:t>
      </w:r>
      <w:r w:rsidR="00893A9F" w:rsidRPr="00CC562A">
        <w:rPr>
          <w:rFonts w:ascii="Cambria" w:eastAsia="Cambria" w:hAnsi="Cambria" w:cs="Cambria"/>
          <w:sz w:val="20"/>
          <w:szCs w:val="20"/>
          <w:lang w:val="en-US"/>
        </w:rPr>
        <w:t>challenges</w:t>
      </w:r>
      <w:r w:rsidR="004B2B83" w:rsidRPr="00CC562A">
        <w:rPr>
          <w:rFonts w:ascii="Cambria" w:eastAsia="Cambria" w:hAnsi="Cambria" w:cs="Cambria"/>
          <w:sz w:val="20"/>
          <w:szCs w:val="20"/>
          <w:lang w:val="en-US"/>
        </w:rPr>
        <w:t xml:space="preserve"> and requires institutional efforts to strengthen transparency requirements.</w:t>
      </w:r>
      <w:r w:rsidR="00540016" w:rsidRPr="00CC562A">
        <w:rPr>
          <w:rFonts w:ascii="Cambria" w:eastAsia="Cambria" w:hAnsi="Cambria" w:cs="Cambria"/>
          <w:sz w:val="20"/>
          <w:szCs w:val="20"/>
          <w:vertAlign w:val="superscript"/>
          <w:lang w:val="en-US"/>
        </w:rPr>
        <w:footnoteReference w:id="370"/>
      </w:r>
      <w:r w:rsidR="004B2B83" w:rsidRPr="00CC562A">
        <w:rPr>
          <w:rFonts w:ascii="Cambria" w:eastAsia="Cambria" w:hAnsi="Cambria" w:cs="Cambria"/>
          <w:sz w:val="20"/>
          <w:szCs w:val="20"/>
          <w:lang w:val="en-US"/>
        </w:rPr>
        <w:t xml:space="preserve"> In this regard, and since an obligation subject to gradual compliance</w:t>
      </w:r>
      <w:r w:rsidR="00AC40C8" w:rsidRPr="00CC562A">
        <w:rPr>
          <w:rFonts w:ascii="Cambria" w:eastAsia="Cambria" w:hAnsi="Cambria" w:cs="Cambria"/>
          <w:sz w:val="20"/>
          <w:szCs w:val="20"/>
          <w:lang w:val="en-US"/>
        </w:rPr>
        <w:t xml:space="preserve"> is involved, </w:t>
      </w:r>
      <w:r w:rsidRPr="00CC562A">
        <w:rPr>
          <w:rFonts w:ascii="Cambria" w:eastAsia="Cambria" w:hAnsi="Cambria" w:cs="Cambria"/>
          <w:sz w:val="20"/>
          <w:szCs w:val="20"/>
          <w:lang w:val="en-US"/>
        </w:rPr>
        <w:t>the IACHR</w:t>
      </w:r>
      <w:r w:rsidR="014F1F8C" w:rsidRPr="00CC562A">
        <w:rPr>
          <w:rFonts w:ascii="Cambria" w:eastAsia="Cambria" w:hAnsi="Cambria" w:cs="Cambria"/>
          <w:sz w:val="20"/>
          <w:szCs w:val="20"/>
          <w:lang w:val="en-US"/>
        </w:rPr>
        <w:t xml:space="preserve"> estima</w:t>
      </w:r>
      <w:r w:rsidR="00AC40C8" w:rsidRPr="00CC562A">
        <w:rPr>
          <w:rFonts w:ascii="Cambria" w:eastAsia="Cambria" w:hAnsi="Cambria" w:cs="Cambria"/>
          <w:sz w:val="20"/>
          <w:szCs w:val="20"/>
          <w:lang w:val="en-US"/>
        </w:rPr>
        <w:t xml:space="preserve">tes that the status of the recommendation is one of </w:t>
      </w:r>
      <w:r w:rsidR="00AC40C8" w:rsidRPr="00CC562A">
        <w:rPr>
          <w:rFonts w:ascii="Cambria" w:eastAsia="Cambria" w:hAnsi="Cambria" w:cs="Cambria"/>
          <w:b/>
          <w:bCs/>
          <w:sz w:val="20"/>
          <w:szCs w:val="20"/>
          <w:lang w:val="en-US"/>
        </w:rPr>
        <w:t>partial compliance</w:t>
      </w:r>
      <w:r w:rsidR="00AC40C8" w:rsidRPr="00CC562A">
        <w:rPr>
          <w:rFonts w:ascii="Cambria" w:eastAsia="Cambria" w:hAnsi="Cambria" w:cs="Cambria"/>
          <w:sz w:val="20"/>
          <w:szCs w:val="20"/>
          <w:lang w:val="en-US"/>
        </w:rPr>
        <w:t>, and urges the State to continue to strengthen the right of access to public information, particularly with regard to serious human rights violations.</w:t>
      </w:r>
      <w:r w:rsidR="00540016" w:rsidRPr="00CC562A">
        <w:rPr>
          <w:rFonts w:ascii="Cambria" w:eastAsia="Cambria" w:hAnsi="Cambria" w:cs="Cambria"/>
          <w:sz w:val="20"/>
          <w:szCs w:val="20"/>
          <w:vertAlign w:val="superscript"/>
          <w:lang w:val="en-US"/>
        </w:rPr>
        <w:footnoteReference w:id="371"/>
      </w:r>
    </w:p>
    <w:p w14:paraId="0383BDD1" w14:textId="735142B3" w:rsidR="00843C54" w:rsidRPr="00CC562A" w:rsidRDefault="00E8033B"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To guide the implementation of this recommendation</w:t>
      </w:r>
      <w:r w:rsidR="009C2AD1" w:rsidRPr="00CC562A">
        <w:rPr>
          <w:rFonts w:ascii="Cambria" w:hAnsi="Cambria"/>
          <w:sz w:val="20"/>
          <w:szCs w:val="20"/>
          <w:lang w:val="en-US"/>
        </w:rPr>
        <w:t xml:space="preserve">, </w:t>
      </w:r>
      <w:r w:rsidRPr="00CC562A">
        <w:rPr>
          <w:rFonts w:ascii="Cambria" w:hAnsi="Cambria"/>
          <w:sz w:val="20"/>
          <w:szCs w:val="20"/>
          <w:lang w:val="en-US"/>
        </w:rPr>
        <w:t>the Commission sees fit to suggest</w:t>
      </w:r>
      <w:r w:rsidR="009C2AD1" w:rsidRPr="00CC562A">
        <w:rPr>
          <w:rFonts w:ascii="Cambria" w:hAnsi="Cambria"/>
          <w:sz w:val="20"/>
          <w:szCs w:val="20"/>
          <w:lang w:val="en-US"/>
        </w:rPr>
        <w:t xml:space="preserve"> </w:t>
      </w:r>
      <w:r w:rsidR="00AC40C8" w:rsidRPr="00CC562A">
        <w:rPr>
          <w:rFonts w:ascii="Cambria" w:hAnsi="Cambria"/>
          <w:sz w:val="20"/>
          <w:szCs w:val="20"/>
          <w:lang w:val="en-US"/>
        </w:rPr>
        <w:t xml:space="preserve">the adoption of measures that are specifically directed to strengthening the right of access to public information, particularly </w:t>
      </w:r>
      <w:proofErr w:type="gramStart"/>
      <w:r w:rsidR="00AC40C8" w:rsidRPr="00CC562A">
        <w:rPr>
          <w:rFonts w:ascii="Cambria" w:hAnsi="Cambria"/>
          <w:sz w:val="20"/>
          <w:szCs w:val="20"/>
          <w:lang w:val="en-US"/>
        </w:rPr>
        <w:t>with regard to</w:t>
      </w:r>
      <w:proofErr w:type="gramEnd"/>
      <w:r w:rsidR="00AC40C8" w:rsidRPr="00CC562A">
        <w:rPr>
          <w:rFonts w:ascii="Cambria" w:hAnsi="Cambria"/>
          <w:sz w:val="20"/>
          <w:szCs w:val="20"/>
          <w:lang w:val="en-US"/>
        </w:rPr>
        <w:t xml:space="preserve"> serious human rights violations</w:t>
      </w:r>
      <w:r w:rsidR="4F2B11B7" w:rsidRPr="00CC562A">
        <w:rPr>
          <w:rFonts w:ascii="Cambria" w:hAnsi="Cambria"/>
          <w:sz w:val="20"/>
          <w:szCs w:val="20"/>
          <w:lang w:val="en-US"/>
        </w:rPr>
        <w:t xml:space="preserve">. </w:t>
      </w:r>
      <w:r w:rsidR="7A656415" w:rsidRPr="00CC562A">
        <w:rPr>
          <w:rFonts w:ascii="Cambria" w:hAnsi="Cambria"/>
          <w:sz w:val="20"/>
          <w:szCs w:val="20"/>
          <w:lang w:val="en-US"/>
        </w:rPr>
        <w:t xml:space="preserve"> </w:t>
      </w:r>
      <w:r w:rsidR="00F108AA" w:rsidRPr="00CC562A">
        <w:rPr>
          <w:rFonts w:ascii="Cambria" w:hAnsi="Cambria"/>
          <w:sz w:val="20"/>
          <w:szCs w:val="20"/>
          <w:lang w:val="en-US"/>
        </w:rPr>
        <w:t>In addition,</w:t>
      </w:r>
      <w:r w:rsidR="009C2AD1" w:rsidRPr="00CC562A">
        <w:rPr>
          <w:rFonts w:ascii="Cambria" w:hAnsi="Cambria"/>
          <w:sz w:val="20"/>
          <w:szCs w:val="20"/>
          <w:lang w:val="en-US"/>
        </w:rPr>
        <w:t xml:space="preserve"> </w:t>
      </w:r>
      <w:r w:rsidR="00AC40C8" w:rsidRPr="00CC562A">
        <w:rPr>
          <w:rFonts w:ascii="Cambria" w:hAnsi="Cambria"/>
          <w:sz w:val="20"/>
          <w:szCs w:val="20"/>
          <w:lang w:val="en-US"/>
        </w:rPr>
        <w:t>the Commission</w:t>
      </w:r>
      <w:r w:rsidR="009C2AD1" w:rsidRPr="00CC562A">
        <w:rPr>
          <w:rFonts w:ascii="Cambria" w:hAnsi="Cambria"/>
          <w:sz w:val="20"/>
          <w:szCs w:val="20"/>
          <w:lang w:val="en-US"/>
        </w:rPr>
        <w:t xml:space="preserve"> </w:t>
      </w:r>
      <w:r w:rsidR="00AC40C8" w:rsidRPr="00CC562A">
        <w:rPr>
          <w:rFonts w:ascii="Cambria" w:hAnsi="Cambria"/>
          <w:sz w:val="20"/>
          <w:szCs w:val="20"/>
          <w:lang w:val="en-US"/>
        </w:rPr>
        <w:t>asks the State to adopt relevant measures to ensure that judicial authorities have access to information in the context of investigative procedures.</w:t>
      </w:r>
      <w:r w:rsidR="00376A5C" w:rsidRPr="00CC562A">
        <w:rPr>
          <w:rFonts w:ascii="Cambria" w:hAnsi="Cambria"/>
          <w:sz w:val="20"/>
          <w:szCs w:val="20"/>
          <w:lang w:val="en-US"/>
        </w:rPr>
        <w:t xml:space="preserve"> </w:t>
      </w:r>
    </w:p>
    <w:p w14:paraId="66E5CEAE" w14:textId="276E98A9" w:rsidR="007A4A30" w:rsidRPr="00CC562A" w:rsidRDefault="00AC40C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1BEE6EB1" w:rsidRPr="00CC562A">
        <w:rPr>
          <w:rFonts w:ascii="Cambria" w:hAnsi="Cambria"/>
          <w:b/>
          <w:bCs/>
          <w:sz w:val="20"/>
          <w:szCs w:val="20"/>
          <w:lang w:val="en-US"/>
        </w:rPr>
        <w:t>adopt</w:t>
      </w:r>
      <w:r w:rsidRPr="00CC562A">
        <w:rPr>
          <w:rFonts w:ascii="Cambria" w:hAnsi="Cambria"/>
          <w:b/>
          <w:bCs/>
          <w:sz w:val="20"/>
          <w:szCs w:val="20"/>
          <w:lang w:val="en-US"/>
        </w:rPr>
        <w:t xml:space="preserve"> pertinent measures to ensure that the security forces compile, systematize, and periodically publish the information related to harm done to life and integrity as a consequence of efforts to combat organized crime, the information related to such harm shall  include a description of the place where it occurred, the date, data on the security sector unit reportedly present when it occurred, and information regarding that unit’s mandate and oversight, as well as causes of the harm done and the inability to prevent i</w:t>
      </w:r>
      <w:r w:rsidR="00AF700C" w:rsidRPr="00CC562A">
        <w:rPr>
          <w:rFonts w:ascii="Cambria" w:hAnsi="Cambria"/>
          <w:b/>
          <w:bCs/>
          <w:sz w:val="20"/>
          <w:szCs w:val="20"/>
          <w:lang w:val="en-US"/>
        </w:rPr>
        <w:t>t</w:t>
      </w:r>
      <w:r w:rsidR="1C6529F2" w:rsidRPr="00CC562A">
        <w:rPr>
          <w:rFonts w:ascii="Cambria" w:eastAsia="Cambria" w:hAnsi="Cambria" w:cs="Cambria"/>
          <w:sz w:val="20"/>
          <w:szCs w:val="20"/>
          <w:lang w:val="en-US"/>
        </w:rPr>
        <w:t>,</w:t>
      </w:r>
      <w:r w:rsidR="00712554" w:rsidRPr="00CC562A">
        <w:rPr>
          <w:rFonts w:ascii="Cambria" w:eastAsia="Cambria" w:hAnsi="Cambria" w:cs="Cambria"/>
          <w:sz w:val="20"/>
          <w:szCs w:val="20"/>
          <w:lang w:val="en-US"/>
        </w:rPr>
        <w:t xml:space="preserve"> </w:t>
      </w:r>
      <w:r w:rsidR="00AA4D42" w:rsidRPr="00CC562A">
        <w:rPr>
          <w:rFonts w:ascii="Cambria" w:hAnsi="Cambria"/>
          <w:sz w:val="20"/>
          <w:lang w:val="en-US"/>
        </w:rPr>
        <w:t>in its first report the State indicated that it did not have updated information.</w:t>
      </w:r>
      <w:r w:rsidR="00BE2C6E" w:rsidRPr="00CC562A">
        <w:rPr>
          <w:rStyle w:val="FootnoteReference"/>
          <w:rFonts w:ascii="Cambria" w:hAnsi="Cambria"/>
          <w:sz w:val="20"/>
          <w:lang w:val="es-CO"/>
        </w:rPr>
        <w:footnoteReference w:id="372"/>
      </w:r>
      <w:r w:rsidR="00AA4D42" w:rsidRPr="00CC562A">
        <w:rPr>
          <w:rFonts w:ascii="Cambria" w:hAnsi="Cambria"/>
          <w:sz w:val="20"/>
          <w:lang w:val="en-US"/>
        </w:rPr>
        <w:t xml:space="preserve"> Nonetheless, in its observations regarding this report it referred to the Memory and Truth site as a virtual forum dedicated to the disclosure of existing public information regarding cases of alleged human rights violations and crimes against humanity occurring in Mexico. The objective of the site is to promote transparency, the right of access to information, the right to the truth, the guarantee of no</w:t>
      </w:r>
      <w:r w:rsidR="004A5AF9" w:rsidRPr="00CC562A">
        <w:rPr>
          <w:rFonts w:ascii="Cambria" w:hAnsi="Cambria"/>
          <w:sz w:val="20"/>
          <w:lang w:val="en-US"/>
        </w:rPr>
        <w:t>n</w:t>
      </w:r>
      <w:r w:rsidR="00AA4D42" w:rsidRPr="00CC562A">
        <w:rPr>
          <w:rFonts w:ascii="Cambria" w:hAnsi="Cambria"/>
          <w:sz w:val="20"/>
          <w:lang w:val="en-US"/>
        </w:rPr>
        <w:t>-repetition, and the generation of a collective memory.</w:t>
      </w:r>
      <w:r w:rsidR="00BE2C6E" w:rsidRPr="00CC562A">
        <w:rPr>
          <w:rStyle w:val="FootnoteReference"/>
          <w:rFonts w:ascii="Cambria" w:eastAsia="Cambria" w:hAnsi="Cambria" w:cs="Cambria"/>
          <w:sz w:val="20"/>
          <w:szCs w:val="20"/>
          <w:lang w:val="es-CO"/>
        </w:rPr>
        <w:footnoteReference w:id="373"/>
      </w:r>
    </w:p>
    <w:p w14:paraId="1BA4C506" w14:textId="25811B5E" w:rsidR="0054543A" w:rsidRPr="00CC562A" w:rsidRDefault="00AF700C"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PRODH Center stated that more than one year has passed and the National Guard </w:t>
      </w:r>
      <w:r w:rsidR="00893A9F" w:rsidRPr="00CC562A">
        <w:rPr>
          <w:rFonts w:ascii="Cambria" w:eastAsia="Cambria" w:hAnsi="Cambria" w:cs="Cambria"/>
          <w:sz w:val="20"/>
          <w:szCs w:val="20"/>
          <w:lang w:val="en-US"/>
        </w:rPr>
        <w:t>has</w:t>
      </w:r>
      <w:r w:rsidRPr="00CC562A">
        <w:rPr>
          <w:rFonts w:ascii="Cambria" w:eastAsia="Cambria" w:hAnsi="Cambria" w:cs="Cambria"/>
          <w:sz w:val="20"/>
          <w:szCs w:val="20"/>
          <w:lang w:val="en-US"/>
        </w:rPr>
        <w:t xml:space="preserve"> still not properly complied with what was ordered by the National Institute of Transparency, Access to Information, and Protection of Personal Data </w:t>
      </w:r>
      <w:r w:rsidR="00893A9F" w:rsidRPr="00CC562A">
        <w:rPr>
          <w:rFonts w:ascii="Cambria" w:eastAsia="Cambria" w:hAnsi="Cambria" w:cs="Cambria"/>
          <w:sz w:val="20"/>
          <w:szCs w:val="20"/>
          <w:lang w:val="en-US"/>
        </w:rPr>
        <w:t>as regards</w:t>
      </w:r>
      <w:r w:rsidRPr="00CC562A">
        <w:rPr>
          <w:rFonts w:ascii="Cambria" w:eastAsia="Cambria" w:hAnsi="Cambria" w:cs="Cambria"/>
          <w:sz w:val="20"/>
          <w:szCs w:val="20"/>
          <w:lang w:val="en-US"/>
        </w:rPr>
        <w:t xml:space="preserve"> preparing public versions of its detailed reports on the use of force.</w:t>
      </w:r>
      <w:r w:rsidR="0054543A" w:rsidRPr="00CC562A">
        <w:rPr>
          <w:rFonts w:ascii="Cambria" w:eastAsia="Cambria" w:hAnsi="Cambria" w:cs="Cambria"/>
          <w:sz w:val="20"/>
          <w:szCs w:val="20"/>
          <w:vertAlign w:val="superscript"/>
          <w:lang w:val="en-US"/>
        </w:rPr>
        <w:footnoteReference w:id="374"/>
      </w:r>
      <w:r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1C6529F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they indicated that the National Guard has reported nearly </w:t>
      </w:r>
      <w:r w:rsidR="3A50153C" w:rsidRPr="00CC562A">
        <w:rPr>
          <w:rFonts w:ascii="Cambria" w:eastAsia="Cambria" w:hAnsi="Cambria" w:cs="Cambria"/>
          <w:sz w:val="20"/>
          <w:szCs w:val="20"/>
          <w:lang w:val="en-US"/>
        </w:rPr>
        <w:t xml:space="preserve">300 </w:t>
      </w:r>
      <w:r w:rsidRPr="00CC562A">
        <w:rPr>
          <w:rFonts w:ascii="Cambria" w:eastAsia="Cambria" w:hAnsi="Cambria" w:cs="Cambria"/>
          <w:sz w:val="20"/>
          <w:szCs w:val="20"/>
          <w:lang w:val="en-US"/>
        </w:rPr>
        <w:t xml:space="preserve">incidents in </w:t>
      </w:r>
      <w:r w:rsidR="3A50153C" w:rsidRPr="00CC562A">
        <w:rPr>
          <w:rFonts w:ascii="Cambria" w:eastAsia="Cambria" w:hAnsi="Cambria" w:cs="Cambria"/>
          <w:sz w:val="20"/>
          <w:szCs w:val="20"/>
          <w:lang w:val="en-US"/>
        </w:rPr>
        <w:t xml:space="preserve">2020 </w:t>
      </w:r>
      <w:r w:rsidRPr="00CC562A">
        <w:rPr>
          <w:rFonts w:ascii="Cambria" w:eastAsia="Cambria" w:hAnsi="Cambria" w:cs="Cambria"/>
          <w:sz w:val="20"/>
          <w:szCs w:val="20"/>
          <w:lang w:val="en-US"/>
        </w:rPr>
        <w:t>and</w:t>
      </w:r>
      <w:r w:rsidR="3A50153C" w:rsidRPr="00CC562A">
        <w:rPr>
          <w:rFonts w:ascii="Cambria" w:eastAsia="Cambria" w:hAnsi="Cambria" w:cs="Cambria"/>
          <w:sz w:val="20"/>
          <w:szCs w:val="20"/>
          <w:lang w:val="en-US"/>
        </w:rPr>
        <w:t xml:space="preserve"> 2021 </w:t>
      </w:r>
      <w:r w:rsidRPr="00CC562A">
        <w:rPr>
          <w:rFonts w:ascii="Cambria" w:eastAsia="Cambria" w:hAnsi="Cambria" w:cs="Cambria"/>
          <w:sz w:val="20"/>
          <w:szCs w:val="20"/>
          <w:lang w:val="en-US"/>
        </w:rPr>
        <w:t>in which it use</w:t>
      </w:r>
      <w:r w:rsidR="00893A9F" w:rsidRPr="00CC562A">
        <w:rPr>
          <w:rFonts w:ascii="Cambria" w:eastAsia="Cambria" w:hAnsi="Cambria" w:cs="Cambria"/>
          <w:sz w:val="20"/>
          <w:szCs w:val="20"/>
          <w:lang w:val="en-US"/>
        </w:rPr>
        <w:t>d</w:t>
      </w:r>
      <w:r w:rsidRPr="00CC562A">
        <w:rPr>
          <w:rFonts w:ascii="Cambria" w:eastAsia="Cambria" w:hAnsi="Cambria" w:cs="Cambria"/>
          <w:sz w:val="20"/>
          <w:szCs w:val="20"/>
          <w:lang w:val="en-US"/>
        </w:rPr>
        <w:t xml:space="preserve"> force and firearms</w:t>
      </w:r>
      <w:r w:rsidR="0054543A" w:rsidRPr="00CC562A">
        <w:rPr>
          <w:rFonts w:ascii="Cambria" w:eastAsia="Cambria" w:hAnsi="Cambria" w:cs="Cambria"/>
          <w:sz w:val="20"/>
          <w:szCs w:val="20"/>
          <w:vertAlign w:val="superscript"/>
          <w:lang w:val="en-US"/>
        </w:rPr>
        <w:footnoteReference w:id="375"/>
      </w:r>
      <w:r w:rsidRPr="00CC562A">
        <w:rPr>
          <w:rFonts w:ascii="Cambria" w:eastAsia="Cambria" w:hAnsi="Cambria" w:cs="Cambria"/>
          <w:sz w:val="20"/>
          <w:szCs w:val="20"/>
          <w:lang w:val="en-US"/>
        </w:rPr>
        <w:t xml:space="preserve"> up to the month of May </w:t>
      </w:r>
      <w:r w:rsidR="3A50153C" w:rsidRPr="00CC562A">
        <w:rPr>
          <w:rFonts w:ascii="Cambria" w:eastAsia="Cambria" w:hAnsi="Cambria" w:cs="Cambria"/>
          <w:sz w:val="20"/>
          <w:szCs w:val="20"/>
          <w:lang w:val="en-US"/>
        </w:rPr>
        <w:t>2022,</w:t>
      </w:r>
      <w:r w:rsidRPr="00CC562A">
        <w:rPr>
          <w:rFonts w:ascii="Cambria" w:eastAsia="Cambria" w:hAnsi="Cambria" w:cs="Cambria"/>
          <w:sz w:val="20"/>
          <w:szCs w:val="20"/>
          <w:lang w:val="en-US"/>
        </w:rPr>
        <w:t xml:space="preserve"> after lengthy litigation before  the transparency agency.</w:t>
      </w:r>
      <w:r w:rsidR="0054543A" w:rsidRPr="00CC562A">
        <w:rPr>
          <w:rFonts w:ascii="Cambria" w:eastAsia="Cambria" w:hAnsi="Cambria" w:cs="Cambria"/>
          <w:sz w:val="20"/>
          <w:szCs w:val="20"/>
          <w:vertAlign w:val="superscript"/>
          <w:lang w:val="en-US"/>
        </w:rPr>
        <w:footnoteReference w:id="376"/>
      </w:r>
    </w:p>
    <w:p w14:paraId="69AB5CCC" w14:textId="53368C6F" w:rsidR="00A06F2A" w:rsidRPr="00CC562A" w:rsidRDefault="00AF700C"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The organization indicated that the State reported that, during the year</w:t>
      </w:r>
      <w:r w:rsidR="5E992440" w:rsidRPr="00CC562A">
        <w:rPr>
          <w:rFonts w:ascii="Cambria" w:eastAsia="Cambria" w:hAnsi="Cambria" w:cs="Cambria"/>
          <w:sz w:val="20"/>
          <w:szCs w:val="20"/>
          <w:lang w:val="en-US"/>
        </w:rPr>
        <w:t xml:space="preserve"> 2021</w:t>
      </w:r>
      <w:r w:rsidRPr="00CC562A">
        <w:rPr>
          <w:rFonts w:ascii="Cambria" w:eastAsia="Cambria" w:hAnsi="Cambria" w:cs="Cambria"/>
          <w:sz w:val="20"/>
          <w:szCs w:val="20"/>
          <w:lang w:val="en-US"/>
        </w:rPr>
        <w:t xml:space="preserve">, the National Guard used lethal force with firearms in </w:t>
      </w:r>
      <w:r w:rsidR="5E992440" w:rsidRPr="00CC562A">
        <w:rPr>
          <w:rFonts w:ascii="Cambria" w:eastAsia="Cambria" w:hAnsi="Cambria" w:cs="Cambria"/>
          <w:sz w:val="20"/>
          <w:szCs w:val="20"/>
          <w:lang w:val="en-US"/>
        </w:rPr>
        <w:t xml:space="preserve">125 </w:t>
      </w:r>
      <w:r w:rsidRPr="00CC562A">
        <w:rPr>
          <w:rFonts w:ascii="Cambria" w:eastAsia="Cambria" w:hAnsi="Cambria" w:cs="Cambria"/>
          <w:sz w:val="20"/>
          <w:szCs w:val="20"/>
          <w:lang w:val="en-US"/>
        </w:rPr>
        <w:t xml:space="preserve">incidents and in one of them it was determined that there was excessive use of force, which led to </w:t>
      </w:r>
      <w:r w:rsidR="00893A9F" w:rsidRPr="00CC562A">
        <w:rPr>
          <w:rFonts w:ascii="Cambria" w:eastAsia="Cambria" w:hAnsi="Cambria" w:cs="Cambria"/>
          <w:sz w:val="20"/>
          <w:szCs w:val="20"/>
          <w:lang w:val="en-US"/>
        </w:rPr>
        <w:t xml:space="preserve">CNDH </w:t>
      </w:r>
      <w:r w:rsidRPr="00CC562A">
        <w:rPr>
          <w:rFonts w:ascii="Cambria" w:eastAsia="Cambria" w:hAnsi="Cambria" w:cs="Cambria"/>
          <w:sz w:val="20"/>
          <w:szCs w:val="20"/>
          <w:lang w:val="en-US"/>
        </w:rPr>
        <w:t>Recommendation</w:t>
      </w:r>
      <w:r w:rsidR="5E992440" w:rsidRPr="00CC562A">
        <w:rPr>
          <w:rFonts w:ascii="Cambria" w:eastAsia="Cambria" w:hAnsi="Cambria" w:cs="Cambria"/>
          <w:sz w:val="20"/>
          <w:szCs w:val="20"/>
          <w:lang w:val="en-US"/>
        </w:rPr>
        <w:t xml:space="preserve"> 92/2021</w:t>
      </w:r>
      <w:r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377"/>
      </w:r>
      <w:r w:rsidRPr="00CC562A">
        <w:rPr>
          <w:rFonts w:ascii="Cambria" w:eastAsia="Cambria" w:hAnsi="Cambria" w:cs="Cambria"/>
          <w:sz w:val="20"/>
          <w:szCs w:val="20"/>
          <w:lang w:val="en-US"/>
        </w:rPr>
        <w:t xml:space="preserve"> Those incidents resulted in the deaths of </w:t>
      </w:r>
      <w:r w:rsidR="5E992440" w:rsidRPr="00CC562A">
        <w:rPr>
          <w:rFonts w:ascii="Cambria" w:eastAsia="Cambria" w:hAnsi="Cambria" w:cs="Cambria"/>
          <w:sz w:val="20"/>
          <w:szCs w:val="20"/>
          <w:lang w:val="en-US"/>
        </w:rPr>
        <w:t>65</w:t>
      </w:r>
      <w:r w:rsidRPr="00CC562A">
        <w:rPr>
          <w:rFonts w:ascii="Cambria" w:eastAsia="Cambria" w:hAnsi="Cambria" w:cs="Cambria"/>
          <w:sz w:val="20"/>
          <w:szCs w:val="20"/>
          <w:lang w:val="en-US"/>
        </w:rPr>
        <w:t xml:space="preserve"> civilians and an additional 20 people who were wounded.</w:t>
      </w:r>
      <w:r w:rsidR="00A06F2A" w:rsidRPr="00CC562A">
        <w:rPr>
          <w:rFonts w:ascii="Cambria" w:eastAsia="Cambria" w:hAnsi="Cambria" w:cs="Cambria"/>
          <w:sz w:val="20"/>
          <w:szCs w:val="20"/>
          <w:vertAlign w:val="superscript"/>
          <w:lang w:val="en-US"/>
        </w:rPr>
        <w:footnoteReference w:id="378"/>
      </w:r>
      <w:r w:rsidR="5E99244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Moreover, in that year, </w:t>
      </w:r>
      <w:r w:rsidR="5E992440" w:rsidRPr="00CC562A">
        <w:rPr>
          <w:rFonts w:ascii="Cambria" w:eastAsia="Cambria" w:hAnsi="Cambria" w:cs="Cambria"/>
          <w:sz w:val="20"/>
          <w:szCs w:val="20"/>
          <w:lang w:val="en-US"/>
        </w:rPr>
        <w:t xml:space="preserve">7,586 </w:t>
      </w:r>
      <w:r w:rsidR="000D44B5" w:rsidRPr="00CC562A">
        <w:rPr>
          <w:rFonts w:ascii="Cambria" w:eastAsia="Cambria" w:hAnsi="Cambria" w:cs="Cambria"/>
          <w:sz w:val="20"/>
          <w:szCs w:val="20"/>
          <w:lang w:val="en-US"/>
        </w:rPr>
        <w:t xml:space="preserve">disciplinary correctives and penalties </w:t>
      </w:r>
      <w:r w:rsidRPr="00CC562A">
        <w:rPr>
          <w:rFonts w:ascii="Cambria" w:eastAsia="Cambria" w:hAnsi="Cambria" w:cs="Cambria"/>
          <w:sz w:val="20"/>
          <w:szCs w:val="20"/>
          <w:lang w:val="en-US"/>
        </w:rPr>
        <w:t xml:space="preserve">were imposed on </w:t>
      </w:r>
      <w:r w:rsidR="000D44B5" w:rsidRPr="00CC562A">
        <w:rPr>
          <w:rFonts w:ascii="Cambria" w:eastAsia="Cambria" w:hAnsi="Cambria" w:cs="Cambria"/>
          <w:sz w:val="20"/>
          <w:szCs w:val="20"/>
          <w:lang w:val="en-US"/>
        </w:rPr>
        <w:t>components of the institution – without detailing the grounds for them – and no criminal penalty was recorded.</w:t>
      </w:r>
      <w:r w:rsidR="00A06F2A" w:rsidRPr="00CC562A">
        <w:rPr>
          <w:rFonts w:ascii="Cambria" w:eastAsia="Cambria" w:hAnsi="Cambria" w:cs="Cambria"/>
          <w:sz w:val="20"/>
          <w:szCs w:val="20"/>
          <w:vertAlign w:val="superscript"/>
          <w:lang w:val="en-US"/>
        </w:rPr>
        <w:footnoteReference w:id="379"/>
      </w:r>
      <w:r w:rsidR="5E992440"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000D44B5" w:rsidRPr="00CC562A">
        <w:rPr>
          <w:rFonts w:ascii="Cambria" w:eastAsia="Cambria" w:hAnsi="Cambria" w:cs="Cambria"/>
          <w:sz w:val="20"/>
          <w:szCs w:val="20"/>
          <w:lang w:val="en-US"/>
        </w:rPr>
        <w:t xml:space="preserve"> the organization emphasizes that the report does not mention the circumstances and reasons for using firearms and although it indicates that in only one case was there excessive use of force,</w:t>
      </w:r>
      <w:r w:rsidR="5E992440" w:rsidRPr="00CC562A">
        <w:rPr>
          <w:rFonts w:ascii="Cambria" w:eastAsia="Cambria" w:hAnsi="Cambria" w:cs="Cambria"/>
          <w:sz w:val="20"/>
          <w:szCs w:val="20"/>
          <w:lang w:val="en-US"/>
        </w:rPr>
        <w:t xml:space="preserve"> </w:t>
      </w:r>
      <w:r w:rsidR="000D44B5" w:rsidRPr="00CC562A">
        <w:rPr>
          <w:rFonts w:ascii="Cambria" w:eastAsia="Cambria" w:hAnsi="Cambria" w:cs="Cambria"/>
          <w:sz w:val="20"/>
          <w:szCs w:val="20"/>
          <w:lang w:val="en-US"/>
        </w:rPr>
        <w:t xml:space="preserve">it does not detail the criteria or mechanisms for determining when force was excessive. In this regard, in its reports </w:t>
      </w:r>
      <w:r w:rsidR="00893A9F" w:rsidRPr="00CC562A">
        <w:rPr>
          <w:rFonts w:ascii="Cambria" w:eastAsia="Cambria" w:hAnsi="Cambria" w:cs="Cambria"/>
          <w:sz w:val="20"/>
          <w:szCs w:val="20"/>
          <w:lang w:val="en-US"/>
        </w:rPr>
        <w:t>o</w:t>
      </w:r>
      <w:r w:rsidR="000D44B5" w:rsidRPr="00CC562A">
        <w:rPr>
          <w:rFonts w:ascii="Cambria" w:eastAsia="Cambria" w:hAnsi="Cambria" w:cs="Cambria"/>
          <w:sz w:val="20"/>
          <w:szCs w:val="20"/>
          <w:lang w:val="en-US"/>
        </w:rPr>
        <w:t>n</w:t>
      </w:r>
      <w:r w:rsidR="5E992440" w:rsidRPr="00CC562A">
        <w:rPr>
          <w:rFonts w:ascii="Cambria" w:eastAsia="Cambria" w:hAnsi="Cambria" w:cs="Cambria"/>
          <w:sz w:val="20"/>
          <w:szCs w:val="20"/>
          <w:lang w:val="en-US"/>
        </w:rPr>
        <w:t xml:space="preserve"> 2020</w:t>
      </w:r>
      <w:r w:rsidR="00A06F2A" w:rsidRPr="00CC562A">
        <w:rPr>
          <w:rFonts w:ascii="Cambria" w:eastAsia="Cambria" w:hAnsi="Cambria" w:cs="Cambria"/>
          <w:sz w:val="20"/>
          <w:szCs w:val="20"/>
          <w:vertAlign w:val="superscript"/>
          <w:lang w:val="en-US"/>
        </w:rPr>
        <w:footnoteReference w:id="380"/>
      </w:r>
      <w:r w:rsidR="5E992440" w:rsidRPr="00CC562A">
        <w:rPr>
          <w:rFonts w:ascii="Cambria" w:eastAsia="Cambria" w:hAnsi="Cambria" w:cs="Cambria"/>
          <w:sz w:val="20"/>
          <w:szCs w:val="20"/>
          <w:lang w:val="en-US"/>
        </w:rPr>
        <w:t xml:space="preserve"> </w:t>
      </w:r>
      <w:r w:rsidR="000D44B5" w:rsidRPr="00CC562A">
        <w:rPr>
          <w:rFonts w:ascii="Cambria" w:eastAsia="Cambria" w:hAnsi="Cambria" w:cs="Cambria"/>
          <w:sz w:val="20"/>
          <w:szCs w:val="20"/>
          <w:lang w:val="en-US"/>
        </w:rPr>
        <w:t>and</w:t>
      </w:r>
      <w:r w:rsidR="5E992440" w:rsidRPr="00CC562A">
        <w:rPr>
          <w:rFonts w:ascii="Cambria" w:eastAsia="Cambria" w:hAnsi="Cambria" w:cs="Cambria"/>
          <w:sz w:val="20"/>
          <w:szCs w:val="20"/>
          <w:lang w:val="en-US"/>
        </w:rPr>
        <w:t xml:space="preserve"> 2021</w:t>
      </w:r>
      <w:r w:rsidR="000D44B5" w:rsidRPr="00CC562A">
        <w:rPr>
          <w:rFonts w:ascii="Cambria" w:eastAsia="Cambria" w:hAnsi="Cambria" w:cs="Cambria"/>
          <w:sz w:val="20"/>
          <w:szCs w:val="20"/>
          <w:lang w:val="en-US"/>
        </w:rPr>
        <w:t>,</w:t>
      </w:r>
      <w:r w:rsidR="00A06F2A" w:rsidRPr="00CC562A">
        <w:rPr>
          <w:rFonts w:ascii="Cambria" w:eastAsia="Cambria" w:hAnsi="Cambria" w:cs="Cambria"/>
          <w:sz w:val="20"/>
          <w:szCs w:val="20"/>
          <w:vertAlign w:val="superscript"/>
          <w:lang w:val="en-US"/>
        </w:rPr>
        <w:footnoteReference w:id="381"/>
      </w:r>
      <w:r w:rsidR="000D44B5" w:rsidRPr="00CC562A">
        <w:rPr>
          <w:rFonts w:ascii="Cambria" w:eastAsia="Cambria" w:hAnsi="Cambria" w:cs="Cambria"/>
          <w:sz w:val="20"/>
          <w:szCs w:val="20"/>
          <w:lang w:val="en-US"/>
        </w:rPr>
        <w:t xml:space="preserve"> the National Guard respectively reports only two cases of excessive use of force related to CNDH recommendations, so that it is not clear whether the National Guard’s criterion is based on recognizing as excessive only those cases that lead to a resolution by the national human rights institution, which would not reflect actual condition</w:t>
      </w:r>
      <w:r w:rsidR="00893A9F" w:rsidRPr="00CC562A">
        <w:rPr>
          <w:rFonts w:ascii="Cambria" w:eastAsia="Cambria" w:hAnsi="Cambria" w:cs="Cambria"/>
          <w:sz w:val="20"/>
          <w:szCs w:val="20"/>
          <w:lang w:val="en-US"/>
        </w:rPr>
        <w:t xml:space="preserve">s </w:t>
      </w:r>
      <w:r w:rsidR="000D44B5" w:rsidRPr="00CC562A">
        <w:rPr>
          <w:rFonts w:ascii="Cambria" w:eastAsia="Cambria" w:hAnsi="Cambria" w:cs="Cambria"/>
          <w:sz w:val="20"/>
          <w:szCs w:val="20"/>
          <w:lang w:val="en-US"/>
        </w:rPr>
        <w:t>but would make recognition of the excessive use of force contingent on whether a complaint had been filed with the National Commission</w:t>
      </w:r>
      <w:r w:rsidR="00893A9F" w:rsidRPr="00CC562A">
        <w:rPr>
          <w:rFonts w:ascii="Cambria" w:eastAsia="Cambria" w:hAnsi="Cambria" w:cs="Cambria"/>
          <w:sz w:val="20"/>
          <w:szCs w:val="20"/>
          <w:lang w:val="en-US"/>
        </w:rPr>
        <w:t xml:space="preserve"> and that commission</w:t>
      </w:r>
      <w:r w:rsidR="000D44B5" w:rsidRPr="00CC562A">
        <w:rPr>
          <w:rFonts w:ascii="Cambria" w:eastAsia="Cambria" w:hAnsi="Cambria" w:cs="Cambria"/>
          <w:sz w:val="20"/>
          <w:szCs w:val="20"/>
          <w:lang w:val="en-US"/>
        </w:rPr>
        <w:t xml:space="preserve"> had issued a recommendation.</w:t>
      </w:r>
    </w:p>
    <w:p w14:paraId="437CCD63" w14:textId="6BA680BF" w:rsidR="00F41C4C" w:rsidRPr="00CC562A" w:rsidRDefault="000D44B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For its part, Article 19 emphasized that </w:t>
      </w:r>
      <w:r w:rsidR="00BA2163" w:rsidRPr="00CC562A">
        <w:rPr>
          <w:rFonts w:ascii="Cambria" w:eastAsia="Cambria" w:hAnsi="Cambria" w:cs="Cambria"/>
          <w:sz w:val="20"/>
          <w:szCs w:val="20"/>
          <w:lang w:val="en-US"/>
        </w:rPr>
        <w:t>subject entities of the armed forces and security forces, such as</w:t>
      </w:r>
      <w:r w:rsidR="4E7BD1F2" w:rsidRPr="00CC562A">
        <w:rPr>
          <w:rFonts w:ascii="Cambria" w:eastAsia="Cambria" w:hAnsi="Cambria" w:cs="Cambria"/>
          <w:sz w:val="20"/>
          <w:szCs w:val="20"/>
          <w:lang w:val="en-US"/>
        </w:rPr>
        <w:t xml:space="preserve"> SEDENA, </w:t>
      </w:r>
      <w:r w:rsidR="00BA2163" w:rsidRPr="00CC562A">
        <w:rPr>
          <w:rFonts w:ascii="Cambria" w:eastAsia="Cambria" w:hAnsi="Cambria" w:cs="Cambria"/>
          <w:sz w:val="20"/>
          <w:szCs w:val="20"/>
          <w:lang w:val="en-US"/>
        </w:rPr>
        <w:t>continue not to provide information regarding the use of force, detention of alleged criminals, and confrontations. In this regard, the organization indicated th</w:t>
      </w:r>
      <w:r w:rsidR="00893A9F" w:rsidRPr="00CC562A">
        <w:rPr>
          <w:rFonts w:ascii="Cambria" w:eastAsia="Cambria" w:hAnsi="Cambria" w:cs="Cambria"/>
          <w:sz w:val="20"/>
          <w:szCs w:val="20"/>
          <w:lang w:val="en-US"/>
        </w:rPr>
        <w:t>at</w:t>
      </w:r>
      <w:r w:rsidR="00BA2163" w:rsidRPr="00CC562A">
        <w:rPr>
          <w:rFonts w:ascii="Cambria" w:eastAsia="Cambria" w:hAnsi="Cambria" w:cs="Cambria"/>
          <w:sz w:val="20"/>
          <w:szCs w:val="20"/>
          <w:lang w:val="en-US"/>
        </w:rPr>
        <w:t xml:space="preserve"> continual refusal</w:t>
      </w:r>
      <w:r w:rsidR="00893A9F" w:rsidRPr="00CC562A">
        <w:rPr>
          <w:rFonts w:ascii="Cambria" w:eastAsia="Cambria" w:hAnsi="Cambria" w:cs="Cambria"/>
          <w:sz w:val="20"/>
          <w:szCs w:val="20"/>
          <w:lang w:val="en-US"/>
        </w:rPr>
        <w:t>s</w:t>
      </w:r>
      <w:r w:rsidR="00BA2163" w:rsidRPr="00CC562A">
        <w:rPr>
          <w:rFonts w:ascii="Cambria" w:eastAsia="Cambria" w:hAnsi="Cambria" w:cs="Cambria"/>
          <w:sz w:val="20"/>
          <w:szCs w:val="20"/>
          <w:lang w:val="en-US"/>
        </w:rPr>
        <w:t xml:space="preserve"> in response to requests for access to public information affects society’s right to information and its right to know, </w:t>
      </w:r>
      <w:proofErr w:type="gramStart"/>
      <w:r w:rsidR="00BA2163" w:rsidRPr="00CC562A">
        <w:rPr>
          <w:rFonts w:ascii="Cambria" w:eastAsia="Cambria" w:hAnsi="Cambria" w:cs="Cambria"/>
          <w:sz w:val="20"/>
          <w:szCs w:val="20"/>
          <w:lang w:val="en-US"/>
        </w:rPr>
        <w:t>and also</w:t>
      </w:r>
      <w:proofErr w:type="gramEnd"/>
      <w:r w:rsidR="00BA2163" w:rsidRPr="00CC562A">
        <w:rPr>
          <w:rFonts w:ascii="Cambria" w:eastAsia="Cambria" w:hAnsi="Cambria" w:cs="Cambria"/>
          <w:sz w:val="20"/>
          <w:szCs w:val="20"/>
          <w:lang w:val="en-US"/>
        </w:rPr>
        <w:t xml:space="preserve"> limits accountability on the part of subject entities. Article 19 emphasized that access to information on topics related to human rights violations and particularly the disappearance of persons continues to be limited. As part of the Fourth Action Plan of the Alliance for Open Government, to which Mexico is a party, a commitment was developed on the creation of an interoperable platform that would include different databases on security topics. In this regard, there continues to be doubt, firstly, regarding the publication of such databases in open data together with their </w:t>
      </w:r>
      <w:r w:rsidR="00893A9F" w:rsidRPr="00CC562A">
        <w:rPr>
          <w:rFonts w:ascii="Cambria" w:eastAsia="Cambria" w:hAnsi="Cambria" w:cs="Cambria"/>
          <w:sz w:val="20"/>
          <w:szCs w:val="20"/>
          <w:lang w:val="en-US"/>
        </w:rPr>
        <w:t>a</w:t>
      </w:r>
      <w:r w:rsidR="00BA2163" w:rsidRPr="00CC562A">
        <w:rPr>
          <w:rFonts w:ascii="Cambria" w:eastAsia="Cambria" w:hAnsi="Cambria" w:cs="Cambria"/>
          <w:sz w:val="20"/>
          <w:szCs w:val="20"/>
          <w:lang w:val="en-US"/>
        </w:rPr>
        <w:t xml:space="preserve">nalytical methodologies for analysis and scrutiny and, secondly, regarding the creation of the </w:t>
      </w:r>
      <w:r w:rsidR="00A9627E" w:rsidRPr="00CC562A">
        <w:rPr>
          <w:rFonts w:ascii="Cambria" w:eastAsia="Cambria" w:hAnsi="Cambria" w:cs="Cambria"/>
          <w:sz w:val="20"/>
          <w:szCs w:val="20"/>
          <w:lang w:val="en-US"/>
        </w:rPr>
        <w:t>public and interoperable platform</w:t>
      </w:r>
      <w:r w:rsidR="4E7BD1F2" w:rsidRPr="00CC562A">
        <w:rPr>
          <w:rFonts w:ascii="Cambria" w:eastAsia="Cambria" w:hAnsi="Cambria" w:cs="Cambria"/>
          <w:sz w:val="20"/>
          <w:szCs w:val="20"/>
          <w:lang w:val="en-US"/>
        </w:rPr>
        <w:t xml:space="preserve">. </w:t>
      </w:r>
    </w:p>
    <w:p w14:paraId="0C1E4163" w14:textId="7D718D7C" w:rsidR="004A31AF" w:rsidRPr="00CC562A" w:rsidRDefault="00A9627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Commission recalls that in democratic societies it is essential for State authorities to be governed by the princip</w:t>
      </w:r>
      <w:r w:rsidR="00893A9F" w:rsidRPr="00CC562A">
        <w:rPr>
          <w:rFonts w:ascii="Cambria" w:eastAsia="Cambria" w:hAnsi="Cambria" w:cs="Cambria"/>
          <w:sz w:val="20"/>
          <w:szCs w:val="20"/>
          <w:lang w:val="en-US"/>
        </w:rPr>
        <w:t xml:space="preserve">le </w:t>
      </w:r>
      <w:r w:rsidRPr="00CC562A">
        <w:rPr>
          <w:rFonts w:ascii="Cambria" w:eastAsia="Cambria" w:hAnsi="Cambria" w:cs="Cambria"/>
          <w:sz w:val="20"/>
          <w:szCs w:val="20"/>
          <w:lang w:val="en-US"/>
        </w:rPr>
        <w:t xml:space="preserve">of maximum disclosure, so that all information held by the State is presumed to be public and accessible, subject to a limited list of exceptions. In this context, the concept of national security must be interpreted in accordance with the parameters of </w:t>
      </w:r>
      <w:r w:rsidR="014F1F8C" w:rsidRPr="00CC562A">
        <w:rPr>
          <w:rFonts w:ascii="Cambria" w:eastAsia="Cambria" w:hAnsi="Cambria" w:cs="Cambria"/>
          <w:sz w:val="20"/>
          <w:szCs w:val="20"/>
          <w:lang w:val="en-US"/>
        </w:rPr>
        <w:t>“</w:t>
      </w:r>
      <w:r w:rsidRPr="00CC562A">
        <w:rPr>
          <w:rFonts w:ascii="Cambria" w:eastAsia="Cambria" w:hAnsi="Cambria" w:cs="Cambria"/>
          <w:sz w:val="20"/>
          <w:szCs w:val="20"/>
          <w:lang w:val="en-US"/>
        </w:rPr>
        <w:t>just requirements of the common good in a democratic society.”</w:t>
      </w:r>
      <w:r w:rsidR="00540016" w:rsidRPr="00CC562A">
        <w:rPr>
          <w:rFonts w:ascii="Cambria" w:eastAsia="Cambria" w:hAnsi="Cambria" w:cs="Cambria"/>
          <w:sz w:val="20"/>
          <w:szCs w:val="20"/>
          <w:vertAlign w:val="superscript"/>
          <w:lang w:val="en-US"/>
        </w:rPr>
        <w:footnoteReference w:id="382"/>
      </w:r>
      <w:r w:rsidR="014F1F8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In this regard, the Inter-American Court has maintained that the establishment of restrictions </w:t>
      </w:r>
      <w:r w:rsidR="00893A9F" w:rsidRPr="00CC562A">
        <w:rPr>
          <w:rFonts w:ascii="Cambria" w:eastAsia="Cambria" w:hAnsi="Cambria" w:cs="Cambria"/>
          <w:sz w:val="20"/>
          <w:szCs w:val="20"/>
          <w:lang w:val="en-US"/>
        </w:rPr>
        <w:t>on</w:t>
      </w:r>
      <w:r w:rsidRPr="00CC562A">
        <w:rPr>
          <w:rFonts w:ascii="Cambria" w:eastAsia="Cambria" w:hAnsi="Cambria" w:cs="Cambria"/>
          <w:sz w:val="20"/>
          <w:szCs w:val="20"/>
          <w:lang w:val="en-US"/>
        </w:rPr>
        <w:t xml:space="preserve"> the right of access to </w:t>
      </w:r>
      <w:r w:rsidR="00A44DE6" w:rsidRPr="00CC562A">
        <w:rPr>
          <w:rFonts w:ascii="Cambria" w:eastAsia="Cambria" w:hAnsi="Cambria" w:cs="Cambria"/>
          <w:sz w:val="20"/>
          <w:szCs w:val="20"/>
          <w:lang w:val="en-US"/>
        </w:rPr>
        <w:t xml:space="preserve">state-held </w:t>
      </w:r>
      <w:r w:rsidRPr="00CC562A">
        <w:rPr>
          <w:rFonts w:ascii="Cambria" w:eastAsia="Cambria" w:hAnsi="Cambria" w:cs="Cambria"/>
          <w:sz w:val="20"/>
          <w:szCs w:val="20"/>
          <w:lang w:val="en-US"/>
        </w:rPr>
        <w:t xml:space="preserve">information </w:t>
      </w:r>
      <w:r w:rsidR="014F1F8C" w:rsidRPr="00CC562A">
        <w:rPr>
          <w:rFonts w:ascii="Cambria" w:eastAsia="Cambria" w:hAnsi="Cambria" w:cs="Cambria"/>
          <w:sz w:val="20"/>
          <w:szCs w:val="20"/>
          <w:lang w:val="en-US"/>
        </w:rPr>
        <w:t>“</w:t>
      </w:r>
      <w:r w:rsidR="00A44DE6" w:rsidRPr="00CC562A">
        <w:rPr>
          <w:rFonts w:ascii="Cambria" w:eastAsia="Cambria" w:hAnsi="Cambria" w:cs="Cambria"/>
          <w:sz w:val="20"/>
          <w:szCs w:val="20"/>
          <w:lang w:val="en-US"/>
        </w:rPr>
        <w:t>without respecting the provisions of the Convention</w:t>
      </w:r>
      <w:r w:rsidR="014F1F8C" w:rsidRPr="00CC562A">
        <w:rPr>
          <w:rFonts w:ascii="Cambria" w:eastAsia="Cambria" w:hAnsi="Cambria" w:cs="Cambria"/>
          <w:sz w:val="20"/>
          <w:szCs w:val="20"/>
          <w:lang w:val="en-US"/>
        </w:rPr>
        <w:t xml:space="preserve"> (…) crea</w:t>
      </w:r>
      <w:r w:rsidR="00A44DE6" w:rsidRPr="00CC562A">
        <w:rPr>
          <w:rFonts w:ascii="Cambria" w:eastAsia="Cambria" w:hAnsi="Cambria" w:cs="Cambria"/>
          <w:sz w:val="20"/>
          <w:szCs w:val="20"/>
          <w:lang w:val="en-US"/>
        </w:rPr>
        <w:t>tes fertile ground for discretionary and arbitrary conduct by the State in classifying information as secret, reserved, or confidential.”</w:t>
      </w:r>
      <w:r w:rsidR="00540016" w:rsidRPr="00CC562A">
        <w:rPr>
          <w:rFonts w:ascii="Cambria" w:eastAsia="Cambria" w:hAnsi="Cambria" w:cs="Cambria"/>
          <w:sz w:val="20"/>
          <w:szCs w:val="20"/>
          <w:vertAlign w:val="superscript"/>
          <w:lang w:val="en-US"/>
        </w:rPr>
        <w:footnoteReference w:id="383"/>
      </w:r>
      <w:r w:rsidR="00A44DE6" w:rsidRPr="00CC562A">
        <w:rPr>
          <w:rFonts w:ascii="Cambria" w:eastAsia="Cambria" w:hAnsi="Cambria" w:cs="Cambria"/>
          <w:sz w:val="20"/>
          <w:szCs w:val="20"/>
          <w:lang w:val="en-US"/>
        </w:rPr>
        <w:t xml:space="preserve"> </w:t>
      </w:r>
      <w:r w:rsidR="014F1F8C" w:rsidRPr="00CC562A">
        <w:rPr>
          <w:rFonts w:ascii="Cambria" w:eastAsia="Cambria" w:hAnsi="Cambria" w:cs="Cambria"/>
          <w:sz w:val="20"/>
          <w:szCs w:val="20"/>
          <w:lang w:val="en-US"/>
        </w:rPr>
        <w:t xml:space="preserve"> </w:t>
      </w:r>
      <w:r w:rsidR="00A44DE6" w:rsidRPr="00CC562A">
        <w:rPr>
          <w:rFonts w:ascii="Cambria" w:eastAsia="Cambria" w:hAnsi="Cambria" w:cs="Cambria"/>
          <w:sz w:val="20"/>
          <w:szCs w:val="20"/>
          <w:lang w:val="en-US"/>
        </w:rPr>
        <w:t xml:space="preserve">In view of the information reported in recent annual reports and the lack of information indicating new progress in response to this recommendation, </w:t>
      </w:r>
      <w:r w:rsidR="00276638" w:rsidRPr="00CC562A">
        <w:rPr>
          <w:rFonts w:ascii="Cambria" w:eastAsia="Cambria" w:hAnsi="Cambria" w:cs="Cambria"/>
          <w:sz w:val="20"/>
          <w:szCs w:val="20"/>
          <w:lang w:val="en-US"/>
        </w:rPr>
        <w:t>the IACHR</w:t>
      </w:r>
      <w:r w:rsidR="014F1F8C" w:rsidRPr="00CC562A">
        <w:rPr>
          <w:rFonts w:ascii="Cambria" w:eastAsia="Cambria" w:hAnsi="Cambria" w:cs="Cambria"/>
          <w:sz w:val="20"/>
          <w:szCs w:val="20"/>
          <w:lang w:val="en-US"/>
        </w:rPr>
        <w:t xml:space="preserve"> consider</w:t>
      </w:r>
      <w:r w:rsidR="00D222CC" w:rsidRPr="00CC562A">
        <w:rPr>
          <w:rFonts w:ascii="Cambria" w:eastAsia="Cambria" w:hAnsi="Cambria" w:cs="Cambria"/>
          <w:sz w:val="20"/>
          <w:szCs w:val="20"/>
          <w:lang w:val="en-US"/>
        </w:rPr>
        <w:t xml:space="preserve">s that its status continues to be one of </w:t>
      </w:r>
      <w:r w:rsidR="00D222CC" w:rsidRPr="00CC562A">
        <w:rPr>
          <w:rFonts w:ascii="Cambria" w:eastAsia="Cambria" w:hAnsi="Cambria" w:cs="Cambria"/>
          <w:b/>
          <w:bCs/>
          <w:sz w:val="20"/>
          <w:szCs w:val="20"/>
          <w:lang w:val="en-US"/>
        </w:rPr>
        <w:t>partial compliance</w:t>
      </w:r>
      <w:r w:rsidR="014F1F8C" w:rsidRPr="00CC562A">
        <w:rPr>
          <w:rFonts w:ascii="Cambria" w:eastAsia="Cambria" w:hAnsi="Cambria" w:cs="Cambria"/>
          <w:b/>
          <w:bCs/>
          <w:sz w:val="20"/>
          <w:szCs w:val="20"/>
          <w:lang w:val="en-US"/>
        </w:rPr>
        <w:t>.</w:t>
      </w:r>
    </w:p>
    <w:p w14:paraId="4515C6F0" w14:textId="55A6A480" w:rsidR="003F1528" w:rsidRPr="00CC562A" w:rsidRDefault="00E8033B"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Style w:val="normaltextrun"/>
          <w:rFonts w:ascii="Cambria" w:eastAsiaTheme="majorEastAsia" w:hAnsi="Cambria" w:cs="Segoe UI"/>
          <w:color w:val="000000" w:themeColor="text1"/>
          <w:sz w:val="20"/>
          <w:szCs w:val="20"/>
          <w:lang w:val="en-US"/>
        </w:rPr>
        <w:t>To guide the implementation of this recommendation</w:t>
      </w:r>
      <w:r w:rsidR="007B502A" w:rsidRPr="00CC562A">
        <w:rPr>
          <w:rStyle w:val="normaltextrun"/>
          <w:rFonts w:ascii="Cambria" w:eastAsiaTheme="majorEastAsia" w:hAnsi="Cambria" w:cs="Segoe UI"/>
          <w:color w:val="000000" w:themeColor="text1"/>
          <w:sz w:val="20"/>
          <w:szCs w:val="20"/>
          <w:lang w:val="en-US"/>
        </w:rPr>
        <w:t xml:space="preserve">, </w:t>
      </w:r>
      <w:r w:rsidR="00276638" w:rsidRPr="00CC562A">
        <w:rPr>
          <w:rStyle w:val="normaltextrun"/>
          <w:rFonts w:ascii="Cambria" w:eastAsiaTheme="majorEastAsia" w:hAnsi="Cambria" w:cs="Segoe UI"/>
          <w:color w:val="000000" w:themeColor="text1"/>
          <w:sz w:val="20"/>
          <w:szCs w:val="20"/>
          <w:lang w:val="en-US"/>
        </w:rPr>
        <w:t>the IACHR</w:t>
      </w:r>
      <w:r w:rsidR="007B502A" w:rsidRPr="00CC562A">
        <w:rPr>
          <w:rStyle w:val="normaltextrun"/>
          <w:rFonts w:ascii="Cambria" w:eastAsiaTheme="majorEastAsia" w:hAnsi="Cambria" w:cs="Segoe UI"/>
          <w:color w:val="000000" w:themeColor="text1"/>
          <w:sz w:val="20"/>
          <w:szCs w:val="20"/>
          <w:lang w:val="en-US"/>
        </w:rPr>
        <w:t xml:space="preserve"> </w:t>
      </w:r>
      <w:r w:rsidR="00D222CC" w:rsidRPr="00CC562A">
        <w:rPr>
          <w:rStyle w:val="normaltextrun"/>
          <w:rFonts w:ascii="Cambria" w:eastAsiaTheme="majorEastAsia" w:hAnsi="Cambria" w:cs="Segoe UI"/>
          <w:color w:val="000000" w:themeColor="text1"/>
          <w:sz w:val="20"/>
          <w:szCs w:val="20"/>
          <w:lang w:val="en-US"/>
        </w:rPr>
        <w:t xml:space="preserve">sees fit to ask the State to adopt measures to systematize the data on impacts arising from combating organized crime and to provide </w:t>
      </w:r>
      <w:r w:rsidR="00D222CC" w:rsidRPr="00CC562A">
        <w:rPr>
          <w:rStyle w:val="normaltextrun"/>
          <w:rFonts w:ascii="Cambria" w:eastAsiaTheme="majorEastAsia" w:hAnsi="Cambria" w:cs="Segoe UI"/>
          <w:color w:val="000000" w:themeColor="text1"/>
          <w:sz w:val="20"/>
          <w:szCs w:val="20"/>
          <w:lang w:val="en-US"/>
        </w:rPr>
        <w:lastRenderedPageBreak/>
        <w:t xml:space="preserve">specific information on these measures. </w:t>
      </w:r>
      <w:r w:rsidR="00F108AA" w:rsidRPr="00CC562A">
        <w:rPr>
          <w:rStyle w:val="normaltextrun"/>
          <w:rFonts w:ascii="Cambria" w:eastAsiaTheme="majorEastAsia" w:hAnsi="Cambria" w:cs="Segoe UI"/>
          <w:color w:val="000000" w:themeColor="text1"/>
          <w:sz w:val="20"/>
          <w:szCs w:val="20"/>
          <w:lang w:val="en-US"/>
        </w:rPr>
        <w:t>In addition,</w:t>
      </w:r>
      <w:r w:rsidR="002C5411" w:rsidRPr="00CC562A">
        <w:rPr>
          <w:rStyle w:val="normaltextrun"/>
          <w:rFonts w:ascii="Cambria" w:eastAsiaTheme="majorEastAsia" w:hAnsi="Cambria" w:cs="Segoe UI"/>
          <w:color w:val="000000" w:themeColor="text1"/>
          <w:sz w:val="20"/>
          <w:szCs w:val="20"/>
          <w:lang w:val="en-US"/>
        </w:rPr>
        <w:t xml:space="preserve"> </w:t>
      </w:r>
      <w:r w:rsidRPr="00CC562A">
        <w:rPr>
          <w:rStyle w:val="normaltextrun"/>
          <w:rFonts w:ascii="Cambria" w:eastAsiaTheme="majorEastAsia" w:hAnsi="Cambria" w:cs="Segoe UI"/>
          <w:color w:val="000000" w:themeColor="text1"/>
          <w:sz w:val="20"/>
          <w:szCs w:val="20"/>
          <w:lang w:val="en-US"/>
        </w:rPr>
        <w:t>the Commission sees fit to suggest</w:t>
      </w:r>
      <w:r w:rsidR="002C5411" w:rsidRPr="00CC562A">
        <w:rPr>
          <w:rStyle w:val="normaltextrun"/>
          <w:rFonts w:ascii="Cambria" w:eastAsiaTheme="majorEastAsia" w:hAnsi="Cambria" w:cs="Segoe UI"/>
          <w:color w:val="000000" w:themeColor="text1"/>
          <w:sz w:val="20"/>
          <w:szCs w:val="20"/>
          <w:lang w:val="en-US"/>
        </w:rPr>
        <w:t xml:space="preserve"> </w:t>
      </w:r>
      <w:r w:rsidR="00D222CC" w:rsidRPr="00CC562A">
        <w:rPr>
          <w:rStyle w:val="normaltextrun"/>
          <w:rFonts w:ascii="Cambria" w:eastAsiaTheme="majorEastAsia" w:hAnsi="Cambria" w:cs="Segoe UI"/>
          <w:color w:val="000000" w:themeColor="text1"/>
          <w:sz w:val="20"/>
          <w:szCs w:val="20"/>
          <w:lang w:val="en-US"/>
        </w:rPr>
        <w:t xml:space="preserve">that the State ensure that this systematization process is transparent, updated, clear, concise, and coordinated and explains how these characteristics have been guaranteed. The Commission also asks the State to ensure that the registry </w:t>
      </w:r>
      <w:r w:rsidR="00893A9F" w:rsidRPr="00CC562A">
        <w:rPr>
          <w:rStyle w:val="normaltextrun"/>
          <w:rFonts w:ascii="Cambria" w:eastAsiaTheme="majorEastAsia" w:hAnsi="Cambria" w:cs="Segoe UI"/>
          <w:color w:val="000000" w:themeColor="text1"/>
          <w:sz w:val="20"/>
          <w:szCs w:val="20"/>
          <w:lang w:val="en-US"/>
        </w:rPr>
        <w:t>breaks down the data</w:t>
      </w:r>
      <w:r w:rsidR="00D222CC" w:rsidRPr="00CC562A">
        <w:rPr>
          <w:rStyle w:val="normaltextrun"/>
          <w:rFonts w:ascii="Cambria" w:eastAsiaTheme="majorEastAsia" w:hAnsi="Cambria" w:cs="Segoe UI"/>
          <w:color w:val="000000" w:themeColor="text1"/>
          <w:sz w:val="20"/>
          <w:szCs w:val="20"/>
          <w:lang w:val="en-US"/>
        </w:rPr>
        <w:t xml:space="preserve"> by ethnic-racial origin, age, gender, sexual orientation, identity, and/or gender expression of those indicated in the recommendation and, finally, that the registry can be used for reparations actions</w:t>
      </w:r>
      <w:r w:rsidR="7A656415" w:rsidRPr="00CC562A">
        <w:rPr>
          <w:rFonts w:ascii="Cambria" w:eastAsia="Cambria" w:hAnsi="Cambria"/>
          <w:color w:val="000000" w:themeColor="text1"/>
          <w:sz w:val="20"/>
          <w:szCs w:val="20"/>
          <w:lang w:val="en-US"/>
        </w:rPr>
        <w:t>.</w:t>
      </w:r>
    </w:p>
    <w:p w14:paraId="5AAB037E" w14:textId="1B5DD6D3" w:rsidR="00641673" w:rsidRPr="00CC562A" w:rsidRDefault="00D222CC" w:rsidP="00EF3A43">
      <w:pPr>
        <w:pStyle w:val="Heading2"/>
        <w:numPr>
          <w:ilvl w:val="0"/>
          <w:numId w:val="5"/>
        </w:numPr>
        <w:spacing w:before="240" w:after="200" w:line="240" w:lineRule="auto"/>
        <w:ind w:left="1440" w:hanging="720"/>
        <w:jc w:val="both"/>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Mechanism to Protect Human Rights Defenders and Journalists</w:t>
      </w:r>
    </w:p>
    <w:p w14:paraId="5D31EC91" w14:textId="39061730" w:rsidR="00843C54" w:rsidRPr="00CC562A" w:rsidRDefault="00843C54"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hAnsi="Cambria"/>
          <w:lang w:val="en-US"/>
        </w:rPr>
      </w:pPr>
      <w:r w:rsidRPr="00CC562A">
        <w:rPr>
          <w:rFonts w:ascii="Cambria" w:eastAsia="Cambria" w:hAnsi="Cambria" w:cs="Cambria"/>
          <w:sz w:val="20"/>
          <w:szCs w:val="20"/>
          <w:lang w:val="en-US"/>
        </w:rPr>
        <w:t>Requ</w:t>
      </w:r>
      <w:r w:rsidR="00D222CC" w:rsidRPr="00CC562A">
        <w:rPr>
          <w:rFonts w:ascii="Cambria" w:eastAsia="Cambria" w:hAnsi="Cambria" w:cs="Cambria"/>
          <w:sz w:val="20"/>
          <w:szCs w:val="20"/>
          <w:lang w:val="en-US"/>
        </w:rPr>
        <w:t>ire the competent authorities to take into consideration the international parameters on protection, especially the considerations set forth in the “Second Report on the Situation of Human Rights Defenders in the Americas” and the “Report on Violence against Journalists and Media Workers of the Special Rapporteur for Freedom of Expression of the IACHR.”</w:t>
      </w:r>
      <w:r w:rsidRPr="00CC562A">
        <w:rPr>
          <w:rFonts w:ascii="Cambria" w:eastAsia="Cambria" w:hAnsi="Cambria" w:cs="Cambria"/>
          <w:sz w:val="20"/>
          <w:szCs w:val="20"/>
          <w:lang w:val="en-US"/>
        </w:rPr>
        <w:t xml:space="preserve"> </w:t>
      </w:r>
    </w:p>
    <w:p w14:paraId="372FC848" w14:textId="5E5FCFD3" w:rsidR="005A319F" w:rsidRPr="00CC562A" w:rsidRDefault="005A319F"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Pro</w:t>
      </w:r>
      <w:r w:rsidR="00D222CC" w:rsidRPr="00CC562A">
        <w:rPr>
          <w:rFonts w:ascii="Cambria" w:eastAsia="Cambria" w:hAnsi="Cambria" w:cs="Cambria"/>
          <w:sz w:val="20"/>
          <w:szCs w:val="20"/>
          <w:lang w:val="en-US"/>
        </w:rPr>
        <w:t xml:space="preserve">vide all the political support needed for the protection mechanism to function properly, including the financial resources it needs to exercise its protective powers and be sustainable </w:t>
      </w:r>
      <w:r w:rsidR="00C334EA" w:rsidRPr="00CC562A">
        <w:rPr>
          <w:rFonts w:ascii="Cambria" w:eastAsia="Cambria" w:hAnsi="Cambria" w:cs="Cambria"/>
          <w:sz w:val="20"/>
          <w:szCs w:val="20"/>
          <w:lang w:val="en-US"/>
        </w:rPr>
        <w:t>over time</w:t>
      </w:r>
      <w:r w:rsidRPr="00CC562A">
        <w:rPr>
          <w:rFonts w:ascii="Cambria" w:eastAsia="Cambria" w:hAnsi="Cambria" w:cs="Cambria"/>
          <w:sz w:val="20"/>
          <w:szCs w:val="20"/>
          <w:lang w:val="en-US"/>
        </w:rPr>
        <w:t xml:space="preserve">. </w:t>
      </w:r>
    </w:p>
    <w:p w14:paraId="3F2336B7" w14:textId="5A81F75E" w:rsidR="005A319F" w:rsidRPr="00CC562A" w:rsidRDefault="005A319F"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Adopt</w:t>
      </w:r>
      <w:r w:rsidR="00C334EA" w:rsidRPr="00CC562A">
        <w:rPr>
          <w:rFonts w:ascii="Cambria" w:eastAsia="Cambria" w:hAnsi="Cambria" w:cs="Cambria"/>
          <w:sz w:val="20"/>
          <w:szCs w:val="20"/>
          <w:lang w:val="en-US"/>
        </w:rPr>
        <w:t xml:space="preserve"> all measures needed to assign and train all the personnel it requires to operate properly</w:t>
      </w:r>
      <w:r w:rsidRPr="00CC562A">
        <w:rPr>
          <w:rFonts w:ascii="Cambria" w:eastAsia="Cambria" w:hAnsi="Cambria" w:cs="Cambria"/>
          <w:sz w:val="20"/>
          <w:szCs w:val="20"/>
          <w:lang w:val="en-US"/>
        </w:rPr>
        <w:t xml:space="preserve">. </w:t>
      </w:r>
    </w:p>
    <w:p w14:paraId="5E98C18A" w14:textId="7012CF34" w:rsidR="005A319F" w:rsidRPr="00CC562A" w:rsidRDefault="00C334EA"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Ensure that the risk assessment and the implementation of preventive and protective measures are carried out appropriately and in a timely fashion. Ensure, in risk assessments, the choice of protection measures, and review of their suitability, that guarantees are provided for adequate participation, communication, and coordination with the persons protected by the Mechanism and the beneficiaries of precautionary measures requested by the</w:t>
      </w:r>
      <w:r w:rsidR="00276638" w:rsidRPr="00CC562A">
        <w:rPr>
          <w:rFonts w:ascii="Cambria" w:eastAsia="Cambria" w:hAnsi="Cambria" w:cs="Cambria"/>
          <w:sz w:val="20"/>
          <w:szCs w:val="20"/>
          <w:lang w:val="en-US"/>
        </w:rPr>
        <w:t xml:space="preserve"> IACHR</w:t>
      </w:r>
      <w:r w:rsidR="005A319F" w:rsidRPr="00CC562A">
        <w:rPr>
          <w:rFonts w:ascii="Cambria" w:eastAsia="Cambria" w:hAnsi="Cambria" w:cs="Cambria"/>
          <w:sz w:val="20"/>
          <w:szCs w:val="20"/>
          <w:lang w:val="en-US"/>
        </w:rPr>
        <w:t xml:space="preserve">. </w:t>
      </w:r>
    </w:p>
    <w:p w14:paraId="7F886B94" w14:textId="0786DB4D" w:rsidR="005A319F" w:rsidRPr="00CC562A" w:rsidRDefault="00C334EA"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Evaluate and adopt differentiated measures for women, indigenous leaders, and environmental defenders</w:t>
      </w:r>
      <w:r w:rsidR="005A319F" w:rsidRPr="00CC562A">
        <w:rPr>
          <w:rFonts w:ascii="Cambria" w:eastAsia="Cambria" w:hAnsi="Cambria" w:cs="Cambria"/>
          <w:sz w:val="20"/>
          <w:szCs w:val="20"/>
          <w:lang w:val="en-US"/>
        </w:rPr>
        <w:t xml:space="preserve">. </w:t>
      </w:r>
    </w:p>
    <w:p w14:paraId="5BBA0F52" w14:textId="75601F47" w:rsidR="005A319F" w:rsidRPr="00CC562A" w:rsidRDefault="00C334EA"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Urge the State to implement the strategies needed for the different institutions, at the various federal and state levels, to work in a coordinated manner to provide a comprehensive response to all issues related to the protection of human rights defenders, as well as journalists</w:t>
      </w:r>
      <w:r w:rsidR="005A319F" w:rsidRPr="00CC562A">
        <w:rPr>
          <w:rFonts w:ascii="Cambria" w:eastAsia="Cambria" w:hAnsi="Cambria" w:cs="Cambria"/>
          <w:sz w:val="20"/>
          <w:szCs w:val="20"/>
          <w:lang w:val="en-US"/>
        </w:rPr>
        <w:t xml:space="preserve">. </w:t>
      </w:r>
    </w:p>
    <w:p w14:paraId="0BEAB521" w14:textId="7C049089" w:rsidR="005A319F" w:rsidRPr="00CC562A" w:rsidRDefault="00C334EA"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Encourage the protection mechanism to implement a strategy to publicize its competencies, the requirements for joining the program, as well as other necessary information to ensure that human rights defenders and journalists are aware of the protection that the mechanism can provide. Likewise, and in accordance with international standards, provide access to the necessary information regarding the protection mechanism,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provide greater transparency on the work it performs.</w:t>
      </w:r>
      <w:r w:rsidR="005A319F" w:rsidRPr="00CC562A">
        <w:rPr>
          <w:rFonts w:ascii="Cambria" w:eastAsia="Cambria" w:hAnsi="Cambria" w:cs="Cambria"/>
          <w:sz w:val="20"/>
          <w:szCs w:val="20"/>
          <w:lang w:val="en-US"/>
        </w:rPr>
        <w:t xml:space="preserve"> </w:t>
      </w:r>
    </w:p>
    <w:p w14:paraId="46335B86" w14:textId="22539154" w:rsidR="005A319F" w:rsidRPr="00CC562A" w:rsidRDefault="00A41BB5"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Encourage the protection mechanism to adopt a procedure that allows it to order, ex officio, protection measures in those cases that, due to their seriousness and urgency, require them immediately</w:t>
      </w:r>
      <w:r w:rsidR="005A319F" w:rsidRPr="00CC562A">
        <w:rPr>
          <w:rFonts w:ascii="Cambria" w:eastAsia="Cambria" w:hAnsi="Cambria" w:cs="Cambria"/>
          <w:sz w:val="20"/>
          <w:szCs w:val="20"/>
          <w:lang w:val="en-US"/>
        </w:rPr>
        <w:t xml:space="preserve">. </w:t>
      </w:r>
    </w:p>
    <w:p w14:paraId="3B4B07C9" w14:textId="6C89AB0A" w:rsidR="005A319F" w:rsidRPr="00CC562A" w:rsidRDefault="00A41BB5" w:rsidP="00001918">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t>Urge the State to redouble its efforts to investigate the circumstances that lead persons to enter and remain in the protection mechanism, with a view to establishing, as a matter of State policy, that investigations will be pursued as a preventive measure</w:t>
      </w:r>
      <w:r w:rsidR="005A319F" w:rsidRPr="00CC562A">
        <w:rPr>
          <w:rFonts w:ascii="Cambria" w:eastAsia="Cambria" w:hAnsi="Cambria" w:cs="Cambria"/>
          <w:sz w:val="20"/>
          <w:szCs w:val="20"/>
          <w:lang w:val="en-US"/>
        </w:rPr>
        <w:t xml:space="preserve">. </w:t>
      </w:r>
    </w:p>
    <w:p w14:paraId="41B18C65" w14:textId="1AB28EB7" w:rsidR="00843C54" w:rsidRPr="00CC562A" w:rsidRDefault="00A41BB5" w:rsidP="0027252C">
      <w:pPr>
        <w:widowControl w:val="0"/>
        <w:numPr>
          <w:ilvl w:val="0"/>
          <w:numId w:val="19"/>
        </w:numPr>
        <w:pBdr>
          <w:top w:val="nil"/>
          <w:left w:val="nil"/>
          <w:bottom w:val="nil"/>
          <w:right w:val="nil"/>
          <w:between w:val="nil"/>
        </w:pBdr>
        <w:shd w:val="clear" w:color="auto" w:fill="D9D9D9" w:themeFill="background1" w:themeFillShade="D9"/>
        <w:spacing w:before="240" w:line="240" w:lineRule="auto"/>
        <w:ind w:left="1440" w:hanging="720"/>
        <w:jc w:val="both"/>
        <w:rPr>
          <w:rFonts w:ascii="Cambria" w:eastAsia="Cambria" w:hAnsi="Cambria" w:cs="Cambria"/>
          <w:sz w:val="20"/>
          <w:szCs w:val="20"/>
          <w:lang w:val="en-US"/>
        </w:rPr>
      </w:pPr>
      <w:r w:rsidRPr="00CC562A">
        <w:rPr>
          <w:rFonts w:ascii="Cambria" w:eastAsia="Cambria" w:hAnsi="Cambria" w:cs="Cambria"/>
          <w:sz w:val="20"/>
          <w:szCs w:val="20"/>
          <w:lang w:val="en-US"/>
        </w:rPr>
        <w:lastRenderedPageBreak/>
        <w:t xml:space="preserve">Encourage the mechanism to adopt tools that enable it to measure the effectiveness of the measures implemented and to increase the transparency of all actions taken </w:t>
      </w: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enhance beneficiaries’ trust in the mechanism. All that needs to be accompanied by a policy of prevention and participation of the target population</w:t>
      </w:r>
      <w:r w:rsidR="005A319F" w:rsidRPr="00CC562A">
        <w:rPr>
          <w:rFonts w:ascii="Cambria" w:eastAsia="Cambria" w:hAnsi="Cambria" w:cs="Cambria"/>
          <w:sz w:val="20"/>
          <w:szCs w:val="20"/>
          <w:lang w:val="en-US"/>
        </w:rPr>
        <w:t xml:space="preserve">. </w:t>
      </w:r>
    </w:p>
    <w:p w14:paraId="25E034F2" w14:textId="2C349FEB" w:rsidR="00F41C4C" w:rsidRPr="00CC562A" w:rsidRDefault="00696C2C"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1BEE6EB1" w:rsidRPr="00CC562A">
        <w:rPr>
          <w:rFonts w:ascii="Cambria" w:hAnsi="Cambria"/>
          <w:b/>
          <w:bCs/>
          <w:sz w:val="20"/>
          <w:szCs w:val="20"/>
          <w:lang w:val="en-US"/>
        </w:rPr>
        <w:t>requ</w:t>
      </w:r>
      <w:r w:rsidRPr="00CC562A">
        <w:rPr>
          <w:rFonts w:ascii="Cambria" w:hAnsi="Cambria"/>
          <w:b/>
          <w:bCs/>
          <w:sz w:val="20"/>
          <w:szCs w:val="20"/>
          <w:lang w:val="en-US"/>
        </w:rPr>
        <w:t>ire the competent authorities to take international parameters on protection into consideration, especially those developed in the “Second Report on the Situation of Human Rights Defenders in the Americas,”</w:t>
      </w:r>
      <w:r w:rsidR="00574991" w:rsidRPr="00CC562A">
        <w:rPr>
          <w:rFonts w:ascii="Cambria" w:hAnsi="Cambria"/>
          <w:b/>
          <w:bCs/>
          <w:sz w:val="20"/>
          <w:szCs w:val="20"/>
          <w:lang w:val="en-US"/>
        </w:rPr>
        <w:t xml:space="preserve"> and the “Report on Violence against Journalists and Media Workers of the Special Rapporteur for Freedom of Expression of the IACHR,</w:t>
      </w:r>
      <w:r w:rsidR="1BEE6EB1" w:rsidRPr="00CC562A">
        <w:rPr>
          <w:rFonts w:ascii="Cambria" w:hAnsi="Cambria"/>
          <w:b/>
          <w:bCs/>
          <w:sz w:val="20"/>
          <w:szCs w:val="20"/>
          <w:lang w:val="en-US"/>
        </w:rPr>
        <w:t>”</w:t>
      </w:r>
      <w:r w:rsidR="00574991" w:rsidRPr="00CC562A">
        <w:rPr>
          <w:rFonts w:ascii="Cambria" w:hAnsi="Cambria"/>
          <w:b/>
          <w:bCs/>
          <w:sz w:val="20"/>
          <w:szCs w:val="20"/>
          <w:lang w:val="en-US"/>
        </w:rPr>
        <w:t xml:space="preserve"> </w:t>
      </w:r>
      <w:r w:rsidR="00574991" w:rsidRPr="00CC562A">
        <w:rPr>
          <w:rFonts w:ascii="Cambria" w:hAnsi="Cambria"/>
          <w:sz w:val="20"/>
          <w:szCs w:val="20"/>
          <w:lang w:val="en-US"/>
        </w:rPr>
        <w:t xml:space="preserve">the </w:t>
      </w:r>
      <w:r w:rsidR="00752FED" w:rsidRPr="00CC562A">
        <w:rPr>
          <w:rFonts w:ascii="Cambria" w:hAnsi="Cambria"/>
          <w:sz w:val="20"/>
          <w:szCs w:val="20"/>
          <w:lang w:val="en-US"/>
        </w:rPr>
        <w:t>State</w:t>
      </w:r>
      <w:r w:rsidR="1C6529F2"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1C6529F2" w:rsidRPr="00CC562A">
        <w:rPr>
          <w:rFonts w:ascii="Cambria" w:eastAsia="Cambria" w:hAnsi="Cambria" w:cs="Cambria"/>
          <w:sz w:val="20"/>
          <w:szCs w:val="20"/>
          <w:lang w:val="en-US"/>
        </w:rPr>
        <w:t xml:space="preserve">, </w:t>
      </w:r>
      <w:r w:rsidR="00574991" w:rsidRPr="00CC562A">
        <w:rPr>
          <w:rFonts w:ascii="Cambria" w:eastAsia="Cambria" w:hAnsi="Cambria" w:cs="Cambria"/>
          <w:sz w:val="20"/>
          <w:szCs w:val="20"/>
          <w:lang w:val="en-US"/>
        </w:rPr>
        <w:t xml:space="preserve">in </w:t>
      </w:r>
      <w:r w:rsidR="22787624" w:rsidRPr="00CC562A">
        <w:rPr>
          <w:rFonts w:ascii="Cambria" w:eastAsia="Cambria" w:hAnsi="Cambria" w:cs="Cambria"/>
          <w:sz w:val="20"/>
          <w:szCs w:val="20"/>
          <w:lang w:val="en-US"/>
        </w:rPr>
        <w:t xml:space="preserve">2019, </w:t>
      </w:r>
      <w:r w:rsidR="00574991" w:rsidRPr="00CC562A">
        <w:rPr>
          <w:rFonts w:ascii="Cambria" w:eastAsia="Cambria" w:hAnsi="Cambria" w:cs="Cambria"/>
          <w:sz w:val="20"/>
          <w:szCs w:val="20"/>
          <w:lang w:val="en-US"/>
        </w:rPr>
        <w:t>the Office of the United Nations High Commissioner for Human Rights</w:t>
      </w:r>
      <w:r w:rsidR="22787624" w:rsidRPr="00CC562A">
        <w:rPr>
          <w:rFonts w:ascii="Cambria" w:eastAsia="Cambria" w:hAnsi="Cambria" w:cs="Cambria"/>
          <w:sz w:val="20"/>
          <w:szCs w:val="20"/>
          <w:lang w:val="en-US"/>
        </w:rPr>
        <w:t xml:space="preserve"> </w:t>
      </w:r>
      <w:r w:rsidR="00574991" w:rsidRPr="00CC562A">
        <w:rPr>
          <w:rFonts w:ascii="Cambria" w:eastAsia="Cambria" w:hAnsi="Cambria" w:cs="Cambria"/>
          <w:sz w:val="20"/>
          <w:szCs w:val="20"/>
          <w:lang w:val="en-US"/>
        </w:rPr>
        <w:t>presented the diagnosis on the operation of the protection mechanism, with</w:t>
      </w:r>
      <w:r w:rsidR="22787624" w:rsidRPr="00CC562A">
        <w:rPr>
          <w:rFonts w:ascii="Cambria" w:eastAsia="Cambria" w:hAnsi="Cambria" w:cs="Cambria"/>
          <w:sz w:val="20"/>
          <w:szCs w:val="20"/>
          <w:lang w:val="en-US"/>
        </w:rPr>
        <w:t xml:space="preserve"> 104</w:t>
      </w:r>
      <w:r w:rsidR="00574991" w:rsidRPr="00CC562A">
        <w:rPr>
          <w:rFonts w:ascii="Cambria" w:eastAsia="Cambria" w:hAnsi="Cambria" w:cs="Cambria"/>
          <w:sz w:val="20"/>
          <w:szCs w:val="20"/>
          <w:lang w:val="en-US"/>
        </w:rPr>
        <w:t xml:space="preserve"> recommendations for strengthening it in the area of protection, prevention, and institutional strengthening. In this regard,</w:t>
      </w:r>
      <w:r w:rsidR="7F4CCBF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indic</w:t>
      </w:r>
      <w:r w:rsidR="00574991" w:rsidRPr="00CC562A">
        <w:rPr>
          <w:rFonts w:ascii="Cambria" w:eastAsia="Cambria" w:hAnsi="Cambria" w:cs="Cambria"/>
          <w:sz w:val="20"/>
          <w:szCs w:val="20"/>
          <w:lang w:val="en-US"/>
        </w:rPr>
        <w:t xml:space="preserve">ated that </w:t>
      </w:r>
      <w:proofErr w:type="gramStart"/>
      <w:r w:rsidR="00574991" w:rsidRPr="00CC562A">
        <w:rPr>
          <w:rFonts w:ascii="Cambria" w:eastAsia="Cambria" w:hAnsi="Cambria" w:cs="Cambria"/>
          <w:sz w:val="20"/>
          <w:szCs w:val="20"/>
          <w:lang w:val="en-US"/>
        </w:rPr>
        <w:t>in order to</w:t>
      </w:r>
      <w:proofErr w:type="gramEnd"/>
      <w:r w:rsidR="00574991" w:rsidRPr="00CC562A">
        <w:rPr>
          <w:rFonts w:ascii="Cambria" w:eastAsia="Cambria" w:hAnsi="Cambria" w:cs="Cambria"/>
          <w:sz w:val="20"/>
          <w:szCs w:val="20"/>
          <w:lang w:val="en-US"/>
        </w:rPr>
        <w:t xml:space="preserve"> provide institutional responses, priority actions are </w:t>
      </w:r>
      <w:r w:rsidR="00D77397" w:rsidRPr="00CC562A">
        <w:rPr>
          <w:rFonts w:ascii="Cambria" w:eastAsia="Cambria" w:hAnsi="Cambria" w:cs="Cambria"/>
          <w:sz w:val="20"/>
          <w:szCs w:val="20"/>
          <w:lang w:val="en-US"/>
        </w:rPr>
        <w:t>identified,</w:t>
      </w:r>
      <w:r w:rsidR="00574991" w:rsidRPr="00CC562A">
        <w:rPr>
          <w:rFonts w:ascii="Cambria" w:eastAsia="Cambria" w:hAnsi="Cambria" w:cs="Cambria"/>
          <w:sz w:val="20"/>
          <w:szCs w:val="20"/>
          <w:lang w:val="en-US"/>
        </w:rPr>
        <w:t xml:space="preserve"> and concrete measures will be adopted encouraging respect, protection of defenders and journalist</w:t>
      </w:r>
      <w:r w:rsidR="007A5A30" w:rsidRPr="00CC562A">
        <w:rPr>
          <w:rFonts w:ascii="Cambria" w:eastAsia="Cambria" w:hAnsi="Cambria" w:cs="Cambria"/>
          <w:sz w:val="20"/>
          <w:szCs w:val="20"/>
          <w:lang w:val="en-US"/>
        </w:rPr>
        <w:t>s</w:t>
      </w:r>
      <w:r w:rsidR="00574991" w:rsidRPr="00CC562A">
        <w:rPr>
          <w:rFonts w:ascii="Cambria" w:eastAsia="Cambria" w:hAnsi="Cambria" w:cs="Cambria"/>
          <w:sz w:val="20"/>
          <w:szCs w:val="20"/>
          <w:lang w:val="en-US"/>
        </w:rPr>
        <w:t xml:space="preserve"> and promotion of their rights</w:t>
      </w:r>
      <w:r w:rsidR="22787624"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w:t>
      </w:r>
      <w:r w:rsidR="00574991" w:rsidRPr="00CC562A">
        <w:rPr>
          <w:rFonts w:ascii="Cambria" w:eastAsia="Cambria" w:hAnsi="Cambria" w:cs="Cambria"/>
          <w:sz w:val="20"/>
          <w:szCs w:val="20"/>
          <w:lang w:val="en-US"/>
        </w:rPr>
        <w:t>emphasized that, indicators will be established for the timely follow-up of actions. This initiative will be carried out through a</w:t>
      </w:r>
      <w:r w:rsidR="008C6C6D" w:rsidRPr="00CC562A">
        <w:rPr>
          <w:rFonts w:ascii="Cambria" w:eastAsia="Cambria" w:hAnsi="Cambria" w:cs="Cambria"/>
          <w:sz w:val="20"/>
          <w:szCs w:val="20"/>
          <w:lang w:val="en-US"/>
        </w:rPr>
        <w:t xml:space="preserve"> forum for dialogue with civil society organizations and the support of the </w:t>
      </w:r>
      <w:r w:rsidR="22787624" w:rsidRPr="00CC562A">
        <w:rPr>
          <w:rFonts w:ascii="Cambria" w:eastAsia="Cambria" w:hAnsi="Cambria" w:cs="Cambria"/>
          <w:sz w:val="20"/>
          <w:szCs w:val="20"/>
          <w:lang w:val="en-US"/>
        </w:rPr>
        <w:t>O</w:t>
      </w:r>
      <w:r w:rsidR="008C6C6D" w:rsidRPr="00CC562A">
        <w:rPr>
          <w:rFonts w:ascii="Cambria" w:eastAsia="Cambria" w:hAnsi="Cambria" w:cs="Cambria"/>
          <w:sz w:val="20"/>
          <w:szCs w:val="20"/>
          <w:lang w:val="en-US"/>
        </w:rPr>
        <w:t>HCHR.</w:t>
      </w:r>
      <w:r w:rsidR="00070D01" w:rsidRPr="00CC562A">
        <w:rPr>
          <w:rStyle w:val="FootnoteReference"/>
          <w:rFonts w:ascii="Cambria" w:eastAsia="Cambria" w:hAnsi="Cambria" w:cs="Cambria"/>
          <w:sz w:val="20"/>
          <w:szCs w:val="20"/>
          <w:lang w:val="en-US"/>
        </w:rPr>
        <w:footnoteReference w:id="384"/>
      </w:r>
    </w:p>
    <w:p w14:paraId="04A30661" w14:textId="4A5446D0" w:rsidR="004A31AF" w:rsidRPr="00CC562A" w:rsidRDefault="008C6C6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According to the information provided, the Commission does not have sufficient data to determine progress made in complying with the recommendation</w:t>
      </w:r>
      <w:r w:rsidR="027D61DB"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27D61D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welcomes the participation of other international human rights organizations to strengthen compliance with obligations in this area.</w:t>
      </w:r>
      <w:r w:rsidR="027D61DB"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027252C"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it notes the series of actions implemented on the Mechanism.</w:t>
      </w:r>
      <w:r w:rsidR="027D61D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027D61D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it estimates that the status of the recommendation is one </w:t>
      </w:r>
      <w:r w:rsidR="00D77397" w:rsidRPr="00CC562A">
        <w:rPr>
          <w:rFonts w:ascii="Cambria" w:eastAsia="Cambria" w:hAnsi="Cambria" w:cs="Cambria"/>
          <w:sz w:val="20"/>
          <w:szCs w:val="20"/>
          <w:lang w:val="en-US"/>
        </w:rPr>
        <w:t>of partial</w:t>
      </w:r>
      <w:r w:rsidRPr="00CC562A">
        <w:rPr>
          <w:rFonts w:ascii="Cambria" w:eastAsia="Cambria" w:hAnsi="Cambria" w:cs="Cambria"/>
          <w:b/>
          <w:bCs/>
          <w:sz w:val="20"/>
          <w:szCs w:val="20"/>
          <w:lang w:val="en-US"/>
        </w:rPr>
        <w:t xml:space="preserve"> compliance</w:t>
      </w:r>
      <w:r w:rsidRPr="00CC562A">
        <w:rPr>
          <w:rFonts w:ascii="Cambria" w:eastAsia="Cambria" w:hAnsi="Cambria" w:cs="Cambria"/>
          <w:sz w:val="20"/>
          <w:szCs w:val="20"/>
          <w:lang w:val="en-US"/>
        </w:rPr>
        <w:t>.</w:t>
      </w:r>
    </w:p>
    <w:p w14:paraId="2B9030FE" w14:textId="77A7A636" w:rsidR="00843C54" w:rsidRPr="00CC562A" w:rsidRDefault="008C6C6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proofErr w:type="gramStart"/>
      <w:r w:rsidRPr="00CC562A">
        <w:rPr>
          <w:rFonts w:ascii="Cambria" w:eastAsia="Cambria" w:hAnsi="Cambria" w:cs="Cambria"/>
          <w:sz w:val="20"/>
          <w:szCs w:val="20"/>
          <w:lang w:val="en-US"/>
        </w:rPr>
        <w:t>In order to</w:t>
      </w:r>
      <w:proofErr w:type="gramEnd"/>
      <w:r w:rsidRPr="00CC562A">
        <w:rPr>
          <w:rFonts w:ascii="Cambria" w:eastAsia="Cambria" w:hAnsi="Cambria" w:cs="Cambria"/>
          <w:sz w:val="20"/>
          <w:szCs w:val="20"/>
          <w:lang w:val="en-US"/>
        </w:rPr>
        <w:t xml:space="preserve"> guide compliance with this recommendation, </w:t>
      </w:r>
      <w:r w:rsidR="00276638" w:rsidRPr="00CC562A">
        <w:rPr>
          <w:rFonts w:ascii="Cambria" w:eastAsia="Cambria" w:hAnsi="Cambria" w:cs="Cambria"/>
          <w:sz w:val="20"/>
          <w:szCs w:val="20"/>
          <w:lang w:val="en-US"/>
        </w:rPr>
        <w:t>the IACHR</w:t>
      </w:r>
      <w:r w:rsidR="0027252C" w:rsidRPr="00CC562A">
        <w:rPr>
          <w:rFonts w:ascii="Cambria" w:eastAsia="Cambria" w:hAnsi="Cambria" w:cs="Cambria"/>
          <w:sz w:val="20"/>
          <w:szCs w:val="20"/>
          <w:lang w:val="en-US"/>
        </w:rPr>
        <w:t xml:space="preserve"> </w:t>
      </w:r>
      <w:r w:rsidR="00F85B9B" w:rsidRPr="00CC562A">
        <w:rPr>
          <w:rFonts w:ascii="Cambria" w:eastAsia="Cambria" w:hAnsi="Cambria" w:cs="Cambria"/>
          <w:sz w:val="20"/>
          <w:szCs w:val="20"/>
          <w:lang w:val="en-US"/>
        </w:rPr>
        <w:t>sees fit to ask the State to ensure that the information provided for follow-up makes it possible to report how the standards provided in the “Second Report on the Situation of Human Rights Defenders in the Americas” and the “Report on Violence against Journalists and Media Workers of the Special Rapporteur for Freedom of Expression” of the</w:t>
      </w:r>
      <w:r w:rsidR="00276638" w:rsidRPr="00CC562A">
        <w:rPr>
          <w:rFonts w:ascii="Cambria" w:eastAsia="Cambria" w:hAnsi="Cambria" w:cs="Cambria"/>
          <w:sz w:val="20"/>
          <w:szCs w:val="20"/>
          <w:lang w:val="en-US"/>
        </w:rPr>
        <w:t xml:space="preserve"> IACHR</w:t>
      </w:r>
      <w:r w:rsidR="00F85B9B" w:rsidRPr="00CC562A">
        <w:rPr>
          <w:rFonts w:ascii="Cambria" w:eastAsia="Cambria" w:hAnsi="Cambria" w:cs="Cambria"/>
          <w:sz w:val="20"/>
          <w:szCs w:val="20"/>
          <w:lang w:val="en-US"/>
        </w:rPr>
        <w:t xml:space="preserve"> have been adopted.</w:t>
      </w:r>
    </w:p>
    <w:p w14:paraId="255BE38F" w14:textId="563AB2DA" w:rsidR="00F41C4C" w:rsidRPr="00CC562A" w:rsidRDefault="00F85B9B"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With regard to the recommendation to </w:t>
      </w:r>
      <w:r w:rsidR="1BEE6EB1" w:rsidRPr="00CC562A">
        <w:rPr>
          <w:rFonts w:ascii="Cambria" w:hAnsi="Cambria"/>
          <w:b/>
          <w:bCs/>
          <w:sz w:val="20"/>
          <w:szCs w:val="20"/>
          <w:lang w:val="en-US"/>
        </w:rPr>
        <w:t>pro</w:t>
      </w:r>
      <w:r w:rsidRPr="00CC562A">
        <w:rPr>
          <w:rFonts w:ascii="Cambria" w:hAnsi="Cambria"/>
          <w:b/>
          <w:bCs/>
          <w:sz w:val="20"/>
          <w:szCs w:val="20"/>
          <w:lang w:val="en-US"/>
        </w:rPr>
        <w:t>vide all the necessary political support for the proper functioning of the protection mechanism, which includes the financial resources needed for them to efficiently develop their protection skills, and ensure that it is sustainable over time</w:t>
      </w:r>
      <w:r w:rsidR="1BEE6EB1"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indic</w:t>
      </w:r>
      <w:r w:rsidR="009B6F81" w:rsidRPr="00CC562A">
        <w:rPr>
          <w:rFonts w:ascii="Cambria" w:eastAsia="Cambria" w:hAnsi="Cambria" w:cs="Cambria"/>
          <w:sz w:val="20"/>
          <w:szCs w:val="20"/>
          <w:lang w:val="en-US"/>
        </w:rPr>
        <w:t xml:space="preserve">ated that the Interior Ministry has promoted having sufficient material resources and specialized human resources to ensure the operations of the Protection Mechanism for Human Rights Defenders and Journalists, providing timely and quality attention, working with the </w:t>
      </w:r>
      <w:r w:rsidR="00365543" w:rsidRPr="00CC562A">
        <w:rPr>
          <w:rFonts w:ascii="Cambria" w:eastAsia="Cambria" w:hAnsi="Cambria" w:cs="Cambria"/>
          <w:sz w:val="20"/>
          <w:szCs w:val="20"/>
          <w:lang w:val="en-US"/>
        </w:rPr>
        <w:t>states</w:t>
      </w:r>
      <w:r w:rsidR="009B6F81" w:rsidRPr="00CC562A">
        <w:rPr>
          <w:rFonts w:ascii="Cambria" w:eastAsia="Cambria" w:hAnsi="Cambria" w:cs="Cambria"/>
          <w:sz w:val="20"/>
          <w:szCs w:val="20"/>
          <w:lang w:val="en-US"/>
        </w:rPr>
        <w:t xml:space="preserve"> and other federal authorities to eliminate geographic obstacles. Likewise, coordination with </w:t>
      </w:r>
      <w:r w:rsidR="00365543" w:rsidRPr="00CC562A">
        <w:rPr>
          <w:rFonts w:ascii="Cambria" w:eastAsia="Cambria" w:hAnsi="Cambria" w:cs="Cambria"/>
          <w:sz w:val="20"/>
          <w:szCs w:val="20"/>
          <w:lang w:val="en-US"/>
        </w:rPr>
        <w:t>states</w:t>
      </w:r>
      <w:r w:rsidR="009B6F81" w:rsidRPr="00CC562A">
        <w:rPr>
          <w:rFonts w:ascii="Cambria" w:eastAsia="Cambria" w:hAnsi="Cambria" w:cs="Cambria"/>
          <w:sz w:val="20"/>
          <w:szCs w:val="20"/>
          <w:lang w:val="en-US"/>
        </w:rPr>
        <w:t xml:space="preserve"> continues to be strengthened, prioritizing the work in those </w:t>
      </w:r>
      <w:r w:rsidR="00365543" w:rsidRPr="00CC562A">
        <w:rPr>
          <w:rFonts w:ascii="Cambria" w:eastAsia="Cambria" w:hAnsi="Cambria" w:cs="Cambria"/>
          <w:sz w:val="20"/>
          <w:szCs w:val="20"/>
          <w:lang w:val="en-US"/>
        </w:rPr>
        <w:t>states</w:t>
      </w:r>
      <w:r w:rsidR="009B6F81" w:rsidRPr="00CC562A">
        <w:rPr>
          <w:rFonts w:ascii="Cambria" w:eastAsia="Cambria" w:hAnsi="Cambria" w:cs="Cambria"/>
          <w:sz w:val="20"/>
          <w:szCs w:val="20"/>
          <w:lang w:val="en-US"/>
        </w:rPr>
        <w:t xml:space="preserve"> where there were changes in government, seeking to affirm the institutional commitments so as not to compromise </w:t>
      </w:r>
      <w:r w:rsidR="007A5A30" w:rsidRPr="00CC562A">
        <w:rPr>
          <w:rFonts w:ascii="Cambria" w:eastAsia="Cambria" w:hAnsi="Cambria" w:cs="Cambria"/>
          <w:sz w:val="20"/>
          <w:szCs w:val="20"/>
          <w:lang w:val="en-US"/>
        </w:rPr>
        <w:t>routes</w:t>
      </w:r>
      <w:r w:rsidR="009B6F81" w:rsidRPr="00CC562A">
        <w:rPr>
          <w:rFonts w:ascii="Cambria" w:eastAsia="Cambria" w:hAnsi="Cambria" w:cs="Cambria"/>
          <w:sz w:val="20"/>
          <w:szCs w:val="20"/>
          <w:lang w:val="en-US"/>
        </w:rPr>
        <w:t xml:space="preserve"> of intervention. The State emphasized that the actions promoted by the current administration to strengthen the protection and prevention policy include the signing of agreements with eight </w:t>
      </w:r>
      <w:r w:rsidR="00365543" w:rsidRPr="00CC562A">
        <w:rPr>
          <w:rFonts w:ascii="Cambria" w:eastAsia="Cambria" w:hAnsi="Cambria" w:cs="Cambria"/>
          <w:sz w:val="20"/>
          <w:szCs w:val="20"/>
          <w:lang w:val="en-US"/>
        </w:rPr>
        <w:t>states</w:t>
      </w:r>
      <w:r w:rsidR="009B6F81" w:rsidRPr="00CC562A">
        <w:rPr>
          <w:rFonts w:ascii="Cambria" w:eastAsia="Cambria" w:hAnsi="Cambria" w:cs="Cambria"/>
          <w:sz w:val="20"/>
          <w:szCs w:val="20"/>
          <w:lang w:val="en-US"/>
        </w:rPr>
        <w:t xml:space="preserve">, the purpose of which is to coordinate specific actions </w:t>
      </w:r>
      <w:proofErr w:type="gramStart"/>
      <w:r w:rsidR="009B6F81" w:rsidRPr="00CC562A">
        <w:rPr>
          <w:rFonts w:ascii="Cambria" w:eastAsia="Cambria" w:hAnsi="Cambria" w:cs="Cambria"/>
          <w:sz w:val="20"/>
          <w:szCs w:val="20"/>
          <w:lang w:val="en-US"/>
        </w:rPr>
        <w:t>on the subject of protection</w:t>
      </w:r>
      <w:proofErr w:type="gramEnd"/>
      <w:r w:rsidR="009B6F81" w:rsidRPr="00CC562A">
        <w:rPr>
          <w:rFonts w:ascii="Cambria" w:eastAsia="Cambria" w:hAnsi="Cambria" w:cs="Cambria"/>
          <w:sz w:val="20"/>
          <w:szCs w:val="20"/>
          <w:lang w:val="en-US"/>
        </w:rPr>
        <w:t xml:space="preserve"> for human rights defenders and journalists. With the creation of a General Law, the transition to a National System of Protection is anticipated, with definitions of the powers of local and federal authorities.</w:t>
      </w:r>
      <w:r w:rsidR="00070D01" w:rsidRPr="00CC562A">
        <w:rPr>
          <w:rStyle w:val="FootnoteReference"/>
          <w:rFonts w:ascii="Cambria" w:eastAsia="Cambria" w:hAnsi="Cambria" w:cs="Cambria"/>
          <w:sz w:val="20"/>
          <w:szCs w:val="20"/>
          <w:lang w:val="en-US"/>
        </w:rPr>
        <w:footnoteReference w:id="385"/>
      </w:r>
      <w:r w:rsidR="00BE2C6E" w:rsidRPr="00CC562A">
        <w:rPr>
          <w:rFonts w:ascii="Cambria" w:hAnsi="Cambria"/>
          <w:sz w:val="20"/>
          <w:lang w:val="en-US"/>
        </w:rPr>
        <w:t xml:space="preserve"> </w:t>
      </w:r>
      <w:r w:rsidR="00AA4D42" w:rsidRPr="00CC562A">
        <w:rPr>
          <w:rFonts w:ascii="Cambria" w:hAnsi="Cambria"/>
          <w:sz w:val="20"/>
          <w:lang w:val="en-US"/>
        </w:rPr>
        <w:t xml:space="preserve">The State also </w:t>
      </w:r>
      <w:r w:rsidR="00A92391" w:rsidRPr="00CC562A">
        <w:rPr>
          <w:rFonts w:ascii="Cambria" w:hAnsi="Cambria"/>
          <w:sz w:val="20"/>
          <w:lang w:val="en-US"/>
        </w:rPr>
        <w:t>reported that</w:t>
      </w:r>
      <w:r w:rsidR="00AA4D42" w:rsidRPr="00CC562A">
        <w:rPr>
          <w:rFonts w:ascii="Cambria" w:hAnsi="Cambria"/>
          <w:sz w:val="20"/>
          <w:lang w:val="en-US"/>
        </w:rPr>
        <w:t xml:space="preserve"> </w:t>
      </w:r>
      <w:r w:rsidR="00BE2C6E" w:rsidRPr="00CC562A">
        <w:rPr>
          <w:rFonts w:ascii="Cambria" w:eastAsia="Cambria" w:hAnsi="Cambria" w:cs="Cambria"/>
          <w:sz w:val="20"/>
          <w:szCs w:val="20"/>
          <w:lang w:val="en-US"/>
        </w:rPr>
        <w:t>544 mill</w:t>
      </w:r>
      <w:r w:rsidR="00A43355" w:rsidRPr="00CC562A">
        <w:rPr>
          <w:rFonts w:ascii="Cambria" w:eastAsia="Cambria" w:hAnsi="Cambria" w:cs="Cambria"/>
          <w:sz w:val="20"/>
          <w:szCs w:val="20"/>
          <w:lang w:val="en-US"/>
        </w:rPr>
        <w:t xml:space="preserve">ion pesos were disbursed </w:t>
      </w:r>
      <w:r w:rsidR="00A43355" w:rsidRPr="00CC562A">
        <w:rPr>
          <w:rFonts w:ascii="Cambria" w:hAnsi="Cambria"/>
          <w:sz w:val="20"/>
          <w:lang w:val="en-US"/>
        </w:rPr>
        <w:t xml:space="preserve">during </w:t>
      </w:r>
      <w:r w:rsidR="00A92391" w:rsidRPr="00CC562A">
        <w:rPr>
          <w:rFonts w:ascii="Cambria" w:eastAsia="Cambria" w:hAnsi="Cambria" w:cs="Cambria"/>
          <w:sz w:val="20"/>
          <w:szCs w:val="20"/>
          <w:lang w:val="en-US"/>
        </w:rPr>
        <w:t>2022 in</w:t>
      </w:r>
      <w:r w:rsidR="00A43355" w:rsidRPr="00CC562A">
        <w:rPr>
          <w:rFonts w:ascii="Cambria" w:eastAsia="Cambria" w:hAnsi="Cambria" w:cs="Cambria"/>
          <w:sz w:val="20"/>
          <w:szCs w:val="20"/>
          <w:lang w:val="en-US"/>
        </w:rPr>
        <w:t xml:space="preserve"> comprehensive compensation and reparations for </w:t>
      </w:r>
      <w:r w:rsidR="00BE2C6E" w:rsidRPr="00CC562A">
        <w:rPr>
          <w:rFonts w:ascii="Cambria" w:eastAsia="Cambria" w:hAnsi="Cambria" w:cs="Cambria"/>
          <w:sz w:val="20"/>
          <w:szCs w:val="20"/>
          <w:lang w:val="en-US"/>
        </w:rPr>
        <w:t>800</w:t>
      </w:r>
      <w:r w:rsidR="00A43355" w:rsidRPr="00CC562A">
        <w:rPr>
          <w:rFonts w:ascii="Cambria" w:eastAsia="Cambria" w:hAnsi="Cambria" w:cs="Cambria"/>
          <w:sz w:val="20"/>
          <w:szCs w:val="20"/>
          <w:lang w:val="en-US"/>
        </w:rPr>
        <w:t>,000 victims or relatives of human rights defenders and journalists.</w:t>
      </w:r>
      <w:r w:rsidR="00BE2C6E" w:rsidRPr="00CC562A">
        <w:rPr>
          <w:rFonts w:ascii="Cambria" w:eastAsia="Cambria" w:hAnsi="Cambria" w:cs="Cambria"/>
          <w:sz w:val="20"/>
          <w:szCs w:val="20"/>
          <w:lang w:val="en-US"/>
        </w:rPr>
        <w:t xml:space="preserve"> </w:t>
      </w:r>
      <w:r w:rsidR="00A43355" w:rsidRPr="00CC562A">
        <w:rPr>
          <w:rFonts w:ascii="Cambria" w:eastAsia="Cambria" w:hAnsi="Cambria" w:cs="Cambria"/>
          <w:sz w:val="20"/>
          <w:szCs w:val="20"/>
          <w:lang w:val="en-US"/>
        </w:rPr>
        <w:t xml:space="preserve">In addition, with the implementation of the </w:t>
      </w:r>
      <w:r w:rsidR="00A43355" w:rsidRPr="00CC562A">
        <w:rPr>
          <w:rFonts w:ascii="Cambria" w:eastAsia="Cambria" w:hAnsi="Cambria" w:cs="Cambria"/>
          <w:sz w:val="20"/>
          <w:szCs w:val="20"/>
          <w:lang w:val="en-US"/>
        </w:rPr>
        <w:lastRenderedPageBreak/>
        <w:t>Strengthening Plan</w:t>
      </w:r>
      <w:r w:rsidR="004A5AF9" w:rsidRPr="00CC562A">
        <w:rPr>
          <w:rFonts w:ascii="Cambria" w:eastAsia="Cambria" w:hAnsi="Cambria" w:cs="Cambria"/>
          <w:sz w:val="20"/>
          <w:szCs w:val="20"/>
          <w:lang w:val="en-US"/>
        </w:rPr>
        <w:t>,</w:t>
      </w:r>
      <w:r w:rsidR="00A43355" w:rsidRPr="00CC562A">
        <w:rPr>
          <w:rFonts w:ascii="Cambria" w:eastAsia="Cambria" w:hAnsi="Cambria" w:cs="Cambria"/>
          <w:sz w:val="20"/>
          <w:szCs w:val="20"/>
          <w:lang w:val="en-US"/>
        </w:rPr>
        <w:t xml:space="preserve"> the number of protected persons has increased by more than 100 percent, growing from</w:t>
      </w:r>
      <w:r w:rsidR="00BE2C6E" w:rsidRPr="00CC562A">
        <w:rPr>
          <w:rFonts w:ascii="Cambria" w:eastAsia="Cambria" w:hAnsi="Cambria" w:cs="Cambria"/>
          <w:sz w:val="20"/>
          <w:szCs w:val="20"/>
          <w:lang w:val="en-US"/>
        </w:rPr>
        <w:t xml:space="preserve"> 798 </w:t>
      </w:r>
      <w:r w:rsidR="00A43355" w:rsidRPr="00CC562A">
        <w:rPr>
          <w:rFonts w:ascii="Cambria" w:eastAsia="Cambria" w:hAnsi="Cambria" w:cs="Cambria"/>
          <w:sz w:val="20"/>
          <w:szCs w:val="20"/>
          <w:lang w:val="en-US"/>
        </w:rPr>
        <w:t>to</w:t>
      </w:r>
      <w:r w:rsidR="00BE2C6E" w:rsidRPr="00CC562A">
        <w:rPr>
          <w:rFonts w:ascii="Cambria" w:eastAsia="Cambria" w:hAnsi="Cambria" w:cs="Cambria"/>
          <w:sz w:val="20"/>
          <w:szCs w:val="20"/>
          <w:lang w:val="en-US"/>
        </w:rPr>
        <w:t xml:space="preserve"> 1,672</w:t>
      </w:r>
      <w:r w:rsidR="00A43355" w:rsidRPr="00CC562A">
        <w:rPr>
          <w:rFonts w:ascii="Cambria" w:eastAsia="Cambria" w:hAnsi="Cambria" w:cs="Cambria"/>
          <w:sz w:val="20"/>
          <w:szCs w:val="20"/>
          <w:lang w:val="en-US"/>
        </w:rPr>
        <w:t>.</w:t>
      </w:r>
      <w:r w:rsidR="00BE2C6E" w:rsidRPr="00CC562A">
        <w:rPr>
          <w:rStyle w:val="FootnoteReference"/>
          <w:rFonts w:ascii="Cambria" w:eastAsia="Cambria" w:hAnsi="Cambria" w:cs="Cambria"/>
          <w:sz w:val="20"/>
          <w:szCs w:val="20"/>
          <w:lang w:val="en-US"/>
        </w:rPr>
        <w:footnoteReference w:id="386"/>
      </w:r>
    </w:p>
    <w:p w14:paraId="1E2ADE90" w14:textId="1E2D6671" w:rsidR="004A31AF" w:rsidRPr="00CC562A" w:rsidRDefault="00276638"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IACHR</w:t>
      </w:r>
      <w:r w:rsidR="027D61DB" w:rsidRPr="00CC562A">
        <w:rPr>
          <w:rFonts w:ascii="Cambria" w:eastAsia="Cambria" w:hAnsi="Cambria" w:cs="Cambria"/>
          <w:sz w:val="20"/>
          <w:szCs w:val="20"/>
          <w:lang w:val="en-US"/>
        </w:rPr>
        <w:t xml:space="preserve"> </w:t>
      </w:r>
      <w:r w:rsidR="009B6F81" w:rsidRPr="00CC562A">
        <w:rPr>
          <w:rFonts w:ascii="Cambria" w:eastAsia="Cambria" w:hAnsi="Cambria" w:cs="Cambria"/>
          <w:sz w:val="20"/>
          <w:szCs w:val="20"/>
          <w:lang w:val="en-US"/>
        </w:rPr>
        <w:t xml:space="preserve">commends the Interior Ministry’s promotion of actions to strengthen the Protection Mechanism, based on continuing training, the allocation of public resources, agreements signed with </w:t>
      </w:r>
      <w:r w:rsidR="00365543" w:rsidRPr="00CC562A">
        <w:rPr>
          <w:rFonts w:ascii="Cambria" w:eastAsia="Cambria" w:hAnsi="Cambria" w:cs="Cambria"/>
          <w:sz w:val="20"/>
          <w:szCs w:val="20"/>
          <w:lang w:val="en-US"/>
        </w:rPr>
        <w:t>states</w:t>
      </w:r>
      <w:r w:rsidR="009B6F81" w:rsidRPr="00CC562A">
        <w:rPr>
          <w:rFonts w:ascii="Cambria" w:eastAsia="Cambria" w:hAnsi="Cambria" w:cs="Cambria"/>
          <w:sz w:val="20"/>
          <w:szCs w:val="20"/>
          <w:lang w:val="en-US"/>
        </w:rPr>
        <w:t xml:space="preserve">, and the development of </w:t>
      </w:r>
      <w:r w:rsidR="00A2468E" w:rsidRPr="00CC562A">
        <w:rPr>
          <w:rFonts w:ascii="Cambria" w:eastAsia="Cambria" w:hAnsi="Cambria" w:cs="Cambria"/>
          <w:sz w:val="20"/>
          <w:szCs w:val="20"/>
          <w:lang w:val="en-US"/>
        </w:rPr>
        <w:t xml:space="preserve">working panels to address problems with the support of the Protection Mechanism. The Commission recognizes the evaluation work that the State has </w:t>
      </w:r>
      <w:r w:rsidR="007A5A30" w:rsidRPr="00CC562A">
        <w:rPr>
          <w:rFonts w:ascii="Cambria" w:eastAsia="Cambria" w:hAnsi="Cambria" w:cs="Cambria"/>
          <w:sz w:val="20"/>
          <w:szCs w:val="20"/>
          <w:lang w:val="en-US"/>
        </w:rPr>
        <w:t>done</w:t>
      </w:r>
      <w:r w:rsidR="00A2468E" w:rsidRPr="00CC562A">
        <w:rPr>
          <w:rFonts w:ascii="Cambria" w:eastAsia="Cambria" w:hAnsi="Cambria" w:cs="Cambria"/>
          <w:sz w:val="20"/>
          <w:szCs w:val="20"/>
          <w:lang w:val="en-US"/>
        </w:rPr>
        <w:t xml:space="preserve">. However, as indicated in previous paragraphs, it has also been informed of challenges in the implementation of protection measures by the Mechanism. Accordingly, it asks the State to continue with actions designed to strengthen the Mechanism, considering that it is necessary to consolidate its operations in response to the persistent violence faced by defenders and journalists in Mexico. For this reason, the status of the recommendation continues to be </w:t>
      </w:r>
      <w:r w:rsidR="00A2468E" w:rsidRPr="00CC562A">
        <w:rPr>
          <w:rFonts w:ascii="Cambria" w:eastAsia="Cambria" w:hAnsi="Cambria" w:cs="Cambria"/>
          <w:b/>
          <w:bCs/>
          <w:sz w:val="20"/>
          <w:szCs w:val="20"/>
          <w:lang w:val="en-US"/>
        </w:rPr>
        <w:t>partial compliance</w:t>
      </w:r>
      <w:r w:rsidR="027D61DB" w:rsidRPr="00CC562A">
        <w:rPr>
          <w:rFonts w:ascii="Cambria" w:eastAsia="Cambria" w:hAnsi="Cambria" w:cs="Cambria"/>
          <w:sz w:val="20"/>
          <w:szCs w:val="20"/>
          <w:lang w:val="en-US"/>
        </w:rPr>
        <w:t xml:space="preserve">. </w:t>
      </w:r>
    </w:p>
    <w:p w14:paraId="27E06C46" w14:textId="558E227B" w:rsidR="00843C54" w:rsidRPr="00CC562A" w:rsidRDefault="00354CE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follow-up of this recommendation, </w:t>
      </w:r>
      <w:r w:rsidR="00276638" w:rsidRPr="00CC562A">
        <w:rPr>
          <w:rFonts w:ascii="Cambria" w:eastAsia="Cambria" w:hAnsi="Cambria" w:cs="Cambria"/>
          <w:sz w:val="20"/>
          <w:szCs w:val="20"/>
          <w:lang w:val="en-US"/>
        </w:rPr>
        <w:t>the IACHR</w:t>
      </w:r>
      <w:r w:rsidR="00856540"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asks the State to adopt specific measures to ensure the financial an</w:t>
      </w:r>
      <w:r w:rsidR="007A5A30" w:rsidRPr="00CC562A">
        <w:rPr>
          <w:rFonts w:ascii="Cambria" w:eastAsia="Cambria" w:hAnsi="Cambria" w:cs="Cambria"/>
          <w:sz w:val="20"/>
          <w:szCs w:val="20"/>
          <w:lang w:val="en-US"/>
        </w:rPr>
        <w:t>d</w:t>
      </w:r>
      <w:r w:rsidRPr="00CC562A">
        <w:rPr>
          <w:rFonts w:ascii="Cambria" w:eastAsia="Cambria" w:hAnsi="Cambria" w:cs="Cambria"/>
          <w:sz w:val="20"/>
          <w:szCs w:val="20"/>
          <w:lang w:val="en-US"/>
        </w:rPr>
        <w:t xml:space="preserve"> operational sustainability of the Mechanism.</w:t>
      </w:r>
      <w:r w:rsidR="00856540"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7A656415"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it is important to adopt actions to ensure that authorities within the framework of their areas of competence collaborate with the work of the Mechanism.</w:t>
      </w:r>
    </w:p>
    <w:p w14:paraId="5135AEE7" w14:textId="6CA0F621" w:rsidR="00F41C4C" w:rsidRPr="00CC562A" w:rsidRDefault="1BEE6EB1"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354CE7" w:rsidRPr="00CC562A">
        <w:rPr>
          <w:rFonts w:ascii="Cambria" w:eastAsia="Cambria" w:hAnsi="Cambria" w:cs="Cambria"/>
          <w:sz w:val="20"/>
          <w:szCs w:val="20"/>
          <w:lang w:val="en-US"/>
        </w:rPr>
        <w:t xml:space="preserve">garding the recommendation to </w:t>
      </w:r>
      <w:r w:rsidR="00354CE7" w:rsidRPr="00CC562A">
        <w:rPr>
          <w:rFonts w:ascii="Cambria" w:hAnsi="Cambria"/>
          <w:b/>
          <w:bCs/>
          <w:sz w:val="20"/>
          <w:szCs w:val="20"/>
          <w:lang w:val="en-US"/>
        </w:rPr>
        <w:t>adopt all measures needed to assign and train all the personnel required for the Mechanism to function properly</w:t>
      </w:r>
      <w:r w:rsidR="00354CE7" w:rsidRPr="00CC562A">
        <w:rPr>
          <w:rFonts w:ascii="Cambria" w:hAnsi="Cambria"/>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w:t>
      </w:r>
      <w:r w:rsidR="00354CE7" w:rsidRPr="00CC562A">
        <w:rPr>
          <w:rFonts w:ascii="Cambria" w:eastAsia="Cambria" w:hAnsi="Cambria" w:cs="Cambria"/>
          <w:sz w:val="20"/>
          <w:szCs w:val="20"/>
          <w:lang w:val="en-US"/>
        </w:rPr>
        <w:t>reported that the Mechanism for the Protection of Human Rights Defenders and Journalists is aware of the need to have personnel with the working skills linked to providing care and protection for human rights defenders and journalists, incorporating in that care international human rights standards. In this regard,</w:t>
      </w:r>
      <w:r w:rsidR="00752FED" w:rsidRPr="00CC562A">
        <w:rPr>
          <w:rFonts w:ascii="Cambria" w:eastAsia="Cambria" w:hAnsi="Cambria" w:cs="Cambria"/>
          <w:sz w:val="20"/>
          <w:szCs w:val="20"/>
          <w:lang w:val="en-US"/>
        </w:rPr>
        <w:t xml:space="preserve"> </w:t>
      </w:r>
      <w:r w:rsidR="00152115" w:rsidRPr="00CC562A">
        <w:rPr>
          <w:rFonts w:ascii="Cambria" w:eastAsia="Cambria" w:hAnsi="Cambria" w:cs="Cambria"/>
          <w:sz w:val="20"/>
          <w:szCs w:val="20"/>
          <w:lang w:val="en-US"/>
        </w:rPr>
        <w:t xml:space="preserve">the </w:t>
      </w:r>
      <w:r w:rsidR="00752FED" w:rsidRPr="00CC562A">
        <w:rPr>
          <w:rFonts w:ascii="Cambria" w:eastAsia="Cambria" w:hAnsi="Cambria" w:cs="Cambria"/>
          <w:sz w:val="20"/>
          <w:szCs w:val="20"/>
          <w:lang w:val="en-US"/>
        </w:rPr>
        <w:t>State</w:t>
      </w:r>
      <w:r w:rsidR="7F4CCBFB" w:rsidRPr="00CC562A">
        <w:rPr>
          <w:rFonts w:ascii="Cambria" w:eastAsia="Cambria" w:hAnsi="Cambria" w:cs="Cambria"/>
          <w:sz w:val="20"/>
          <w:szCs w:val="20"/>
          <w:lang w:val="en-US"/>
        </w:rPr>
        <w:t xml:space="preserve"> </w:t>
      </w:r>
      <w:r w:rsidR="00354CE7" w:rsidRPr="00CC562A">
        <w:rPr>
          <w:rFonts w:ascii="Cambria" w:eastAsia="Cambria" w:hAnsi="Cambria" w:cs="Cambria"/>
          <w:sz w:val="20"/>
          <w:szCs w:val="20"/>
          <w:lang w:val="en-US"/>
        </w:rPr>
        <w:t>reported that, with the support of the USAID Defenders and Journalists Project</w:t>
      </w:r>
      <w:r w:rsidR="22787624" w:rsidRPr="00CC562A">
        <w:rPr>
          <w:rFonts w:ascii="Cambria" w:eastAsia="Cambria" w:hAnsi="Cambria" w:cs="Cambria"/>
          <w:sz w:val="20"/>
          <w:szCs w:val="20"/>
          <w:lang w:val="en-US"/>
        </w:rPr>
        <w:t xml:space="preserve"> (PDP), dur</w:t>
      </w:r>
      <w:r w:rsidR="00354CE7" w:rsidRPr="00CC562A">
        <w:rPr>
          <w:rFonts w:ascii="Cambria" w:eastAsia="Cambria" w:hAnsi="Cambria" w:cs="Cambria"/>
          <w:sz w:val="20"/>
          <w:szCs w:val="20"/>
          <w:lang w:val="en-US"/>
        </w:rPr>
        <w:t xml:space="preserve">ing </w:t>
      </w:r>
      <w:r w:rsidR="22787624" w:rsidRPr="00CC562A">
        <w:rPr>
          <w:rFonts w:ascii="Cambria" w:eastAsia="Cambria" w:hAnsi="Cambria" w:cs="Cambria"/>
          <w:sz w:val="20"/>
          <w:szCs w:val="20"/>
          <w:lang w:val="en-US"/>
        </w:rPr>
        <w:t xml:space="preserve">2022 </w:t>
      </w:r>
      <w:r w:rsidR="00354CE7" w:rsidRPr="00CC562A">
        <w:rPr>
          <w:rFonts w:ascii="Cambria" w:eastAsia="Cambria" w:hAnsi="Cambria" w:cs="Cambria"/>
          <w:sz w:val="20"/>
          <w:szCs w:val="20"/>
          <w:lang w:val="en-US"/>
        </w:rPr>
        <w:t xml:space="preserve">five training sessions have been conducted to strengthen the use of methodological tools; the application of the differential, specialized, and intersectional approach; regulations, </w:t>
      </w:r>
      <w:r w:rsidR="00D77397" w:rsidRPr="00CC562A">
        <w:rPr>
          <w:rFonts w:ascii="Cambria" w:eastAsia="Cambria" w:hAnsi="Cambria" w:cs="Cambria"/>
          <w:sz w:val="20"/>
          <w:szCs w:val="20"/>
          <w:lang w:val="en-US"/>
        </w:rPr>
        <w:t>labor support</w:t>
      </w:r>
      <w:r w:rsidR="0098680C" w:rsidRPr="00CC562A">
        <w:rPr>
          <w:rFonts w:ascii="Cambria" w:eastAsia="Cambria" w:hAnsi="Cambria" w:cs="Cambria"/>
          <w:sz w:val="20"/>
          <w:szCs w:val="20"/>
          <w:lang w:val="en-US"/>
        </w:rPr>
        <w:t>, and victims’ care.</w:t>
      </w:r>
      <w:r w:rsidR="7F4CCBFB"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7F4CCBF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w:t>
      </w:r>
      <w:r w:rsidR="0098680C" w:rsidRPr="00CC562A">
        <w:rPr>
          <w:rFonts w:ascii="Cambria" w:eastAsia="Cambria" w:hAnsi="Cambria" w:cs="Cambria"/>
          <w:sz w:val="20"/>
          <w:szCs w:val="20"/>
          <w:lang w:val="en-US"/>
        </w:rPr>
        <w:t xml:space="preserve">indicated that the structure’s </w:t>
      </w:r>
      <w:r w:rsidR="00152115" w:rsidRPr="00CC562A">
        <w:rPr>
          <w:rFonts w:ascii="Cambria" w:eastAsia="Cambria" w:hAnsi="Cambria" w:cs="Cambria"/>
          <w:sz w:val="20"/>
          <w:szCs w:val="20"/>
          <w:lang w:val="en-US"/>
        </w:rPr>
        <w:t>staff</w:t>
      </w:r>
      <w:r w:rsidR="0098680C" w:rsidRPr="00CC562A">
        <w:rPr>
          <w:rFonts w:ascii="Cambria" w:eastAsia="Cambria" w:hAnsi="Cambria" w:cs="Cambria"/>
          <w:sz w:val="20"/>
          <w:szCs w:val="20"/>
          <w:lang w:val="en-US"/>
        </w:rPr>
        <w:t xml:space="preserve"> should have 40 hours of training every </w:t>
      </w:r>
      <w:r w:rsidR="00D77397" w:rsidRPr="00CC562A">
        <w:rPr>
          <w:rFonts w:ascii="Cambria" w:eastAsia="Cambria" w:hAnsi="Cambria" w:cs="Cambria"/>
          <w:sz w:val="20"/>
          <w:szCs w:val="20"/>
          <w:lang w:val="en-US"/>
        </w:rPr>
        <w:t>year; that</w:t>
      </w:r>
      <w:r w:rsidR="0098680C" w:rsidRPr="00CC562A">
        <w:rPr>
          <w:rFonts w:ascii="Cambria" w:eastAsia="Cambria" w:hAnsi="Cambria" w:cs="Cambria"/>
          <w:sz w:val="20"/>
          <w:szCs w:val="20"/>
          <w:lang w:val="en-US"/>
        </w:rPr>
        <w:t xml:space="preserve"> the education is provided by institutions that promote human rights such as </w:t>
      </w:r>
      <w:r w:rsidR="00152115" w:rsidRPr="00CC562A">
        <w:rPr>
          <w:rFonts w:ascii="Cambria" w:eastAsia="Cambria" w:hAnsi="Cambria" w:cs="Cambria"/>
          <w:sz w:val="20"/>
          <w:szCs w:val="20"/>
          <w:lang w:val="en-US"/>
        </w:rPr>
        <w:t xml:space="preserve">the </w:t>
      </w:r>
      <w:r w:rsidR="0098680C" w:rsidRPr="00CC562A">
        <w:rPr>
          <w:rFonts w:ascii="Cambria" w:eastAsia="Cambria" w:hAnsi="Cambria" w:cs="Cambria"/>
          <w:sz w:val="20"/>
          <w:szCs w:val="20"/>
          <w:lang w:val="en-US"/>
        </w:rPr>
        <w:t>National Human Rights Commission and the National Council for the Prevention of Discrimination, to mention some of them.</w:t>
      </w:r>
      <w:r w:rsidR="00070D01" w:rsidRPr="00CC562A">
        <w:rPr>
          <w:rStyle w:val="FootnoteReference"/>
          <w:rFonts w:ascii="Cambria" w:eastAsia="Cambria" w:hAnsi="Cambria" w:cs="Cambria"/>
          <w:sz w:val="20"/>
          <w:szCs w:val="20"/>
          <w:lang w:val="en-US"/>
        </w:rPr>
        <w:footnoteReference w:id="387"/>
      </w:r>
    </w:p>
    <w:p w14:paraId="59E411F0" w14:textId="40A9414E" w:rsidR="004A31AF" w:rsidRPr="00CC562A" w:rsidRDefault="0098680C"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Commission notes the efforts made by the State.</w:t>
      </w:r>
      <w:r w:rsidR="007C5BA3"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07C5BA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it determines that additional information is still needed to establish whether this training has been provided totally or partially to staff</w:t>
      </w:r>
      <w:r w:rsidR="027D61DB" w:rsidRPr="00CC562A">
        <w:rPr>
          <w:rFonts w:ascii="Cambria" w:eastAsia="Cambria" w:hAnsi="Cambria" w:cs="Cambria"/>
          <w:sz w:val="20"/>
          <w:szCs w:val="20"/>
          <w:lang w:val="en-US"/>
        </w:rPr>
        <w:t>.</w:t>
      </w:r>
      <w:r w:rsidR="45927889"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007C5BA3"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07C5BA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believes that</w:t>
      </w:r>
      <w:r w:rsidR="00152115" w:rsidRPr="00CC562A">
        <w:rPr>
          <w:rFonts w:ascii="Cambria" w:eastAsia="Cambria" w:hAnsi="Cambria" w:cs="Cambria"/>
          <w:sz w:val="20"/>
          <w:szCs w:val="20"/>
          <w:lang w:val="en-US"/>
        </w:rPr>
        <w:t xml:space="preserve"> it</w:t>
      </w:r>
      <w:r w:rsidRPr="00CC562A">
        <w:rPr>
          <w:rFonts w:ascii="Cambria" w:eastAsia="Cambria" w:hAnsi="Cambria" w:cs="Cambria"/>
          <w:sz w:val="20"/>
          <w:szCs w:val="20"/>
          <w:lang w:val="en-US"/>
        </w:rPr>
        <w:t xml:space="preserve"> is still necessary to report on evaluation indicators, as well as the </w:t>
      </w:r>
      <w:r w:rsidR="00152115" w:rsidRPr="00CC562A">
        <w:rPr>
          <w:rFonts w:ascii="Cambria" w:eastAsia="Cambria" w:hAnsi="Cambria" w:cs="Cambria"/>
          <w:sz w:val="20"/>
          <w:szCs w:val="20"/>
          <w:lang w:val="en-US"/>
        </w:rPr>
        <w:t>type</w:t>
      </w:r>
      <w:r w:rsidRPr="00CC562A">
        <w:rPr>
          <w:rFonts w:ascii="Cambria" w:eastAsia="Cambria" w:hAnsi="Cambria" w:cs="Cambria"/>
          <w:sz w:val="20"/>
          <w:szCs w:val="20"/>
          <w:lang w:val="en-US"/>
        </w:rPr>
        <w:t xml:space="preserve"> of topics addressed, and to indicate whether these training sessions are conducted regularly. Based on the foregoing, the recommendation is</w:t>
      </w:r>
      <w:r w:rsidR="027D61DB" w:rsidRPr="00CC562A">
        <w:rPr>
          <w:rFonts w:ascii="Cambria" w:eastAsia="Cambria" w:hAnsi="Cambria" w:cs="Cambria"/>
          <w:sz w:val="20"/>
          <w:szCs w:val="20"/>
          <w:lang w:val="en-US"/>
        </w:rPr>
        <w:t xml:space="preserve"> </w:t>
      </w:r>
      <w:r w:rsidR="027D61DB" w:rsidRPr="00CC562A">
        <w:rPr>
          <w:rFonts w:ascii="Cambria" w:eastAsia="Cambria" w:hAnsi="Cambria" w:cs="Cambria"/>
          <w:b/>
          <w:bCs/>
          <w:sz w:val="20"/>
          <w:szCs w:val="20"/>
          <w:lang w:val="en-US"/>
        </w:rPr>
        <w:t>pendi</w:t>
      </w:r>
      <w:r w:rsidRPr="00CC562A">
        <w:rPr>
          <w:rFonts w:ascii="Cambria" w:eastAsia="Cambria" w:hAnsi="Cambria" w:cs="Cambria"/>
          <w:b/>
          <w:bCs/>
          <w:sz w:val="20"/>
          <w:szCs w:val="20"/>
          <w:lang w:val="en-US"/>
        </w:rPr>
        <w:t>ng compliance</w:t>
      </w:r>
      <w:r w:rsidRPr="00CC562A">
        <w:rPr>
          <w:rFonts w:ascii="Cambria" w:eastAsia="Cambria" w:hAnsi="Cambria" w:cs="Cambria"/>
          <w:sz w:val="20"/>
          <w:szCs w:val="20"/>
          <w:lang w:val="en-US"/>
        </w:rPr>
        <w:t>.</w:t>
      </w:r>
    </w:p>
    <w:p w14:paraId="7B8E157A" w14:textId="70E048EC" w:rsidR="00843C54"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the implementation of this recommendation</w:t>
      </w:r>
      <w:r w:rsidR="007C5BA3"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07C5BA3" w:rsidRPr="00CC562A">
        <w:rPr>
          <w:rFonts w:ascii="Cambria" w:eastAsia="Cambria" w:hAnsi="Cambria" w:cs="Cambria"/>
          <w:sz w:val="20"/>
          <w:szCs w:val="20"/>
          <w:lang w:val="en-US"/>
        </w:rPr>
        <w:t xml:space="preserve"> </w:t>
      </w:r>
      <w:r w:rsidR="001F4E6A" w:rsidRPr="00CC562A">
        <w:rPr>
          <w:rFonts w:ascii="Cambria" w:eastAsia="Cambria" w:hAnsi="Cambria" w:cs="Cambria"/>
          <w:sz w:val="20"/>
          <w:szCs w:val="20"/>
          <w:lang w:val="en-US"/>
        </w:rPr>
        <w:t>a</w:t>
      </w:r>
      <w:r w:rsidR="0098680C" w:rsidRPr="00CC562A">
        <w:rPr>
          <w:rFonts w:ascii="Cambria" w:eastAsia="Cambria" w:hAnsi="Cambria" w:cs="Cambria"/>
          <w:sz w:val="20"/>
          <w:szCs w:val="20"/>
          <w:lang w:val="en-US"/>
        </w:rPr>
        <w:t xml:space="preserve">sks the State to adopt </w:t>
      </w:r>
      <w:r w:rsidR="00D77397" w:rsidRPr="00CC562A">
        <w:rPr>
          <w:rFonts w:ascii="Cambria" w:eastAsia="Cambria" w:hAnsi="Cambria" w:cs="Cambria"/>
          <w:sz w:val="20"/>
          <w:szCs w:val="20"/>
          <w:lang w:val="en-US"/>
        </w:rPr>
        <w:t>the measures</w:t>
      </w:r>
      <w:r w:rsidR="0098680C" w:rsidRPr="00CC562A">
        <w:rPr>
          <w:rFonts w:ascii="Cambria" w:eastAsia="Cambria" w:hAnsi="Cambria" w:cs="Cambria"/>
          <w:sz w:val="20"/>
          <w:szCs w:val="20"/>
          <w:lang w:val="en-US"/>
        </w:rPr>
        <w:t xml:space="preserve"> needed t</w:t>
      </w:r>
      <w:r w:rsidR="001F4E6A" w:rsidRPr="00CC562A">
        <w:rPr>
          <w:rFonts w:ascii="Cambria" w:eastAsia="Cambria" w:hAnsi="Cambria" w:cs="Cambria"/>
          <w:sz w:val="20"/>
          <w:szCs w:val="20"/>
          <w:lang w:val="en-US"/>
        </w:rPr>
        <w:t>o ensure that all personnel needed for the proper operation of the Mechanism are trained.</w:t>
      </w:r>
      <w:r w:rsidR="45927889"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 addition,</w:t>
      </w:r>
      <w:r w:rsidR="007C5BA3"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07C5BA3" w:rsidRPr="00CC562A">
        <w:rPr>
          <w:rFonts w:ascii="Cambria" w:eastAsia="Cambria" w:hAnsi="Cambria" w:cs="Cambria"/>
          <w:sz w:val="20"/>
          <w:szCs w:val="20"/>
          <w:lang w:val="en-US"/>
        </w:rPr>
        <w:t xml:space="preserve"> </w:t>
      </w:r>
      <w:r w:rsidR="001F4E6A" w:rsidRPr="00CC562A">
        <w:rPr>
          <w:rFonts w:ascii="Cambria" w:eastAsia="Cambria" w:hAnsi="Cambria" w:cs="Cambria"/>
          <w:sz w:val="20"/>
          <w:szCs w:val="20"/>
          <w:lang w:val="en-US"/>
        </w:rPr>
        <w:t>asks the State to ensure that training is proper</w:t>
      </w:r>
      <w:r w:rsidR="00152115" w:rsidRPr="00CC562A">
        <w:rPr>
          <w:rFonts w:ascii="Cambria" w:eastAsia="Cambria" w:hAnsi="Cambria" w:cs="Cambria"/>
          <w:sz w:val="20"/>
          <w:szCs w:val="20"/>
          <w:lang w:val="en-US"/>
        </w:rPr>
        <w:t>l</w:t>
      </w:r>
      <w:r w:rsidR="001F4E6A" w:rsidRPr="00CC562A">
        <w:rPr>
          <w:rFonts w:ascii="Cambria" w:eastAsia="Cambria" w:hAnsi="Cambria" w:cs="Cambria"/>
          <w:sz w:val="20"/>
          <w:szCs w:val="20"/>
          <w:lang w:val="en-US"/>
        </w:rPr>
        <w:t xml:space="preserve">y evaluated to ensure its usefulness as well as to report on its </w:t>
      </w:r>
      <w:r w:rsidR="00152115" w:rsidRPr="00CC562A">
        <w:rPr>
          <w:rFonts w:ascii="Cambria" w:eastAsia="Cambria" w:hAnsi="Cambria" w:cs="Cambria"/>
          <w:sz w:val="20"/>
          <w:szCs w:val="20"/>
          <w:lang w:val="en-US"/>
        </w:rPr>
        <w:t>continuation and</w:t>
      </w:r>
      <w:r w:rsidR="001F4E6A" w:rsidRPr="00CC562A">
        <w:rPr>
          <w:rFonts w:ascii="Cambria" w:eastAsia="Cambria" w:hAnsi="Cambria" w:cs="Cambria"/>
          <w:sz w:val="20"/>
          <w:szCs w:val="20"/>
          <w:lang w:val="en-US"/>
        </w:rPr>
        <w:t xml:space="preserve"> duration</w:t>
      </w:r>
      <w:r w:rsidR="00152115" w:rsidRPr="00CC562A">
        <w:rPr>
          <w:rFonts w:ascii="Cambria" w:eastAsia="Cambria" w:hAnsi="Cambria" w:cs="Cambria"/>
          <w:sz w:val="20"/>
          <w:szCs w:val="20"/>
          <w:lang w:val="en-US"/>
        </w:rPr>
        <w:t xml:space="preserve"> and the </w:t>
      </w:r>
      <w:r w:rsidR="001F4E6A" w:rsidRPr="00CC562A">
        <w:rPr>
          <w:rFonts w:ascii="Cambria" w:eastAsia="Cambria" w:hAnsi="Cambria" w:cs="Cambria"/>
          <w:sz w:val="20"/>
          <w:szCs w:val="20"/>
          <w:lang w:val="en-US"/>
        </w:rPr>
        <w:t>main results obtained from conducting the training.</w:t>
      </w:r>
    </w:p>
    <w:p w14:paraId="1383B87A" w14:textId="3ED4AE4E" w:rsidR="00F41C4C" w:rsidRPr="00CC562A" w:rsidRDefault="001F4E6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eastAsia="Cambria" w:hAnsi="Cambria" w:cs="Cambria"/>
          <w:b/>
          <w:bCs/>
          <w:sz w:val="20"/>
          <w:szCs w:val="20"/>
          <w:lang w:val="en-US"/>
        </w:rPr>
        <w:t>ensure that the risk assessment and the implementation of preventive and protective measures are carried out appropriately,</w:t>
      </w:r>
      <w:r w:rsidRPr="00CC562A">
        <w:rPr>
          <w:rFonts w:ascii="Cambria" w:eastAsia="Cambria" w:hAnsi="Cambria" w:cs="Cambria"/>
          <w:sz w:val="20"/>
          <w:szCs w:val="20"/>
          <w:lang w:val="en-US"/>
        </w:rPr>
        <w:t xml:space="preserve"> the State indicated that in accordance with the Law for the Protection of Human Rights Defenders and Journalists</w:t>
      </w:r>
      <w:r w:rsidR="22787624" w:rsidRPr="00CC562A">
        <w:rPr>
          <w:rFonts w:ascii="Cambria" w:eastAsia="Cambria" w:hAnsi="Cambria" w:cs="Cambria"/>
          <w:sz w:val="20"/>
          <w:szCs w:val="20"/>
          <w:lang w:val="en-US"/>
        </w:rPr>
        <w:t xml:space="preserve">, </w:t>
      </w:r>
      <w:r w:rsidR="00583E77" w:rsidRPr="00CC562A">
        <w:rPr>
          <w:rFonts w:ascii="Cambria" w:eastAsia="Cambria" w:hAnsi="Cambria" w:cs="Cambria"/>
          <w:sz w:val="20"/>
          <w:szCs w:val="20"/>
          <w:lang w:val="en-US"/>
        </w:rPr>
        <w:t>all protection measures are defined and implemented by mutual agreement with the beneficiaries.</w:t>
      </w:r>
      <w:r w:rsidR="22787624" w:rsidRPr="00CC562A">
        <w:rPr>
          <w:rFonts w:ascii="Cambria" w:eastAsia="Cambria" w:hAnsi="Cambria" w:cs="Cambria"/>
          <w:sz w:val="20"/>
          <w:szCs w:val="20"/>
          <w:lang w:val="en-US"/>
        </w:rPr>
        <w:t> </w:t>
      </w:r>
      <w:r w:rsidR="00F108AA" w:rsidRPr="00CC562A">
        <w:rPr>
          <w:rFonts w:ascii="Cambria" w:eastAsia="Cambria" w:hAnsi="Cambria" w:cs="Cambria"/>
          <w:sz w:val="20"/>
          <w:szCs w:val="20"/>
          <w:lang w:val="en-US"/>
        </w:rPr>
        <w:t>In addition,</w:t>
      </w:r>
      <w:r w:rsidR="7F4CCBFB" w:rsidRPr="00CC562A">
        <w:rPr>
          <w:rFonts w:ascii="Cambria" w:eastAsia="Cambria" w:hAnsi="Cambria" w:cs="Cambria"/>
          <w:sz w:val="20"/>
          <w:szCs w:val="20"/>
          <w:lang w:val="en-US"/>
        </w:rPr>
        <w:t xml:space="preserve"> </w:t>
      </w:r>
      <w:r w:rsidR="00583E77" w:rsidRPr="00CC562A">
        <w:rPr>
          <w:rFonts w:ascii="Cambria" w:eastAsia="Cambria" w:hAnsi="Cambria" w:cs="Cambria"/>
          <w:sz w:val="20"/>
          <w:szCs w:val="20"/>
          <w:lang w:val="en-US"/>
        </w:rPr>
        <w:t xml:space="preserve">protection </w:t>
      </w:r>
      <w:r w:rsidR="00583E77" w:rsidRPr="00CC562A">
        <w:rPr>
          <w:rFonts w:ascii="Cambria" w:eastAsia="Cambria" w:hAnsi="Cambria" w:cs="Cambria"/>
          <w:sz w:val="20"/>
          <w:szCs w:val="20"/>
          <w:lang w:val="en-US"/>
        </w:rPr>
        <w:lastRenderedPageBreak/>
        <w:t>measures are determine</w:t>
      </w:r>
      <w:r w:rsidR="00152115" w:rsidRPr="00CC562A">
        <w:rPr>
          <w:rFonts w:ascii="Cambria" w:eastAsia="Cambria" w:hAnsi="Cambria" w:cs="Cambria"/>
          <w:sz w:val="20"/>
          <w:szCs w:val="20"/>
          <w:lang w:val="en-US"/>
        </w:rPr>
        <w:t>d</w:t>
      </w:r>
      <w:r w:rsidR="00583E77" w:rsidRPr="00CC562A">
        <w:rPr>
          <w:rFonts w:ascii="Cambria" w:eastAsia="Cambria" w:hAnsi="Cambria" w:cs="Cambria"/>
          <w:sz w:val="20"/>
          <w:szCs w:val="20"/>
          <w:lang w:val="en-US"/>
        </w:rPr>
        <w:t xml:space="preserve"> based on the risk assessment methodology. That methodology takes up the differential, specialized, gen</w:t>
      </w:r>
      <w:r w:rsidR="00152115" w:rsidRPr="00CC562A">
        <w:rPr>
          <w:rFonts w:ascii="Cambria" w:eastAsia="Cambria" w:hAnsi="Cambria" w:cs="Cambria"/>
          <w:sz w:val="20"/>
          <w:szCs w:val="20"/>
          <w:lang w:val="en-US"/>
        </w:rPr>
        <w:t>d</w:t>
      </w:r>
      <w:r w:rsidR="00583E77" w:rsidRPr="00CC562A">
        <w:rPr>
          <w:rFonts w:ascii="Cambria" w:eastAsia="Cambria" w:hAnsi="Cambria" w:cs="Cambria"/>
          <w:sz w:val="20"/>
          <w:szCs w:val="20"/>
          <w:lang w:val="en-US"/>
        </w:rPr>
        <w:t xml:space="preserve">er-based, and intersectional approach to develop a protection plan that considers the </w:t>
      </w:r>
      <w:proofErr w:type="gramStart"/>
      <w:r w:rsidR="00583E77" w:rsidRPr="00CC562A">
        <w:rPr>
          <w:rFonts w:ascii="Cambria" w:eastAsia="Cambria" w:hAnsi="Cambria" w:cs="Cambria"/>
          <w:sz w:val="20"/>
          <w:szCs w:val="20"/>
          <w:lang w:val="en-US"/>
        </w:rPr>
        <w:t>particular needs</w:t>
      </w:r>
      <w:proofErr w:type="gramEnd"/>
      <w:r w:rsidR="00583E77" w:rsidRPr="00CC562A">
        <w:rPr>
          <w:rFonts w:ascii="Cambria" w:eastAsia="Cambria" w:hAnsi="Cambria" w:cs="Cambria"/>
          <w:sz w:val="20"/>
          <w:szCs w:val="20"/>
          <w:lang w:val="en-US"/>
        </w:rPr>
        <w:t xml:space="preserve"> of the person and </w:t>
      </w:r>
      <w:r w:rsidR="00152115" w:rsidRPr="00CC562A">
        <w:rPr>
          <w:rFonts w:ascii="Cambria" w:eastAsia="Cambria" w:hAnsi="Cambria" w:cs="Cambria"/>
          <w:sz w:val="20"/>
          <w:szCs w:val="20"/>
          <w:lang w:val="en-US"/>
        </w:rPr>
        <w:t>his/her</w:t>
      </w:r>
      <w:r w:rsidR="00583E77" w:rsidRPr="00CC562A">
        <w:rPr>
          <w:rFonts w:ascii="Cambria" w:eastAsia="Cambria" w:hAnsi="Cambria" w:cs="Cambria"/>
          <w:sz w:val="20"/>
          <w:szCs w:val="20"/>
          <w:lang w:val="en-US"/>
        </w:rPr>
        <w:t xml:space="preserve"> context.</w:t>
      </w:r>
      <w:r w:rsidR="22787624" w:rsidRPr="00CC562A">
        <w:rPr>
          <w:rFonts w:ascii="Cambria" w:eastAsia="Cambria" w:hAnsi="Cambria" w:cs="Cambria"/>
          <w:sz w:val="20"/>
          <w:szCs w:val="20"/>
          <w:lang w:val="en-US"/>
        </w:rPr>
        <w:t>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re</w:t>
      </w:r>
      <w:r w:rsidR="00583E77" w:rsidRPr="00CC562A">
        <w:rPr>
          <w:rFonts w:ascii="Cambria" w:eastAsia="Cambria" w:hAnsi="Cambria" w:cs="Cambria"/>
          <w:sz w:val="20"/>
          <w:szCs w:val="20"/>
          <w:lang w:val="en-US"/>
        </w:rPr>
        <w:t xml:space="preserve">ported that, based on the nature of the case, an effort is made to handle the </w:t>
      </w:r>
      <w:r w:rsidR="000B22BC" w:rsidRPr="00CC562A">
        <w:rPr>
          <w:rFonts w:ascii="Cambria" w:eastAsia="Cambria" w:hAnsi="Cambria" w:cs="Cambria"/>
          <w:sz w:val="20"/>
          <w:szCs w:val="20"/>
          <w:lang w:val="en-US"/>
        </w:rPr>
        <w:t>case</w:t>
      </w:r>
      <w:r w:rsidR="00583E77" w:rsidRPr="00CC562A">
        <w:rPr>
          <w:rFonts w:ascii="Cambria" w:eastAsia="Cambria" w:hAnsi="Cambria" w:cs="Cambria"/>
          <w:sz w:val="20"/>
          <w:szCs w:val="20"/>
          <w:lang w:val="en-US"/>
        </w:rPr>
        <w:t xml:space="preserve"> on a timely basis, in accordance with the indicated criteria</w:t>
      </w:r>
      <w:r w:rsidR="22787624"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Nonetheless,</w:t>
      </w:r>
      <w:r w:rsidR="22787624"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w:t>
      </w:r>
      <w:r w:rsidR="00583E77" w:rsidRPr="00CC562A">
        <w:rPr>
          <w:rFonts w:ascii="Cambria" w:eastAsia="Cambria" w:hAnsi="Cambria" w:cs="Cambria"/>
          <w:sz w:val="20"/>
          <w:szCs w:val="20"/>
          <w:lang w:val="en-US"/>
        </w:rPr>
        <w:t xml:space="preserve">indicated that it is aware that the capacities of the Mechanism are limited, so that it continues with related arrangements to increase the resources of the Mechanism </w:t>
      </w:r>
      <w:proofErr w:type="gramStart"/>
      <w:r w:rsidR="00583E77" w:rsidRPr="00CC562A">
        <w:rPr>
          <w:rFonts w:ascii="Cambria" w:eastAsia="Cambria" w:hAnsi="Cambria" w:cs="Cambria"/>
          <w:sz w:val="20"/>
          <w:szCs w:val="20"/>
          <w:lang w:val="en-US"/>
        </w:rPr>
        <w:t>so as to</w:t>
      </w:r>
      <w:proofErr w:type="gramEnd"/>
      <w:r w:rsidR="00583E77" w:rsidRPr="00CC562A">
        <w:rPr>
          <w:rFonts w:ascii="Cambria" w:eastAsia="Cambria" w:hAnsi="Cambria" w:cs="Cambria"/>
          <w:sz w:val="20"/>
          <w:szCs w:val="20"/>
          <w:lang w:val="en-US"/>
        </w:rPr>
        <w:t xml:space="preserve"> ensure the effectiveness of the services provided.</w:t>
      </w:r>
      <w:r w:rsidR="00070D01" w:rsidRPr="00CC562A">
        <w:rPr>
          <w:rStyle w:val="FootnoteReference"/>
          <w:rFonts w:ascii="Cambria" w:eastAsia="Cambria" w:hAnsi="Cambria" w:cs="Cambria"/>
          <w:sz w:val="20"/>
          <w:szCs w:val="20"/>
          <w:lang w:val="en-US"/>
        </w:rPr>
        <w:footnoteReference w:id="388"/>
      </w:r>
    </w:p>
    <w:p w14:paraId="125DF9D7" w14:textId="405A0DA3" w:rsidR="00F41C4C" w:rsidRPr="00CC562A" w:rsidRDefault="00583E7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Commission notes the substantive legislation applicable to the Mechanism, corroborating what the State has indicated. However,</w:t>
      </w:r>
      <w:r w:rsidR="027D61DB"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27D61D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notes with concern that the risk assessments do not comply with international standards in this area. In this regard, the Commission has indicated in earlier sections information received regarding cases of beneficiaries whose protection measures have been withdrawn based on the alleged reduction in the risk they face. Based on the foregoing, the status of the recommendation continues to be </w:t>
      </w:r>
      <w:r w:rsidRPr="00CC562A">
        <w:rPr>
          <w:rFonts w:ascii="Cambria" w:eastAsia="Cambria" w:hAnsi="Cambria" w:cs="Cambria"/>
          <w:b/>
          <w:bCs/>
          <w:sz w:val="20"/>
          <w:szCs w:val="20"/>
          <w:lang w:val="en-US"/>
        </w:rPr>
        <w:t>partially compliant</w:t>
      </w:r>
      <w:r w:rsidR="027D61DB" w:rsidRPr="00CC562A">
        <w:rPr>
          <w:rFonts w:ascii="Cambria" w:eastAsia="Cambria" w:hAnsi="Cambria" w:cs="Cambria"/>
          <w:b/>
          <w:bCs/>
          <w:sz w:val="20"/>
          <w:szCs w:val="20"/>
          <w:lang w:val="en-US"/>
        </w:rPr>
        <w:t>.</w:t>
      </w:r>
    </w:p>
    <w:p w14:paraId="3F48CAA8" w14:textId="442B176F" w:rsidR="00F41C4C" w:rsidRPr="00CC562A" w:rsidRDefault="1BEE6EB1" w:rsidP="00FD7076">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Re</w:t>
      </w:r>
      <w:r w:rsidR="00AE1063" w:rsidRPr="00CC562A">
        <w:rPr>
          <w:rFonts w:ascii="Cambria" w:eastAsia="Cambria" w:hAnsi="Cambria" w:cs="Cambria"/>
          <w:sz w:val="20"/>
          <w:szCs w:val="20"/>
          <w:lang w:val="en-US"/>
        </w:rPr>
        <w:t xml:space="preserve">garding the recommendation to </w:t>
      </w:r>
      <w:r w:rsidRPr="00CC562A">
        <w:rPr>
          <w:rFonts w:ascii="Cambria" w:hAnsi="Cambria"/>
          <w:b/>
          <w:bCs/>
          <w:sz w:val="20"/>
          <w:szCs w:val="20"/>
          <w:lang w:val="en-US"/>
        </w:rPr>
        <w:t>evalua</w:t>
      </w:r>
      <w:r w:rsidR="00AE1063" w:rsidRPr="00CC562A">
        <w:rPr>
          <w:rFonts w:ascii="Cambria" w:hAnsi="Cambria"/>
          <w:b/>
          <w:bCs/>
          <w:sz w:val="20"/>
          <w:szCs w:val="20"/>
          <w:lang w:val="en-US"/>
        </w:rPr>
        <w:t>te and adopt differentiated protection measures for women, indigenous leaders, and environmental defenders</w:t>
      </w:r>
      <w:r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insis</w:t>
      </w:r>
      <w:r w:rsidR="00AE1063" w:rsidRPr="00CC562A">
        <w:rPr>
          <w:rFonts w:ascii="Cambria" w:eastAsia="Cambria" w:hAnsi="Cambria" w:cs="Cambria"/>
          <w:sz w:val="20"/>
          <w:szCs w:val="20"/>
          <w:lang w:val="en-US"/>
        </w:rPr>
        <w:t xml:space="preserve">ted that protection measures are determined based on the risk assessment methodology. That methodology utilizes the differential, specialized, gender-based, and intersectional approach to develop a protection plan considering the </w:t>
      </w:r>
      <w:proofErr w:type="gramStart"/>
      <w:r w:rsidR="00AE1063" w:rsidRPr="00CC562A">
        <w:rPr>
          <w:rFonts w:ascii="Cambria" w:eastAsia="Cambria" w:hAnsi="Cambria" w:cs="Cambria"/>
          <w:sz w:val="20"/>
          <w:szCs w:val="20"/>
          <w:lang w:val="en-US"/>
        </w:rPr>
        <w:t>particular needs</w:t>
      </w:r>
      <w:proofErr w:type="gramEnd"/>
      <w:r w:rsidR="00AE1063" w:rsidRPr="00CC562A">
        <w:rPr>
          <w:rFonts w:ascii="Cambria" w:eastAsia="Cambria" w:hAnsi="Cambria" w:cs="Cambria"/>
          <w:sz w:val="20"/>
          <w:szCs w:val="20"/>
          <w:lang w:val="en-US"/>
        </w:rPr>
        <w:t xml:space="preserve"> of the person and </w:t>
      </w:r>
      <w:r w:rsidR="000B22BC" w:rsidRPr="00CC562A">
        <w:rPr>
          <w:rFonts w:ascii="Cambria" w:eastAsia="Cambria" w:hAnsi="Cambria" w:cs="Cambria"/>
          <w:sz w:val="20"/>
          <w:szCs w:val="20"/>
          <w:lang w:val="en-US"/>
        </w:rPr>
        <w:t>his/her</w:t>
      </w:r>
      <w:r w:rsidR="00AE1063" w:rsidRPr="00CC562A">
        <w:rPr>
          <w:rFonts w:ascii="Cambria" w:eastAsia="Cambria" w:hAnsi="Cambria" w:cs="Cambria"/>
          <w:sz w:val="20"/>
          <w:szCs w:val="20"/>
          <w:lang w:val="en-US"/>
        </w:rPr>
        <w:t xml:space="preserve"> context.</w:t>
      </w:r>
      <w:r w:rsidR="00070D01" w:rsidRPr="00CC562A">
        <w:rPr>
          <w:rStyle w:val="FootnoteReference"/>
          <w:rFonts w:ascii="Cambria" w:eastAsia="Cambria" w:hAnsi="Cambria" w:cs="Cambria"/>
          <w:sz w:val="20"/>
          <w:szCs w:val="20"/>
          <w:lang w:val="en-US"/>
        </w:rPr>
        <w:footnoteReference w:id="389"/>
      </w:r>
    </w:p>
    <w:p w14:paraId="32980759" w14:textId="17B42FCC" w:rsidR="004A31AF" w:rsidRPr="00CC562A" w:rsidRDefault="00AE1063"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The Commission notes that the </w:t>
      </w:r>
      <w:r w:rsidR="00752FED" w:rsidRPr="00CC562A">
        <w:rPr>
          <w:rFonts w:ascii="Cambria" w:eastAsia="Cambria" w:hAnsi="Cambria" w:cs="Cambria"/>
          <w:sz w:val="20"/>
          <w:szCs w:val="20"/>
          <w:lang w:val="en-US"/>
        </w:rPr>
        <w:t>State</w:t>
      </w:r>
      <w:r w:rsidR="027D61D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did not provide sufficient information to determine progress made in complying with the recommendation. In this regard, it asks the State to provide more information regarding </w:t>
      </w:r>
      <w:r w:rsidR="00D77397" w:rsidRPr="00CC562A">
        <w:rPr>
          <w:rFonts w:ascii="Cambria" w:eastAsia="Cambria" w:hAnsi="Cambria" w:cs="Cambria"/>
          <w:sz w:val="20"/>
          <w:szCs w:val="20"/>
          <w:lang w:val="en-US"/>
        </w:rPr>
        <w:t>measures with</w:t>
      </w:r>
      <w:r w:rsidRPr="00CC562A">
        <w:rPr>
          <w:rFonts w:ascii="Cambria" w:eastAsia="Cambria" w:hAnsi="Cambria" w:cs="Cambria"/>
          <w:sz w:val="20"/>
          <w:szCs w:val="20"/>
          <w:lang w:val="en-US"/>
        </w:rPr>
        <w:t xml:space="preserve"> a differentiated approach available to the Mechanism. Based on the foregoing, the recommendation is</w:t>
      </w:r>
      <w:r w:rsidRPr="00CC562A">
        <w:rPr>
          <w:rFonts w:ascii="Cambria" w:eastAsia="Cambria" w:hAnsi="Cambria" w:cs="Cambria"/>
          <w:b/>
          <w:bCs/>
          <w:sz w:val="20"/>
          <w:szCs w:val="20"/>
          <w:lang w:val="en-US"/>
        </w:rPr>
        <w:t xml:space="preserve"> pending compliance</w:t>
      </w:r>
      <w:r w:rsidRPr="00CC562A">
        <w:rPr>
          <w:rFonts w:ascii="Cambria" w:eastAsia="Cambria" w:hAnsi="Cambria" w:cs="Cambria"/>
          <w:sz w:val="20"/>
          <w:szCs w:val="20"/>
          <w:lang w:val="en-US"/>
        </w:rPr>
        <w:t>.</w:t>
      </w:r>
    </w:p>
    <w:p w14:paraId="2569489D" w14:textId="1B840625" w:rsidR="00F41C4C" w:rsidRPr="00CC562A" w:rsidRDefault="00AE1063"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compliance with this recommendation, the Commission suggests that the State provide information on how differentiated protection measures are determined for the persons indicated in the recommendation. In that regard, the Commission urges the State to submit more information on the methodology used for the risk assessment and how it is developed with a differentiated approach</w:t>
      </w:r>
      <w:r w:rsidR="79E1B552" w:rsidRPr="00CC562A">
        <w:rPr>
          <w:rFonts w:ascii="Cambria" w:eastAsia="Cambria" w:hAnsi="Cambria" w:cs="Cambria"/>
          <w:sz w:val="20"/>
          <w:szCs w:val="20"/>
          <w:lang w:val="en-US"/>
        </w:rPr>
        <w:t>.</w:t>
      </w:r>
    </w:p>
    <w:p w14:paraId="380CD01F" w14:textId="0E619991" w:rsidR="002B21B1" w:rsidRPr="00CC562A" w:rsidRDefault="00695B9C"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relation to the recommendation to </w:t>
      </w:r>
      <w:r w:rsidR="1BEE6EB1" w:rsidRPr="00CC562A">
        <w:rPr>
          <w:rFonts w:ascii="Cambria" w:hAnsi="Cambria"/>
          <w:b/>
          <w:bCs/>
          <w:sz w:val="20"/>
          <w:szCs w:val="20"/>
          <w:lang w:val="en-US"/>
        </w:rPr>
        <w:t>implement</w:t>
      </w:r>
      <w:r w:rsidRPr="00CC562A">
        <w:rPr>
          <w:rFonts w:ascii="Cambria" w:hAnsi="Cambria"/>
          <w:b/>
          <w:bCs/>
          <w:sz w:val="20"/>
          <w:szCs w:val="20"/>
          <w:lang w:val="en-US"/>
        </w:rPr>
        <w:t xml:space="preserve"> strategies so that the different institutions, at the various federal and state levels, work in a coordinated manner in order to provide a comprehensive response to all issues related to the protection of human rights defenders, as well as journalists</w:t>
      </w:r>
      <w:r w:rsidR="1BEE6EB1"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indicated that in order to ensure coordination between the federation and the states to work on topics related to the protection of male and female human rights defenders and journalists</w:t>
      </w:r>
      <w:r w:rsidR="2278762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the Governing Board of the Mechanism for the Protection of Human Rights Defenders and Journalists was created, and its members include various institutions that coordinate actions for timely handling of cases</w:t>
      </w:r>
      <w:r w:rsidR="22787624" w:rsidRPr="00CC562A">
        <w:rPr>
          <w:rFonts w:ascii="Cambria" w:eastAsia="Cambria" w:hAnsi="Cambria" w:cs="Cambria"/>
          <w:sz w:val="20"/>
          <w:szCs w:val="20"/>
          <w:lang w:val="en-US"/>
        </w:rPr>
        <w:t>.</w:t>
      </w:r>
      <w:r w:rsidR="7F4CCBFB" w:rsidRPr="00CC562A">
        <w:rPr>
          <w:rFonts w:ascii="Cambria" w:eastAsia="Cambria" w:hAnsi="Cambria" w:cs="Cambria"/>
          <w:sz w:val="20"/>
          <w:szCs w:val="20"/>
          <w:lang w:val="en-US"/>
        </w:rPr>
        <w:t xml:space="preserve"> </w:t>
      </w:r>
    </w:p>
    <w:p w14:paraId="1FCCFEBB" w14:textId="0CD1C673" w:rsidR="00B47CC7" w:rsidRPr="00CC562A" w:rsidRDefault="00695B9C"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In addition, it is pointed out that the coordination agreements signed </w:t>
      </w:r>
      <w:proofErr w:type="gramStart"/>
      <w:r w:rsidRPr="00CC562A">
        <w:rPr>
          <w:rFonts w:ascii="Cambria" w:eastAsia="Cambria" w:hAnsi="Cambria" w:cs="Cambria"/>
          <w:sz w:val="20"/>
          <w:szCs w:val="20"/>
          <w:lang w:val="en-US"/>
        </w:rPr>
        <w:t>during the course of</w:t>
      </w:r>
      <w:proofErr w:type="gramEnd"/>
      <w:r w:rsidRPr="00CC562A">
        <w:rPr>
          <w:rFonts w:ascii="Cambria" w:eastAsia="Cambria" w:hAnsi="Cambria" w:cs="Cambria"/>
          <w:sz w:val="20"/>
          <w:szCs w:val="20"/>
          <w:lang w:val="en-US"/>
        </w:rPr>
        <w:t xml:space="preserve"> this year reaffirm the commitments made by </w:t>
      </w:r>
      <w:r w:rsidR="00365543"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to work in coordination on the protection of human rights </w:t>
      </w:r>
      <w:r w:rsidRPr="00CC562A">
        <w:rPr>
          <w:rFonts w:ascii="Cambria" w:eastAsia="Cambria" w:hAnsi="Cambria" w:cs="Cambria"/>
          <w:sz w:val="20"/>
          <w:szCs w:val="20"/>
          <w:lang w:val="en-US"/>
        </w:rPr>
        <w:lastRenderedPageBreak/>
        <w:t>defenders and journalists</w:t>
      </w:r>
      <w:r w:rsidR="22787624" w:rsidRPr="00CC562A">
        <w:rPr>
          <w:rFonts w:ascii="Cambria" w:eastAsia="Cambria" w:hAnsi="Cambria" w:cs="Cambria"/>
          <w:sz w:val="20"/>
          <w:szCs w:val="20"/>
          <w:lang w:val="en-US"/>
        </w:rPr>
        <w:t xml:space="preserve">. </w:t>
      </w:r>
      <w:r w:rsidR="00F108AA" w:rsidRPr="00CC562A">
        <w:rPr>
          <w:rFonts w:ascii="Cambria" w:eastAsia="Cambria" w:hAnsi="Cambria" w:cs="Cambria"/>
          <w:sz w:val="20"/>
          <w:szCs w:val="20"/>
          <w:lang w:val="en-US"/>
        </w:rPr>
        <w:t>In addition,</w:t>
      </w:r>
      <w:r w:rsidR="7F4CCBFB"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7F4CCBFB"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 xml:space="preserve">emphasized that working meetings were held with the various </w:t>
      </w:r>
      <w:r w:rsidR="00365543" w:rsidRPr="00CC562A">
        <w:rPr>
          <w:rFonts w:ascii="Cambria" w:eastAsia="Cambria" w:hAnsi="Cambria" w:cs="Cambria"/>
          <w:sz w:val="20"/>
          <w:szCs w:val="20"/>
          <w:lang w:val="en-US"/>
        </w:rPr>
        <w:t>states</w:t>
      </w:r>
      <w:r w:rsidRPr="00CC562A">
        <w:rPr>
          <w:rFonts w:ascii="Cambria" w:eastAsia="Cambria" w:hAnsi="Cambria" w:cs="Cambria"/>
          <w:sz w:val="20"/>
          <w:szCs w:val="20"/>
          <w:lang w:val="en-US"/>
        </w:rPr>
        <w:t xml:space="preserve"> </w:t>
      </w:r>
      <w:r w:rsidR="000B22BC" w:rsidRPr="00CC562A">
        <w:rPr>
          <w:rFonts w:ascii="Cambria" w:eastAsia="Cambria" w:hAnsi="Cambria" w:cs="Cambria"/>
          <w:sz w:val="20"/>
          <w:szCs w:val="20"/>
          <w:lang w:val="en-US"/>
        </w:rPr>
        <w:t xml:space="preserve">to share practices on </w:t>
      </w:r>
      <w:r w:rsidRPr="00CC562A">
        <w:rPr>
          <w:rFonts w:ascii="Cambria" w:eastAsia="Cambria" w:hAnsi="Cambria" w:cs="Cambria"/>
          <w:sz w:val="20"/>
          <w:szCs w:val="20"/>
          <w:lang w:val="en-US"/>
        </w:rPr>
        <w:t>strengthen</w:t>
      </w:r>
      <w:r w:rsidR="000B22BC" w:rsidRPr="00CC562A">
        <w:rPr>
          <w:rFonts w:ascii="Cambria" w:eastAsia="Cambria" w:hAnsi="Cambria" w:cs="Cambria"/>
          <w:sz w:val="20"/>
          <w:szCs w:val="20"/>
          <w:lang w:val="en-US"/>
        </w:rPr>
        <w:t xml:space="preserve">ing methods </w:t>
      </w:r>
      <w:r w:rsidRPr="00CC562A">
        <w:rPr>
          <w:rFonts w:ascii="Cambria" w:eastAsia="Cambria" w:hAnsi="Cambria" w:cs="Cambria"/>
          <w:sz w:val="20"/>
          <w:szCs w:val="20"/>
          <w:lang w:val="en-US"/>
        </w:rPr>
        <w:t>of care.</w:t>
      </w:r>
      <w:r w:rsidR="00070D01" w:rsidRPr="00CC562A">
        <w:rPr>
          <w:rStyle w:val="FootnoteReference"/>
          <w:rFonts w:ascii="Cambria" w:eastAsia="Cambria" w:hAnsi="Cambria" w:cs="Cambria"/>
          <w:sz w:val="20"/>
          <w:szCs w:val="20"/>
          <w:lang w:val="en-US"/>
        </w:rPr>
        <w:footnoteReference w:id="390"/>
      </w:r>
      <w:r w:rsidR="22787624" w:rsidRPr="00CC562A">
        <w:rPr>
          <w:rFonts w:ascii="Cambria" w:eastAsia="Cambria" w:hAnsi="Cambria" w:cs="Cambria"/>
          <w:sz w:val="20"/>
          <w:szCs w:val="20"/>
          <w:lang w:val="en-US"/>
        </w:rPr>
        <w:t> </w:t>
      </w:r>
    </w:p>
    <w:p w14:paraId="593D7C5A" w14:textId="7DE682BC" w:rsidR="00F41C4C" w:rsidRPr="00CC562A" w:rsidRDefault="005C5795"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On this subject, the </w:t>
      </w:r>
      <w:r w:rsidR="5AB45576" w:rsidRPr="00CC562A">
        <w:rPr>
          <w:rFonts w:ascii="Cambria" w:eastAsia="Cambria" w:hAnsi="Cambria" w:cs="Cambria"/>
          <w:sz w:val="20"/>
          <w:szCs w:val="20"/>
          <w:lang w:val="en-US"/>
        </w:rPr>
        <w:t xml:space="preserve">CNDH </w:t>
      </w:r>
      <w:r w:rsidRPr="00CC562A">
        <w:rPr>
          <w:rFonts w:ascii="Cambria" w:eastAsia="Cambria" w:hAnsi="Cambria" w:cs="Cambria"/>
          <w:sz w:val="20"/>
          <w:szCs w:val="20"/>
          <w:lang w:val="en-US"/>
        </w:rPr>
        <w:t xml:space="preserve">emphasized that more resources or more powers at the federal level are not sufficient if there is no impact on comprehensive public policies that get to the bottom of the problem. Presenting the problems related to the violence suffered by male and female media workers and </w:t>
      </w:r>
      <w:r w:rsidR="000B22BC" w:rsidRPr="00CC562A">
        <w:rPr>
          <w:rFonts w:ascii="Cambria" w:eastAsia="Cambria" w:hAnsi="Cambria" w:cs="Cambria"/>
          <w:sz w:val="20"/>
          <w:szCs w:val="20"/>
          <w:lang w:val="en-US"/>
        </w:rPr>
        <w:t>activists</w:t>
      </w:r>
      <w:r w:rsidRPr="00CC562A">
        <w:rPr>
          <w:rFonts w:ascii="Cambria" w:eastAsia="Cambria" w:hAnsi="Cambria" w:cs="Cambria"/>
          <w:sz w:val="20"/>
          <w:szCs w:val="20"/>
          <w:lang w:val="en-US"/>
        </w:rPr>
        <w:t xml:space="preserve"> is insufficient to understand </w:t>
      </w:r>
      <w:r w:rsidR="000B22BC" w:rsidRPr="00CC562A">
        <w:rPr>
          <w:rFonts w:ascii="Cambria" w:eastAsia="Cambria" w:hAnsi="Cambria" w:cs="Cambria"/>
          <w:sz w:val="20"/>
          <w:szCs w:val="20"/>
          <w:lang w:val="en-US"/>
        </w:rPr>
        <w:t>their</w:t>
      </w:r>
      <w:r w:rsidRPr="00CC562A">
        <w:rPr>
          <w:rFonts w:ascii="Cambria" w:eastAsia="Cambria" w:hAnsi="Cambria" w:cs="Cambria"/>
          <w:sz w:val="20"/>
          <w:szCs w:val="20"/>
          <w:lang w:val="en-US"/>
        </w:rPr>
        <w:t xml:space="preserve"> complexity. In this regard, the</w:t>
      </w:r>
      <w:r w:rsidR="5AB45576" w:rsidRPr="00CC562A">
        <w:rPr>
          <w:rFonts w:ascii="Cambria" w:eastAsia="Cambria" w:hAnsi="Cambria" w:cs="Cambria"/>
          <w:sz w:val="20"/>
          <w:szCs w:val="20"/>
          <w:lang w:val="en-US"/>
        </w:rPr>
        <w:t xml:space="preserve"> CNDH consider</w:t>
      </w:r>
      <w:r w:rsidRPr="00CC562A">
        <w:rPr>
          <w:rFonts w:ascii="Cambria" w:eastAsia="Cambria" w:hAnsi="Cambria" w:cs="Cambria"/>
          <w:sz w:val="20"/>
          <w:szCs w:val="20"/>
          <w:lang w:val="en-US"/>
        </w:rPr>
        <w:t>ed that a part of the solution is to build a climate favorable to discussion and the serious practice of journalism.</w:t>
      </w:r>
      <w:r w:rsidR="00886665" w:rsidRPr="00CC562A">
        <w:rPr>
          <w:rStyle w:val="FootnoteReference"/>
          <w:rFonts w:ascii="Cambria" w:eastAsia="Cambria" w:hAnsi="Cambria" w:cs="Cambria"/>
          <w:sz w:val="20"/>
          <w:szCs w:val="20"/>
          <w:lang w:val="en-US"/>
        </w:rPr>
        <w:footnoteReference w:id="391"/>
      </w:r>
    </w:p>
    <w:p w14:paraId="37080554" w14:textId="20A75897" w:rsidR="004A31AF" w:rsidRPr="00CC562A" w:rsidRDefault="005C5795" w:rsidP="00001918">
      <w:pPr>
        <w:numPr>
          <w:ilvl w:val="0"/>
          <w:numId w:val="2"/>
        </w:numPr>
        <w:shd w:val="clear" w:color="auto" w:fill="FFFFFF" w:themeFill="background1"/>
        <w:spacing w:before="240" w:line="240" w:lineRule="auto"/>
        <w:ind w:left="0" w:firstLine="720"/>
        <w:jc w:val="both"/>
        <w:rPr>
          <w:rFonts w:ascii="Cambria" w:eastAsia="Cambria" w:hAnsi="Cambria" w:cs="Cambria"/>
          <w:b/>
          <w:bCs/>
          <w:sz w:val="20"/>
          <w:szCs w:val="20"/>
          <w:lang w:val="en-US"/>
        </w:rPr>
      </w:pPr>
      <w:r w:rsidRPr="00CC562A">
        <w:rPr>
          <w:rFonts w:ascii="Cambria" w:hAnsi="Cambria"/>
          <w:sz w:val="20"/>
          <w:szCs w:val="20"/>
          <w:lang w:val="en-US"/>
        </w:rPr>
        <w:t>The Commission notes that the State re</w:t>
      </w:r>
      <w:r w:rsidR="007C41B1" w:rsidRPr="00CC562A">
        <w:rPr>
          <w:rFonts w:ascii="Cambria" w:hAnsi="Cambria"/>
          <w:sz w:val="20"/>
          <w:szCs w:val="20"/>
          <w:lang w:val="en-US"/>
        </w:rPr>
        <w:t>peats</w:t>
      </w:r>
      <w:r w:rsidRPr="00CC562A">
        <w:rPr>
          <w:rFonts w:ascii="Cambria" w:hAnsi="Cambria"/>
          <w:sz w:val="20"/>
          <w:szCs w:val="20"/>
          <w:lang w:val="en-US"/>
        </w:rPr>
        <w:t xml:space="preserve"> the information previously provided. In this regard, the Commission reiterates its view as presented in the 2021 Follow-Up Report that the implementation of the Mechanism for the Protection of Journalists continues to be ineffective in terms of coordination at all levels of government and between institutions. Despite the cooperation agreements signed with the </w:t>
      </w:r>
      <w:r w:rsidR="5FFFE0D4" w:rsidRPr="00CC562A">
        <w:rPr>
          <w:rFonts w:ascii="Cambria" w:hAnsi="Cambria"/>
          <w:sz w:val="20"/>
          <w:szCs w:val="20"/>
          <w:lang w:val="en-US"/>
        </w:rPr>
        <w:t xml:space="preserve">32 </w:t>
      </w:r>
      <w:r w:rsidR="00365543" w:rsidRPr="00CC562A">
        <w:rPr>
          <w:rFonts w:ascii="Cambria" w:hAnsi="Cambria"/>
          <w:sz w:val="20"/>
          <w:szCs w:val="20"/>
          <w:lang w:val="en-US"/>
        </w:rPr>
        <w:t>states</w:t>
      </w:r>
      <w:r w:rsidRPr="00CC562A">
        <w:rPr>
          <w:rFonts w:ascii="Cambria" w:hAnsi="Cambria"/>
          <w:sz w:val="20"/>
          <w:szCs w:val="20"/>
          <w:lang w:val="en-US"/>
        </w:rPr>
        <w:t xml:space="preserve">, they are not </w:t>
      </w:r>
      <w:r w:rsidR="00D77397" w:rsidRPr="00CC562A">
        <w:rPr>
          <w:rFonts w:ascii="Cambria" w:hAnsi="Cambria"/>
          <w:sz w:val="20"/>
          <w:szCs w:val="20"/>
          <w:lang w:val="en-US"/>
        </w:rPr>
        <w:t>binding,</w:t>
      </w:r>
      <w:r w:rsidR="0033269D" w:rsidRPr="00CC562A">
        <w:rPr>
          <w:rFonts w:ascii="Cambria" w:hAnsi="Cambria"/>
          <w:sz w:val="20"/>
          <w:szCs w:val="20"/>
          <w:lang w:val="en-US"/>
        </w:rPr>
        <w:t xml:space="preserve"> and the federal government cannot demand their fulfilment, making it impossible to properly implement the protection measures. In addition, the lack of the security forces’ participation in the programs, reactive police intervention, the lack of risk analysis and protection measures consistent with the needs of defenders and journalists, and the privatization of security measures are some of the difficulties posed by the </w:t>
      </w:r>
      <w:r w:rsidR="007C41B1" w:rsidRPr="00CC562A">
        <w:rPr>
          <w:rFonts w:ascii="Cambria" w:hAnsi="Cambria"/>
          <w:sz w:val="20"/>
          <w:szCs w:val="20"/>
          <w:lang w:val="en-US"/>
        </w:rPr>
        <w:t>M</w:t>
      </w:r>
      <w:r w:rsidR="0033269D" w:rsidRPr="00CC562A">
        <w:rPr>
          <w:rFonts w:ascii="Cambria" w:hAnsi="Cambria"/>
          <w:sz w:val="20"/>
          <w:szCs w:val="20"/>
          <w:lang w:val="en-US"/>
        </w:rPr>
        <w:t xml:space="preserve">echanism. The Commission will anticipate the approval of a General Law and its implications for coordination among the </w:t>
      </w:r>
      <w:r w:rsidR="00D77397" w:rsidRPr="00CC562A">
        <w:rPr>
          <w:rFonts w:ascii="Cambria" w:hAnsi="Cambria"/>
          <w:sz w:val="20"/>
          <w:szCs w:val="20"/>
          <w:lang w:val="en-US"/>
        </w:rPr>
        <w:t>various levels</w:t>
      </w:r>
      <w:r w:rsidR="0033269D" w:rsidRPr="00CC562A">
        <w:rPr>
          <w:rFonts w:ascii="Cambria" w:hAnsi="Cambria"/>
          <w:sz w:val="20"/>
          <w:szCs w:val="20"/>
          <w:lang w:val="en-US"/>
        </w:rPr>
        <w:t xml:space="preserve"> of the State that are involved in the operation of the </w:t>
      </w:r>
      <w:r w:rsidR="007C41B1" w:rsidRPr="00CC562A">
        <w:rPr>
          <w:rFonts w:ascii="Cambria" w:hAnsi="Cambria"/>
          <w:sz w:val="20"/>
          <w:szCs w:val="20"/>
          <w:lang w:val="en-US"/>
        </w:rPr>
        <w:t>M</w:t>
      </w:r>
      <w:r w:rsidR="0033269D" w:rsidRPr="00CC562A">
        <w:rPr>
          <w:rFonts w:ascii="Cambria" w:hAnsi="Cambria"/>
          <w:sz w:val="20"/>
          <w:szCs w:val="20"/>
          <w:lang w:val="en-US"/>
        </w:rPr>
        <w:t>echanism</w:t>
      </w:r>
      <w:r w:rsidR="6344901D" w:rsidRPr="00CC562A">
        <w:rPr>
          <w:rFonts w:ascii="Cambria" w:hAnsi="Cambria"/>
          <w:sz w:val="20"/>
          <w:szCs w:val="20"/>
          <w:lang w:val="en-US"/>
        </w:rPr>
        <w:t xml:space="preserve">. </w:t>
      </w:r>
      <w:r w:rsidR="00276638" w:rsidRPr="00CC562A">
        <w:rPr>
          <w:rFonts w:ascii="Cambria" w:hAnsi="Cambria"/>
          <w:sz w:val="20"/>
          <w:szCs w:val="20"/>
          <w:lang w:val="en-US"/>
        </w:rPr>
        <w:t>The IACHR</w:t>
      </w:r>
      <w:r w:rsidR="5FFFE0D4" w:rsidRPr="00CC562A">
        <w:rPr>
          <w:rFonts w:ascii="Cambria" w:hAnsi="Cambria"/>
          <w:sz w:val="20"/>
          <w:szCs w:val="20"/>
          <w:lang w:val="en-US"/>
        </w:rPr>
        <w:t xml:space="preserve"> consider</w:t>
      </w:r>
      <w:r w:rsidR="0033269D" w:rsidRPr="00CC562A">
        <w:rPr>
          <w:rFonts w:ascii="Cambria" w:hAnsi="Cambria"/>
          <w:sz w:val="20"/>
          <w:szCs w:val="20"/>
          <w:lang w:val="en-US"/>
        </w:rPr>
        <w:t xml:space="preserve">s the status of the recommendation to be one of </w:t>
      </w:r>
      <w:r w:rsidR="5FFFE0D4" w:rsidRPr="00CC562A">
        <w:rPr>
          <w:rFonts w:ascii="Cambria" w:hAnsi="Cambria"/>
          <w:b/>
          <w:bCs/>
          <w:sz w:val="20"/>
          <w:szCs w:val="20"/>
          <w:lang w:val="en-US"/>
        </w:rPr>
        <w:t>par</w:t>
      </w:r>
      <w:r w:rsidR="0033269D" w:rsidRPr="00CC562A">
        <w:rPr>
          <w:rFonts w:ascii="Cambria" w:hAnsi="Cambria"/>
          <w:b/>
          <w:bCs/>
          <w:sz w:val="20"/>
          <w:szCs w:val="20"/>
          <w:lang w:val="en-US"/>
        </w:rPr>
        <w:t>tial compliance</w:t>
      </w:r>
      <w:r w:rsidR="5FFFE0D4" w:rsidRPr="00CC562A">
        <w:rPr>
          <w:rFonts w:ascii="Cambria" w:hAnsi="Cambria"/>
          <w:sz w:val="20"/>
          <w:szCs w:val="20"/>
          <w:lang w:val="en-US"/>
        </w:rPr>
        <w:t>.</w:t>
      </w:r>
    </w:p>
    <w:p w14:paraId="256BF33C" w14:textId="3DDB192A" w:rsidR="00F41C4C" w:rsidRPr="00CC562A" w:rsidRDefault="00F108AA" w:rsidP="00001918">
      <w:pPr>
        <w:numPr>
          <w:ilvl w:val="0"/>
          <w:numId w:val="2"/>
        </w:numPr>
        <w:shd w:val="clear" w:color="auto" w:fill="FFFFFF" w:themeFill="background1"/>
        <w:spacing w:before="240" w:line="240" w:lineRule="auto"/>
        <w:ind w:left="0" w:firstLine="720"/>
        <w:jc w:val="both"/>
        <w:rPr>
          <w:rFonts w:ascii="Cambria" w:eastAsia="Cambria" w:hAnsi="Cambria" w:cs="Cambria"/>
          <w:b/>
          <w:bCs/>
          <w:sz w:val="20"/>
          <w:szCs w:val="20"/>
          <w:lang w:val="en-US"/>
        </w:rPr>
      </w:pPr>
      <w:r w:rsidRPr="00CC562A">
        <w:rPr>
          <w:rFonts w:ascii="Cambria" w:eastAsia="Cambria" w:hAnsi="Cambria" w:cs="Cambria"/>
          <w:sz w:val="20"/>
          <w:szCs w:val="20"/>
          <w:lang w:val="en-US"/>
        </w:rPr>
        <w:t>To guide the implementation of this recommendation</w:t>
      </w:r>
      <w:r w:rsidR="00FC3DC7" w:rsidRPr="00CC562A">
        <w:rPr>
          <w:rFonts w:ascii="Cambria" w:eastAsia="Cambria" w:hAnsi="Cambria" w:cs="Cambria"/>
          <w:sz w:val="20"/>
          <w:szCs w:val="20"/>
          <w:lang w:val="en-US"/>
        </w:rPr>
        <w:t xml:space="preserve">, </w:t>
      </w:r>
      <w:r w:rsidR="00276638" w:rsidRPr="00CC562A">
        <w:rPr>
          <w:rFonts w:ascii="Cambria" w:eastAsia="Cambria" w:hAnsi="Cambria" w:cs="Cambria"/>
          <w:sz w:val="20"/>
          <w:szCs w:val="20"/>
          <w:lang w:val="en-US"/>
        </w:rPr>
        <w:t>the IACHR</w:t>
      </w:r>
      <w:r w:rsidR="00FC3DC7" w:rsidRPr="00CC562A">
        <w:rPr>
          <w:rFonts w:ascii="Cambria" w:eastAsia="Cambria" w:hAnsi="Cambria" w:cs="Cambria"/>
          <w:sz w:val="20"/>
          <w:szCs w:val="20"/>
          <w:lang w:val="en-US"/>
        </w:rPr>
        <w:t xml:space="preserve"> </w:t>
      </w:r>
      <w:r w:rsidR="0033269D" w:rsidRPr="00CC562A">
        <w:rPr>
          <w:rFonts w:ascii="Cambria" w:eastAsia="Cambria" w:hAnsi="Cambria" w:cs="Cambria"/>
          <w:sz w:val="20"/>
          <w:szCs w:val="20"/>
          <w:lang w:val="en-US"/>
        </w:rPr>
        <w:t>sees fit to ask the State to adopt the measures necessary to ensure that the s</w:t>
      </w:r>
      <w:r w:rsidR="00960B50" w:rsidRPr="00CC562A">
        <w:rPr>
          <w:rFonts w:ascii="Cambria" w:eastAsia="Cambria" w:hAnsi="Cambria" w:cs="Cambria"/>
          <w:sz w:val="20"/>
          <w:szCs w:val="20"/>
          <w:lang w:val="en-US"/>
        </w:rPr>
        <w:t>trategies implemented fo</w:t>
      </w:r>
      <w:r w:rsidR="001A0FC2" w:rsidRPr="00CC562A">
        <w:rPr>
          <w:rFonts w:ascii="Cambria" w:eastAsia="Cambria" w:hAnsi="Cambria" w:cs="Cambria"/>
          <w:sz w:val="20"/>
          <w:szCs w:val="20"/>
          <w:lang w:val="en-US"/>
        </w:rPr>
        <w:t xml:space="preserve">r coordinated work are mandatory and </w:t>
      </w:r>
      <w:r w:rsidR="007C41B1" w:rsidRPr="00CC562A">
        <w:rPr>
          <w:rFonts w:ascii="Cambria" w:eastAsia="Cambria" w:hAnsi="Cambria" w:cs="Cambria"/>
          <w:sz w:val="20"/>
          <w:szCs w:val="20"/>
          <w:lang w:val="en-US"/>
        </w:rPr>
        <w:t>used to</w:t>
      </w:r>
      <w:r w:rsidR="001A0FC2" w:rsidRPr="00CC562A">
        <w:rPr>
          <w:rFonts w:ascii="Cambria" w:eastAsia="Cambria" w:hAnsi="Cambria" w:cs="Cambria"/>
          <w:sz w:val="20"/>
          <w:szCs w:val="20"/>
          <w:lang w:val="en-US"/>
        </w:rPr>
        <w:t xml:space="preserve"> provide a comprehensive approach </w:t>
      </w:r>
      <w:r w:rsidR="007C41B1" w:rsidRPr="00CC562A">
        <w:rPr>
          <w:rFonts w:ascii="Cambria" w:eastAsia="Cambria" w:hAnsi="Cambria" w:cs="Cambria"/>
          <w:sz w:val="20"/>
          <w:szCs w:val="20"/>
          <w:lang w:val="en-US"/>
        </w:rPr>
        <w:t>to</w:t>
      </w:r>
      <w:r w:rsidR="001A0FC2" w:rsidRPr="00CC562A">
        <w:rPr>
          <w:rFonts w:ascii="Cambria" w:eastAsia="Cambria" w:hAnsi="Cambria" w:cs="Cambria"/>
          <w:sz w:val="20"/>
          <w:szCs w:val="20"/>
          <w:lang w:val="en-US"/>
        </w:rPr>
        <w:t xml:space="preserve"> the protection of human rights defenders and journalists.</w:t>
      </w:r>
    </w:p>
    <w:p w14:paraId="32164B8D" w14:textId="141C62ED" w:rsidR="00F41C4C" w:rsidRPr="00CC562A" w:rsidRDefault="001A0FC2"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Regarding the recommendation to </w:t>
      </w:r>
      <w:r w:rsidRPr="00CC562A">
        <w:rPr>
          <w:rFonts w:ascii="Cambria" w:hAnsi="Cambria"/>
          <w:b/>
          <w:bCs/>
          <w:sz w:val="20"/>
          <w:szCs w:val="20"/>
          <w:lang w:val="en-US"/>
        </w:rPr>
        <w:t>encourage the protection mechanism to implement a strategy for publicizing its sphere of competence</w:t>
      </w:r>
      <w:r w:rsidR="1BEE6EB1"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6763AAB1"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indicated that the institutional website of the Mechanism for the Protection of Human Rights Defenders and Journalists</w:t>
      </w:r>
      <w:r w:rsidR="22787624"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is used to disseminate information on activities carried out, bulletins, and monthly statistical reports. In addition, during the year</w:t>
      </w:r>
      <w:r w:rsidR="22787624" w:rsidRPr="00CC562A">
        <w:rPr>
          <w:rFonts w:ascii="Cambria" w:eastAsia="Cambria" w:hAnsi="Cambria" w:cs="Cambria"/>
          <w:sz w:val="20"/>
          <w:szCs w:val="20"/>
          <w:lang w:val="en-US"/>
        </w:rPr>
        <w:t xml:space="preserve"> 2022, </w:t>
      </w:r>
      <w:r w:rsidR="00F324F7" w:rsidRPr="00CC562A">
        <w:rPr>
          <w:rFonts w:ascii="Cambria" w:eastAsia="Cambria" w:hAnsi="Cambria" w:cs="Cambria"/>
          <w:sz w:val="20"/>
          <w:szCs w:val="20"/>
          <w:lang w:val="en-US"/>
        </w:rPr>
        <w:t xml:space="preserve">the dissemination of informative material in </w:t>
      </w:r>
      <w:r w:rsidR="00D77397" w:rsidRPr="00CC562A">
        <w:rPr>
          <w:rFonts w:ascii="Cambria" w:eastAsia="Cambria" w:hAnsi="Cambria" w:cs="Cambria"/>
          <w:sz w:val="20"/>
          <w:szCs w:val="20"/>
          <w:lang w:val="en-US"/>
        </w:rPr>
        <w:t>infographic</w:t>
      </w:r>
      <w:r w:rsidR="00F324F7" w:rsidRPr="00CC562A">
        <w:rPr>
          <w:rFonts w:ascii="Cambria" w:eastAsia="Cambria" w:hAnsi="Cambria" w:cs="Cambria"/>
          <w:sz w:val="20"/>
          <w:szCs w:val="20"/>
          <w:lang w:val="en-US"/>
        </w:rPr>
        <w:t xml:space="preserve"> format on the Mechanism, its </w:t>
      </w:r>
      <w:proofErr w:type="gramStart"/>
      <w:r w:rsidR="00F324F7" w:rsidRPr="00CC562A">
        <w:rPr>
          <w:rFonts w:ascii="Cambria" w:eastAsia="Cambria" w:hAnsi="Cambria" w:cs="Cambria"/>
          <w:sz w:val="20"/>
          <w:szCs w:val="20"/>
          <w:lang w:val="en-US"/>
        </w:rPr>
        <w:t>operations</w:t>
      </w:r>
      <w:proofErr w:type="gramEnd"/>
      <w:r w:rsidR="00F324F7" w:rsidRPr="00CC562A">
        <w:rPr>
          <w:rFonts w:ascii="Cambria" w:eastAsia="Cambria" w:hAnsi="Cambria" w:cs="Cambria"/>
          <w:sz w:val="20"/>
          <w:szCs w:val="20"/>
          <w:lang w:val="en-US"/>
        </w:rPr>
        <w:t xml:space="preserve"> and processes, which are disseminated through social networks, has been strengthened.</w:t>
      </w:r>
      <w:r w:rsidR="00070D01" w:rsidRPr="00CC562A">
        <w:rPr>
          <w:rStyle w:val="FootnoteReference"/>
          <w:rFonts w:ascii="Cambria" w:eastAsia="Cambria" w:hAnsi="Cambria" w:cs="Cambria"/>
          <w:sz w:val="20"/>
          <w:szCs w:val="20"/>
          <w:lang w:val="en-US"/>
        </w:rPr>
        <w:footnoteReference w:id="392"/>
      </w:r>
    </w:p>
    <w:p w14:paraId="11142BEF" w14:textId="01D8360B" w:rsidR="004A31AF" w:rsidRPr="00CC562A" w:rsidRDefault="00752FED"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The State</w:t>
      </w:r>
      <w:r w:rsidR="5FFFE0D4" w:rsidRPr="00CC562A">
        <w:rPr>
          <w:rFonts w:ascii="Cambria" w:hAnsi="Cambria"/>
          <w:sz w:val="20"/>
          <w:szCs w:val="20"/>
          <w:lang w:val="en-US"/>
        </w:rPr>
        <w:t xml:space="preserve"> reiter</w:t>
      </w:r>
      <w:r w:rsidR="00F324F7" w:rsidRPr="00CC562A">
        <w:rPr>
          <w:rFonts w:ascii="Cambria" w:hAnsi="Cambria"/>
          <w:sz w:val="20"/>
          <w:szCs w:val="20"/>
          <w:lang w:val="en-US"/>
        </w:rPr>
        <w:t xml:space="preserve">ated information submitted earlier with respect to </w:t>
      </w:r>
      <w:r w:rsidR="00D77397" w:rsidRPr="00CC562A">
        <w:rPr>
          <w:rFonts w:ascii="Cambria" w:hAnsi="Cambria"/>
          <w:sz w:val="20"/>
          <w:szCs w:val="20"/>
          <w:lang w:val="en-US"/>
        </w:rPr>
        <w:t>the Mechanism’s</w:t>
      </w:r>
      <w:r w:rsidR="00F324F7" w:rsidRPr="00CC562A">
        <w:rPr>
          <w:rFonts w:ascii="Cambria" w:hAnsi="Cambria"/>
          <w:sz w:val="20"/>
          <w:szCs w:val="20"/>
          <w:lang w:val="en-US"/>
        </w:rPr>
        <w:t xml:space="preserve"> institutional website, indicating that “information is disseminated on those who produce attacks on human rights defenders and journalists.” In that the State did not add information different from that provided for follow-up of the recommendation in </w:t>
      </w:r>
      <w:r w:rsidR="5FFFE0D4" w:rsidRPr="00CC562A">
        <w:rPr>
          <w:rFonts w:ascii="Cambria" w:hAnsi="Cambria"/>
          <w:sz w:val="20"/>
          <w:szCs w:val="20"/>
          <w:lang w:val="en-US"/>
        </w:rPr>
        <w:t>202</w:t>
      </w:r>
      <w:r w:rsidR="51B280C1" w:rsidRPr="00CC562A">
        <w:rPr>
          <w:rFonts w:ascii="Cambria" w:hAnsi="Cambria"/>
          <w:sz w:val="20"/>
          <w:szCs w:val="20"/>
          <w:lang w:val="en-US"/>
        </w:rPr>
        <w:t>1</w:t>
      </w:r>
      <w:r w:rsidR="5FFFE0D4" w:rsidRPr="00CC562A">
        <w:rPr>
          <w:rFonts w:ascii="Cambria" w:hAnsi="Cambria"/>
          <w:sz w:val="20"/>
          <w:szCs w:val="20"/>
          <w:lang w:val="en-US"/>
        </w:rPr>
        <w:t xml:space="preserve">, </w:t>
      </w:r>
      <w:r w:rsidR="00276638" w:rsidRPr="00CC562A">
        <w:rPr>
          <w:rFonts w:ascii="Cambria" w:hAnsi="Cambria"/>
          <w:sz w:val="20"/>
          <w:szCs w:val="20"/>
          <w:lang w:val="en-US"/>
        </w:rPr>
        <w:t>the IACHR</w:t>
      </w:r>
      <w:r w:rsidR="007C41B1" w:rsidRPr="00CC562A">
        <w:rPr>
          <w:rFonts w:ascii="Cambria" w:hAnsi="Cambria"/>
          <w:sz w:val="20"/>
          <w:szCs w:val="20"/>
          <w:lang w:val="en-US"/>
        </w:rPr>
        <w:t xml:space="preserve"> considers</w:t>
      </w:r>
      <w:r w:rsidR="5FFFE0D4" w:rsidRPr="00CC562A">
        <w:rPr>
          <w:rFonts w:ascii="Cambria" w:hAnsi="Cambria"/>
          <w:sz w:val="20"/>
          <w:szCs w:val="20"/>
          <w:lang w:val="en-US"/>
        </w:rPr>
        <w:t xml:space="preserve"> </w:t>
      </w:r>
      <w:r w:rsidR="00F324F7" w:rsidRPr="00CC562A">
        <w:rPr>
          <w:rFonts w:ascii="Cambria" w:hAnsi="Cambria"/>
          <w:sz w:val="20"/>
          <w:szCs w:val="20"/>
          <w:lang w:val="en-US"/>
        </w:rPr>
        <w:t xml:space="preserve">that the status of the recommendation is still one of </w:t>
      </w:r>
      <w:r w:rsidR="00F324F7" w:rsidRPr="00CC562A">
        <w:rPr>
          <w:rFonts w:ascii="Cambria" w:hAnsi="Cambria"/>
          <w:b/>
          <w:bCs/>
          <w:sz w:val="20"/>
          <w:szCs w:val="20"/>
          <w:lang w:val="en-US"/>
        </w:rPr>
        <w:t>partial compliance</w:t>
      </w:r>
      <w:r w:rsidR="00F324F7" w:rsidRPr="00CC562A">
        <w:rPr>
          <w:rFonts w:ascii="Cambria" w:hAnsi="Cambria"/>
          <w:sz w:val="20"/>
          <w:szCs w:val="20"/>
          <w:lang w:val="en-US"/>
        </w:rPr>
        <w:t>.</w:t>
      </w:r>
      <w:r w:rsidR="5FFFE0D4" w:rsidRPr="00CC562A">
        <w:rPr>
          <w:rFonts w:ascii="Cambria" w:hAnsi="Cambria"/>
          <w:sz w:val="20"/>
          <w:szCs w:val="20"/>
          <w:lang w:val="en-US"/>
        </w:rPr>
        <w:t xml:space="preserve"> </w:t>
      </w:r>
    </w:p>
    <w:p w14:paraId="4AB38C6D" w14:textId="615BA3BE" w:rsidR="00F41C4C" w:rsidRPr="00CC562A" w:rsidRDefault="00F324F7"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To guide compliance with this recommendation, the</w:t>
      </w:r>
      <w:r w:rsidR="00276638" w:rsidRPr="00CC562A">
        <w:rPr>
          <w:rFonts w:ascii="Cambria" w:eastAsia="Cambria" w:hAnsi="Cambria" w:cs="Cambria"/>
          <w:sz w:val="20"/>
          <w:szCs w:val="20"/>
          <w:lang w:val="en-US"/>
        </w:rPr>
        <w:t xml:space="preserve"> IACHR</w:t>
      </w:r>
      <w:r w:rsidR="003719E2"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asks the State to submit specific information</w:t>
      </w:r>
      <w:r w:rsidR="00E71527" w:rsidRPr="00CC562A">
        <w:rPr>
          <w:rFonts w:ascii="Cambria" w:eastAsia="Cambria" w:hAnsi="Cambria" w:cs="Cambria"/>
          <w:sz w:val="20"/>
          <w:szCs w:val="20"/>
          <w:lang w:val="en-US"/>
        </w:rPr>
        <w:t xml:space="preserve"> regarding the content </w:t>
      </w:r>
      <w:r w:rsidR="007C41B1" w:rsidRPr="00CC562A">
        <w:rPr>
          <w:rFonts w:ascii="Cambria" w:eastAsia="Cambria" w:hAnsi="Cambria" w:cs="Cambria"/>
          <w:sz w:val="20"/>
          <w:szCs w:val="20"/>
          <w:lang w:val="en-US"/>
        </w:rPr>
        <w:t xml:space="preserve">disseminated </w:t>
      </w:r>
      <w:r w:rsidR="00E71527" w:rsidRPr="00CC562A">
        <w:rPr>
          <w:rFonts w:ascii="Cambria" w:eastAsia="Cambria" w:hAnsi="Cambria" w:cs="Cambria"/>
          <w:sz w:val="20"/>
          <w:szCs w:val="20"/>
          <w:lang w:val="en-US"/>
        </w:rPr>
        <w:t>and where it is published. With respect to informative material, the Commissions suggests that the State</w:t>
      </w:r>
      <w:r w:rsidR="79E1B552" w:rsidRPr="00CC562A">
        <w:rPr>
          <w:rFonts w:ascii="Cambria" w:eastAsia="Cambria" w:hAnsi="Cambria" w:cs="Cambria"/>
          <w:sz w:val="20"/>
          <w:szCs w:val="20"/>
          <w:lang w:val="en-US"/>
        </w:rPr>
        <w:t xml:space="preserve"> </w:t>
      </w:r>
      <w:r w:rsidR="00E71527" w:rsidRPr="00CC562A">
        <w:rPr>
          <w:rFonts w:ascii="Cambria" w:eastAsia="Cambria" w:hAnsi="Cambria" w:cs="Cambria"/>
          <w:sz w:val="20"/>
          <w:szCs w:val="20"/>
          <w:lang w:val="en-US"/>
        </w:rPr>
        <w:t xml:space="preserve">seek more information regarding the reach that this strategy </w:t>
      </w:r>
      <w:r w:rsidR="00E71527" w:rsidRPr="00CC562A">
        <w:rPr>
          <w:rFonts w:ascii="Cambria" w:eastAsia="Cambria" w:hAnsi="Cambria" w:cs="Cambria"/>
          <w:sz w:val="20"/>
          <w:szCs w:val="20"/>
          <w:lang w:val="en-US"/>
        </w:rPr>
        <w:lastRenderedPageBreak/>
        <w:t>has had, as well as its duration. This information will make it possible to better assess progress made in implement</w:t>
      </w:r>
      <w:r w:rsidR="007C41B1" w:rsidRPr="00CC562A">
        <w:rPr>
          <w:rFonts w:ascii="Cambria" w:eastAsia="Cambria" w:hAnsi="Cambria" w:cs="Cambria"/>
          <w:sz w:val="20"/>
          <w:szCs w:val="20"/>
          <w:lang w:val="en-US"/>
        </w:rPr>
        <w:t>ing</w:t>
      </w:r>
      <w:r w:rsidR="00E71527" w:rsidRPr="00CC562A">
        <w:rPr>
          <w:rFonts w:ascii="Cambria" w:eastAsia="Cambria" w:hAnsi="Cambria" w:cs="Cambria"/>
          <w:sz w:val="20"/>
          <w:szCs w:val="20"/>
          <w:lang w:val="en-US"/>
        </w:rPr>
        <w:t xml:space="preserve"> the recommendation</w:t>
      </w:r>
      <w:r w:rsidR="00EE374A" w:rsidRPr="00CC562A">
        <w:rPr>
          <w:rFonts w:ascii="Cambria" w:eastAsia="Cambria" w:hAnsi="Cambria" w:cs="Cambria"/>
          <w:sz w:val="20"/>
          <w:szCs w:val="20"/>
          <w:lang w:val="en-US"/>
        </w:rPr>
        <w:t>.</w:t>
      </w:r>
    </w:p>
    <w:p w14:paraId="350675D4" w14:textId="0C6CEB31" w:rsidR="00F41C4C" w:rsidRPr="00CC562A" w:rsidRDefault="2D308A46"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 </w:t>
      </w:r>
      <w:r w:rsidR="00E71527" w:rsidRPr="00CC562A">
        <w:rPr>
          <w:rFonts w:ascii="Cambria" w:eastAsia="Cambria" w:hAnsi="Cambria" w:cs="Cambria"/>
          <w:sz w:val="20"/>
          <w:szCs w:val="20"/>
          <w:lang w:val="en-US"/>
        </w:rPr>
        <w:t xml:space="preserve">On the recommendation to </w:t>
      </w:r>
      <w:r w:rsidR="00E71527" w:rsidRPr="00CC562A">
        <w:rPr>
          <w:rFonts w:ascii="Cambria" w:hAnsi="Cambria"/>
          <w:b/>
          <w:bCs/>
          <w:sz w:val="20"/>
          <w:szCs w:val="20"/>
          <w:lang w:val="en-US"/>
        </w:rPr>
        <w:t>encourage the protection mechanism to adopt a procedure that allows it to order ex officio protection measures in those cases that due to their seriousness and urgency require them immediately</w:t>
      </w:r>
      <w:r w:rsidR="1BEE6EB1" w:rsidRPr="00CC562A">
        <w:rPr>
          <w:rFonts w:ascii="Cambria" w:hAnsi="Cambria"/>
          <w:b/>
          <w:bCs/>
          <w:sz w:val="20"/>
          <w:szCs w:val="20"/>
          <w:lang w:val="en-US"/>
        </w:rPr>
        <w:t xml:space="preserve">, </w:t>
      </w:r>
      <w:r w:rsidR="00752FED" w:rsidRPr="00CC562A">
        <w:rPr>
          <w:rFonts w:ascii="Cambria" w:hAnsi="Cambria"/>
          <w:sz w:val="20"/>
          <w:szCs w:val="20"/>
          <w:lang w:val="en-US"/>
        </w:rPr>
        <w:t>the State</w:t>
      </w:r>
      <w:r w:rsidR="6763AAB1" w:rsidRPr="00CC562A">
        <w:rPr>
          <w:rFonts w:ascii="Cambria" w:eastAsia="Cambria" w:hAnsi="Cambria" w:cs="Cambria"/>
          <w:sz w:val="20"/>
          <w:szCs w:val="20"/>
          <w:lang w:val="en-US"/>
        </w:rPr>
        <w:t xml:space="preserve"> </w:t>
      </w:r>
      <w:r w:rsidR="0D065706" w:rsidRPr="00CC562A">
        <w:rPr>
          <w:rFonts w:ascii="Cambria" w:eastAsia="Cambria" w:hAnsi="Cambria" w:cs="Cambria"/>
          <w:sz w:val="20"/>
          <w:szCs w:val="20"/>
          <w:lang w:val="en-US"/>
        </w:rPr>
        <w:t>reiter</w:t>
      </w:r>
      <w:r w:rsidR="00220113" w:rsidRPr="00CC562A">
        <w:rPr>
          <w:rFonts w:ascii="Cambria" w:eastAsia="Cambria" w:hAnsi="Cambria" w:cs="Cambria"/>
          <w:sz w:val="20"/>
          <w:szCs w:val="20"/>
          <w:lang w:val="en-US"/>
        </w:rPr>
        <w:t xml:space="preserve">ated that the Protection Mechanism for Human Rights Defenders and Journalists </w:t>
      </w:r>
      <w:proofErr w:type="gramStart"/>
      <w:r w:rsidR="00220113" w:rsidRPr="00CC562A">
        <w:rPr>
          <w:rFonts w:ascii="Cambria" w:eastAsia="Cambria" w:hAnsi="Cambria" w:cs="Cambria"/>
          <w:sz w:val="20"/>
          <w:szCs w:val="20"/>
          <w:lang w:val="en-US"/>
        </w:rPr>
        <w:t>is able to</w:t>
      </w:r>
      <w:proofErr w:type="gramEnd"/>
      <w:r w:rsidR="00220113" w:rsidRPr="00CC562A">
        <w:rPr>
          <w:rFonts w:ascii="Cambria" w:eastAsia="Cambria" w:hAnsi="Cambria" w:cs="Cambria"/>
          <w:sz w:val="20"/>
          <w:szCs w:val="20"/>
          <w:lang w:val="en-US"/>
        </w:rPr>
        <w:t xml:space="preserve"> react to obviously serious and urgent cases with a special procedure</w:t>
      </w:r>
      <w:r w:rsidR="22787624" w:rsidRPr="00CC562A">
        <w:rPr>
          <w:rFonts w:ascii="Cambria" w:eastAsia="Cambria" w:hAnsi="Cambria" w:cs="Cambria"/>
          <w:sz w:val="20"/>
          <w:szCs w:val="20"/>
          <w:lang w:val="en-US"/>
        </w:rPr>
        <w:t xml:space="preserve"> </w:t>
      </w:r>
      <w:r w:rsidR="00220113" w:rsidRPr="00CC562A">
        <w:rPr>
          <w:rFonts w:ascii="Cambria" w:eastAsia="Cambria" w:hAnsi="Cambria" w:cs="Cambria"/>
          <w:sz w:val="20"/>
          <w:szCs w:val="20"/>
          <w:lang w:val="en-US"/>
        </w:rPr>
        <w:t>that defines urgent protection measures.</w:t>
      </w:r>
      <w:r w:rsidR="00070D01" w:rsidRPr="00CC562A">
        <w:rPr>
          <w:rStyle w:val="FootnoteReference"/>
          <w:rFonts w:ascii="Cambria" w:eastAsia="Cambria" w:hAnsi="Cambria" w:cs="Cambria"/>
          <w:sz w:val="20"/>
          <w:szCs w:val="20"/>
          <w:lang w:val="en-US"/>
        </w:rPr>
        <w:footnoteReference w:id="393"/>
      </w:r>
    </w:p>
    <w:p w14:paraId="46B2ED1B" w14:textId="249D8A57" w:rsidR="004A31AF" w:rsidRPr="00CC562A" w:rsidRDefault="2D308A46"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eastAsia="Cambria" w:hAnsi="Cambria" w:cs="Cambria"/>
          <w:sz w:val="20"/>
          <w:szCs w:val="20"/>
          <w:lang w:val="en-US"/>
        </w:rPr>
        <w:t xml:space="preserve"> </w:t>
      </w:r>
      <w:r w:rsidR="00220113" w:rsidRPr="00CC562A">
        <w:rPr>
          <w:rFonts w:ascii="Cambria" w:eastAsia="Cambria" w:hAnsi="Cambria" w:cs="Cambria"/>
          <w:sz w:val="20"/>
          <w:szCs w:val="20"/>
          <w:lang w:val="en-US"/>
        </w:rPr>
        <w:t xml:space="preserve">Based on the information provided by the </w:t>
      </w:r>
      <w:r w:rsidR="00752FED" w:rsidRPr="00CC562A">
        <w:rPr>
          <w:rFonts w:ascii="Cambria" w:hAnsi="Cambria"/>
          <w:sz w:val="20"/>
          <w:szCs w:val="20"/>
          <w:lang w:val="en-US"/>
        </w:rPr>
        <w:t>State</w:t>
      </w:r>
      <w:r w:rsidR="5FFFE0D4" w:rsidRPr="00CC562A">
        <w:rPr>
          <w:rFonts w:ascii="Cambria" w:hAnsi="Cambria"/>
          <w:sz w:val="20"/>
          <w:szCs w:val="20"/>
          <w:lang w:val="en-US"/>
        </w:rPr>
        <w:t xml:space="preserve">, </w:t>
      </w:r>
      <w:r w:rsidR="00276638" w:rsidRPr="00CC562A">
        <w:rPr>
          <w:rFonts w:ascii="Cambria" w:hAnsi="Cambria"/>
          <w:sz w:val="20"/>
          <w:szCs w:val="20"/>
          <w:lang w:val="en-US"/>
        </w:rPr>
        <w:t>the IACHR</w:t>
      </w:r>
      <w:r w:rsidR="5FFFE0D4" w:rsidRPr="00CC562A">
        <w:rPr>
          <w:rFonts w:ascii="Cambria" w:hAnsi="Cambria"/>
          <w:sz w:val="20"/>
          <w:szCs w:val="20"/>
          <w:lang w:val="en-US"/>
        </w:rPr>
        <w:t xml:space="preserve"> consider</w:t>
      </w:r>
      <w:r w:rsidR="00220113" w:rsidRPr="00CC562A">
        <w:rPr>
          <w:rFonts w:ascii="Cambria" w:hAnsi="Cambria"/>
          <w:sz w:val="20"/>
          <w:szCs w:val="20"/>
          <w:lang w:val="en-US"/>
        </w:rPr>
        <w:t xml:space="preserve">s that there is </w:t>
      </w:r>
      <w:r w:rsidR="00220113" w:rsidRPr="00CC562A">
        <w:rPr>
          <w:rFonts w:ascii="Cambria" w:hAnsi="Cambria"/>
          <w:b/>
          <w:bCs/>
          <w:sz w:val="20"/>
          <w:szCs w:val="20"/>
          <w:lang w:val="en-US"/>
        </w:rPr>
        <w:t>partial compliance</w:t>
      </w:r>
      <w:r w:rsidR="00220113" w:rsidRPr="00CC562A">
        <w:rPr>
          <w:rFonts w:ascii="Cambria" w:hAnsi="Cambria"/>
          <w:sz w:val="20"/>
          <w:szCs w:val="20"/>
          <w:lang w:val="en-US"/>
        </w:rPr>
        <w:t xml:space="preserve"> with the recommendation and asks the State to redouble its efforts to adopt measures to ensure effective protection in those cases that require emergency attention</w:t>
      </w:r>
      <w:r w:rsidR="5FFFE0D4" w:rsidRPr="00CC562A">
        <w:rPr>
          <w:rFonts w:ascii="Cambria" w:hAnsi="Cambria"/>
          <w:sz w:val="20"/>
          <w:szCs w:val="20"/>
          <w:lang w:val="en-US"/>
        </w:rPr>
        <w:t xml:space="preserve">. </w:t>
      </w:r>
    </w:p>
    <w:p w14:paraId="11F6D2DC" w14:textId="2A67C67B" w:rsidR="00F41C4C" w:rsidRPr="00CC562A" w:rsidRDefault="00BF42FB"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To guide compliance with this recommendation, </w:t>
      </w:r>
      <w:r w:rsidR="00276638" w:rsidRPr="00CC562A">
        <w:rPr>
          <w:rFonts w:ascii="Cambria" w:hAnsi="Cambria"/>
          <w:sz w:val="20"/>
          <w:szCs w:val="20"/>
          <w:lang w:val="en-US"/>
        </w:rPr>
        <w:t>the IACHR</w:t>
      </w:r>
      <w:r w:rsidRPr="00CC562A">
        <w:rPr>
          <w:rFonts w:ascii="Cambria" w:hAnsi="Cambria"/>
          <w:sz w:val="20"/>
          <w:szCs w:val="20"/>
          <w:lang w:val="en-US"/>
        </w:rPr>
        <w:t xml:space="preserve"> asks the State to adopt specific measures and guidelines issued and applied to establish reaction procedures in response to serious and urgent cases. Likewise, to follow up this recommendation, it would be useful to have access to this information, as well as to the results of these procedures</w:t>
      </w:r>
      <w:r w:rsidR="79E1B552" w:rsidRPr="00CC562A">
        <w:rPr>
          <w:rFonts w:ascii="Cambria" w:hAnsi="Cambria"/>
          <w:sz w:val="20"/>
          <w:szCs w:val="20"/>
          <w:lang w:val="en-US"/>
        </w:rPr>
        <w:t>.</w:t>
      </w:r>
    </w:p>
    <w:p w14:paraId="4304029C" w14:textId="12634E11" w:rsidR="00993FFC" w:rsidRPr="00CC562A" w:rsidRDefault="002852D3"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relation to the recommendation to </w:t>
      </w:r>
      <w:r w:rsidRPr="00CC562A">
        <w:rPr>
          <w:rFonts w:ascii="Cambria" w:eastAsia="Cambria" w:hAnsi="Cambria" w:cs="Cambria"/>
          <w:b/>
          <w:bCs/>
          <w:sz w:val="20"/>
          <w:szCs w:val="20"/>
          <w:lang w:val="en-US"/>
        </w:rPr>
        <w:t>redouble efforts to investigate the facts that induce people to enter and stay in the protection mechanism, with a view to establishing investigation as a protective measure and as State policy</w:t>
      </w:r>
      <w:r w:rsidR="1BEE6EB1" w:rsidRPr="00CC562A">
        <w:rPr>
          <w:rFonts w:ascii="Cambria" w:hAnsi="Cambria"/>
          <w:b/>
          <w:bCs/>
          <w:sz w:val="20"/>
          <w:szCs w:val="20"/>
          <w:lang w:val="en-US"/>
        </w:rPr>
        <w:t xml:space="preserve">, </w:t>
      </w:r>
      <w:r w:rsidR="00752FED" w:rsidRPr="00CC562A">
        <w:rPr>
          <w:rFonts w:ascii="Cambria" w:eastAsia="Cambria" w:hAnsi="Cambria" w:cs="Cambria"/>
          <w:sz w:val="20"/>
          <w:szCs w:val="20"/>
          <w:lang w:val="en-US"/>
        </w:rPr>
        <w:t>the State</w:t>
      </w:r>
      <w:r w:rsidR="6763AAB1" w:rsidRPr="00CC562A">
        <w:rPr>
          <w:rFonts w:ascii="Cambria" w:eastAsia="Cambria" w:hAnsi="Cambria" w:cs="Cambria"/>
          <w:sz w:val="20"/>
          <w:szCs w:val="20"/>
          <w:lang w:val="en-US"/>
        </w:rPr>
        <w:t xml:space="preserve"> </w:t>
      </w:r>
      <w:r w:rsidR="00900ED4" w:rsidRPr="00CC562A">
        <w:rPr>
          <w:rFonts w:ascii="Cambria" w:eastAsia="Cambria" w:hAnsi="Cambria" w:cs="Cambria"/>
          <w:sz w:val="20"/>
          <w:szCs w:val="20"/>
          <w:lang w:val="en-US"/>
        </w:rPr>
        <w:t>reported that</w:t>
      </w:r>
      <w:r w:rsidRPr="00CC562A">
        <w:rPr>
          <w:rFonts w:ascii="Cambria" w:eastAsia="Cambria" w:hAnsi="Cambria" w:cs="Cambria"/>
          <w:sz w:val="20"/>
          <w:szCs w:val="20"/>
          <w:lang w:val="en-US"/>
        </w:rPr>
        <w:t xml:space="preserve"> one of the Mechanism’s functions is to establish cooperation to implement and operate preventive measures and urgent protection measures to ensure the life, integrity, freedom, and security of those in at-risk situation</w:t>
      </w:r>
      <w:r w:rsidR="00C43D19" w:rsidRPr="00CC562A">
        <w:rPr>
          <w:rFonts w:ascii="Cambria" w:eastAsia="Cambria" w:hAnsi="Cambria" w:cs="Cambria"/>
          <w:sz w:val="20"/>
          <w:szCs w:val="20"/>
          <w:lang w:val="en-US"/>
        </w:rPr>
        <w:t>s</w:t>
      </w:r>
      <w:r w:rsidRPr="00CC562A">
        <w:rPr>
          <w:rFonts w:ascii="Cambria" w:eastAsia="Cambria" w:hAnsi="Cambria" w:cs="Cambria"/>
          <w:sz w:val="20"/>
          <w:szCs w:val="20"/>
          <w:lang w:val="en-US"/>
        </w:rPr>
        <w:t xml:space="preserve"> as a result of defending o</w:t>
      </w:r>
      <w:r w:rsidR="00C43D19" w:rsidRPr="00CC562A">
        <w:rPr>
          <w:rFonts w:ascii="Cambria" w:eastAsia="Cambria" w:hAnsi="Cambria" w:cs="Cambria"/>
          <w:sz w:val="20"/>
          <w:szCs w:val="20"/>
          <w:lang w:val="en-US"/>
        </w:rPr>
        <w:t>r</w:t>
      </w:r>
      <w:r w:rsidRPr="00CC562A">
        <w:rPr>
          <w:rFonts w:ascii="Cambria" w:eastAsia="Cambria" w:hAnsi="Cambria" w:cs="Cambria"/>
          <w:sz w:val="20"/>
          <w:szCs w:val="20"/>
          <w:lang w:val="en-US"/>
        </w:rPr>
        <w:t xml:space="preserve"> protecting human rights and exercising freedom of expression and practicing journalism</w:t>
      </w:r>
      <w:r w:rsidR="00113A6A" w:rsidRPr="00CC562A">
        <w:rPr>
          <w:rFonts w:ascii="Cambria" w:eastAsia="Cambria" w:hAnsi="Cambria" w:cs="Cambria"/>
          <w:sz w:val="20"/>
          <w:szCs w:val="20"/>
          <w:lang w:val="en-US"/>
        </w:rPr>
        <w:t xml:space="preserve"> and </w:t>
      </w:r>
      <w:r w:rsidR="00C43D19" w:rsidRPr="00CC562A">
        <w:rPr>
          <w:rFonts w:ascii="Cambria" w:eastAsia="Cambria" w:hAnsi="Cambria" w:cs="Cambria"/>
          <w:sz w:val="20"/>
          <w:szCs w:val="20"/>
          <w:lang w:val="en-US"/>
        </w:rPr>
        <w:t xml:space="preserve">it </w:t>
      </w:r>
      <w:r w:rsidR="00113A6A" w:rsidRPr="00CC562A">
        <w:rPr>
          <w:rFonts w:ascii="Cambria" w:eastAsia="Cambria" w:hAnsi="Cambria" w:cs="Cambria"/>
          <w:sz w:val="20"/>
          <w:szCs w:val="20"/>
          <w:lang w:val="en-US"/>
        </w:rPr>
        <w:t>does not have functions in the investigation of the facts.</w:t>
      </w:r>
      <w:r w:rsidR="00070D01" w:rsidRPr="00CC562A">
        <w:rPr>
          <w:rStyle w:val="FootnoteReference"/>
          <w:rFonts w:ascii="Cambria" w:eastAsia="Cambria" w:hAnsi="Cambria" w:cs="Cambria"/>
          <w:sz w:val="20"/>
          <w:szCs w:val="20"/>
          <w:lang w:val="en-US"/>
        </w:rPr>
        <w:footnoteReference w:id="394"/>
      </w:r>
    </w:p>
    <w:p w14:paraId="6A6B669A" w14:textId="5A6DBBB1" w:rsidR="004A31AF" w:rsidRPr="00CC562A" w:rsidRDefault="00113A6A"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 xml:space="preserve">In view of the lack of detailed information, the Commission finds that there is </w:t>
      </w:r>
      <w:r w:rsidRPr="00CC562A">
        <w:rPr>
          <w:rFonts w:ascii="Cambria" w:hAnsi="Cambria"/>
          <w:b/>
          <w:bCs/>
          <w:sz w:val="20"/>
          <w:szCs w:val="20"/>
          <w:lang w:val="en-US"/>
        </w:rPr>
        <w:t>partial compliance</w:t>
      </w:r>
      <w:r w:rsidRPr="00CC562A">
        <w:rPr>
          <w:rFonts w:ascii="Cambria" w:hAnsi="Cambria"/>
          <w:sz w:val="20"/>
          <w:szCs w:val="20"/>
          <w:lang w:val="en-US"/>
        </w:rPr>
        <w:t xml:space="preserve"> with the recommendation</w:t>
      </w:r>
      <w:r w:rsidR="51B280C1" w:rsidRPr="00CC562A">
        <w:rPr>
          <w:rFonts w:ascii="Cambria" w:hAnsi="Cambria"/>
          <w:sz w:val="20"/>
          <w:szCs w:val="20"/>
          <w:lang w:val="en-US"/>
        </w:rPr>
        <w:t>.</w:t>
      </w:r>
    </w:p>
    <w:p w14:paraId="6FA0F83C" w14:textId="39CC3831" w:rsidR="00F41C4C" w:rsidRPr="00CC562A" w:rsidRDefault="00113A6A" w:rsidP="00BE2C6E">
      <w:pPr>
        <w:numPr>
          <w:ilvl w:val="0"/>
          <w:numId w:val="2"/>
        </w:numPr>
        <w:shd w:val="clear" w:color="auto" w:fill="FFFFFF" w:themeFill="background1"/>
        <w:spacing w:before="240" w:after="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compliance with this recommendation, the Commission asks the State to adopt institutional strengthening measures to ensure the investigation of the facts that induce people to enter the protection mechanism, and to report on the results of these measures. Likewise, the Commission asks the State to report on progress made on investigation procedures related to the cases that are part of the protection mechanism and to report on the actions adopted to ensure that investigations are conducted impartially, exhaustively, and expeditiously </w:t>
      </w:r>
      <w:proofErr w:type="gramStart"/>
      <w:r w:rsidRPr="00CC562A">
        <w:rPr>
          <w:rFonts w:ascii="Cambria" w:eastAsia="Cambria" w:hAnsi="Cambria" w:cs="Cambria"/>
          <w:sz w:val="20"/>
          <w:szCs w:val="20"/>
          <w:lang w:val="en-US"/>
        </w:rPr>
        <w:t>and also</w:t>
      </w:r>
      <w:proofErr w:type="gramEnd"/>
      <w:r w:rsidRPr="00CC562A">
        <w:rPr>
          <w:rFonts w:ascii="Cambria" w:eastAsia="Cambria" w:hAnsi="Cambria" w:cs="Cambria"/>
          <w:sz w:val="20"/>
          <w:szCs w:val="20"/>
          <w:lang w:val="en-US"/>
        </w:rPr>
        <w:t xml:space="preserve"> lead to appropriate prosecution and punishment of those responsible.</w:t>
      </w:r>
      <w:r w:rsidR="02C5E15F" w:rsidRPr="00CC562A">
        <w:rPr>
          <w:rFonts w:ascii="Cambria" w:eastAsia="Cambria" w:hAnsi="Cambria"/>
          <w:color w:val="000000" w:themeColor="text1"/>
          <w:sz w:val="20"/>
          <w:szCs w:val="20"/>
          <w:lang w:val="en-US"/>
        </w:rPr>
        <w:t xml:space="preserve"> </w:t>
      </w:r>
    </w:p>
    <w:p w14:paraId="095DF6A3" w14:textId="18A78FC2" w:rsidR="00F41C4C" w:rsidRPr="00CC562A" w:rsidRDefault="1BEE6EB1"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Re</w:t>
      </w:r>
      <w:r w:rsidR="00113A6A" w:rsidRPr="00CC562A">
        <w:rPr>
          <w:rFonts w:ascii="Cambria" w:hAnsi="Cambria"/>
          <w:sz w:val="20"/>
          <w:szCs w:val="20"/>
          <w:lang w:val="en-US"/>
        </w:rPr>
        <w:t xml:space="preserve">garding the recommendation to </w:t>
      </w:r>
      <w:r w:rsidR="00113A6A" w:rsidRPr="00CC562A">
        <w:rPr>
          <w:rFonts w:ascii="Cambria" w:hAnsi="Cambria"/>
          <w:b/>
          <w:bCs/>
          <w:sz w:val="20"/>
          <w:szCs w:val="20"/>
          <w:lang w:val="en-US"/>
        </w:rPr>
        <w:t>encourage the Mechanism to adopt tools that enable it to measure the effectiveness of</w:t>
      </w:r>
      <w:r w:rsidRPr="00CC562A">
        <w:rPr>
          <w:rFonts w:ascii="Cambria" w:hAnsi="Cambria"/>
          <w:b/>
          <w:bCs/>
          <w:sz w:val="20"/>
          <w:szCs w:val="20"/>
          <w:lang w:val="en-US"/>
        </w:rPr>
        <w:t xml:space="preserve"> </w:t>
      </w:r>
      <w:r w:rsidR="00113A6A" w:rsidRPr="00CC562A">
        <w:rPr>
          <w:rFonts w:ascii="Cambria" w:hAnsi="Cambria"/>
          <w:b/>
          <w:bCs/>
          <w:sz w:val="20"/>
          <w:szCs w:val="20"/>
          <w:lang w:val="en-US"/>
        </w:rPr>
        <w:t>the measures implemented</w:t>
      </w:r>
      <w:r w:rsidRPr="00CC562A">
        <w:rPr>
          <w:rFonts w:ascii="Cambria" w:eastAsia="Cambria" w:hAnsi="Cambria" w:cs="Cambria"/>
          <w:sz w:val="20"/>
          <w:szCs w:val="20"/>
          <w:lang w:val="en-US"/>
        </w:rPr>
        <w:t xml:space="preserve">, </w:t>
      </w:r>
      <w:r w:rsidR="00752FED" w:rsidRPr="00CC562A">
        <w:rPr>
          <w:rFonts w:ascii="Cambria" w:eastAsia="Cambria" w:hAnsi="Cambria" w:cs="Cambria"/>
          <w:sz w:val="20"/>
          <w:szCs w:val="20"/>
          <w:lang w:val="en-US"/>
        </w:rPr>
        <w:t>the State</w:t>
      </w:r>
      <w:r w:rsidR="6763AAB1" w:rsidRPr="00CC562A">
        <w:rPr>
          <w:rFonts w:ascii="Cambria" w:eastAsia="Cambria" w:hAnsi="Cambria" w:cs="Cambria"/>
          <w:sz w:val="20"/>
          <w:szCs w:val="20"/>
          <w:lang w:val="en-US"/>
        </w:rPr>
        <w:t xml:space="preserve"> </w:t>
      </w:r>
      <w:r w:rsidR="00113A6A" w:rsidRPr="00CC562A">
        <w:rPr>
          <w:rFonts w:ascii="Cambria" w:eastAsia="Cambria" w:hAnsi="Cambria" w:cs="Cambria"/>
          <w:sz w:val="20"/>
          <w:szCs w:val="20"/>
          <w:lang w:val="en-US"/>
        </w:rPr>
        <w:t xml:space="preserve">indicated that, </w:t>
      </w:r>
      <w:proofErr w:type="gramStart"/>
      <w:r w:rsidR="00113A6A" w:rsidRPr="00CC562A">
        <w:rPr>
          <w:rFonts w:ascii="Cambria" w:eastAsia="Cambria" w:hAnsi="Cambria" w:cs="Cambria"/>
          <w:sz w:val="20"/>
          <w:szCs w:val="20"/>
          <w:lang w:val="en-US"/>
        </w:rPr>
        <w:t>in order to</w:t>
      </w:r>
      <w:proofErr w:type="gramEnd"/>
      <w:r w:rsidR="00113A6A" w:rsidRPr="00CC562A">
        <w:rPr>
          <w:rFonts w:ascii="Cambria" w:eastAsia="Cambria" w:hAnsi="Cambria" w:cs="Cambria"/>
          <w:sz w:val="20"/>
          <w:szCs w:val="20"/>
          <w:lang w:val="en-US"/>
        </w:rPr>
        <w:t xml:space="preserve"> verify the effectiveness of the protection mechanisms implemented by the Protection Mechanism for Human Rights Defenders and Journalists</w:t>
      </w:r>
      <w:r w:rsidR="22787624" w:rsidRPr="00CC562A">
        <w:rPr>
          <w:rFonts w:ascii="Cambria" w:eastAsia="Cambria" w:hAnsi="Cambria" w:cs="Cambria"/>
          <w:sz w:val="20"/>
          <w:szCs w:val="20"/>
          <w:lang w:val="en-US"/>
        </w:rPr>
        <w:t xml:space="preserve">, </w:t>
      </w:r>
      <w:r w:rsidR="0068533E" w:rsidRPr="00CC562A">
        <w:rPr>
          <w:rFonts w:ascii="Cambria" w:eastAsia="Cambria" w:hAnsi="Cambria" w:cs="Cambria"/>
          <w:sz w:val="20"/>
          <w:szCs w:val="20"/>
          <w:lang w:val="en-US"/>
        </w:rPr>
        <w:t>an evaluation is currently being designed on the effectiveness of the help buttons</w:t>
      </w:r>
      <w:r w:rsidR="00C43D19" w:rsidRPr="00CC562A">
        <w:rPr>
          <w:rFonts w:ascii="Cambria" w:eastAsia="Cambria" w:hAnsi="Cambria" w:cs="Cambria"/>
          <w:sz w:val="20"/>
          <w:szCs w:val="20"/>
          <w:lang w:val="en-US"/>
        </w:rPr>
        <w:t xml:space="preserve"> (</w:t>
      </w:r>
      <w:proofErr w:type="spellStart"/>
      <w:r w:rsidR="00C43D19" w:rsidRPr="00CC562A">
        <w:rPr>
          <w:rFonts w:ascii="Cambria" w:eastAsia="Cambria" w:hAnsi="Cambria" w:cs="Cambria"/>
          <w:i/>
          <w:iCs/>
          <w:sz w:val="20"/>
          <w:szCs w:val="20"/>
          <w:lang w:val="en-US"/>
        </w:rPr>
        <w:t>botones</w:t>
      </w:r>
      <w:proofErr w:type="spellEnd"/>
      <w:r w:rsidR="00C43D19" w:rsidRPr="00CC562A">
        <w:rPr>
          <w:rFonts w:ascii="Cambria" w:eastAsia="Cambria" w:hAnsi="Cambria" w:cs="Cambria"/>
          <w:i/>
          <w:iCs/>
          <w:sz w:val="20"/>
          <w:szCs w:val="20"/>
          <w:lang w:val="en-US"/>
        </w:rPr>
        <w:t xml:space="preserve"> de </w:t>
      </w:r>
      <w:proofErr w:type="spellStart"/>
      <w:r w:rsidR="00C43D19" w:rsidRPr="00CC562A">
        <w:rPr>
          <w:rFonts w:ascii="Cambria" w:eastAsia="Cambria" w:hAnsi="Cambria" w:cs="Cambria"/>
          <w:i/>
          <w:iCs/>
          <w:sz w:val="20"/>
          <w:szCs w:val="20"/>
          <w:lang w:val="en-US"/>
        </w:rPr>
        <w:t>asistencia</w:t>
      </w:r>
      <w:proofErr w:type="spellEnd"/>
      <w:r w:rsidR="00C43D19" w:rsidRPr="00CC562A">
        <w:rPr>
          <w:rFonts w:ascii="Cambria" w:eastAsia="Cambria" w:hAnsi="Cambria" w:cs="Cambria"/>
          <w:sz w:val="20"/>
          <w:szCs w:val="20"/>
          <w:lang w:val="en-US"/>
        </w:rPr>
        <w:t>)</w:t>
      </w:r>
      <w:r w:rsidR="0068533E" w:rsidRPr="00CC562A">
        <w:rPr>
          <w:rFonts w:ascii="Cambria" w:eastAsia="Cambria" w:hAnsi="Cambria" w:cs="Cambria"/>
          <w:sz w:val="20"/>
          <w:szCs w:val="20"/>
          <w:lang w:val="en-US"/>
        </w:rPr>
        <w:t>. To this end, work is being done on the methodology, plan of work, and schedule.</w:t>
      </w:r>
      <w:r w:rsidR="00070D01" w:rsidRPr="00CC562A">
        <w:rPr>
          <w:rStyle w:val="FootnoteReference"/>
          <w:rFonts w:ascii="Cambria" w:eastAsia="Cambria" w:hAnsi="Cambria" w:cs="Cambria"/>
          <w:sz w:val="20"/>
          <w:szCs w:val="20"/>
          <w:lang w:val="en-US"/>
        </w:rPr>
        <w:footnoteReference w:id="395"/>
      </w:r>
    </w:p>
    <w:p w14:paraId="7AF5D3CC" w14:textId="7A39E865" w:rsidR="004A31AF" w:rsidRPr="00CC562A" w:rsidRDefault="0068533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lastRenderedPageBreak/>
        <w:t>The Commission notes that the State did not report specific information to allow for progress on the level of compliance with the recommendation, so that the</w:t>
      </w:r>
      <w:r w:rsidR="00276638" w:rsidRPr="00CC562A">
        <w:rPr>
          <w:rFonts w:ascii="Cambria" w:hAnsi="Cambria"/>
          <w:sz w:val="20"/>
          <w:szCs w:val="20"/>
          <w:lang w:val="en-US"/>
        </w:rPr>
        <w:t xml:space="preserve"> IACHR</w:t>
      </w:r>
      <w:r w:rsidR="5FFFE0D4" w:rsidRPr="00CC562A">
        <w:rPr>
          <w:rFonts w:ascii="Cambria" w:hAnsi="Cambria"/>
          <w:sz w:val="20"/>
          <w:szCs w:val="20"/>
          <w:lang w:val="en-US"/>
        </w:rPr>
        <w:t xml:space="preserve"> consider</w:t>
      </w:r>
      <w:r w:rsidRPr="00CC562A">
        <w:rPr>
          <w:rFonts w:ascii="Cambria" w:hAnsi="Cambria"/>
          <w:sz w:val="20"/>
          <w:szCs w:val="20"/>
          <w:lang w:val="en-US"/>
        </w:rPr>
        <w:t xml:space="preserve">s that this recommendation is </w:t>
      </w:r>
      <w:r w:rsidR="5FFFE0D4" w:rsidRPr="00CC562A">
        <w:rPr>
          <w:rFonts w:ascii="Cambria" w:hAnsi="Cambria"/>
          <w:b/>
          <w:bCs/>
          <w:sz w:val="20"/>
          <w:szCs w:val="20"/>
          <w:lang w:val="en-US"/>
        </w:rPr>
        <w:t>pendi</w:t>
      </w:r>
      <w:r w:rsidRPr="00CC562A">
        <w:rPr>
          <w:rFonts w:ascii="Cambria" w:hAnsi="Cambria"/>
          <w:b/>
          <w:bCs/>
          <w:sz w:val="20"/>
          <w:szCs w:val="20"/>
          <w:lang w:val="en-US"/>
        </w:rPr>
        <w:t>ng compliance</w:t>
      </w:r>
      <w:r w:rsidR="5FFFE0D4" w:rsidRPr="00CC562A">
        <w:rPr>
          <w:rFonts w:ascii="Cambria" w:hAnsi="Cambria"/>
          <w:b/>
          <w:bCs/>
          <w:sz w:val="20"/>
          <w:szCs w:val="20"/>
          <w:lang w:val="en-US"/>
        </w:rPr>
        <w:t>.</w:t>
      </w:r>
    </w:p>
    <w:p w14:paraId="7EC587C0" w14:textId="41C1D9A7" w:rsidR="004A31AF" w:rsidRPr="00CC562A" w:rsidRDefault="0068533E" w:rsidP="00001918">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eastAsia="Cambria" w:hAnsi="Cambria" w:cs="Cambria"/>
          <w:sz w:val="20"/>
          <w:szCs w:val="20"/>
          <w:lang w:val="en-US"/>
        </w:rPr>
        <w:t xml:space="preserve">To guide compliance with this recommendation, </w:t>
      </w:r>
      <w:r w:rsidR="00276638" w:rsidRPr="00CC562A">
        <w:rPr>
          <w:rFonts w:ascii="Cambria" w:eastAsia="Cambria" w:hAnsi="Cambria" w:cs="Cambria"/>
          <w:sz w:val="20"/>
          <w:szCs w:val="20"/>
          <w:lang w:val="en-US"/>
        </w:rPr>
        <w:t>the IACHR</w:t>
      </w:r>
      <w:r w:rsidR="00301D23" w:rsidRPr="00CC562A">
        <w:rPr>
          <w:rFonts w:ascii="Cambria" w:eastAsia="Cambria" w:hAnsi="Cambria" w:cs="Cambria"/>
          <w:sz w:val="20"/>
          <w:szCs w:val="20"/>
          <w:lang w:val="en-US"/>
        </w:rPr>
        <w:t xml:space="preserve"> </w:t>
      </w:r>
      <w:r w:rsidRPr="00CC562A">
        <w:rPr>
          <w:rFonts w:ascii="Cambria" w:eastAsia="Cambria" w:hAnsi="Cambria" w:cs="Cambria"/>
          <w:sz w:val="20"/>
          <w:szCs w:val="20"/>
          <w:lang w:val="en-US"/>
        </w:rPr>
        <w:t>asks the State to adopt measures allowing</w:t>
      </w:r>
      <w:r w:rsidR="001424C8" w:rsidRPr="00CC562A">
        <w:rPr>
          <w:rFonts w:ascii="Cambria" w:eastAsia="Cambria" w:hAnsi="Cambria" w:cs="Cambria"/>
          <w:sz w:val="20"/>
          <w:szCs w:val="20"/>
          <w:lang w:val="en-US"/>
        </w:rPr>
        <w:t xml:space="preserve"> it to have evaluation indicators to verify the effectiveness of all the measures implemented and not just the panic buttons. It also suggests that this evaluation take into consideration the perspective</w:t>
      </w:r>
      <w:r w:rsidR="00C43D19" w:rsidRPr="00CC562A">
        <w:rPr>
          <w:rFonts w:ascii="Cambria" w:eastAsia="Cambria" w:hAnsi="Cambria" w:cs="Cambria"/>
          <w:sz w:val="20"/>
          <w:szCs w:val="20"/>
          <w:lang w:val="en-US"/>
        </w:rPr>
        <w:t>s</w:t>
      </w:r>
      <w:r w:rsidR="001424C8" w:rsidRPr="00CC562A">
        <w:rPr>
          <w:rFonts w:ascii="Cambria" w:eastAsia="Cambria" w:hAnsi="Cambria" w:cs="Cambria"/>
          <w:sz w:val="20"/>
          <w:szCs w:val="20"/>
          <w:lang w:val="en-US"/>
        </w:rPr>
        <w:t xml:space="preserve"> of those who are using these measures</w:t>
      </w:r>
      <w:r w:rsidR="00301D23" w:rsidRPr="00CC562A">
        <w:rPr>
          <w:rFonts w:ascii="Cambria" w:eastAsia="Cambria" w:hAnsi="Cambria" w:cs="Cambria"/>
          <w:sz w:val="20"/>
          <w:szCs w:val="20"/>
          <w:lang w:val="en-US"/>
        </w:rPr>
        <w:t>.</w:t>
      </w:r>
    </w:p>
    <w:p w14:paraId="45701A84" w14:textId="2B0DB2BC" w:rsidR="004A0FDE" w:rsidRPr="00CC562A" w:rsidRDefault="004A0FDE" w:rsidP="009C3AB7">
      <w:pPr>
        <w:pStyle w:val="Heading1"/>
        <w:numPr>
          <w:ilvl w:val="0"/>
          <w:numId w:val="1"/>
        </w:numPr>
        <w:spacing w:line="240" w:lineRule="auto"/>
        <w:rPr>
          <w:rFonts w:ascii="Cambria" w:hAnsi="Cambria"/>
          <w:b/>
          <w:bCs/>
          <w:color w:val="000000" w:themeColor="text1"/>
          <w:sz w:val="22"/>
          <w:szCs w:val="22"/>
          <w:lang w:val="en-US"/>
        </w:rPr>
      </w:pPr>
      <w:r w:rsidRPr="00CC562A">
        <w:rPr>
          <w:rFonts w:ascii="Cambria" w:hAnsi="Cambria"/>
          <w:b/>
          <w:bCs/>
          <w:color w:val="000000" w:themeColor="text1"/>
          <w:sz w:val="22"/>
          <w:szCs w:val="22"/>
          <w:lang w:val="en-US"/>
        </w:rPr>
        <w:t>CONCLUSIONS</w:t>
      </w:r>
    </w:p>
    <w:p w14:paraId="6AECAA53" w14:textId="32A285CB" w:rsidR="00B13E1C" w:rsidRPr="00CC562A" w:rsidRDefault="001424C8"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The Commission reiterates to the Mexican State the recommendations issued in its 2015 Country Report. Although significant progress has been made in complying with the recommendations highlighted by the </w:t>
      </w:r>
      <w:r w:rsidR="00276638" w:rsidRPr="00CC562A">
        <w:rPr>
          <w:rFonts w:ascii="Cambria" w:hAnsi="Cambria"/>
          <w:sz w:val="20"/>
          <w:szCs w:val="20"/>
          <w:lang w:val="en-US"/>
        </w:rPr>
        <w:t>IACHR</w:t>
      </w:r>
      <w:r w:rsidR="4B6147A3" w:rsidRPr="00CC562A">
        <w:rPr>
          <w:rFonts w:ascii="Cambria" w:hAnsi="Cambria"/>
          <w:sz w:val="20"/>
          <w:szCs w:val="20"/>
          <w:lang w:val="en-US"/>
        </w:rPr>
        <w:t xml:space="preserve"> </w:t>
      </w:r>
      <w:r w:rsidRPr="00CC562A">
        <w:rPr>
          <w:rFonts w:ascii="Cambria" w:hAnsi="Cambria"/>
          <w:sz w:val="20"/>
          <w:szCs w:val="20"/>
          <w:lang w:val="en-US"/>
        </w:rPr>
        <w:t xml:space="preserve">in this document, challenges persist in terms of strengthening human rights institutions, specifically </w:t>
      </w:r>
      <w:proofErr w:type="gramStart"/>
      <w:r w:rsidRPr="00CC562A">
        <w:rPr>
          <w:rFonts w:ascii="Cambria" w:hAnsi="Cambria"/>
          <w:sz w:val="20"/>
          <w:szCs w:val="20"/>
          <w:lang w:val="en-US"/>
        </w:rPr>
        <w:t>with regard to</w:t>
      </w:r>
      <w:proofErr w:type="gramEnd"/>
      <w:r w:rsidRPr="00CC562A">
        <w:rPr>
          <w:rFonts w:ascii="Cambria" w:hAnsi="Cambria"/>
          <w:sz w:val="20"/>
          <w:szCs w:val="20"/>
          <w:lang w:val="en-US"/>
        </w:rPr>
        <w:t xml:space="preserve"> the promotion of gender equality and the eradication of violence against women, as well as the protection of human rights defenders and journalists, and comprehensive protection and care for victims of human rights violations, with an intersectional approach</w:t>
      </w:r>
      <w:r w:rsidR="4B6147A3" w:rsidRPr="00CC562A">
        <w:rPr>
          <w:rFonts w:ascii="Cambria" w:hAnsi="Cambria"/>
          <w:sz w:val="20"/>
          <w:szCs w:val="20"/>
          <w:lang w:val="en-US"/>
        </w:rPr>
        <w:t xml:space="preserve">. </w:t>
      </w:r>
    </w:p>
    <w:p w14:paraId="144F10A4" w14:textId="585A5692" w:rsidR="00B13E1C" w:rsidRPr="00CC562A" w:rsidRDefault="001424C8"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In the context of analyzing compliance with the 80 recommendations subject to follow-up</w:t>
      </w:r>
      <w:r w:rsidR="003D42B6" w:rsidRPr="00CC562A">
        <w:rPr>
          <w:rFonts w:ascii="Cambria" w:hAnsi="Cambria"/>
          <w:sz w:val="20"/>
          <w:szCs w:val="20"/>
          <w:lang w:val="en-US"/>
        </w:rPr>
        <w:t xml:space="preserve">, </w:t>
      </w:r>
      <w:r w:rsidR="00276638" w:rsidRPr="00CC562A">
        <w:rPr>
          <w:rFonts w:ascii="Cambria" w:hAnsi="Cambria"/>
          <w:sz w:val="20"/>
          <w:szCs w:val="20"/>
          <w:lang w:val="en-US"/>
        </w:rPr>
        <w:t>the IACHR</w:t>
      </w:r>
      <w:r w:rsidR="4B6147A3" w:rsidRPr="00CC562A">
        <w:rPr>
          <w:rFonts w:ascii="Cambria" w:hAnsi="Cambria"/>
          <w:sz w:val="20"/>
          <w:szCs w:val="20"/>
          <w:lang w:val="en-US"/>
        </w:rPr>
        <w:t xml:space="preserve"> rec</w:t>
      </w:r>
      <w:r w:rsidR="003D42B6" w:rsidRPr="00CC562A">
        <w:rPr>
          <w:rFonts w:ascii="Cambria" w:hAnsi="Cambria"/>
          <w:sz w:val="20"/>
          <w:szCs w:val="20"/>
          <w:lang w:val="en-US"/>
        </w:rPr>
        <w:t>ognizes state efforts and measures intended to move ahead in complying with the recommendations. The Commission reiterates to the State the importance of effective compliance with the recommendations issued in its 2015 Country Report</w:t>
      </w:r>
      <w:r w:rsidR="4B6147A3" w:rsidRPr="00CC562A">
        <w:rPr>
          <w:rFonts w:ascii="Cambria" w:hAnsi="Cambria"/>
          <w:sz w:val="20"/>
          <w:szCs w:val="20"/>
          <w:lang w:val="en-US"/>
        </w:rPr>
        <w:t xml:space="preserve">. </w:t>
      </w:r>
    </w:p>
    <w:p w14:paraId="383E1901" w14:textId="72B38026" w:rsidR="00B13E1C" w:rsidRPr="00CC562A" w:rsidRDefault="003D42B6"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eastAsia="Cambria" w:hAnsi="Cambria" w:cs="Cambria"/>
          <w:color w:val="000000" w:themeColor="text1"/>
          <w:sz w:val="20"/>
          <w:szCs w:val="20"/>
          <w:lang w:val="en-US"/>
        </w:rPr>
        <w:t>In view of the information received, the Commission notes with concern the context of militarization in Mexico</w:t>
      </w:r>
      <w:r w:rsidR="4B6147A3" w:rsidRPr="00CC562A">
        <w:rPr>
          <w:rFonts w:ascii="Cambria" w:eastAsia="Cambria" w:hAnsi="Cambria" w:cs="Cambria"/>
          <w:color w:val="000000" w:themeColor="text1"/>
          <w:sz w:val="20"/>
          <w:szCs w:val="20"/>
          <w:lang w:val="en-US"/>
        </w:rPr>
        <w:t xml:space="preserve">. </w:t>
      </w:r>
      <w:r w:rsidRPr="00CC562A">
        <w:rPr>
          <w:rFonts w:ascii="Cambria" w:eastAsia="Cambria" w:hAnsi="Cambria" w:cs="Cambria"/>
          <w:color w:val="000000" w:themeColor="text1"/>
          <w:sz w:val="20"/>
          <w:szCs w:val="20"/>
          <w:lang w:val="en-US"/>
        </w:rPr>
        <w:t xml:space="preserve">Although the State reported in previous years on the creation of a civilian security force and a gradual plan to withdraw the </w:t>
      </w:r>
      <w:r w:rsidR="00D5781D" w:rsidRPr="00CC562A">
        <w:rPr>
          <w:rFonts w:ascii="Cambria" w:eastAsia="Cambria" w:hAnsi="Cambria" w:cs="Cambria"/>
          <w:color w:val="000000" w:themeColor="text1"/>
          <w:sz w:val="20"/>
          <w:szCs w:val="20"/>
          <w:lang w:val="en-US"/>
        </w:rPr>
        <w:t>armed forces</w:t>
      </w:r>
      <w:r w:rsidRPr="00CC562A">
        <w:rPr>
          <w:rFonts w:ascii="Cambria" w:eastAsia="Cambria" w:hAnsi="Cambria" w:cs="Cambria"/>
          <w:color w:val="000000" w:themeColor="text1"/>
          <w:sz w:val="20"/>
          <w:szCs w:val="20"/>
          <w:lang w:val="en-US"/>
        </w:rPr>
        <w:t xml:space="preserve">, the Commission notes that this year represents a setback in compliance with the recommendations </w:t>
      </w:r>
      <w:proofErr w:type="gramStart"/>
      <w:r w:rsidRPr="00CC562A">
        <w:rPr>
          <w:rFonts w:ascii="Cambria" w:eastAsia="Cambria" w:hAnsi="Cambria" w:cs="Cambria"/>
          <w:color w:val="000000" w:themeColor="text1"/>
          <w:sz w:val="20"/>
          <w:szCs w:val="20"/>
          <w:lang w:val="en-US"/>
        </w:rPr>
        <w:t>on the subject of citizen</w:t>
      </w:r>
      <w:proofErr w:type="gramEnd"/>
      <w:r w:rsidRPr="00CC562A">
        <w:rPr>
          <w:rFonts w:ascii="Cambria" w:eastAsia="Cambria" w:hAnsi="Cambria" w:cs="Cambria"/>
          <w:color w:val="000000" w:themeColor="text1"/>
          <w:sz w:val="20"/>
          <w:szCs w:val="20"/>
          <w:lang w:val="en-US"/>
        </w:rPr>
        <w:t xml:space="preserve"> security. In this regard, the Commission reiterates that the </w:t>
      </w:r>
      <w:r w:rsidR="00CC12E6" w:rsidRPr="00CC562A">
        <w:rPr>
          <w:rFonts w:ascii="Cambria" w:eastAsia="Cambria" w:hAnsi="Cambria" w:cs="Cambria"/>
          <w:color w:val="000000" w:themeColor="text1"/>
          <w:sz w:val="20"/>
          <w:szCs w:val="20"/>
          <w:lang w:val="en-US"/>
        </w:rPr>
        <w:t xml:space="preserve">consequence of the </w:t>
      </w:r>
      <w:r w:rsidRPr="00CC562A">
        <w:rPr>
          <w:rFonts w:ascii="Cambria" w:eastAsia="Cambria" w:hAnsi="Cambria" w:cs="Cambria"/>
          <w:color w:val="000000" w:themeColor="text1"/>
          <w:sz w:val="20"/>
          <w:szCs w:val="20"/>
          <w:lang w:val="en-US"/>
        </w:rPr>
        <w:t xml:space="preserve">situation of violence and insecurity in Mexico, </w:t>
      </w:r>
      <w:r w:rsidR="00CC12E6" w:rsidRPr="00CC562A">
        <w:rPr>
          <w:rFonts w:ascii="Cambria" w:eastAsia="Cambria" w:hAnsi="Cambria" w:cs="Cambria"/>
          <w:color w:val="000000" w:themeColor="text1"/>
          <w:sz w:val="20"/>
          <w:szCs w:val="20"/>
          <w:lang w:val="en-US"/>
        </w:rPr>
        <w:t>due to the activities of organized crime groups along with a militarized response</w:t>
      </w:r>
      <w:r w:rsidR="4B6147A3" w:rsidRPr="00CC562A">
        <w:rPr>
          <w:rFonts w:ascii="Cambria" w:hAnsi="Cambria"/>
          <w:sz w:val="20"/>
          <w:szCs w:val="20"/>
          <w:lang w:val="en-US"/>
        </w:rPr>
        <w:t xml:space="preserve">, </w:t>
      </w:r>
      <w:r w:rsidR="00CC12E6" w:rsidRPr="00CC562A">
        <w:rPr>
          <w:rFonts w:ascii="Cambria" w:hAnsi="Cambria"/>
          <w:sz w:val="20"/>
          <w:szCs w:val="20"/>
          <w:lang w:val="en-US"/>
        </w:rPr>
        <w:t>is an increase in serious human rights violations.</w:t>
      </w:r>
      <w:r w:rsidR="4B6147A3" w:rsidRPr="00CC562A">
        <w:rPr>
          <w:rFonts w:ascii="Cambria" w:hAnsi="Cambria"/>
          <w:sz w:val="20"/>
          <w:szCs w:val="20"/>
          <w:lang w:val="en-US"/>
        </w:rPr>
        <w:t xml:space="preserve"> </w:t>
      </w:r>
    </w:p>
    <w:p w14:paraId="41520265" w14:textId="44C7B26F" w:rsidR="00B13E1C" w:rsidRPr="00CC562A" w:rsidRDefault="4B6147A3"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A</w:t>
      </w:r>
      <w:r w:rsidR="00CC12E6" w:rsidRPr="00CC562A">
        <w:rPr>
          <w:rFonts w:ascii="Cambria" w:hAnsi="Cambria"/>
          <w:sz w:val="20"/>
          <w:szCs w:val="20"/>
          <w:lang w:val="en-US"/>
        </w:rPr>
        <w:t>s of</w:t>
      </w:r>
      <w:r w:rsidRPr="00CC562A">
        <w:rPr>
          <w:rFonts w:ascii="Cambria" w:hAnsi="Cambria"/>
          <w:sz w:val="20"/>
          <w:szCs w:val="20"/>
          <w:lang w:val="en-US"/>
        </w:rPr>
        <w:t xml:space="preserve"> 2022</w:t>
      </w:r>
      <w:r w:rsidR="00CC12E6" w:rsidRPr="00CC562A">
        <w:rPr>
          <w:rFonts w:ascii="Cambria" w:hAnsi="Cambria"/>
          <w:sz w:val="20"/>
          <w:szCs w:val="20"/>
          <w:lang w:val="en-US"/>
        </w:rPr>
        <w:t xml:space="preserve">, issues of particular concern continue to be the high number of disappearances and </w:t>
      </w:r>
      <w:r w:rsidR="00D36957" w:rsidRPr="00CC562A">
        <w:rPr>
          <w:rFonts w:ascii="Cambria" w:hAnsi="Cambria"/>
          <w:sz w:val="20"/>
          <w:szCs w:val="20"/>
          <w:lang w:val="en-US"/>
        </w:rPr>
        <w:t>homicides</w:t>
      </w:r>
      <w:r w:rsidR="00CC12E6" w:rsidRPr="00CC562A">
        <w:rPr>
          <w:rFonts w:ascii="Cambria" w:hAnsi="Cambria"/>
          <w:sz w:val="20"/>
          <w:szCs w:val="20"/>
          <w:lang w:val="en-US"/>
        </w:rPr>
        <w:t xml:space="preserve"> without proper investigation, as well as the insecure situation of</w:t>
      </w:r>
      <w:r w:rsidRPr="00CC562A">
        <w:rPr>
          <w:rFonts w:ascii="Cambria" w:hAnsi="Cambria"/>
          <w:sz w:val="20"/>
          <w:szCs w:val="20"/>
          <w:lang w:val="en-US"/>
        </w:rPr>
        <w:t xml:space="preserve"> </w:t>
      </w:r>
      <w:r w:rsidR="00D36957" w:rsidRPr="00CC562A">
        <w:rPr>
          <w:rFonts w:ascii="Cambria" w:hAnsi="Cambria"/>
          <w:sz w:val="20"/>
          <w:szCs w:val="20"/>
          <w:lang w:val="en-US"/>
        </w:rPr>
        <w:t>individuals</w:t>
      </w:r>
      <w:r w:rsidR="00CC12E6" w:rsidRPr="00CC562A">
        <w:rPr>
          <w:rFonts w:ascii="Cambria" w:hAnsi="Cambria"/>
          <w:sz w:val="20"/>
          <w:szCs w:val="20"/>
          <w:lang w:val="en-US"/>
        </w:rPr>
        <w:t xml:space="preserve"> or groups most exposed </w:t>
      </w:r>
      <w:r w:rsidR="00D36957" w:rsidRPr="00CC562A">
        <w:rPr>
          <w:rFonts w:ascii="Cambria" w:hAnsi="Cambria"/>
          <w:sz w:val="20"/>
          <w:szCs w:val="20"/>
          <w:lang w:val="en-US"/>
        </w:rPr>
        <w:t xml:space="preserve">due to </w:t>
      </w:r>
      <w:r w:rsidR="00CC12E6" w:rsidRPr="00CC562A">
        <w:rPr>
          <w:rFonts w:ascii="Cambria" w:hAnsi="Cambria"/>
          <w:sz w:val="20"/>
          <w:szCs w:val="20"/>
          <w:lang w:val="en-US"/>
        </w:rPr>
        <w:t>historical discrimination</w:t>
      </w:r>
      <w:r w:rsidR="00D36957" w:rsidRPr="00CC562A">
        <w:rPr>
          <w:rFonts w:ascii="Cambria" w:hAnsi="Cambria"/>
          <w:sz w:val="20"/>
          <w:szCs w:val="20"/>
          <w:lang w:val="en-US"/>
        </w:rPr>
        <w:t xml:space="preserve"> against them</w:t>
      </w:r>
      <w:r w:rsidR="00CC12E6" w:rsidRPr="00CC562A">
        <w:rPr>
          <w:rFonts w:ascii="Cambria" w:hAnsi="Cambria"/>
          <w:sz w:val="20"/>
          <w:szCs w:val="20"/>
          <w:lang w:val="en-US"/>
        </w:rPr>
        <w:t>. In this context, although the Commission appreciates the strengthening of the National Search Commission, the creation of the Extraordinary Forensic Identification Mechanism</w:t>
      </w:r>
      <w:r w:rsidR="00C43D19" w:rsidRPr="00CC562A">
        <w:rPr>
          <w:rFonts w:ascii="Cambria" w:hAnsi="Cambria"/>
          <w:sz w:val="20"/>
          <w:szCs w:val="20"/>
          <w:lang w:val="en-US"/>
        </w:rPr>
        <w:t>,</w:t>
      </w:r>
      <w:r w:rsidR="00CC12E6" w:rsidRPr="00CC562A">
        <w:rPr>
          <w:rFonts w:ascii="Cambria" w:hAnsi="Cambria"/>
          <w:sz w:val="20"/>
          <w:szCs w:val="20"/>
          <w:lang w:val="en-US"/>
        </w:rPr>
        <w:t xml:space="preserve"> and the Human Identification Centers, the coordination and commitment of prosecutor’s offices continues to be fundamental </w:t>
      </w:r>
      <w:r w:rsidR="005E1E89" w:rsidRPr="00CC562A">
        <w:rPr>
          <w:rFonts w:ascii="Cambria" w:hAnsi="Cambria"/>
          <w:sz w:val="20"/>
          <w:szCs w:val="20"/>
          <w:lang w:val="en-US"/>
        </w:rPr>
        <w:t>to working with these institutions. The prosecution also needs to provide for registries, systematization, and data processing.</w:t>
      </w:r>
      <w:r w:rsidRPr="00CC562A">
        <w:rPr>
          <w:rFonts w:ascii="Cambria" w:hAnsi="Cambria"/>
          <w:sz w:val="20"/>
          <w:szCs w:val="20"/>
          <w:lang w:val="en-US"/>
        </w:rPr>
        <w:t xml:space="preserve"> </w:t>
      </w:r>
      <w:r w:rsidR="00F108AA" w:rsidRPr="00CC562A">
        <w:rPr>
          <w:rFonts w:ascii="Cambria" w:hAnsi="Cambria"/>
          <w:sz w:val="20"/>
          <w:szCs w:val="20"/>
          <w:lang w:val="en-US"/>
        </w:rPr>
        <w:t>In addition,</w:t>
      </w:r>
      <w:r w:rsidRPr="00CC562A">
        <w:rPr>
          <w:rFonts w:ascii="Cambria" w:hAnsi="Cambria"/>
          <w:sz w:val="20"/>
          <w:szCs w:val="20"/>
          <w:lang w:val="en-US"/>
        </w:rPr>
        <w:t xml:space="preserve"> </w:t>
      </w:r>
      <w:r w:rsidR="005E1E89" w:rsidRPr="00CC562A">
        <w:rPr>
          <w:rFonts w:ascii="Cambria" w:hAnsi="Cambria"/>
          <w:sz w:val="20"/>
          <w:szCs w:val="20"/>
          <w:lang w:val="en-US"/>
        </w:rPr>
        <w:t xml:space="preserve">the Commission notes that, although the State has implemented actions to address the crisis of disappearances, </w:t>
      </w:r>
      <w:r w:rsidR="00D36957" w:rsidRPr="00CC562A">
        <w:rPr>
          <w:rFonts w:ascii="Cambria" w:hAnsi="Cambria"/>
          <w:sz w:val="20"/>
          <w:szCs w:val="20"/>
          <w:lang w:val="en-US"/>
        </w:rPr>
        <w:t>public prevention policies need to be implemented.</w:t>
      </w:r>
    </w:p>
    <w:p w14:paraId="0232BE07" w14:textId="6B43049D" w:rsidR="00B13E1C" w:rsidRPr="00CC562A" w:rsidRDefault="00D77397"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In relation</w:t>
      </w:r>
      <w:r w:rsidR="00D36957" w:rsidRPr="00CC562A">
        <w:rPr>
          <w:rFonts w:ascii="Cambria" w:hAnsi="Cambria"/>
          <w:sz w:val="20"/>
          <w:szCs w:val="20"/>
          <w:lang w:val="en-US"/>
        </w:rPr>
        <w:t xml:space="preserve"> to the recommendations </w:t>
      </w:r>
      <w:proofErr w:type="gramStart"/>
      <w:r w:rsidR="00D36957" w:rsidRPr="00CC562A">
        <w:rPr>
          <w:rFonts w:ascii="Cambria" w:hAnsi="Cambria"/>
          <w:sz w:val="20"/>
          <w:szCs w:val="20"/>
          <w:lang w:val="en-US"/>
        </w:rPr>
        <w:t>on the subject of torture</w:t>
      </w:r>
      <w:proofErr w:type="gramEnd"/>
      <w:r w:rsidR="00D36957" w:rsidRPr="00CC562A">
        <w:rPr>
          <w:rFonts w:ascii="Cambria" w:hAnsi="Cambria"/>
          <w:sz w:val="20"/>
          <w:szCs w:val="20"/>
          <w:lang w:val="en-US"/>
        </w:rPr>
        <w:t xml:space="preserve"> and extrajudicial executions, the Commission reiterates its concern with regard to the intervention of the </w:t>
      </w:r>
      <w:r w:rsidR="00D5781D" w:rsidRPr="00CC562A">
        <w:rPr>
          <w:rFonts w:ascii="Cambria" w:hAnsi="Cambria"/>
          <w:sz w:val="20"/>
          <w:szCs w:val="20"/>
          <w:lang w:val="en-US"/>
        </w:rPr>
        <w:t>armed forces</w:t>
      </w:r>
      <w:r w:rsidR="00D36957" w:rsidRPr="00CC562A">
        <w:rPr>
          <w:rFonts w:ascii="Cambria" w:hAnsi="Cambria"/>
          <w:sz w:val="20"/>
          <w:szCs w:val="20"/>
          <w:lang w:val="en-US"/>
        </w:rPr>
        <w:t xml:space="preserve"> in public security tasks and the implications of that intervention. Likewise, the Commission considers it important for the State to provide specific information on the information registries enabling the identification of </w:t>
      </w:r>
      <w:r w:rsidR="00F002CC" w:rsidRPr="00CC562A">
        <w:rPr>
          <w:rFonts w:ascii="Cambria" w:hAnsi="Cambria"/>
          <w:sz w:val="20"/>
          <w:szCs w:val="20"/>
          <w:lang w:val="en-US"/>
        </w:rPr>
        <w:t xml:space="preserve">uniform </w:t>
      </w:r>
      <w:r w:rsidR="00D36957" w:rsidRPr="00CC562A">
        <w:rPr>
          <w:rFonts w:ascii="Cambria" w:hAnsi="Cambria"/>
          <w:sz w:val="20"/>
          <w:szCs w:val="20"/>
          <w:lang w:val="en-US"/>
        </w:rPr>
        <w:t>figures and statistics on serious human rights violations</w:t>
      </w:r>
      <w:r w:rsidR="4B6147A3" w:rsidRPr="00CC562A">
        <w:rPr>
          <w:rFonts w:ascii="Cambria" w:hAnsi="Cambria"/>
          <w:sz w:val="20"/>
          <w:szCs w:val="20"/>
          <w:lang w:val="en-US"/>
        </w:rPr>
        <w:t xml:space="preserve">. </w:t>
      </w:r>
    </w:p>
    <w:p w14:paraId="6FB0C425" w14:textId="1019CEF1" w:rsidR="00B13E1C" w:rsidRPr="00CC562A" w:rsidRDefault="00D36957"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 xml:space="preserve">A significant challenge with respect to the Mexican State lies in the lack of access </w:t>
      </w:r>
      <w:r w:rsidR="00D77397" w:rsidRPr="00CC562A">
        <w:rPr>
          <w:rFonts w:ascii="Cambria" w:hAnsi="Cambria"/>
          <w:sz w:val="20"/>
          <w:szCs w:val="20"/>
          <w:lang w:val="en-US"/>
        </w:rPr>
        <w:t>to justice</w:t>
      </w:r>
      <w:r w:rsidRPr="00CC562A">
        <w:rPr>
          <w:rFonts w:ascii="Cambria" w:hAnsi="Cambria"/>
          <w:sz w:val="20"/>
          <w:szCs w:val="20"/>
          <w:lang w:val="en-US"/>
        </w:rPr>
        <w:t xml:space="preserve">. It is essential to redouble efforts to break the cycle of impunity </w:t>
      </w:r>
      <w:proofErr w:type="gramStart"/>
      <w:r w:rsidRPr="00CC562A">
        <w:rPr>
          <w:rFonts w:ascii="Cambria" w:hAnsi="Cambria"/>
          <w:sz w:val="20"/>
          <w:szCs w:val="20"/>
          <w:lang w:val="en-US"/>
        </w:rPr>
        <w:t>in order to</w:t>
      </w:r>
      <w:proofErr w:type="gramEnd"/>
      <w:r w:rsidRPr="00CC562A">
        <w:rPr>
          <w:rFonts w:ascii="Cambria" w:hAnsi="Cambria"/>
          <w:sz w:val="20"/>
          <w:szCs w:val="20"/>
          <w:lang w:val="en-US"/>
        </w:rPr>
        <w:t xml:space="preserve"> achieve effective prevention, </w:t>
      </w:r>
      <w:r w:rsidRPr="00CC562A">
        <w:rPr>
          <w:rFonts w:ascii="Cambria" w:hAnsi="Cambria"/>
          <w:sz w:val="20"/>
          <w:szCs w:val="20"/>
          <w:lang w:val="en-US"/>
        </w:rPr>
        <w:lastRenderedPageBreak/>
        <w:t>investigation, prosecution, and punishment of those responsible for human rights violations and thus to ensure that regulatory advances produce real changes in peoples’ daily lives</w:t>
      </w:r>
      <w:r w:rsidR="4B6147A3" w:rsidRPr="00CC562A">
        <w:rPr>
          <w:rFonts w:ascii="Cambria" w:hAnsi="Cambria"/>
          <w:sz w:val="20"/>
          <w:szCs w:val="20"/>
          <w:lang w:val="en-US"/>
        </w:rPr>
        <w:t xml:space="preserve">. </w:t>
      </w:r>
      <w:r w:rsidR="00276638" w:rsidRPr="00CC562A">
        <w:rPr>
          <w:rFonts w:ascii="Cambria" w:hAnsi="Cambria"/>
          <w:sz w:val="20"/>
          <w:szCs w:val="20"/>
          <w:lang w:val="en-US"/>
        </w:rPr>
        <w:t>The IACHR</w:t>
      </w:r>
      <w:r w:rsidR="4B6147A3" w:rsidRPr="00CC562A">
        <w:rPr>
          <w:rFonts w:ascii="Cambria" w:hAnsi="Cambria"/>
          <w:sz w:val="20"/>
          <w:szCs w:val="20"/>
          <w:lang w:val="en-US"/>
        </w:rPr>
        <w:t xml:space="preserve"> </w:t>
      </w:r>
      <w:r w:rsidRPr="00CC562A">
        <w:rPr>
          <w:rFonts w:ascii="Cambria" w:hAnsi="Cambria"/>
          <w:sz w:val="20"/>
          <w:szCs w:val="20"/>
          <w:lang w:val="en-US"/>
        </w:rPr>
        <w:t xml:space="preserve">emphasizes that the information submitted by the State does not contain information provided </w:t>
      </w:r>
      <w:r w:rsidR="00F002CC" w:rsidRPr="00CC562A">
        <w:rPr>
          <w:rFonts w:ascii="Cambria" w:hAnsi="Cambria"/>
          <w:sz w:val="20"/>
          <w:szCs w:val="20"/>
          <w:lang w:val="en-US"/>
        </w:rPr>
        <w:t xml:space="preserve">by </w:t>
      </w:r>
      <w:r w:rsidR="0096399B" w:rsidRPr="00CC562A">
        <w:rPr>
          <w:rFonts w:ascii="Cambria" w:hAnsi="Cambria"/>
          <w:sz w:val="20"/>
          <w:szCs w:val="20"/>
          <w:lang w:val="en-US"/>
        </w:rPr>
        <w:t>law enforcement agencies or concrete measures for eliminating the</w:t>
      </w:r>
      <w:r w:rsidR="4B6147A3" w:rsidRPr="00CC562A">
        <w:rPr>
          <w:rFonts w:ascii="Cambria" w:hAnsi="Cambria"/>
          <w:sz w:val="20"/>
          <w:szCs w:val="20"/>
          <w:lang w:val="en-US"/>
        </w:rPr>
        <w:t xml:space="preserve"> </w:t>
      </w:r>
      <w:r w:rsidR="0096399B" w:rsidRPr="00CC562A">
        <w:rPr>
          <w:rFonts w:ascii="Cambria" w:hAnsi="Cambria"/>
          <w:sz w:val="20"/>
          <w:szCs w:val="20"/>
          <w:lang w:val="en-US"/>
        </w:rPr>
        <w:t xml:space="preserve">concept of </w:t>
      </w:r>
      <w:proofErr w:type="spellStart"/>
      <w:r w:rsidR="0096399B" w:rsidRPr="00CC562A">
        <w:rPr>
          <w:rFonts w:ascii="Cambria" w:hAnsi="Cambria"/>
          <w:i/>
          <w:iCs/>
          <w:sz w:val="20"/>
          <w:szCs w:val="20"/>
          <w:lang w:val="en-US"/>
        </w:rPr>
        <w:t>arraigo</w:t>
      </w:r>
      <w:proofErr w:type="spellEnd"/>
      <w:r w:rsidR="0096399B" w:rsidRPr="00CC562A">
        <w:rPr>
          <w:rFonts w:ascii="Cambria" w:hAnsi="Cambria"/>
          <w:i/>
          <w:iCs/>
          <w:sz w:val="20"/>
          <w:szCs w:val="20"/>
          <w:lang w:val="en-US"/>
        </w:rPr>
        <w:t xml:space="preserve"> </w:t>
      </w:r>
      <w:r w:rsidR="0096399B" w:rsidRPr="00CC562A">
        <w:rPr>
          <w:rFonts w:ascii="Cambria" w:hAnsi="Cambria"/>
          <w:sz w:val="20"/>
          <w:szCs w:val="20"/>
          <w:lang w:val="en-US"/>
        </w:rPr>
        <w:t>from the Mexican legal system</w:t>
      </w:r>
      <w:r w:rsidR="4B6147A3" w:rsidRPr="00CC562A">
        <w:rPr>
          <w:rFonts w:ascii="Cambria" w:hAnsi="Cambria"/>
          <w:sz w:val="20"/>
          <w:szCs w:val="20"/>
          <w:lang w:val="en-US"/>
        </w:rPr>
        <w:t>.</w:t>
      </w:r>
    </w:p>
    <w:p w14:paraId="6B61A2B9" w14:textId="3FE8E436" w:rsidR="00B13E1C" w:rsidRPr="00CC562A" w:rsidRDefault="0096399B" w:rsidP="00001918">
      <w:pPr>
        <w:numPr>
          <w:ilvl w:val="0"/>
          <w:numId w:val="2"/>
        </w:numPr>
        <w:shd w:val="clear" w:color="auto" w:fill="FFFFFF" w:themeFill="background1"/>
        <w:spacing w:before="240" w:line="240" w:lineRule="auto"/>
        <w:ind w:left="0" w:firstLine="720"/>
        <w:jc w:val="both"/>
        <w:rPr>
          <w:rFonts w:ascii="Cambria" w:hAnsi="Cambria"/>
          <w:sz w:val="20"/>
          <w:szCs w:val="20"/>
          <w:lang w:val="en-US"/>
        </w:rPr>
      </w:pPr>
      <w:r w:rsidRPr="00CC562A">
        <w:rPr>
          <w:rFonts w:ascii="Cambria" w:hAnsi="Cambria"/>
          <w:sz w:val="20"/>
          <w:szCs w:val="20"/>
          <w:lang w:val="en-US"/>
        </w:rPr>
        <w:t>The Commission notes with concern the persistence of reports of threats and violence against human rights defenders and journalists. It is particularly concerned by the information provided by civil society regarding public comments made by State authorities against journalists and human rights defenders. In this regard, the</w:t>
      </w:r>
      <w:r w:rsidR="00276638" w:rsidRPr="00CC562A">
        <w:rPr>
          <w:rFonts w:ascii="Cambria" w:eastAsia="Cambria" w:hAnsi="Cambria" w:cs="Cambria"/>
          <w:color w:val="000000" w:themeColor="text1"/>
          <w:sz w:val="20"/>
          <w:szCs w:val="20"/>
          <w:lang w:val="en-US"/>
        </w:rPr>
        <w:t xml:space="preserve"> IACHR</w:t>
      </w:r>
      <w:r w:rsidR="4B6147A3" w:rsidRPr="00CC562A">
        <w:rPr>
          <w:rFonts w:ascii="Cambria" w:eastAsia="Cambria" w:hAnsi="Cambria" w:cs="Cambria"/>
          <w:color w:val="000000" w:themeColor="text1"/>
          <w:sz w:val="20"/>
          <w:szCs w:val="20"/>
          <w:lang w:val="en-US"/>
        </w:rPr>
        <w:t xml:space="preserve"> </w:t>
      </w:r>
      <w:proofErr w:type="gramStart"/>
      <w:r w:rsidRPr="00CC562A">
        <w:rPr>
          <w:rFonts w:ascii="Cambria" w:eastAsia="Cambria" w:hAnsi="Cambria" w:cs="Cambria"/>
          <w:color w:val="000000" w:themeColor="text1"/>
          <w:sz w:val="20"/>
          <w:szCs w:val="20"/>
          <w:lang w:val="en-US"/>
        </w:rPr>
        <w:t>is able to</w:t>
      </w:r>
      <w:proofErr w:type="gramEnd"/>
      <w:r w:rsidRPr="00CC562A">
        <w:rPr>
          <w:rFonts w:ascii="Cambria" w:eastAsia="Cambria" w:hAnsi="Cambria" w:cs="Cambria"/>
          <w:color w:val="000000" w:themeColor="text1"/>
          <w:sz w:val="20"/>
          <w:szCs w:val="20"/>
          <w:lang w:val="en-US"/>
        </w:rPr>
        <w:t xml:space="preserve"> note that, despite the existence of various regulatory provisions and public policies intended to guarantee the integrity of such individuals,</w:t>
      </w:r>
      <w:r w:rsidR="4B6147A3" w:rsidRPr="00CC562A">
        <w:rPr>
          <w:rFonts w:ascii="Cambria" w:eastAsia="Cambria" w:hAnsi="Cambria" w:cs="Cambria"/>
          <w:color w:val="000000" w:themeColor="text1"/>
          <w:sz w:val="20"/>
          <w:szCs w:val="20"/>
          <w:lang w:val="en-US"/>
        </w:rPr>
        <w:t xml:space="preserve"> </w:t>
      </w:r>
      <w:r w:rsidR="00752FED" w:rsidRPr="00CC562A">
        <w:rPr>
          <w:rFonts w:ascii="Cambria" w:eastAsia="Cambria" w:hAnsi="Cambria" w:cs="Cambria"/>
          <w:color w:val="000000" w:themeColor="text1"/>
          <w:sz w:val="20"/>
          <w:szCs w:val="20"/>
          <w:lang w:val="en-US"/>
        </w:rPr>
        <w:t>the State</w:t>
      </w:r>
      <w:r w:rsidR="4B6147A3" w:rsidRPr="00CC562A">
        <w:rPr>
          <w:rFonts w:ascii="Cambria" w:eastAsia="Cambria" w:hAnsi="Cambria" w:cs="Cambria"/>
          <w:color w:val="000000" w:themeColor="text1"/>
          <w:sz w:val="20"/>
          <w:szCs w:val="20"/>
          <w:lang w:val="en-US"/>
        </w:rPr>
        <w:t xml:space="preserve"> </w:t>
      </w:r>
      <w:r w:rsidRPr="00CC562A">
        <w:rPr>
          <w:rFonts w:ascii="Cambria" w:eastAsia="Cambria" w:hAnsi="Cambria" w:cs="Cambria"/>
          <w:color w:val="000000" w:themeColor="text1"/>
          <w:sz w:val="20"/>
          <w:szCs w:val="20"/>
          <w:lang w:val="en-US"/>
        </w:rPr>
        <w:t xml:space="preserve">must </w:t>
      </w:r>
      <w:r w:rsidR="00013477" w:rsidRPr="00CC562A">
        <w:rPr>
          <w:rFonts w:ascii="Cambria" w:eastAsia="Cambria" w:hAnsi="Cambria" w:cs="Cambria"/>
          <w:color w:val="000000" w:themeColor="text1"/>
          <w:sz w:val="20"/>
          <w:szCs w:val="20"/>
          <w:lang w:val="en-US"/>
        </w:rPr>
        <w:t>strengthen its efforts to ensure practical, appropriate, and widespread compliance with its regulatory framework in order to protect and guarantee the aforementioned human rights</w:t>
      </w:r>
      <w:r w:rsidR="4B6147A3" w:rsidRPr="00CC562A">
        <w:rPr>
          <w:rFonts w:ascii="Cambria" w:eastAsia="Cambria" w:hAnsi="Cambria" w:cs="Cambria"/>
          <w:color w:val="000000" w:themeColor="text1"/>
          <w:sz w:val="20"/>
          <w:szCs w:val="20"/>
          <w:lang w:val="en-US"/>
        </w:rPr>
        <w:t xml:space="preserve">. </w:t>
      </w:r>
    </w:p>
    <w:p w14:paraId="0352D809" w14:textId="7DE2CF7D" w:rsidR="00EB529C" w:rsidRPr="00CC562A" w:rsidRDefault="00013477" w:rsidP="00001918">
      <w:pPr>
        <w:numPr>
          <w:ilvl w:val="0"/>
          <w:numId w:val="2"/>
        </w:numPr>
        <w:shd w:val="clear" w:color="auto" w:fill="FFFFFF" w:themeFill="background1"/>
        <w:spacing w:before="240" w:line="240" w:lineRule="auto"/>
        <w:ind w:left="0" w:firstLine="720"/>
        <w:jc w:val="both"/>
        <w:rPr>
          <w:rFonts w:ascii="Cambria" w:eastAsia="Cambria" w:hAnsi="Cambria" w:cs="Cambria"/>
          <w:color w:val="000000" w:themeColor="text1"/>
          <w:sz w:val="20"/>
          <w:szCs w:val="20"/>
          <w:lang w:val="en-US"/>
        </w:rPr>
      </w:pPr>
      <w:r w:rsidRPr="00CC562A">
        <w:rPr>
          <w:rFonts w:ascii="Cambria" w:eastAsia="Cambria" w:hAnsi="Cambria" w:cs="Cambria"/>
          <w:color w:val="000000" w:themeColor="text1"/>
          <w:sz w:val="20"/>
          <w:szCs w:val="20"/>
          <w:lang w:val="en-US"/>
        </w:rPr>
        <w:t xml:space="preserve">Along the same lines, the Commission has noted that various population groups continue to live in a delicate state of </w:t>
      </w:r>
      <w:r w:rsidR="00D77397" w:rsidRPr="00CC562A">
        <w:rPr>
          <w:rFonts w:ascii="Cambria" w:eastAsia="Cambria" w:hAnsi="Cambria" w:cs="Cambria"/>
          <w:color w:val="000000" w:themeColor="text1"/>
          <w:sz w:val="20"/>
          <w:szCs w:val="20"/>
          <w:lang w:val="en-US"/>
        </w:rPr>
        <w:t>vulnerability,</w:t>
      </w:r>
      <w:r w:rsidRPr="00CC562A">
        <w:rPr>
          <w:rFonts w:ascii="Cambria" w:eastAsia="Cambria" w:hAnsi="Cambria" w:cs="Cambria"/>
          <w:color w:val="000000" w:themeColor="text1"/>
          <w:sz w:val="20"/>
          <w:szCs w:val="20"/>
          <w:lang w:val="en-US"/>
        </w:rPr>
        <w:t xml:space="preserve"> and it is a matter of particular concern that violence persists against LGB</w:t>
      </w:r>
      <w:r w:rsidR="00F002CC" w:rsidRPr="00CC562A">
        <w:rPr>
          <w:rFonts w:ascii="Cambria" w:eastAsia="Cambria" w:hAnsi="Cambria" w:cs="Cambria"/>
          <w:color w:val="000000" w:themeColor="text1"/>
          <w:sz w:val="20"/>
          <w:szCs w:val="20"/>
          <w:lang w:val="en-US"/>
        </w:rPr>
        <w:t>T</w:t>
      </w:r>
      <w:r w:rsidRPr="00CC562A">
        <w:rPr>
          <w:rFonts w:ascii="Cambria" w:eastAsia="Cambria" w:hAnsi="Cambria" w:cs="Cambria"/>
          <w:color w:val="000000" w:themeColor="text1"/>
          <w:sz w:val="20"/>
          <w:szCs w:val="20"/>
          <w:lang w:val="en-US"/>
        </w:rPr>
        <w:t>I persons, women, migrants, indigenous peoples, boy, girls, and adolescents in Mexico</w:t>
      </w:r>
      <w:r w:rsidR="4B6147A3" w:rsidRPr="00CC562A">
        <w:rPr>
          <w:rFonts w:ascii="Cambria" w:eastAsia="Cambria" w:hAnsi="Cambria" w:cs="Cambria"/>
          <w:color w:val="000000" w:themeColor="text1"/>
          <w:sz w:val="20"/>
          <w:szCs w:val="20"/>
          <w:lang w:val="en-US"/>
        </w:rPr>
        <w:t xml:space="preserve">. </w:t>
      </w:r>
      <w:r w:rsidR="00F108AA" w:rsidRPr="00CC562A">
        <w:rPr>
          <w:rFonts w:ascii="Cambria" w:eastAsia="Cambria" w:hAnsi="Cambria" w:cs="Cambria"/>
          <w:color w:val="000000" w:themeColor="text1"/>
          <w:sz w:val="20"/>
          <w:szCs w:val="20"/>
          <w:lang w:val="en-US"/>
        </w:rPr>
        <w:t>In addition,</w:t>
      </w:r>
      <w:r w:rsidR="4B6147A3" w:rsidRPr="00CC562A">
        <w:rPr>
          <w:rFonts w:ascii="Cambria" w:eastAsia="Cambria" w:hAnsi="Cambria" w:cs="Cambria"/>
          <w:color w:val="000000" w:themeColor="text1"/>
          <w:sz w:val="20"/>
          <w:szCs w:val="20"/>
          <w:lang w:val="en-US"/>
        </w:rPr>
        <w:t xml:space="preserve"> </w:t>
      </w:r>
      <w:r w:rsidRPr="00CC562A">
        <w:rPr>
          <w:rFonts w:ascii="Cambria" w:eastAsia="Cambria" w:hAnsi="Cambria" w:cs="Cambria"/>
          <w:color w:val="000000" w:themeColor="text1"/>
          <w:sz w:val="20"/>
          <w:szCs w:val="20"/>
          <w:lang w:val="en-US"/>
        </w:rPr>
        <w:t>the IACHR is concerned about the situation of private persons deprived of liberty as well as the lack of measures to reduce the use of pretrial detention in the county</w:t>
      </w:r>
      <w:r w:rsidR="4B6147A3" w:rsidRPr="00CC562A">
        <w:rPr>
          <w:rFonts w:ascii="Cambria" w:eastAsia="Cambria" w:hAnsi="Cambria" w:cs="Cambria"/>
          <w:color w:val="000000" w:themeColor="text1"/>
          <w:sz w:val="20"/>
          <w:szCs w:val="20"/>
          <w:lang w:val="en-US"/>
        </w:rPr>
        <w:t xml:space="preserve">. </w:t>
      </w:r>
    </w:p>
    <w:p w14:paraId="08FE09DC" w14:textId="314460A9" w:rsidR="004A0FDE" w:rsidRPr="00CC562A" w:rsidRDefault="00013477" w:rsidP="00E04F99">
      <w:pPr>
        <w:numPr>
          <w:ilvl w:val="0"/>
          <w:numId w:val="2"/>
        </w:numPr>
        <w:shd w:val="clear" w:color="auto" w:fill="FFFFFF" w:themeFill="background1"/>
        <w:spacing w:before="240" w:line="240" w:lineRule="auto"/>
        <w:ind w:left="0" w:firstLine="720"/>
        <w:jc w:val="both"/>
        <w:rPr>
          <w:rFonts w:ascii="Cambria" w:eastAsia="Cambria" w:hAnsi="Cambria" w:cs="Cambria"/>
          <w:sz w:val="20"/>
          <w:szCs w:val="20"/>
          <w:lang w:val="en-US"/>
        </w:rPr>
      </w:pPr>
      <w:r w:rsidRPr="00CC562A">
        <w:rPr>
          <w:rFonts w:ascii="Cambria" w:hAnsi="Cambria"/>
          <w:sz w:val="20"/>
          <w:szCs w:val="20"/>
          <w:lang w:val="en-US"/>
        </w:rPr>
        <w:t>Finally, the Commission is grateful for the information reported by the State and civil society organizations. The Commission notes the efforts reported by the State for effective compliance with the recommendations issued in the 2015 Country Report and the State’s willingness to continue working in coordination with the Commission to guarantee human rights in Mexico. In this regard, the Commission reaffirms its commitment to collaborat</w:t>
      </w:r>
      <w:r w:rsidR="00F002CC" w:rsidRPr="00CC562A">
        <w:rPr>
          <w:rFonts w:ascii="Cambria" w:hAnsi="Cambria"/>
          <w:sz w:val="20"/>
          <w:szCs w:val="20"/>
          <w:lang w:val="en-US"/>
        </w:rPr>
        <w:t xml:space="preserve">ing </w:t>
      </w:r>
      <w:r w:rsidRPr="00CC562A">
        <w:rPr>
          <w:rFonts w:ascii="Cambria" w:hAnsi="Cambria"/>
          <w:sz w:val="20"/>
          <w:szCs w:val="20"/>
          <w:lang w:val="en-US"/>
        </w:rPr>
        <w:t xml:space="preserve">with the Mexican State </w:t>
      </w:r>
      <w:r w:rsidR="0013407F" w:rsidRPr="00CC562A">
        <w:rPr>
          <w:rFonts w:ascii="Cambria" w:hAnsi="Cambria"/>
          <w:sz w:val="20"/>
          <w:szCs w:val="20"/>
          <w:lang w:val="en-US"/>
        </w:rPr>
        <w:t>i</w:t>
      </w:r>
      <w:r w:rsidRPr="00CC562A">
        <w:rPr>
          <w:rFonts w:ascii="Cambria" w:hAnsi="Cambria"/>
          <w:sz w:val="20"/>
          <w:szCs w:val="20"/>
          <w:lang w:val="en-US"/>
        </w:rPr>
        <w:t xml:space="preserve">n the search for solutions to the problems and challenges identified, as well as to </w:t>
      </w:r>
      <w:r w:rsidR="0013407F" w:rsidRPr="00CC562A">
        <w:rPr>
          <w:rFonts w:ascii="Cambria" w:hAnsi="Cambria"/>
          <w:sz w:val="20"/>
          <w:szCs w:val="20"/>
          <w:lang w:val="en-US"/>
        </w:rPr>
        <w:t xml:space="preserve">support its efforts to comply </w:t>
      </w:r>
      <w:r w:rsidRPr="00CC562A">
        <w:rPr>
          <w:rFonts w:ascii="Cambria" w:hAnsi="Cambria"/>
          <w:sz w:val="20"/>
          <w:szCs w:val="20"/>
          <w:lang w:val="en-US"/>
        </w:rPr>
        <w:t xml:space="preserve">with its international obligations </w:t>
      </w:r>
      <w:proofErr w:type="gramStart"/>
      <w:r w:rsidRPr="00CC562A">
        <w:rPr>
          <w:rFonts w:ascii="Cambria" w:hAnsi="Cambria"/>
          <w:sz w:val="20"/>
          <w:szCs w:val="20"/>
          <w:lang w:val="en-US"/>
        </w:rPr>
        <w:t>in the area of</w:t>
      </w:r>
      <w:proofErr w:type="gramEnd"/>
      <w:r w:rsidRPr="00CC562A">
        <w:rPr>
          <w:rFonts w:ascii="Cambria" w:hAnsi="Cambria"/>
          <w:sz w:val="20"/>
          <w:szCs w:val="20"/>
          <w:lang w:val="en-US"/>
        </w:rPr>
        <w:t xml:space="preserve"> human rights.</w:t>
      </w:r>
    </w:p>
    <w:sectPr w:rsidR="004A0FDE" w:rsidRPr="00CC562A" w:rsidSect="00570945">
      <w:headerReference w:type="default" r:id="rId13"/>
      <w:footerReference w:type="default" r:id="rId14"/>
      <w:footerReference w:type="first" r:id="rId15"/>
      <w:pgSz w:w="12240" w:h="15840"/>
      <w:pgMar w:top="1440" w:right="1440" w:bottom="1440" w:left="1440" w:header="708" w:footer="708" w:gutter="0"/>
      <w:pgNumType w:start="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B3B5" w14:textId="77777777" w:rsidR="009A110C" w:rsidRDefault="009A110C" w:rsidP="00672733">
      <w:r>
        <w:separator/>
      </w:r>
    </w:p>
  </w:endnote>
  <w:endnote w:type="continuationSeparator" w:id="0">
    <w:p w14:paraId="06B845E6" w14:textId="77777777" w:rsidR="009A110C" w:rsidRDefault="009A110C" w:rsidP="00672733">
      <w:r>
        <w:continuationSeparator/>
      </w:r>
    </w:p>
  </w:endnote>
  <w:endnote w:type="continuationNotice" w:id="1">
    <w:p w14:paraId="4A53F802" w14:textId="77777777" w:rsidR="009A110C" w:rsidRDefault="009A1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Spectral">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F123" w14:textId="77777777" w:rsidR="00F86AB4" w:rsidRDefault="00F86AB4" w:rsidP="00F86AB4">
    <w:pPr>
      <w:pStyle w:val="Footer"/>
      <w:tabs>
        <w:tab w:val="clear" w:pos="4680"/>
        <w:tab w:val="clear" w:pos="9360"/>
      </w:tabs>
      <w:rPr>
        <w:caps/>
        <w:color w:val="000000" w:themeColor="text1"/>
        <w:sz w:val="20"/>
        <w:szCs w:val="20"/>
      </w:rPr>
    </w:pPr>
  </w:p>
  <w:p w14:paraId="6D41E7DE" w14:textId="6487D60F" w:rsidR="00E516AB" w:rsidRPr="009C3AB7" w:rsidRDefault="00E516AB" w:rsidP="4D1A0B04">
    <w:pPr>
      <w:pStyle w:val="Footer"/>
      <w:tabs>
        <w:tab w:val="clear" w:pos="4680"/>
        <w:tab w:val="clear" w:pos="9360"/>
      </w:tabs>
      <w:jc w:val="center"/>
      <w:rPr>
        <w:rFonts w:ascii="Cambria" w:hAnsi="Cambria"/>
        <w:caps/>
        <w:noProof/>
        <w:color w:val="000000" w:themeColor="text1"/>
        <w:sz w:val="16"/>
        <w:szCs w:val="16"/>
      </w:rPr>
    </w:pPr>
    <w:r w:rsidRPr="009C3AB7">
      <w:rPr>
        <w:rFonts w:ascii="Cambria" w:hAnsi="Cambria"/>
        <w:caps/>
        <w:color w:val="000000" w:themeColor="text1"/>
        <w:sz w:val="16"/>
        <w:szCs w:val="16"/>
      </w:rPr>
      <w:fldChar w:fldCharType="begin"/>
    </w:r>
    <w:r w:rsidRPr="009C3AB7">
      <w:rPr>
        <w:rFonts w:ascii="Cambria" w:hAnsi="Cambria"/>
        <w:caps/>
        <w:color w:val="000000" w:themeColor="text1"/>
        <w:sz w:val="16"/>
        <w:szCs w:val="16"/>
      </w:rPr>
      <w:instrText xml:space="preserve"> PAGE   \* MERGEFORMAT </w:instrText>
    </w:r>
    <w:r w:rsidRPr="009C3AB7">
      <w:rPr>
        <w:rFonts w:ascii="Cambria" w:hAnsi="Cambria"/>
        <w:caps/>
        <w:color w:val="000000" w:themeColor="text1"/>
        <w:sz w:val="16"/>
        <w:szCs w:val="16"/>
      </w:rPr>
      <w:fldChar w:fldCharType="separate"/>
    </w:r>
    <w:r w:rsidR="4D1A0B04" w:rsidRPr="009C3AB7">
      <w:rPr>
        <w:rFonts w:ascii="Cambria" w:hAnsi="Cambria"/>
        <w:caps/>
        <w:color w:val="000000" w:themeColor="text1"/>
        <w:sz w:val="16"/>
        <w:szCs w:val="16"/>
      </w:rPr>
      <w:t>2</w:t>
    </w:r>
    <w:r w:rsidRPr="009C3AB7">
      <w:rPr>
        <w:rFonts w:ascii="Cambria" w:hAnsi="Cambria"/>
        <w:caps/>
        <w:color w:val="000000" w:themeColor="text1"/>
        <w:sz w:val="16"/>
        <w:szCs w:val="16"/>
      </w:rPr>
      <w:fldChar w:fldCharType="end"/>
    </w:r>
  </w:p>
  <w:p w14:paraId="51A13522" w14:textId="77777777" w:rsidR="00E516AB" w:rsidRDefault="00E51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CD22F8" w14:paraId="0C562BD8" w14:textId="77777777" w:rsidTr="4D1A0B04">
      <w:trPr>
        <w:trHeight w:val="300"/>
      </w:trPr>
      <w:tc>
        <w:tcPr>
          <w:tcW w:w="3120" w:type="dxa"/>
        </w:tcPr>
        <w:p w14:paraId="138577EE" w14:textId="34D2F056" w:rsidR="47CD22F8" w:rsidRDefault="47CD22F8" w:rsidP="00BE45B5">
          <w:pPr>
            <w:pStyle w:val="Header"/>
            <w:ind w:left="-115"/>
          </w:pPr>
        </w:p>
      </w:tc>
      <w:tc>
        <w:tcPr>
          <w:tcW w:w="3120" w:type="dxa"/>
        </w:tcPr>
        <w:p w14:paraId="39E32E39" w14:textId="2A6B3404" w:rsidR="47CD22F8" w:rsidRDefault="47CD22F8" w:rsidP="00BE45B5">
          <w:pPr>
            <w:pStyle w:val="Header"/>
            <w:jc w:val="center"/>
          </w:pPr>
        </w:p>
      </w:tc>
      <w:tc>
        <w:tcPr>
          <w:tcW w:w="3120" w:type="dxa"/>
        </w:tcPr>
        <w:p w14:paraId="0FE87528" w14:textId="3FA37E0C" w:rsidR="47CD22F8" w:rsidRDefault="47CD22F8" w:rsidP="00BE45B5">
          <w:pPr>
            <w:pStyle w:val="Header"/>
            <w:ind w:right="-115"/>
            <w:jc w:val="right"/>
          </w:pPr>
        </w:p>
      </w:tc>
    </w:tr>
  </w:tbl>
  <w:p w14:paraId="1869F355" w14:textId="4571B5A1" w:rsidR="47CD22F8" w:rsidRDefault="47CD22F8" w:rsidP="00BE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812" w14:textId="77777777" w:rsidR="009A110C" w:rsidRDefault="009A110C" w:rsidP="00672733">
      <w:r>
        <w:separator/>
      </w:r>
    </w:p>
  </w:footnote>
  <w:footnote w:type="continuationSeparator" w:id="0">
    <w:p w14:paraId="64A66908" w14:textId="77777777" w:rsidR="009A110C" w:rsidRDefault="009A110C" w:rsidP="00672733">
      <w:r>
        <w:continuationSeparator/>
      </w:r>
    </w:p>
  </w:footnote>
  <w:footnote w:type="continuationNotice" w:id="1">
    <w:p w14:paraId="422D1089" w14:textId="77777777" w:rsidR="009A110C" w:rsidRDefault="009A110C">
      <w:pPr>
        <w:spacing w:after="0" w:line="240" w:lineRule="auto"/>
      </w:pPr>
    </w:p>
  </w:footnote>
  <w:footnote w:id="2">
    <w:p w14:paraId="0D74CF84" w14:textId="0865C9C0" w:rsidR="003F7C70" w:rsidRPr="00CC562A" w:rsidRDefault="003F7C70"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00774F84" w:rsidRPr="00CC562A">
        <w:rPr>
          <w:rFonts w:ascii="Cambria" w:hAnsi="Cambria"/>
          <w:sz w:val="16"/>
          <w:szCs w:val="16"/>
          <w:vertAlign w:val="superscript"/>
          <w:lang w:val="en-US"/>
        </w:rPr>
        <w:t xml:space="preserve"> </w:t>
      </w:r>
      <w:r w:rsidR="004561C4" w:rsidRPr="00CC562A">
        <w:rPr>
          <w:rFonts w:ascii="Cambria" w:hAnsi="Cambria"/>
          <w:sz w:val="16"/>
          <w:szCs w:val="16"/>
          <w:lang w:val="en-US"/>
        </w:rPr>
        <w:t xml:space="preserve">Pursuant to Article </w:t>
      </w:r>
      <w:r w:rsidRPr="00CC562A">
        <w:rPr>
          <w:rFonts w:ascii="Cambria" w:hAnsi="Cambria"/>
          <w:sz w:val="16"/>
          <w:szCs w:val="16"/>
          <w:lang w:val="en-US"/>
        </w:rPr>
        <w:t>17</w:t>
      </w:r>
      <w:r w:rsidR="004561C4" w:rsidRPr="00CC562A">
        <w:rPr>
          <w:rFonts w:ascii="Cambria" w:hAnsi="Cambria"/>
          <w:sz w:val="16"/>
          <w:szCs w:val="16"/>
          <w:lang w:val="en-US"/>
        </w:rPr>
        <w:t>(2)(a) of the Commission’s Rules of Procedure, Commissioner</w:t>
      </w:r>
      <w:r w:rsidRPr="00CC562A">
        <w:rPr>
          <w:rFonts w:ascii="Cambria" w:hAnsi="Cambria"/>
          <w:sz w:val="16"/>
          <w:szCs w:val="16"/>
          <w:lang w:val="en-US"/>
        </w:rPr>
        <w:t xml:space="preserve"> Joel Hernández, </w:t>
      </w:r>
      <w:r w:rsidR="004561C4" w:rsidRPr="00CC562A">
        <w:rPr>
          <w:rFonts w:ascii="Cambria" w:hAnsi="Cambria"/>
          <w:sz w:val="16"/>
          <w:szCs w:val="16"/>
          <w:lang w:val="en-US"/>
        </w:rPr>
        <w:t>a Mexican national, did not participate in the discussion, investigation, deliberation, or approval of this report</w:t>
      </w:r>
      <w:r w:rsidRPr="00CC562A">
        <w:rPr>
          <w:rFonts w:ascii="Cambria" w:hAnsi="Cambria"/>
          <w:sz w:val="16"/>
          <w:szCs w:val="16"/>
          <w:lang w:val="en-US"/>
        </w:rPr>
        <w:t>.</w:t>
      </w:r>
    </w:p>
  </w:footnote>
  <w:footnote w:id="3">
    <w:p w14:paraId="30D56299" w14:textId="41E2DC88" w:rsidR="007A03E5" w:rsidRPr="007A03E5" w:rsidRDefault="007A03E5" w:rsidP="007A03E5">
      <w:pPr>
        <w:pStyle w:val="FootnoteText"/>
        <w:ind w:firstLine="720"/>
        <w:rPr>
          <w:lang w:val="en-US"/>
        </w:rPr>
      </w:pPr>
      <w:r>
        <w:rPr>
          <w:rStyle w:val="FootnoteReference"/>
        </w:rPr>
        <w:footnoteRef/>
      </w:r>
      <w:r w:rsidRPr="007A03E5">
        <w:rPr>
          <w:lang w:val="en-US"/>
        </w:rPr>
        <w:t xml:space="preserve"> </w:t>
      </w:r>
      <w:r w:rsidRPr="007A03E5">
        <w:rPr>
          <w:rStyle w:val="ui-provider"/>
          <w:lang w:val="en-US"/>
        </w:rPr>
        <w:t>Commissioner Carlos Bernal Pulido approved the report and issued a partial reasoned vote. This reasoned vote is available at the Executive Secretariat of the IACHR.</w:t>
      </w:r>
    </w:p>
  </w:footnote>
  <w:footnote w:id="4">
    <w:p w14:paraId="45B9B54F" w14:textId="27DBFD9A" w:rsidR="003F7C70" w:rsidRPr="00CC562A" w:rsidRDefault="003F7C70"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7700E6" w:rsidRPr="00CC562A">
        <w:rPr>
          <w:rFonts w:ascii="Cambria" w:hAnsi="Cambria"/>
          <w:sz w:val="16"/>
          <w:szCs w:val="16"/>
          <w:lang w:val="en-US"/>
        </w:rPr>
        <w:t xml:space="preserve">Progress report of the </w:t>
      </w:r>
      <w:r w:rsidR="004561C4" w:rsidRPr="00CC562A">
        <w:rPr>
          <w:rFonts w:ascii="Cambria" w:hAnsi="Cambria"/>
          <w:sz w:val="16"/>
          <w:szCs w:val="16"/>
          <w:lang w:val="en-US"/>
        </w:rPr>
        <w:t>Mexican State</w:t>
      </w:r>
      <w:r w:rsidR="007700E6" w:rsidRPr="00CC562A">
        <w:rPr>
          <w:rFonts w:ascii="Cambria" w:hAnsi="Cambria"/>
          <w:sz w:val="16"/>
          <w:szCs w:val="16"/>
          <w:lang w:val="en-US"/>
        </w:rPr>
        <w:t xml:space="preserve"> on </w:t>
      </w:r>
      <w:r w:rsidR="004561C4" w:rsidRPr="00CC562A">
        <w:rPr>
          <w:rFonts w:ascii="Cambria" w:hAnsi="Cambria"/>
          <w:sz w:val="16"/>
          <w:szCs w:val="16"/>
          <w:lang w:val="en-US"/>
        </w:rPr>
        <w:t xml:space="preserve">compliance with and follow-up </w:t>
      </w:r>
      <w:r w:rsidR="007700E6" w:rsidRPr="00CC562A">
        <w:rPr>
          <w:rFonts w:ascii="Cambria" w:hAnsi="Cambria"/>
          <w:sz w:val="16"/>
          <w:szCs w:val="16"/>
          <w:lang w:val="en-US"/>
        </w:rPr>
        <w:t>to the recommendations of the</w:t>
      </w:r>
      <w:r w:rsidR="004561C4" w:rsidRPr="00CC562A">
        <w:rPr>
          <w:rFonts w:ascii="Cambria" w:hAnsi="Cambria"/>
          <w:sz w:val="16"/>
          <w:szCs w:val="16"/>
          <w:lang w:val="en-US"/>
        </w:rPr>
        <w:t xml:space="preserve"> IACHR. Chapter</w:t>
      </w:r>
      <w:r w:rsidRPr="00CC562A">
        <w:rPr>
          <w:rFonts w:ascii="Cambria" w:hAnsi="Cambria"/>
          <w:sz w:val="16"/>
          <w:szCs w:val="16"/>
          <w:lang w:val="en-US"/>
        </w:rPr>
        <w:t xml:space="preserve"> V, </w:t>
      </w:r>
      <w:r w:rsidR="004561C4" w:rsidRPr="00CC562A">
        <w:rPr>
          <w:rFonts w:ascii="Cambria" w:hAnsi="Cambria"/>
          <w:sz w:val="16"/>
          <w:szCs w:val="16"/>
          <w:lang w:val="en-US"/>
        </w:rPr>
        <w:t xml:space="preserve">October </w:t>
      </w:r>
      <w:r w:rsidRPr="00CC562A">
        <w:rPr>
          <w:rFonts w:ascii="Cambria" w:hAnsi="Cambria"/>
          <w:sz w:val="16"/>
          <w:szCs w:val="16"/>
          <w:lang w:val="en-US"/>
        </w:rPr>
        <w:t>202</w:t>
      </w:r>
      <w:r w:rsidR="00880673" w:rsidRPr="00CC562A">
        <w:rPr>
          <w:rFonts w:ascii="Cambria" w:hAnsi="Cambria"/>
          <w:sz w:val="16"/>
          <w:szCs w:val="16"/>
          <w:lang w:val="en-US"/>
        </w:rPr>
        <w:t>2</w:t>
      </w:r>
      <w:r w:rsidR="00A8275D" w:rsidRPr="00CC562A">
        <w:rPr>
          <w:rFonts w:ascii="Cambria" w:hAnsi="Cambria"/>
          <w:sz w:val="16"/>
          <w:szCs w:val="16"/>
          <w:lang w:val="en-US"/>
        </w:rPr>
        <w:t xml:space="preserve"> </w:t>
      </w:r>
      <w:r w:rsidR="004561C4" w:rsidRPr="00CC562A">
        <w:rPr>
          <w:rFonts w:ascii="Cambria" w:hAnsi="Cambria"/>
          <w:sz w:val="16"/>
          <w:szCs w:val="16"/>
          <w:lang w:val="en-US"/>
        </w:rPr>
        <w:t>through</w:t>
      </w:r>
      <w:r w:rsidR="00CE0ACD" w:rsidRPr="00CC562A">
        <w:rPr>
          <w:rFonts w:ascii="Cambria" w:hAnsi="Cambria"/>
          <w:sz w:val="16"/>
          <w:szCs w:val="16"/>
          <w:lang w:val="en-US"/>
        </w:rPr>
        <w:t xml:space="preserve"> Inter-American </w:t>
      </w:r>
      <w:r w:rsidR="00A8275D" w:rsidRPr="00CC562A">
        <w:rPr>
          <w:rFonts w:ascii="Cambria" w:hAnsi="Cambria"/>
          <w:sz w:val="16"/>
          <w:szCs w:val="16"/>
          <w:lang w:val="en-US"/>
        </w:rPr>
        <w:t>SIMORE</w:t>
      </w:r>
      <w:r w:rsidR="00CE0ACD" w:rsidRPr="00CC562A">
        <w:rPr>
          <w:rFonts w:ascii="Cambria" w:hAnsi="Cambria"/>
          <w:sz w:val="16"/>
          <w:szCs w:val="16"/>
          <w:lang w:val="en-US"/>
        </w:rPr>
        <w:t>.</w:t>
      </w:r>
    </w:p>
  </w:footnote>
  <w:footnote w:id="5">
    <w:p w14:paraId="62B56E30" w14:textId="1E41092D" w:rsidR="009E3C37" w:rsidRPr="00CC562A" w:rsidRDefault="003F7C70"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00327716" w:rsidRPr="00CC562A">
        <w:rPr>
          <w:rFonts w:ascii="Cambria" w:hAnsi="Cambria"/>
          <w:sz w:val="16"/>
          <w:szCs w:val="16"/>
          <w:lang w:val="en-US"/>
        </w:rPr>
        <w:t>The IACHR received information submitted by the Mexican Commission for the Defense and Promotion of Human Rights (hereinafter</w:t>
      </w:r>
      <w:r w:rsidRPr="00CC562A">
        <w:rPr>
          <w:rFonts w:ascii="Cambria" w:hAnsi="Cambria"/>
          <w:sz w:val="16"/>
          <w:szCs w:val="16"/>
          <w:lang w:val="en-US"/>
        </w:rPr>
        <w:t xml:space="preserve"> “CMDPDH”)</w:t>
      </w:r>
      <w:r w:rsidR="00D43046" w:rsidRPr="00CC562A">
        <w:rPr>
          <w:rFonts w:ascii="Cambria" w:hAnsi="Cambria"/>
          <w:sz w:val="16"/>
          <w:szCs w:val="16"/>
          <w:lang w:val="en-US"/>
        </w:rPr>
        <w:t xml:space="preserve">, </w:t>
      </w:r>
      <w:r w:rsidR="00327716" w:rsidRPr="00CC562A">
        <w:rPr>
          <w:rFonts w:ascii="Cambria" w:hAnsi="Cambria"/>
          <w:sz w:val="16"/>
          <w:szCs w:val="16"/>
          <w:lang w:val="en-US"/>
        </w:rPr>
        <w:t>the Miguel</w:t>
      </w:r>
      <w:r w:rsidR="00D43046" w:rsidRPr="00CC562A">
        <w:rPr>
          <w:rFonts w:ascii="Cambria" w:hAnsi="Cambria"/>
          <w:sz w:val="16"/>
          <w:szCs w:val="16"/>
          <w:lang w:val="en-US"/>
        </w:rPr>
        <w:t xml:space="preserve"> Agustín Pro Juárez </w:t>
      </w:r>
      <w:r w:rsidR="00327716" w:rsidRPr="00CC562A">
        <w:rPr>
          <w:rFonts w:ascii="Cambria" w:hAnsi="Cambria"/>
          <w:sz w:val="16"/>
          <w:szCs w:val="16"/>
          <w:lang w:val="en-US"/>
        </w:rPr>
        <w:t>Human Rights Center (hereinafter the</w:t>
      </w:r>
      <w:r w:rsidR="00D43046" w:rsidRPr="00CC562A">
        <w:rPr>
          <w:rFonts w:ascii="Cambria" w:hAnsi="Cambria"/>
          <w:sz w:val="16"/>
          <w:szCs w:val="16"/>
          <w:lang w:val="en-US"/>
        </w:rPr>
        <w:t xml:space="preserve"> “</w:t>
      </w:r>
      <w:r w:rsidR="00327716" w:rsidRPr="00CC562A">
        <w:rPr>
          <w:rFonts w:ascii="Cambria" w:hAnsi="Cambria"/>
          <w:sz w:val="16"/>
          <w:szCs w:val="16"/>
          <w:lang w:val="en-US"/>
        </w:rPr>
        <w:t>PRODH Center</w:t>
      </w:r>
      <w:r w:rsidR="00D43046" w:rsidRPr="00CC562A">
        <w:rPr>
          <w:rFonts w:ascii="Cambria" w:hAnsi="Cambria"/>
          <w:sz w:val="16"/>
          <w:szCs w:val="16"/>
          <w:lang w:val="en-US"/>
        </w:rPr>
        <w:t xml:space="preserve">”), EQUIS </w:t>
      </w:r>
      <w:r w:rsidR="00327716" w:rsidRPr="00CC562A">
        <w:rPr>
          <w:rFonts w:ascii="Cambria" w:hAnsi="Cambria"/>
          <w:sz w:val="16"/>
          <w:szCs w:val="16"/>
          <w:lang w:val="en-US"/>
        </w:rPr>
        <w:t>Justice for Women (hereinafter</w:t>
      </w:r>
      <w:r w:rsidR="00D43046" w:rsidRPr="00CC562A">
        <w:rPr>
          <w:rFonts w:ascii="Cambria" w:hAnsi="Cambria"/>
          <w:sz w:val="16"/>
          <w:szCs w:val="16"/>
          <w:lang w:val="en-US"/>
        </w:rPr>
        <w:t xml:space="preserve"> “EQUIS”), </w:t>
      </w:r>
      <w:proofErr w:type="spellStart"/>
      <w:r w:rsidR="00D43046" w:rsidRPr="00CC562A">
        <w:rPr>
          <w:rFonts w:ascii="Cambria" w:hAnsi="Cambria"/>
          <w:sz w:val="16"/>
          <w:szCs w:val="16"/>
          <w:lang w:val="en-US"/>
        </w:rPr>
        <w:t>Servicios</w:t>
      </w:r>
      <w:proofErr w:type="spellEnd"/>
      <w:r w:rsidR="00D43046" w:rsidRPr="00CC562A">
        <w:rPr>
          <w:rFonts w:ascii="Cambria" w:hAnsi="Cambria"/>
          <w:sz w:val="16"/>
          <w:szCs w:val="16"/>
          <w:lang w:val="en-US"/>
        </w:rPr>
        <w:t xml:space="preserve"> y </w:t>
      </w:r>
      <w:proofErr w:type="spellStart"/>
      <w:r w:rsidR="00D43046" w:rsidRPr="00CC562A">
        <w:rPr>
          <w:rFonts w:ascii="Cambria" w:hAnsi="Cambria"/>
          <w:sz w:val="16"/>
          <w:szCs w:val="16"/>
          <w:lang w:val="en-US"/>
        </w:rPr>
        <w:t>Asesoría</w:t>
      </w:r>
      <w:proofErr w:type="spellEnd"/>
      <w:r w:rsidR="00D43046" w:rsidRPr="00CC562A">
        <w:rPr>
          <w:rFonts w:ascii="Cambria" w:hAnsi="Cambria"/>
          <w:sz w:val="16"/>
          <w:szCs w:val="16"/>
          <w:lang w:val="en-US"/>
        </w:rPr>
        <w:t xml:space="preserve"> para la Paz (</w:t>
      </w:r>
      <w:r w:rsidR="00327716" w:rsidRPr="00CC562A">
        <w:rPr>
          <w:rFonts w:ascii="Cambria" w:hAnsi="Cambria"/>
          <w:sz w:val="16"/>
          <w:szCs w:val="16"/>
          <w:lang w:val="en-US"/>
        </w:rPr>
        <w:t>hereinafter</w:t>
      </w:r>
      <w:r w:rsidR="00D43046" w:rsidRPr="00CC562A">
        <w:rPr>
          <w:rFonts w:ascii="Cambria" w:hAnsi="Cambria"/>
          <w:sz w:val="16"/>
          <w:szCs w:val="16"/>
          <w:lang w:val="en-US"/>
        </w:rPr>
        <w:t xml:space="preserve"> “SERAPAZ”),</w:t>
      </w:r>
      <w:r w:rsidR="00327716" w:rsidRPr="00CC562A">
        <w:rPr>
          <w:rFonts w:ascii="Cambria" w:hAnsi="Cambria"/>
          <w:sz w:val="16"/>
          <w:szCs w:val="16"/>
          <w:lang w:val="en-US"/>
        </w:rPr>
        <w:t xml:space="preserve"> </w:t>
      </w:r>
      <w:r w:rsidR="00D43046" w:rsidRPr="00CC562A">
        <w:rPr>
          <w:rFonts w:ascii="Cambria" w:hAnsi="Cambria"/>
          <w:sz w:val="16"/>
          <w:szCs w:val="16"/>
          <w:lang w:val="en-US"/>
        </w:rPr>
        <w:t xml:space="preserve">IDHEAS </w:t>
      </w:r>
      <w:r w:rsidR="00BD3B35" w:rsidRPr="00CC562A">
        <w:rPr>
          <w:rFonts w:ascii="Cambria" w:hAnsi="Cambria"/>
          <w:sz w:val="16"/>
          <w:szCs w:val="16"/>
          <w:lang w:val="en-US"/>
        </w:rPr>
        <w:t>Strategic Human Rights Litigation</w:t>
      </w:r>
      <w:r w:rsidR="00D43046" w:rsidRPr="00CC562A">
        <w:rPr>
          <w:rFonts w:ascii="Cambria" w:hAnsi="Cambria"/>
          <w:sz w:val="16"/>
          <w:szCs w:val="16"/>
          <w:lang w:val="en-US"/>
        </w:rPr>
        <w:t xml:space="preserve"> (</w:t>
      </w:r>
      <w:r w:rsidR="0015647A" w:rsidRPr="00CC562A">
        <w:rPr>
          <w:rFonts w:ascii="Cambria" w:hAnsi="Cambria"/>
          <w:sz w:val="16"/>
          <w:szCs w:val="16"/>
          <w:lang w:val="en-US"/>
        </w:rPr>
        <w:t>hereinafter</w:t>
      </w:r>
      <w:r w:rsidR="00D43046" w:rsidRPr="00CC562A">
        <w:rPr>
          <w:rFonts w:ascii="Cambria" w:hAnsi="Cambria"/>
          <w:sz w:val="16"/>
          <w:szCs w:val="16"/>
          <w:lang w:val="en-US"/>
        </w:rPr>
        <w:t xml:space="preserve"> “IDHEAS”), </w:t>
      </w:r>
      <w:proofErr w:type="spellStart"/>
      <w:r w:rsidR="00D43046" w:rsidRPr="00CC562A">
        <w:rPr>
          <w:rFonts w:ascii="Cambria" w:hAnsi="Cambria"/>
          <w:sz w:val="16"/>
          <w:szCs w:val="16"/>
          <w:lang w:val="en-US"/>
        </w:rPr>
        <w:t>Comunicación</w:t>
      </w:r>
      <w:proofErr w:type="spellEnd"/>
      <w:r w:rsidR="00D43046" w:rsidRPr="00CC562A">
        <w:rPr>
          <w:rFonts w:ascii="Cambria" w:hAnsi="Cambria"/>
          <w:sz w:val="16"/>
          <w:szCs w:val="16"/>
          <w:lang w:val="en-US"/>
        </w:rPr>
        <w:t xml:space="preserve"> e </w:t>
      </w:r>
      <w:proofErr w:type="spellStart"/>
      <w:r w:rsidR="00D43046" w:rsidRPr="00CC562A">
        <w:rPr>
          <w:rFonts w:ascii="Cambria" w:hAnsi="Cambria"/>
          <w:sz w:val="16"/>
          <w:szCs w:val="16"/>
          <w:lang w:val="en-US"/>
        </w:rPr>
        <w:t>Información</w:t>
      </w:r>
      <w:proofErr w:type="spellEnd"/>
      <w:r w:rsidR="00D43046" w:rsidRPr="00CC562A">
        <w:rPr>
          <w:rFonts w:ascii="Cambria" w:hAnsi="Cambria"/>
          <w:sz w:val="16"/>
          <w:szCs w:val="16"/>
          <w:lang w:val="en-US"/>
        </w:rPr>
        <w:t xml:space="preserve"> de la Mujer (</w:t>
      </w:r>
      <w:r w:rsidR="0015647A" w:rsidRPr="00CC562A">
        <w:rPr>
          <w:rFonts w:ascii="Cambria" w:hAnsi="Cambria"/>
          <w:sz w:val="16"/>
          <w:szCs w:val="16"/>
          <w:lang w:val="en-US"/>
        </w:rPr>
        <w:t>hereinafter</w:t>
      </w:r>
      <w:r w:rsidR="00D43046" w:rsidRPr="00CC562A">
        <w:rPr>
          <w:rFonts w:ascii="Cambria" w:hAnsi="Cambria"/>
          <w:sz w:val="16"/>
          <w:szCs w:val="16"/>
          <w:lang w:val="en-US"/>
        </w:rPr>
        <w:t xml:space="preserve"> “CIMAQ”), </w:t>
      </w:r>
      <w:r w:rsidR="00BD3B35" w:rsidRPr="00CC562A">
        <w:rPr>
          <w:rFonts w:ascii="Cambria" w:hAnsi="Cambria"/>
          <w:sz w:val="16"/>
          <w:szCs w:val="16"/>
          <w:lang w:val="en-US"/>
        </w:rPr>
        <w:t>Reporters without Borders</w:t>
      </w:r>
      <w:r w:rsidR="000406B4" w:rsidRPr="00CC562A">
        <w:rPr>
          <w:rFonts w:ascii="Cambria" w:hAnsi="Cambria"/>
          <w:sz w:val="16"/>
          <w:szCs w:val="16"/>
          <w:lang w:val="en-US"/>
        </w:rPr>
        <w:t xml:space="preserve">, </w:t>
      </w:r>
      <w:r w:rsidR="0015647A" w:rsidRPr="00CC562A">
        <w:rPr>
          <w:rFonts w:ascii="Cambria" w:hAnsi="Cambria"/>
          <w:sz w:val="16"/>
          <w:szCs w:val="16"/>
          <w:lang w:val="en-US"/>
        </w:rPr>
        <w:t>and Article</w:t>
      </w:r>
      <w:r w:rsidR="00D43046" w:rsidRPr="00CC562A">
        <w:rPr>
          <w:rFonts w:ascii="Cambria" w:hAnsi="Cambria"/>
          <w:sz w:val="16"/>
          <w:szCs w:val="16"/>
          <w:lang w:val="en-US"/>
        </w:rPr>
        <w:t xml:space="preserve"> 19.</w:t>
      </w:r>
    </w:p>
  </w:footnote>
  <w:footnote w:id="6">
    <w:p w14:paraId="3BEA898E" w14:textId="6C197BEE" w:rsidR="00C51D63" w:rsidRPr="002A1540" w:rsidRDefault="00C51D63">
      <w:pPr>
        <w:pStyle w:val="FootnoteText"/>
        <w:rPr>
          <w:lang w:val="en-US"/>
        </w:rPr>
      </w:pPr>
      <w:r>
        <w:rPr>
          <w:rStyle w:val="FootnoteReference"/>
        </w:rPr>
        <w:footnoteRef/>
      </w:r>
      <w:r w:rsidRPr="00C51D63">
        <w:rPr>
          <w:lang w:val="en-US"/>
        </w:rPr>
        <w:t xml:space="preserve"> </w:t>
      </w:r>
      <w:r w:rsidR="002A1540" w:rsidRPr="002A1540">
        <w:rPr>
          <w:lang w:val="en-US"/>
        </w:rPr>
        <w:t xml:space="preserve">State of </w:t>
      </w:r>
      <w:r w:rsidR="002A1540">
        <w:rPr>
          <w:lang w:val="en-US"/>
        </w:rPr>
        <w:t>Mexico</w:t>
      </w:r>
      <w:r w:rsidR="002A1540" w:rsidRPr="002A1540">
        <w:rPr>
          <w:lang w:val="en-US"/>
        </w:rPr>
        <w:t xml:space="preserve">, </w:t>
      </w:r>
      <w:hyperlink r:id="rId1" w:history="1">
        <w:r w:rsidR="002A1540" w:rsidRPr="00146246">
          <w:rPr>
            <w:rStyle w:val="Hyperlink"/>
            <w:lang w:val="en-US"/>
          </w:rPr>
          <w:t>Observations and comments on the draft Chapter V on follow-up on the recommendations made by the Inter-American Commission on Human Rights in its “Situation of human rights in Mexico” report</w:t>
        </w:r>
      </w:hyperlink>
      <w:r w:rsidR="00146246">
        <w:rPr>
          <w:lang w:val="en-US"/>
        </w:rPr>
        <w:t xml:space="preserve">. </w:t>
      </w:r>
      <w:r w:rsidR="00146246" w:rsidRPr="00146246">
        <w:rPr>
          <w:lang w:val="en-US"/>
        </w:rPr>
        <w:t>February 17, 2023</w:t>
      </w:r>
      <w:r w:rsidR="00146246">
        <w:rPr>
          <w:lang w:val="en-US"/>
        </w:rPr>
        <w:t>.</w:t>
      </w:r>
    </w:p>
  </w:footnote>
  <w:footnote w:id="7">
    <w:p w14:paraId="260B5101" w14:textId="6AD3EC91" w:rsidR="003F7C70" w:rsidRPr="00CC562A" w:rsidRDefault="003F7C70"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15647A" w:rsidRPr="00CC562A">
        <w:rPr>
          <w:rFonts w:ascii="Cambria" w:hAnsi="Cambria"/>
          <w:sz w:val="16"/>
          <w:szCs w:val="16"/>
          <w:lang w:val="en-US"/>
        </w:rPr>
        <w:t>IACHR</w:t>
      </w:r>
      <w:r w:rsidRPr="00CC562A">
        <w:rPr>
          <w:rFonts w:ascii="Cambria" w:hAnsi="Cambria"/>
          <w:sz w:val="16"/>
          <w:szCs w:val="16"/>
          <w:lang w:val="en-US"/>
        </w:rPr>
        <w:t xml:space="preserve">, </w:t>
      </w:r>
      <w:hyperlink r:id="rId2">
        <w:r w:rsidR="00E11440" w:rsidRPr="00CC562A">
          <w:rPr>
            <w:rFonts w:ascii="Cambria" w:hAnsi="Cambria"/>
            <w:color w:val="0000FF"/>
            <w:sz w:val="16"/>
            <w:szCs w:val="16"/>
            <w:u w:val="single"/>
            <w:lang w:val="en-US"/>
          </w:rPr>
          <w:t>General Guidelines on the Follow-up of Recommendations and Decisions of the Inter-American Commission on Human Rights</w:t>
        </w:r>
      </w:hyperlink>
      <w:r w:rsidRPr="00CC562A">
        <w:rPr>
          <w:rFonts w:ascii="Cambria" w:hAnsi="Cambria"/>
          <w:sz w:val="16"/>
          <w:szCs w:val="16"/>
          <w:lang w:val="en-US"/>
        </w:rPr>
        <w:t>, OEA/</w:t>
      </w:r>
      <w:proofErr w:type="spellStart"/>
      <w:r w:rsidRPr="00CC562A">
        <w:rPr>
          <w:rFonts w:ascii="Cambria" w:hAnsi="Cambria"/>
          <w:sz w:val="16"/>
          <w:szCs w:val="16"/>
          <w:lang w:val="en-US"/>
        </w:rPr>
        <w:t>Ser.L</w:t>
      </w:r>
      <w:proofErr w:type="spellEnd"/>
      <w:r w:rsidRPr="00CC562A">
        <w:rPr>
          <w:rFonts w:ascii="Cambria" w:hAnsi="Cambria"/>
          <w:sz w:val="16"/>
          <w:szCs w:val="16"/>
          <w:lang w:val="en-US"/>
        </w:rPr>
        <w:t xml:space="preserve">/V/II.173 Doc. 177, </w:t>
      </w:r>
      <w:r w:rsidR="00E11440" w:rsidRPr="00CC562A">
        <w:rPr>
          <w:rFonts w:ascii="Cambria" w:hAnsi="Cambria"/>
          <w:sz w:val="16"/>
          <w:szCs w:val="16"/>
          <w:lang w:val="en-US"/>
        </w:rPr>
        <w:t xml:space="preserve">September </w:t>
      </w:r>
      <w:r w:rsidRPr="00CC562A">
        <w:rPr>
          <w:rFonts w:ascii="Cambria" w:hAnsi="Cambria"/>
          <w:sz w:val="16"/>
          <w:szCs w:val="16"/>
          <w:lang w:val="en-US"/>
        </w:rPr>
        <w:t>30</w:t>
      </w:r>
      <w:r w:rsidR="00E11440" w:rsidRPr="00CC562A">
        <w:rPr>
          <w:rFonts w:ascii="Cambria" w:hAnsi="Cambria"/>
          <w:sz w:val="16"/>
          <w:szCs w:val="16"/>
          <w:lang w:val="en-US"/>
        </w:rPr>
        <w:t>,</w:t>
      </w:r>
      <w:r w:rsidRPr="00CC562A">
        <w:rPr>
          <w:rFonts w:ascii="Cambria" w:hAnsi="Cambria"/>
          <w:sz w:val="16"/>
          <w:szCs w:val="16"/>
          <w:lang w:val="en-US"/>
        </w:rPr>
        <w:t xml:space="preserve"> 2019.</w:t>
      </w:r>
    </w:p>
  </w:footnote>
  <w:footnote w:id="8">
    <w:p w14:paraId="722EB57E" w14:textId="0425F984" w:rsidR="009E3C37" w:rsidRPr="00CC562A" w:rsidRDefault="00EA785F"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7700E6" w:rsidRPr="00CC562A">
        <w:rPr>
          <w:rFonts w:ascii="Cambria" w:hAnsi="Cambria"/>
          <w:sz w:val="16"/>
          <w:szCs w:val="16"/>
          <w:lang w:val="en-US"/>
        </w:rPr>
        <w:t>Progress report of the Mexican State on compliance with and follow-up to the recommendations of the IACHR</w:t>
      </w:r>
      <w:r w:rsidR="00861E0B" w:rsidRPr="00CC562A">
        <w:rPr>
          <w:rFonts w:ascii="Cambria" w:hAnsi="Cambria"/>
          <w:sz w:val="16"/>
          <w:szCs w:val="16"/>
          <w:lang w:val="en-US"/>
        </w:rPr>
        <w:t>. Chapter</w:t>
      </w:r>
      <w:r w:rsidR="4D1A0B04" w:rsidRPr="00CC562A">
        <w:rPr>
          <w:rFonts w:ascii="Cambria" w:hAnsi="Cambria"/>
          <w:sz w:val="16"/>
          <w:szCs w:val="16"/>
          <w:lang w:val="en-US"/>
        </w:rPr>
        <w:t xml:space="preserve"> V, </w:t>
      </w:r>
      <w:r w:rsidR="00861E0B" w:rsidRPr="00CC562A">
        <w:rPr>
          <w:rFonts w:ascii="Cambria" w:hAnsi="Cambria"/>
          <w:sz w:val="16"/>
          <w:szCs w:val="16"/>
          <w:lang w:val="en-US"/>
        </w:rPr>
        <w:t xml:space="preserve">October 21, </w:t>
      </w:r>
      <w:r w:rsidR="00D77397" w:rsidRPr="00CC562A">
        <w:rPr>
          <w:rFonts w:ascii="Cambria" w:hAnsi="Cambria"/>
          <w:sz w:val="16"/>
          <w:szCs w:val="16"/>
          <w:lang w:val="en-US"/>
        </w:rPr>
        <w:t>2022,</w:t>
      </w:r>
      <w:r w:rsidR="4D1A0B04" w:rsidRPr="00CC562A">
        <w:rPr>
          <w:rFonts w:ascii="Cambria" w:hAnsi="Cambria"/>
          <w:sz w:val="16"/>
          <w:szCs w:val="16"/>
          <w:lang w:val="en-US"/>
        </w:rPr>
        <w:t xml:space="preserve"> </w:t>
      </w:r>
      <w:r w:rsidR="00861E0B" w:rsidRPr="00CC562A">
        <w:rPr>
          <w:rFonts w:ascii="Cambria" w:hAnsi="Cambria"/>
          <w:sz w:val="16"/>
          <w:szCs w:val="16"/>
          <w:lang w:val="en-US"/>
        </w:rPr>
        <w:t xml:space="preserve">through the Inter-American </w:t>
      </w:r>
      <w:r w:rsidR="4D1A0B04" w:rsidRPr="00CC562A">
        <w:rPr>
          <w:rFonts w:ascii="Cambria" w:hAnsi="Cambria"/>
          <w:sz w:val="16"/>
          <w:szCs w:val="16"/>
          <w:lang w:val="en-US"/>
        </w:rPr>
        <w:t>SIMORE</w:t>
      </w:r>
      <w:r w:rsidR="00861E0B" w:rsidRPr="00CC562A">
        <w:rPr>
          <w:rFonts w:ascii="Cambria" w:hAnsi="Cambria"/>
          <w:sz w:val="16"/>
          <w:szCs w:val="16"/>
          <w:lang w:val="en-US"/>
        </w:rPr>
        <w:t>.</w:t>
      </w:r>
    </w:p>
  </w:footnote>
  <w:footnote w:id="9">
    <w:p w14:paraId="32B44F44" w14:textId="474AFD15" w:rsidR="00BF4950" w:rsidRPr="00CC562A" w:rsidRDefault="00BF4950"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2760A" w:rsidRPr="00CC562A">
        <w:rPr>
          <w:lang w:val="en-US"/>
        </w:rPr>
        <w:t xml:space="preserve">Unconstitutionality action </w:t>
      </w:r>
      <w:r w:rsidR="4D1A0B04" w:rsidRPr="00CC562A">
        <w:rPr>
          <w:lang w:val="en-US"/>
        </w:rPr>
        <w:t xml:space="preserve">6/2018 </w:t>
      </w:r>
      <w:r w:rsidR="0072760A" w:rsidRPr="00CC562A">
        <w:rPr>
          <w:lang w:val="en-US"/>
        </w:rPr>
        <w:t>and joined actions wherein the Supreme Court of Justice of the Nation</w:t>
      </w:r>
      <w:r w:rsidR="4D1A0B04" w:rsidRPr="00CC562A">
        <w:rPr>
          <w:lang w:val="en-US"/>
        </w:rPr>
        <w:t xml:space="preserve"> (</w:t>
      </w:r>
      <w:r w:rsidR="0072760A" w:rsidRPr="00CC562A">
        <w:rPr>
          <w:lang w:val="en-US"/>
        </w:rPr>
        <w:t>hereinafter</w:t>
      </w:r>
      <w:r w:rsidR="4D1A0B04" w:rsidRPr="00CC562A">
        <w:rPr>
          <w:lang w:val="en-US"/>
        </w:rPr>
        <w:t xml:space="preserve"> “SCJN”) </w:t>
      </w:r>
      <w:r w:rsidR="0072760A" w:rsidRPr="00CC562A">
        <w:rPr>
          <w:lang w:val="en-US"/>
        </w:rPr>
        <w:t>analyzed the constitutionality of various articles of the Domestic Security Law, which had been challenged based on the argument that the Congress of the Union had exceeded its jurisdiction for legislating on matters of national security. It was also alleged that the law</w:t>
      </w:r>
      <w:r w:rsidR="4D1A0B04" w:rsidRPr="00CC562A">
        <w:rPr>
          <w:lang w:val="en-US"/>
        </w:rPr>
        <w:t xml:space="preserve"> </w:t>
      </w:r>
      <w:r w:rsidR="0072760A" w:rsidRPr="00CC562A">
        <w:rPr>
          <w:lang w:val="en-US"/>
        </w:rPr>
        <w:t>impinged on matters of public security because the purpose of the legislative instrument was to provide for the disposition of the Armed Forces in times of peace by incorporating the concept of domestic security within the concept of national security</w:t>
      </w:r>
      <w:r w:rsidR="4D1A0B04" w:rsidRPr="00CC562A">
        <w:rPr>
          <w:lang w:val="en-US"/>
        </w:rPr>
        <w:t>.</w:t>
      </w:r>
      <w:r w:rsidR="003E6D7E" w:rsidRPr="00CC562A">
        <w:rPr>
          <w:lang w:val="en-US"/>
        </w:rPr>
        <w:t xml:space="preserve"> </w:t>
      </w:r>
      <w:r w:rsidR="00FC555A" w:rsidRPr="00CC562A">
        <w:rPr>
          <w:lang w:val="en-US"/>
        </w:rPr>
        <w:t xml:space="preserve">Progress report of the Mexican State on compliance with and follow-up to the recommendations of the IACHR. Chapter V, October </w:t>
      </w:r>
      <w:r w:rsidR="00FC555A" w:rsidRPr="00CC562A">
        <w:rPr>
          <w:color w:val="FF0000"/>
          <w:lang w:val="en-US"/>
        </w:rPr>
        <w:t>21</w:t>
      </w:r>
      <w:r w:rsidR="00FC555A" w:rsidRPr="00CC562A">
        <w:rPr>
          <w:lang w:val="en-US"/>
        </w:rPr>
        <w:t>, 2022, through the Inter-American</w:t>
      </w:r>
      <w:r w:rsidR="003E6D7E" w:rsidRPr="00CC562A">
        <w:rPr>
          <w:lang w:val="en-US"/>
        </w:rPr>
        <w:t xml:space="preserve"> SIMORE. </w:t>
      </w:r>
      <w:r w:rsidR="00FC555A" w:rsidRPr="00CC562A">
        <w:rPr>
          <w:lang w:val="en-US"/>
        </w:rPr>
        <w:t xml:space="preserve">The State clarified that the </w:t>
      </w:r>
      <w:r w:rsidR="003E6D7E" w:rsidRPr="00CC562A">
        <w:rPr>
          <w:lang w:val="en-US"/>
        </w:rPr>
        <w:t>SCJN declar</w:t>
      </w:r>
      <w:r w:rsidR="00FC555A" w:rsidRPr="00CC562A">
        <w:rPr>
          <w:lang w:val="en-US"/>
        </w:rPr>
        <w:t>ed the law to be invalid because it violated the constitutional guarantee</w:t>
      </w:r>
      <w:r w:rsidR="003E6D7E" w:rsidRPr="00CC562A">
        <w:rPr>
          <w:lang w:val="en-US"/>
        </w:rPr>
        <w:t xml:space="preserve"> </w:t>
      </w:r>
      <w:r w:rsidR="00FC555A" w:rsidRPr="00CC562A">
        <w:rPr>
          <w:lang w:val="en-US"/>
        </w:rPr>
        <w:t xml:space="preserve">that public security institutions shall </w:t>
      </w:r>
      <w:proofErr w:type="gramStart"/>
      <w:r w:rsidR="00FC555A" w:rsidRPr="00CC562A">
        <w:rPr>
          <w:lang w:val="en-US"/>
        </w:rPr>
        <w:t>be</w:t>
      </w:r>
      <w:r w:rsidR="003E6D7E" w:rsidRPr="00CC562A">
        <w:rPr>
          <w:lang w:val="en-US"/>
        </w:rPr>
        <w:t xml:space="preserve"> —</w:t>
      </w:r>
      <w:r w:rsidR="00FC555A" w:rsidRPr="00CC562A">
        <w:rPr>
          <w:lang w:val="en-US"/>
        </w:rPr>
        <w:t xml:space="preserve"> at all times</w:t>
      </w:r>
      <w:proofErr w:type="gramEnd"/>
      <w:r w:rsidR="00FC555A" w:rsidRPr="00CC562A">
        <w:rPr>
          <w:lang w:val="en-US"/>
        </w:rPr>
        <w:t xml:space="preserve"> </w:t>
      </w:r>
      <w:r w:rsidR="003E6D7E" w:rsidRPr="00CC562A">
        <w:rPr>
          <w:lang w:val="en-US"/>
        </w:rPr>
        <w:t xml:space="preserve">— </w:t>
      </w:r>
      <w:r w:rsidR="007B3B95" w:rsidRPr="00CC562A">
        <w:rPr>
          <w:lang w:val="en-US"/>
        </w:rPr>
        <w:t>civilian</w:t>
      </w:r>
      <w:r w:rsidR="00FC555A" w:rsidRPr="00CC562A">
        <w:rPr>
          <w:lang w:val="en-US"/>
        </w:rPr>
        <w:t xml:space="preserve">, disciplined, and professional in nature. Specifically, the Supreme Court deemed that the law ignores the Constitution because, on the one hand, it allows the continuous participation of the Armed </w:t>
      </w:r>
      <w:r w:rsidR="00A92391" w:rsidRPr="00CC562A">
        <w:rPr>
          <w:lang w:val="en-US"/>
        </w:rPr>
        <w:t>Forces in</w:t>
      </w:r>
      <w:r w:rsidR="00FC555A" w:rsidRPr="00CC562A">
        <w:rPr>
          <w:lang w:val="en-US"/>
        </w:rPr>
        <w:t xml:space="preserve"> domestic security tasks </w:t>
      </w:r>
      <w:r w:rsidR="003E6D7E" w:rsidRPr="00CC562A">
        <w:rPr>
          <w:lang w:val="en-US"/>
        </w:rPr>
        <w:t>—</w:t>
      </w:r>
      <w:r w:rsidR="00FC555A" w:rsidRPr="00CC562A">
        <w:rPr>
          <w:lang w:val="en-US"/>
        </w:rPr>
        <w:t xml:space="preserve"> although this is constitutionally prohibited </w:t>
      </w:r>
      <w:r w:rsidR="003E6D7E" w:rsidRPr="00CC562A">
        <w:rPr>
          <w:lang w:val="en-US"/>
        </w:rPr>
        <w:t xml:space="preserve">— </w:t>
      </w:r>
      <w:r w:rsidR="00FC555A" w:rsidRPr="00CC562A">
        <w:rPr>
          <w:lang w:val="en-US"/>
        </w:rPr>
        <w:t>and, on the other hand, because its substantive content exceeds the jurisdiction of the Congress to legislate on matters of national security</w:t>
      </w:r>
      <w:r w:rsidR="003E6D7E" w:rsidRPr="00CC562A">
        <w:rPr>
          <w:rFonts w:cs="Helvetica Neue"/>
          <w:color w:val="000000" w:themeColor="text1"/>
          <w:lang w:val="en-US" w:eastAsia="en-US"/>
        </w:rPr>
        <w:t>.</w:t>
      </w:r>
      <w:r w:rsidR="003E6D7E" w:rsidRPr="00CC562A">
        <w:rPr>
          <w:lang w:val="en-US"/>
        </w:rPr>
        <w:t xml:space="preserve"> </w:t>
      </w:r>
      <w:r w:rsidR="00FC555A" w:rsidRPr="00CC562A">
        <w:rPr>
          <w:lang w:val="en-US"/>
        </w:rPr>
        <w:t>State of Mexico, OAS Note</w:t>
      </w:r>
      <w:r w:rsidR="003E6D7E" w:rsidRPr="00CC562A">
        <w:rPr>
          <w:lang w:val="en-US"/>
        </w:rPr>
        <w:t xml:space="preserve"> 517 </w:t>
      </w:r>
      <w:r w:rsidR="00FC555A" w:rsidRPr="00CC562A">
        <w:rPr>
          <w:lang w:val="en-US"/>
        </w:rPr>
        <w:t>of February 17,</w:t>
      </w:r>
      <w:r w:rsidR="003E6D7E" w:rsidRPr="00CC562A">
        <w:rPr>
          <w:lang w:val="en-US"/>
        </w:rPr>
        <w:t xml:space="preserve"> 2023. Observa</w:t>
      </w:r>
      <w:r w:rsidR="00FC555A" w:rsidRPr="00CC562A">
        <w:rPr>
          <w:lang w:val="en-US"/>
        </w:rPr>
        <w:t>tions on the preliminary version of the report</w:t>
      </w:r>
      <w:r w:rsidR="003E6D7E" w:rsidRPr="00CC562A">
        <w:rPr>
          <w:lang w:val="en-US"/>
        </w:rPr>
        <w:t>.</w:t>
      </w:r>
    </w:p>
  </w:footnote>
  <w:footnote w:id="10">
    <w:p w14:paraId="5C559DEB" w14:textId="0FED31FA"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0072760A" w:rsidRPr="00CC562A">
        <w:rPr>
          <w:lang w:val="en-US"/>
        </w:rPr>
        <w:t>. Chapter</w:t>
      </w:r>
      <w:r w:rsidR="4D1A0B04" w:rsidRPr="00CC562A">
        <w:rPr>
          <w:lang w:val="en-US"/>
        </w:rPr>
        <w:t xml:space="preserve"> V, </w:t>
      </w:r>
      <w:r w:rsidR="0072760A" w:rsidRPr="00CC562A">
        <w:rPr>
          <w:lang w:val="en-US"/>
        </w:rPr>
        <w:t>October 21,</w:t>
      </w:r>
      <w:r w:rsidR="4D1A0B04" w:rsidRPr="00CC562A">
        <w:rPr>
          <w:lang w:val="en-US"/>
        </w:rPr>
        <w:t xml:space="preserve"> </w:t>
      </w:r>
      <w:r w:rsidR="00D77397" w:rsidRPr="00CC562A">
        <w:rPr>
          <w:lang w:val="en-US"/>
        </w:rPr>
        <w:t>2022,</w:t>
      </w:r>
      <w:r w:rsidR="4D1A0B04" w:rsidRPr="00CC562A">
        <w:rPr>
          <w:lang w:val="en-US"/>
        </w:rPr>
        <w:t xml:space="preserve"> </w:t>
      </w:r>
      <w:r w:rsidR="0072760A" w:rsidRPr="00CC562A">
        <w:rPr>
          <w:lang w:val="en-US"/>
        </w:rPr>
        <w:t>through the Inter-American SIMORE</w:t>
      </w:r>
      <w:r w:rsidR="4D1A0B04" w:rsidRPr="00CC562A">
        <w:rPr>
          <w:lang w:val="en-US"/>
        </w:rPr>
        <w:t>.</w:t>
      </w:r>
    </w:p>
  </w:footnote>
  <w:footnote w:id="11">
    <w:p w14:paraId="5E0CE77B" w14:textId="51255DB6" w:rsidR="009E3C37" w:rsidRPr="00CC562A" w:rsidRDefault="00774F84"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72760A" w:rsidRPr="00CC562A">
        <w:rPr>
          <w:rFonts w:ascii="Cambria" w:hAnsi="Cambria"/>
          <w:sz w:val="16"/>
          <w:szCs w:val="16"/>
          <w:lang w:val="en-US"/>
        </w:rPr>
        <w:t>PRODH Center. Follow-up on Compliance with Recommendations in the Report on the “Situation of Human Rights in Mexico,” November</w:t>
      </w:r>
      <w:r w:rsidR="4D1A0B04" w:rsidRPr="00CC562A">
        <w:rPr>
          <w:rFonts w:ascii="Cambria" w:hAnsi="Cambria"/>
          <w:sz w:val="16"/>
          <w:szCs w:val="16"/>
          <w:lang w:val="en-US"/>
        </w:rPr>
        <w:t xml:space="preserve"> 2022, </w:t>
      </w:r>
      <w:r w:rsidR="0072760A" w:rsidRPr="00CC562A">
        <w:rPr>
          <w:rFonts w:ascii="Cambria" w:hAnsi="Cambria"/>
          <w:sz w:val="16"/>
          <w:szCs w:val="16"/>
          <w:lang w:val="en-US"/>
        </w:rPr>
        <w:t>pp</w:t>
      </w:r>
      <w:r w:rsidR="4D1A0B04" w:rsidRPr="00CC562A">
        <w:rPr>
          <w:rFonts w:ascii="Cambria" w:hAnsi="Cambria"/>
          <w:sz w:val="16"/>
          <w:szCs w:val="16"/>
          <w:lang w:val="en-US"/>
        </w:rPr>
        <w:t>. 1-3.</w:t>
      </w:r>
    </w:p>
  </w:footnote>
  <w:footnote w:id="12">
    <w:p w14:paraId="4074C757" w14:textId="7487BA19" w:rsidR="00774F84" w:rsidRPr="00A63873" w:rsidRDefault="00774F84" w:rsidP="007A58B5">
      <w:pPr>
        <w:spacing w:after="0" w:line="240" w:lineRule="auto"/>
        <w:ind w:firstLine="720"/>
        <w:jc w:val="both"/>
        <w:rPr>
          <w:rFonts w:ascii="Cambria" w:eastAsia="Arial Narrow" w:hAnsi="Cambria" w:cs="Arial Narrow"/>
          <w:sz w:val="16"/>
          <w:szCs w:val="16"/>
          <w:lang w:val="es-AR"/>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w:t>
      </w:r>
      <w:proofErr w:type="spellStart"/>
      <w:r w:rsidR="00730EB0" w:rsidRPr="00CC562A">
        <w:rPr>
          <w:rFonts w:ascii="Cambria" w:eastAsia="Arial Narrow" w:hAnsi="Cambria" w:cs="Arial Narrow"/>
          <w:sz w:val="16"/>
          <w:szCs w:val="16"/>
          <w:lang w:val="es-ES"/>
        </w:rPr>
        <w:t>Chamber</w:t>
      </w:r>
      <w:proofErr w:type="spellEnd"/>
      <w:r w:rsidR="00730EB0" w:rsidRPr="00CC562A">
        <w:rPr>
          <w:rFonts w:ascii="Cambria" w:eastAsia="Arial Narrow" w:hAnsi="Cambria" w:cs="Arial Narrow"/>
          <w:sz w:val="16"/>
          <w:szCs w:val="16"/>
          <w:lang w:val="es-ES"/>
        </w:rPr>
        <w:t xml:space="preserve"> </w:t>
      </w:r>
      <w:proofErr w:type="spellStart"/>
      <w:r w:rsidR="00730EB0" w:rsidRPr="00CC562A">
        <w:rPr>
          <w:rFonts w:ascii="Cambria" w:eastAsia="Arial Narrow" w:hAnsi="Cambria" w:cs="Arial Narrow"/>
          <w:sz w:val="16"/>
          <w:szCs w:val="16"/>
          <w:lang w:val="es-ES"/>
        </w:rPr>
        <w:t>of</w:t>
      </w:r>
      <w:proofErr w:type="spellEnd"/>
      <w:r w:rsidR="00730EB0" w:rsidRPr="00CC562A">
        <w:rPr>
          <w:rFonts w:ascii="Cambria" w:eastAsia="Arial Narrow" w:hAnsi="Cambria" w:cs="Arial Narrow"/>
          <w:sz w:val="16"/>
          <w:szCs w:val="16"/>
          <w:lang w:val="es-ES"/>
        </w:rPr>
        <w:t xml:space="preserve"> </w:t>
      </w:r>
      <w:proofErr w:type="spellStart"/>
      <w:r w:rsidR="00730EB0" w:rsidRPr="00CC562A">
        <w:rPr>
          <w:rFonts w:ascii="Cambria" w:eastAsia="Arial Narrow" w:hAnsi="Cambria" w:cs="Arial Narrow"/>
          <w:sz w:val="16"/>
          <w:szCs w:val="16"/>
          <w:lang w:val="es-ES"/>
        </w:rPr>
        <w:t>Deputies</w:t>
      </w:r>
      <w:proofErr w:type="spellEnd"/>
      <w:r w:rsidRPr="00CC562A">
        <w:rPr>
          <w:rFonts w:ascii="Cambria" w:eastAsia="Arial Narrow" w:hAnsi="Cambria" w:cs="Arial Narrow"/>
          <w:sz w:val="16"/>
          <w:szCs w:val="16"/>
          <w:lang w:val="es-ES"/>
        </w:rPr>
        <w:t xml:space="preserve">, </w:t>
      </w:r>
      <w:hyperlink r:id="rId3" w:history="1">
        <w:r w:rsidRPr="00CC562A">
          <w:rPr>
            <w:rStyle w:val="Hyperlink"/>
            <w:rFonts w:ascii="Cambria" w:eastAsia="Arial Narrow" w:hAnsi="Cambria" w:cs="Arial Narrow"/>
            <w:sz w:val="16"/>
            <w:szCs w:val="16"/>
            <w:lang w:val="es-ES"/>
          </w:rPr>
          <w:t>En lo general y en lo particular, la Cámara de Diputados aprobó reformas en materia de Guardia Nacional.</w:t>
        </w:r>
      </w:hyperlink>
      <w:r w:rsidR="00730EB0" w:rsidRPr="00CC562A">
        <w:rPr>
          <w:rFonts w:ascii="Cambria" w:eastAsia="Arial Narrow" w:hAnsi="Cambria" w:cs="Arial Narrow"/>
          <w:sz w:val="16"/>
          <w:szCs w:val="16"/>
          <w:lang w:val="es-ES"/>
        </w:rPr>
        <w:t xml:space="preserve"> </w:t>
      </w:r>
      <w:proofErr w:type="spellStart"/>
      <w:r w:rsidR="00730EB0" w:rsidRPr="00A63873">
        <w:rPr>
          <w:rFonts w:ascii="Cambria" w:eastAsia="Arial Narrow" w:hAnsi="Cambria" w:cs="Arial Narrow"/>
          <w:sz w:val="16"/>
          <w:szCs w:val="16"/>
          <w:lang w:val="es-AR"/>
        </w:rPr>
        <w:t>September</w:t>
      </w:r>
      <w:proofErr w:type="spellEnd"/>
      <w:r w:rsidR="00730EB0" w:rsidRPr="00A63873">
        <w:rPr>
          <w:rFonts w:ascii="Cambria" w:eastAsia="Arial Narrow" w:hAnsi="Cambria" w:cs="Arial Narrow"/>
          <w:sz w:val="16"/>
          <w:szCs w:val="16"/>
          <w:lang w:val="es-AR"/>
        </w:rPr>
        <w:t xml:space="preserve"> 3, </w:t>
      </w:r>
      <w:r w:rsidRPr="00A63873">
        <w:rPr>
          <w:rFonts w:ascii="Cambria" w:eastAsia="Arial Narrow" w:hAnsi="Cambria" w:cs="Arial Narrow"/>
          <w:sz w:val="16"/>
          <w:szCs w:val="16"/>
          <w:lang w:val="es-AR"/>
        </w:rPr>
        <w:t>2022.</w:t>
      </w:r>
    </w:p>
  </w:footnote>
  <w:footnote w:id="13">
    <w:p w14:paraId="534D3CAB" w14:textId="3615D803" w:rsidR="009E3C37" w:rsidRPr="00CC562A" w:rsidRDefault="00774F84"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w:t>
      </w:r>
      <w:proofErr w:type="spellStart"/>
      <w:r w:rsidRPr="00CC562A">
        <w:rPr>
          <w:rFonts w:ascii="Cambria" w:eastAsia="Arial Narrow" w:hAnsi="Cambria" w:cs="Arial Narrow"/>
          <w:sz w:val="16"/>
          <w:szCs w:val="16"/>
          <w:lang w:val="es-ES"/>
        </w:rPr>
        <w:t>Sen</w:t>
      </w:r>
      <w:r w:rsidR="00730EB0" w:rsidRPr="00CC562A">
        <w:rPr>
          <w:rFonts w:ascii="Cambria" w:eastAsia="Arial Narrow" w:hAnsi="Cambria" w:cs="Arial Narrow"/>
          <w:sz w:val="16"/>
          <w:szCs w:val="16"/>
          <w:lang w:val="es-ES"/>
        </w:rPr>
        <w:t>ate</w:t>
      </w:r>
      <w:proofErr w:type="spellEnd"/>
      <w:r w:rsidR="00730EB0" w:rsidRPr="00CC562A">
        <w:rPr>
          <w:rFonts w:ascii="Cambria" w:eastAsia="Arial Narrow" w:hAnsi="Cambria" w:cs="Arial Narrow"/>
          <w:sz w:val="16"/>
          <w:szCs w:val="16"/>
          <w:lang w:val="es-ES"/>
        </w:rPr>
        <w:t xml:space="preserve"> </w:t>
      </w:r>
      <w:proofErr w:type="spellStart"/>
      <w:r w:rsidR="00730EB0" w:rsidRPr="00CC562A">
        <w:rPr>
          <w:rFonts w:ascii="Cambria" w:eastAsia="Arial Narrow" w:hAnsi="Cambria" w:cs="Arial Narrow"/>
          <w:sz w:val="16"/>
          <w:szCs w:val="16"/>
          <w:lang w:val="es-ES"/>
        </w:rPr>
        <w:t>of</w:t>
      </w:r>
      <w:proofErr w:type="spellEnd"/>
      <w:r w:rsidR="00730EB0" w:rsidRPr="00CC562A">
        <w:rPr>
          <w:rFonts w:ascii="Cambria" w:eastAsia="Arial Narrow" w:hAnsi="Cambria" w:cs="Arial Narrow"/>
          <w:sz w:val="16"/>
          <w:szCs w:val="16"/>
          <w:lang w:val="es-ES"/>
        </w:rPr>
        <w:t xml:space="preserve"> </w:t>
      </w:r>
      <w:proofErr w:type="spellStart"/>
      <w:r w:rsidR="00730EB0" w:rsidRPr="00CC562A">
        <w:rPr>
          <w:rFonts w:ascii="Cambria" w:eastAsia="Arial Narrow" w:hAnsi="Cambria" w:cs="Arial Narrow"/>
          <w:sz w:val="16"/>
          <w:szCs w:val="16"/>
          <w:lang w:val="es-ES"/>
        </w:rPr>
        <w:t>the</w:t>
      </w:r>
      <w:proofErr w:type="spellEnd"/>
      <w:r w:rsidR="00730EB0" w:rsidRPr="00CC562A">
        <w:rPr>
          <w:rFonts w:ascii="Cambria" w:eastAsia="Arial Narrow" w:hAnsi="Cambria" w:cs="Arial Narrow"/>
          <w:sz w:val="16"/>
          <w:szCs w:val="16"/>
          <w:lang w:val="es-ES"/>
        </w:rPr>
        <w:t xml:space="preserve"> </w:t>
      </w:r>
      <w:proofErr w:type="spellStart"/>
      <w:r w:rsidRPr="00CC562A">
        <w:rPr>
          <w:rFonts w:ascii="Cambria" w:eastAsia="Arial Narrow" w:hAnsi="Cambria" w:cs="Arial Narrow"/>
          <w:sz w:val="16"/>
          <w:szCs w:val="16"/>
          <w:lang w:val="es-ES"/>
        </w:rPr>
        <w:t>R</w:t>
      </w:r>
      <w:r w:rsidR="00730EB0" w:rsidRPr="00CC562A">
        <w:rPr>
          <w:rFonts w:ascii="Cambria" w:eastAsia="Arial Narrow" w:hAnsi="Cambria" w:cs="Arial Narrow"/>
          <w:sz w:val="16"/>
          <w:szCs w:val="16"/>
          <w:lang w:val="es-ES"/>
        </w:rPr>
        <w:t>epublic</w:t>
      </w:r>
      <w:proofErr w:type="spellEnd"/>
      <w:r w:rsidRPr="00CC562A">
        <w:rPr>
          <w:rFonts w:ascii="Cambria" w:eastAsia="Arial Narrow" w:hAnsi="Cambria" w:cs="Arial Narrow"/>
          <w:sz w:val="16"/>
          <w:szCs w:val="16"/>
          <w:lang w:val="es-ES"/>
        </w:rPr>
        <w:t xml:space="preserve">. </w:t>
      </w:r>
      <w:hyperlink r:id="rId4" w:history="1">
        <w:r w:rsidRPr="00CC562A">
          <w:rPr>
            <w:rStyle w:val="Hyperlink"/>
            <w:rFonts w:ascii="Cambria" w:eastAsia="Arial Narrow" w:hAnsi="Cambria" w:cs="Arial Narrow"/>
            <w:sz w:val="16"/>
            <w:szCs w:val="16"/>
            <w:lang w:val="es-ES"/>
          </w:rPr>
          <w:t>Senado aprueba reformas a la Guardia Nacional; turna el dictamen al Ejecutivo federal</w:t>
        </w:r>
      </w:hyperlink>
      <w:r w:rsidR="007C5F57"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proofErr w:type="spellStart"/>
      <w:r w:rsidR="00730EB0" w:rsidRPr="00CC562A">
        <w:rPr>
          <w:rFonts w:ascii="Cambria" w:eastAsia="Arial Narrow" w:hAnsi="Cambria" w:cs="Arial Narrow"/>
          <w:sz w:val="16"/>
          <w:szCs w:val="16"/>
          <w:lang w:val="es-ES"/>
        </w:rPr>
        <w:t>September</w:t>
      </w:r>
      <w:proofErr w:type="spellEnd"/>
      <w:r w:rsidR="00730EB0" w:rsidRPr="00CC562A">
        <w:rPr>
          <w:rFonts w:ascii="Cambria" w:eastAsia="Arial Narrow" w:hAnsi="Cambria" w:cs="Arial Narrow"/>
          <w:sz w:val="16"/>
          <w:szCs w:val="16"/>
          <w:lang w:val="es-ES"/>
        </w:rPr>
        <w:t xml:space="preserve"> 9, </w:t>
      </w:r>
      <w:r w:rsidRPr="00CC562A">
        <w:rPr>
          <w:rFonts w:ascii="Cambria" w:eastAsia="Arial Narrow" w:hAnsi="Cambria" w:cs="Arial Narrow"/>
          <w:sz w:val="16"/>
          <w:szCs w:val="16"/>
          <w:lang w:val="es-ES"/>
        </w:rPr>
        <w:t xml:space="preserve">2022. </w:t>
      </w:r>
    </w:p>
  </w:footnote>
  <w:footnote w:id="14">
    <w:p w14:paraId="5FD2575F" w14:textId="331565AC" w:rsidR="009E3C37" w:rsidRPr="00CC562A" w:rsidRDefault="00774F84" w:rsidP="007A58B5">
      <w:pPr>
        <w:spacing w:after="0" w:line="240" w:lineRule="auto"/>
        <w:ind w:firstLine="720"/>
        <w:jc w:val="both"/>
        <w:rPr>
          <w:rFonts w:ascii="Cambria" w:eastAsia="Arial Narrow" w:hAnsi="Cambria" w:cs="Arial Narrow"/>
          <w:sz w:val="16"/>
          <w:szCs w:val="16"/>
          <w:lang w:val="en-U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n-US"/>
        </w:rPr>
        <w:t xml:space="preserve"> </w:t>
      </w:r>
      <w:r w:rsidR="00F66932" w:rsidRPr="00CC562A">
        <w:rPr>
          <w:rFonts w:ascii="Cambria" w:eastAsia="Arial Narrow" w:hAnsi="Cambria" w:cs="Arial Narrow"/>
          <w:sz w:val="16"/>
          <w:szCs w:val="16"/>
          <w:lang w:val="en-US"/>
        </w:rPr>
        <w:t>Official Gazette of the Federation</w:t>
      </w:r>
      <w:r w:rsidRPr="00CC562A">
        <w:rPr>
          <w:rFonts w:ascii="Cambria" w:eastAsia="Arial Narrow" w:hAnsi="Cambria" w:cs="Arial Narrow"/>
          <w:sz w:val="16"/>
          <w:szCs w:val="16"/>
          <w:lang w:val="en-US"/>
        </w:rPr>
        <w:t xml:space="preserve">. </w:t>
      </w:r>
      <w:hyperlink r:id="rId5" w:anchor="gsc.tab=0" w:history="1">
        <w:r w:rsidR="007C5F57" w:rsidRPr="00CC562A">
          <w:rPr>
            <w:rStyle w:val="Hyperlink"/>
            <w:rFonts w:ascii="Cambria" w:eastAsia="Arial Narrow" w:hAnsi="Cambria" w:cs="Arial Narrow"/>
            <w:sz w:val="16"/>
            <w:szCs w:val="16"/>
            <w:lang w:val="es-ES"/>
          </w:rPr>
          <w:t>Decreto por el que se reforman, adicionan y derogan diversas disposiciones de la Ley Orgánica de la Administración Pública Federal; de la Ley de la Guardia Nacional; de la Ley Orgánica del Ejército y Fuerza Aérea Mexicanos, y de la Ley de Ascensos y Recom</w:t>
        </w:r>
      </w:hyperlink>
      <w:r w:rsidR="00F66932" w:rsidRPr="00CC562A">
        <w:rPr>
          <w:rStyle w:val="Hyperlink"/>
          <w:rFonts w:ascii="Cambria" w:eastAsia="Arial Narrow" w:hAnsi="Cambria" w:cs="Arial Narrow"/>
          <w:sz w:val="16"/>
          <w:szCs w:val="16"/>
          <w:lang w:val="es-ES"/>
        </w:rPr>
        <w:t>pensas</w:t>
      </w:r>
      <w:r w:rsidR="007C5F57"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F66932" w:rsidRPr="00CC562A">
        <w:rPr>
          <w:rFonts w:ascii="Cambria" w:eastAsia="Arial Narrow" w:hAnsi="Cambria" w:cs="Arial Narrow"/>
          <w:sz w:val="16"/>
          <w:szCs w:val="16"/>
          <w:lang w:val="en-US"/>
        </w:rPr>
        <w:t xml:space="preserve">September 9, </w:t>
      </w:r>
      <w:r w:rsidRPr="00CC562A">
        <w:rPr>
          <w:rFonts w:ascii="Cambria" w:eastAsia="Arial Narrow" w:hAnsi="Cambria" w:cs="Arial Narrow"/>
          <w:sz w:val="16"/>
          <w:szCs w:val="16"/>
          <w:lang w:val="en-US"/>
        </w:rPr>
        <w:t xml:space="preserve">2022. </w:t>
      </w:r>
    </w:p>
  </w:footnote>
  <w:footnote w:id="15">
    <w:p w14:paraId="6D22C6FD" w14:textId="562FFE2E" w:rsidR="009E3C37" w:rsidRPr="00CC562A" w:rsidRDefault="00774F84" w:rsidP="007A58B5">
      <w:pPr>
        <w:spacing w:after="0" w:line="240" w:lineRule="auto"/>
        <w:ind w:firstLine="720"/>
        <w:jc w:val="both"/>
        <w:rPr>
          <w:rFonts w:ascii="Cambria" w:eastAsia="Arial Narrow" w:hAnsi="Cambria" w:cs="Arial Narrow"/>
          <w:sz w:val="16"/>
          <w:szCs w:val="16"/>
          <w:lang w:val="en-U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n-US"/>
        </w:rPr>
        <w:t xml:space="preserve">  Animal </w:t>
      </w:r>
      <w:proofErr w:type="spellStart"/>
      <w:r w:rsidRPr="00CC562A">
        <w:rPr>
          <w:rFonts w:ascii="Cambria" w:eastAsia="Arial Narrow" w:hAnsi="Cambria" w:cs="Arial Narrow"/>
          <w:sz w:val="16"/>
          <w:szCs w:val="16"/>
          <w:lang w:val="en-US"/>
        </w:rPr>
        <w:t>Político</w:t>
      </w:r>
      <w:proofErr w:type="spellEnd"/>
      <w:r w:rsidRPr="00CC562A">
        <w:rPr>
          <w:rFonts w:ascii="Cambria" w:eastAsia="Arial Narrow" w:hAnsi="Cambria" w:cs="Arial Narrow"/>
          <w:sz w:val="16"/>
          <w:szCs w:val="16"/>
          <w:lang w:val="en-US"/>
        </w:rPr>
        <w:t xml:space="preserve">. </w:t>
      </w:r>
      <w:hyperlink r:id="rId6" w:history="1">
        <w:proofErr w:type="spellStart"/>
        <w:r w:rsidRPr="00CC562A">
          <w:rPr>
            <w:rStyle w:val="Hyperlink"/>
            <w:rFonts w:ascii="Cambria" w:eastAsia="Arial Narrow" w:hAnsi="Cambria" w:cs="Arial Narrow"/>
            <w:sz w:val="16"/>
            <w:szCs w:val="16"/>
            <w:lang w:val="en-US"/>
          </w:rPr>
          <w:t>Militarización</w:t>
        </w:r>
        <w:proofErr w:type="spellEnd"/>
        <w:r w:rsidRPr="00CC562A">
          <w:rPr>
            <w:rStyle w:val="Hyperlink"/>
            <w:rFonts w:ascii="Cambria" w:eastAsia="Arial Narrow" w:hAnsi="Cambria" w:cs="Arial Narrow"/>
            <w:sz w:val="16"/>
            <w:szCs w:val="16"/>
            <w:lang w:val="en-US"/>
          </w:rPr>
          <w:t xml:space="preserve">: </w:t>
        </w:r>
        <w:proofErr w:type="spellStart"/>
        <w:r w:rsidRPr="00CC562A">
          <w:rPr>
            <w:rStyle w:val="Hyperlink"/>
            <w:rFonts w:ascii="Cambria" w:eastAsia="Arial Narrow" w:hAnsi="Cambria" w:cs="Arial Narrow"/>
            <w:sz w:val="16"/>
            <w:szCs w:val="16"/>
            <w:lang w:val="en-US"/>
          </w:rPr>
          <w:t>discernir</w:t>
        </w:r>
        <w:proofErr w:type="spellEnd"/>
        <w:r w:rsidRPr="00CC562A">
          <w:rPr>
            <w:rStyle w:val="Hyperlink"/>
            <w:rFonts w:ascii="Cambria" w:eastAsia="Arial Narrow" w:hAnsi="Cambria" w:cs="Arial Narrow"/>
            <w:sz w:val="16"/>
            <w:szCs w:val="16"/>
            <w:lang w:val="en-US"/>
          </w:rPr>
          <w:t xml:space="preserve"> la </w:t>
        </w:r>
        <w:proofErr w:type="spellStart"/>
        <w:r w:rsidRPr="00CC562A">
          <w:rPr>
            <w:rStyle w:val="Hyperlink"/>
            <w:rFonts w:ascii="Cambria" w:eastAsia="Arial Narrow" w:hAnsi="Cambria" w:cs="Arial Narrow"/>
            <w:sz w:val="16"/>
            <w:szCs w:val="16"/>
            <w:lang w:val="en-US"/>
          </w:rPr>
          <w:t>verdad</w:t>
        </w:r>
        <w:proofErr w:type="spellEnd"/>
      </w:hyperlink>
      <w:r w:rsidR="007C5F57" w:rsidRPr="00CC562A">
        <w:rPr>
          <w:rFonts w:ascii="Cambria" w:eastAsia="Arial Narrow" w:hAnsi="Cambria" w:cs="Arial Narrow"/>
          <w:sz w:val="16"/>
          <w:szCs w:val="16"/>
          <w:lang w:val="en-US"/>
        </w:rPr>
        <w:t xml:space="preserve">. </w:t>
      </w:r>
      <w:r w:rsidR="00F66932" w:rsidRPr="00CC562A">
        <w:rPr>
          <w:rFonts w:ascii="Cambria" w:eastAsia="Arial Narrow" w:hAnsi="Cambria" w:cs="Arial Narrow"/>
          <w:sz w:val="16"/>
          <w:szCs w:val="16"/>
          <w:lang w:val="en-US"/>
        </w:rPr>
        <w:t xml:space="preserve">September 17, </w:t>
      </w:r>
      <w:r w:rsidRPr="00CC562A">
        <w:rPr>
          <w:rFonts w:ascii="Cambria" w:eastAsia="Arial Narrow" w:hAnsi="Cambria" w:cs="Arial Narrow"/>
          <w:sz w:val="16"/>
          <w:szCs w:val="16"/>
          <w:lang w:val="en-US"/>
        </w:rPr>
        <w:t xml:space="preserve">2022. </w:t>
      </w:r>
    </w:p>
  </w:footnote>
  <w:footnote w:id="16">
    <w:p w14:paraId="238A6C02" w14:textId="42CEDAF0" w:rsidR="0007778A" w:rsidRPr="00CC562A" w:rsidRDefault="0007778A"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861E0B" w:rsidRPr="00CC562A">
        <w:rPr>
          <w:rFonts w:ascii="Cambria" w:hAnsi="Cambria"/>
          <w:sz w:val="16"/>
          <w:szCs w:val="16"/>
          <w:lang w:val="en-US"/>
        </w:rPr>
        <w:t xml:space="preserve">Follow-up on </w:t>
      </w:r>
      <w:r w:rsidR="00BB30C9" w:rsidRPr="00CC562A">
        <w:rPr>
          <w:rFonts w:ascii="Cambria" w:hAnsi="Cambria"/>
          <w:sz w:val="16"/>
          <w:szCs w:val="16"/>
          <w:lang w:val="en-US"/>
        </w:rPr>
        <w:t>C</w:t>
      </w:r>
      <w:r w:rsidR="00861E0B" w:rsidRPr="00CC562A">
        <w:rPr>
          <w:rFonts w:ascii="Cambria" w:hAnsi="Cambria"/>
          <w:sz w:val="16"/>
          <w:szCs w:val="16"/>
          <w:lang w:val="en-US"/>
        </w:rPr>
        <w:t xml:space="preserve">ompliance with </w:t>
      </w:r>
      <w:r w:rsidR="00BB30C9" w:rsidRPr="00CC562A">
        <w:rPr>
          <w:rFonts w:ascii="Cambria" w:hAnsi="Cambria"/>
          <w:sz w:val="16"/>
          <w:szCs w:val="16"/>
          <w:lang w:val="en-US"/>
        </w:rPr>
        <w:t>R</w:t>
      </w:r>
      <w:r w:rsidR="00861E0B" w:rsidRPr="00CC562A">
        <w:rPr>
          <w:rFonts w:ascii="Cambria" w:hAnsi="Cambria"/>
          <w:sz w:val="16"/>
          <w:szCs w:val="16"/>
          <w:lang w:val="en-US"/>
        </w:rPr>
        <w:t xml:space="preserve">ecommendations in the </w:t>
      </w:r>
      <w:r w:rsidR="00BB30C9" w:rsidRPr="00CC562A">
        <w:rPr>
          <w:rFonts w:ascii="Cambria" w:hAnsi="Cambria"/>
          <w:sz w:val="16"/>
          <w:szCs w:val="16"/>
          <w:lang w:val="en-US"/>
        </w:rPr>
        <w:t>R</w:t>
      </w:r>
      <w:r w:rsidR="00861E0B" w:rsidRPr="00CC562A">
        <w:rPr>
          <w:rFonts w:ascii="Cambria" w:hAnsi="Cambria"/>
          <w:sz w:val="16"/>
          <w:szCs w:val="16"/>
          <w:lang w:val="en-US"/>
        </w:rPr>
        <w:t xml:space="preserve">eport on the “Situation of Human Rights in Mexico,” of October 20, </w:t>
      </w:r>
      <w:r w:rsidR="4D1A0B04" w:rsidRPr="00CC562A">
        <w:rPr>
          <w:rFonts w:ascii="Cambria" w:hAnsi="Cambria"/>
          <w:sz w:val="16"/>
          <w:szCs w:val="16"/>
          <w:lang w:val="en-US"/>
        </w:rPr>
        <w:t xml:space="preserve">2022, </w:t>
      </w:r>
      <w:r w:rsidR="00861E0B" w:rsidRPr="00CC562A">
        <w:rPr>
          <w:rFonts w:ascii="Cambria" w:hAnsi="Cambria"/>
          <w:sz w:val="16"/>
          <w:szCs w:val="16"/>
          <w:lang w:val="en-US"/>
        </w:rPr>
        <w:t>pp</w:t>
      </w:r>
      <w:r w:rsidR="4D1A0B04" w:rsidRPr="00CC562A">
        <w:rPr>
          <w:rFonts w:ascii="Cambria" w:hAnsi="Cambria"/>
          <w:sz w:val="16"/>
          <w:szCs w:val="16"/>
          <w:lang w:val="en-US"/>
        </w:rPr>
        <w:t xml:space="preserve">. 4-5. </w:t>
      </w:r>
    </w:p>
  </w:footnote>
  <w:footnote w:id="17">
    <w:p w14:paraId="33341851" w14:textId="4EF464C0" w:rsidR="0007778A" w:rsidRPr="00CC562A" w:rsidRDefault="0007778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8D2AB3" w:rsidRPr="00CC562A">
        <w:rPr>
          <w:lang w:val="en-US"/>
        </w:rPr>
        <w:t>PRODH Center</w:t>
      </w:r>
      <w:r w:rsidR="4D1A0B04" w:rsidRPr="00CC562A">
        <w:rPr>
          <w:lang w:val="en-US"/>
        </w:rPr>
        <w:t xml:space="preserve">. </w:t>
      </w:r>
      <w:r w:rsidR="008D2AB3" w:rsidRPr="00CC562A">
        <w:rPr>
          <w:lang w:val="en-US"/>
        </w:rPr>
        <w:t xml:space="preserve">Follow-up on Compliance with </w:t>
      </w:r>
      <w:r w:rsidR="00BB30C9" w:rsidRPr="00CC562A">
        <w:rPr>
          <w:lang w:val="en-US"/>
        </w:rPr>
        <w:t>R</w:t>
      </w:r>
      <w:r w:rsidR="008D2AB3" w:rsidRPr="00CC562A">
        <w:rPr>
          <w:lang w:val="en-US"/>
        </w:rPr>
        <w:t xml:space="preserve">ecommendations </w:t>
      </w:r>
      <w:r w:rsidR="00BB30C9" w:rsidRPr="00CC562A">
        <w:rPr>
          <w:lang w:val="en-US"/>
        </w:rPr>
        <w:t>in</w:t>
      </w:r>
      <w:r w:rsidR="008D2AB3" w:rsidRPr="00CC562A">
        <w:rPr>
          <w:lang w:val="en-US"/>
        </w:rPr>
        <w:t xml:space="preserve"> the Report on the “Situation of Human Rights in Mexic</w:t>
      </w:r>
      <w:r w:rsidR="004E0B7E" w:rsidRPr="00CC562A">
        <w:rPr>
          <w:lang w:val="en-US"/>
        </w:rPr>
        <w:t>o,</w:t>
      </w:r>
      <w:r w:rsidR="4D1A0B04" w:rsidRPr="00CC562A">
        <w:rPr>
          <w:lang w:val="en-US"/>
        </w:rPr>
        <w:t>”</w:t>
      </w:r>
      <w:r w:rsidR="004E0B7E" w:rsidRPr="00CC562A">
        <w:rPr>
          <w:lang w:val="en-US"/>
        </w:rPr>
        <w:t xml:space="preserve"> November 20, </w:t>
      </w:r>
      <w:r w:rsidR="4D1A0B04" w:rsidRPr="00CC562A">
        <w:rPr>
          <w:lang w:val="en-US"/>
        </w:rPr>
        <w:t xml:space="preserve">2022, </w:t>
      </w:r>
      <w:r w:rsidR="004E0B7E" w:rsidRPr="00CC562A">
        <w:rPr>
          <w:lang w:val="en-US"/>
        </w:rPr>
        <w:t>pp</w:t>
      </w:r>
      <w:r w:rsidR="4D1A0B04" w:rsidRPr="00CC562A">
        <w:rPr>
          <w:lang w:val="en-US"/>
        </w:rPr>
        <w:t xml:space="preserve">. 1-3; CMDPDH. </w:t>
      </w:r>
      <w:r w:rsidR="004E0B7E" w:rsidRPr="00CC562A">
        <w:rPr>
          <w:lang w:val="en-US"/>
        </w:rPr>
        <w:t xml:space="preserve">Follow-up on </w:t>
      </w:r>
      <w:r w:rsidR="00BB30C9" w:rsidRPr="00CC562A">
        <w:rPr>
          <w:lang w:val="en-US"/>
        </w:rPr>
        <w:t>C</w:t>
      </w:r>
      <w:r w:rsidR="004E0B7E" w:rsidRPr="00CC562A">
        <w:rPr>
          <w:lang w:val="en-US"/>
        </w:rPr>
        <w:t xml:space="preserve">ompliance with </w:t>
      </w:r>
      <w:r w:rsidR="00BB30C9" w:rsidRPr="00CC562A">
        <w:rPr>
          <w:lang w:val="en-US"/>
        </w:rPr>
        <w:t>R</w:t>
      </w:r>
      <w:r w:rsidR="004E0B7E" w:rsidRPr="00CC562A">
        <w:rPr>
          <w:lang w:val="en-US"/>
        </w:rPr>
        <w:t xml:space="preserve">ecommendations </w:t>
      </w:r>
      <w:r w:rsidR="00BB30C9" w:rsidRPr="00CC562A">
        <w:rPr>
          <w:lang w:val="en-US"/>
        </w:rPr>
        <w:t>in</w:t>
      </w:r>
      <w:r w:rsidR="004E0B7E" w:rsidRPr="00CC562A">
        <w:rPr>
          <w:lang w:val="en-US"/>
        </w:rPr>
        <w:t xml:space="preserve"> the Report on the “Situation of Human Rights in Mexico,” October 20,</w:t>
      </w:r>
      <w:r w:rsidR="4D1A0B04" w:rsidRPr="00CC562A">
        <w:rPr>
          <w:lang w:val="en-US"/>
        </w:rPr>
        <w:t xml:space="preserve"> 2022, </w:t>
      </w:r>
      <w:r w:rsidR="004E0B7E" w:rsidRPr="00CC562A">
        <w:rPr>
          <w:lang w:val="en-US"/>
        </w:rPr>
        <w:t>pp.</w:t>
      </w:r>
      <w:r w:rsidR="4D1A0B04" w:rsidRPr="00CC562A">
        <w:rPr>
          <w:lang w:val="en-US"/>
        </w:rPr>
        <w:t xml:space="preserve"> 4-5.</w:t>
      </w:r>
    </w:p>
  </w:footnote>
  <w:footnote w:id="18">
    <w:p w14:paraId="0E969DE1" w14:textId="1DE567BA" w:rsidR="00163ECB" w:rsidRPr="00CC562A" w:rsidRDefault="00163ECB"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xml:space="preserve">, </w:t>
      </w:r>
      <w:r w:rsidR="004E0B7E" w:rsidRPr="00CC562A">
        <w:rPr>
          <w:lang w:val="en-US"/>
        </w:rPr>
        <w:t>Press Release</w:t>
      </w:r>
      <w:r w:rsidR="4D1A0B04" w:rsidRPr="00CC562A">
        <w:rPr>
          <w:lang w:val="en-US"/>
        </w:rPr>
        <w:t xml:space="preserve"> No. 201/22, </w:t>
      </w:r>
      <w:hyperlink r:id="rId7" w:history="1">
        <w:r w:rsidR="004E0B7E" w:rsidRPr="00CC562A">
          <w:rPr>
            <w:rStyle w:val="Hyperlink"/>
            <w:lang w:val="en-US"/>
          </w:rPr>
          <w:t>IACHR Urges Mexico to Adopt a Citizen Security Policy in Line with the Country’s International Human Rights Obligations</w:t>
        </w:r>
      </w:hyperlink>
      <w:r w:rsidR="4D1A0B04" w:rsidRPr="00CC562A">
        <w:rPr>
          <w:lang w:val="en-US"/>
        </w:rPr>
        <w:t xml:space="preserve">, </w:t>
      </w:r>
      <w:r w:rsidR="004E0B7E" w:rsidRPr="00CC562A">
        <w:rPr>
          <w:lang w:val="en-US"/>
        </w:rPr>
        <w:t xml:space="preserve">September 9, </w:t>
      </w:r>
      <w:r w:rsidR="4D1A0B04" w:rsidRPr="00CC562A">
        <w:rPr>
          <w:lang w:val="en-US"/>
        </w:rPr>
        <w:t>2022.</w:t>
      </w:r>
    </w:p>
  </w:footnote>
  <w:footnote w:id="19">
    <w:p w14:paraId="1FAFC2A0" w14:textId="13A21198" w:rsidR="00163ECB" w:rsidRPr="00CC562A" w:rsidRDefault="00163ECB" w:rsidP="007A58B5">
      <w:pPr>
        <w:spacing w:after="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proofErr w:type="spellStart"/>
      <w:r w:rsidR="4D1A0B04" w:rsidRPr="00CC562A">
        <w:rPr>
          <w:rFonts w:ascii="Cambria" w:hAnsi="Cambria"/>
          <w:sz w:val="16"/>
          <w:szCs w:val="16"/>
          <w:lang w:val="es-ES"/>
        </w:rPr>
        <w:t>Congre</w:t>
      </w:r>
      <w:r w:rsidR="004E0B7E" w:rsidRPr="00CC562A">
        <w:rPr>
          <w:rFonts w:ascii="Cambria" w:hAnsi="Cambria"/>
          <w:sz w:val="16"/>
          <w:szCs w:val="16"/>
          <w:lang w:val="es-ES"/>
        </w:rPr>
        <w:t>ss</w:t>
      </w:r>
      <w:proofErr w:type="spellEnd"/>
      <w:r w:rsidR="004E0B7E" w:rsidRPr="00CC562A">
        <w:rPr>
          <w:rFonts w:ascii="Cambria" w:hAnsi="Cambria"/>
          <w:sz w:val="16"/>
          <w:szCs w:val="16"/>
          <w:lang w:val="es-ES"/>
        </w:rPr>
        <w:t xml:space="preserve"> </w:t>
      </w:r>
      <w:proofErr w:type="spellStart"/>
      <w:r w:rsidR="004E0B7E" w:rsidRPr="00CC562A">
        <w:rPr>
          <w:rFonts w:ascii="Cambria" w:hAnsi="Cambria"/>
          <w:sz w:val="16"/>
          <w:szCs w:val="16"/>
          <w:lang w:val="es-ES"/>
        </w:rPr>
        <w:t>of</w:t>
      </w:r>
      <w:proofErr w:type="spellEnd"/>
      <w:r w:rsidR="004E0B7E" w:rsidRPr="00CC562A">
        <w:rPr>
          <w:rFonts w:ascii="Cambria" w:hAnsi="Cambria"/>
          <w:sz w:val="16"/>
          <w:szCs w:val="16"/>
          <w:lang w:val="es-ES"/>
        </w:rPr>
        <w:t xml:space="preserve"> </w:t>
      </w:r>
      <w:proofErr w:type="spellStart"/>
      <w:r w:rsidR="004E0B7E" w:rsidRPr="00CC562A">
        <w:rPr>
          <w:rFonts w:ascii="Cambria" w:hAnsi="Cambria"/>
          <w:sz w:val="16"/>
          <w:szCs w:val="16"/>
          <w:lang w:val="es-ES"/>
        </w:rPr>
        <w:t>the</w:t>
      </w:r>
      <w:proofErr w:type="spellEnd"/>
      <w:r w:rsidR="004E0B7E" w:rsidRPr="00CC562A">
        <w:rPr>
          <w:rFonts w:ascii="Cambria" w:hAnsi="Cambria"/>
          <w:sz w:val="16"/>
          <w:szCs w:val="16"/>
          <w:lang w:val="es-ES"/>
        </w:rPr>
        <w:t xml:space="preserve"> </w:t>
      </w:r>
      <w:proofErr w:type="spellStart"/>
      <w:r w:rsidR="004E0B7E" w:rsidRPr="00CC562A">
        <w:rPr>
          <w:rFonts w:ascii="Cambria" w:hAnsi="Cambria"/>
          <w:sz w:val="16"/>
          <w:szCs w:val="16"/>
          <w:lang w:val="es-ES"/>
        </w:rPr>
        <w:t>Union</w:t>
      </w:r>
      <w:proofErr w:type="spellEnd"/>
      <w:r w:rsidR="4D1A0B04" w:rsidRPr="00CC562A">
        <w:rPr>
          <w:rFonts w:ascii="Cambria" w:hAnsi="Cambria"/>
          <w:sz w:val="16"/>
          <w:szCs w:val="16"/>
          <w:lang w:val="es-ES"/>
        </w:rPr>
        <w:t xml:space="preserve">, </w:t>
      </w:r>
      <w:hyperlink r:id="rId8" w:history="1">
        <w:r w:rsidR="4D1A0B04" w:rsidRPr="00CC562A">
          <w:rPr>
            <w:rStyle w:val="Hyperlink"/>
            <w:rFonts w:ascii="Cambria" w:hAnsi="Cambria"/>
            <w:sz w:val="16"/>
            <w:szCs w:val="16"/>
            <w:lang w:val="es-ES" w:eastAsia="en-US"/>
          </w:rPr>
          <w:t>Avalan ampliar periodo de las Fuerzas Armadas en tareas de seguridad pública hasta 2028</w:t>
        </w:r>
      </w:hyperlink>
      <w:r w:rsidR="4D1A0B04" w:rsidRPr="00CC562A">
        <w:rPr>
          <w:rFonts w:ascii="Cambria" w:hAnsi="Cambria"/>
          <w:sz w:val="16"/>
          <w:szCs w:val="16"/>
          <w:lang w:val="es-ES" w:eastAsia="en-US"/>
        </w:rPr>
        <w:t xml:space="preserve">, </w:t>
      </w:r>
      <w:proofErr w:type="spellStart"/>
      <w:r w:rsidR="004E0B7E" w:rsidRPr="00CC562A">
        <w:rPr>
          <w:rFonts w:ascii="Cambria" w:hAnsi="Cambria"/>
          <w:sz w:val="16"/>
          <w:szCs w:val="16"/>
          <w:lang w:val="es-ES" w:eastAsia="en-US"/>
        </w:rPr>
        <w:t>October</w:t>
      </w:r>
      <w:proofErr w:type="spellEnd"/>
      <w:r w:rsidR="004E0B7E" w:rsidRPr="00CC562A">
        <w:rPr>
          <w:rFonts w:ascii="Cambria" w:hAnsi="Cambria"/>
          <w:sz w:val="16"/>
          <w:szCs w:val="16"/>
          <w:lang w:val="es-ES" w:eastAsia="en-US"/>
        </w:rPr>
        <w:t xml:space="preserve"> 13, </w:t>
      </w:r>
      <w:r w:rsidR="4D1A0B04" w:rsidRPr="00CC562A">
        <w:rPr>
          <w:rFonts w:ascii="Cambria" w:hAnsi="Cambria"/>
          <w:sz w:val="16"/>
          <w:szCs w:val="16"/>
          <w:lang w:val="es-ES" w:eastAsia="en-US"/>
        </w:rPr>
        <w:t>2022.</w:t>
      </w:r>
    </w:p>
  </w:footnote>
  <w:footnote w:id="20">
    <w:p w14:paraId="6DFC518D" w14:textId="4B9F7C9C" w:rsidR="002F7DB8" w:rsidRPr="00CC562A" w:rsidRDefault="002F7DB8"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WOLA, </w:t>
      </w:r>
      <w:hyperlink r:id="rId9" w:history="1">
        <w:r w:rsidR="4D1A0B04" w:rsidRPr="00CC562A">
          <w:rPr>
            <w:rStyle w:val="Hyperlink"/>
            <w:lang w:val="es-ES"/>
          </w:rPr>
          <w:t>México profundiza la militarización</w:t>
        </w:r>
      </w:hyperlink>
      <w:r w:rsidR="4D1A0B04" w:rsidRPr="00CC562A">
        <w:rPr>
          <w:lang w:val="es-ES"/>
        </w:rPr>
        <w:t xml:space="preserve">, </w:t>
      </w:r>
      <w:proofErr w:type="spellStart"/>
      <w:r w:rsidR="00A43532" w:rsidRPr="00CC562A">
        <w:rPr>
          <w:lang w:val="es-ES"/>
        </w:rPr>
        <w:t>September</w:t>
      </w:r>
      <w:proofErr w:type="spellEnd"/>
      <w:r w:rsidR="00A43532" w:rsidRPr="00CC562A">
        <w:rPr>
          <w:lang w:val="es-ES"/>
        </w:rPr>
        <w:t xml:space="preserve"> 2, </w:t>
      </w:r>
      <w:r w:rsidR="4D1A0B04" w:rsidRPr="00CC562A">
        <w:rPr>
          <w:lang w:val="es-ES"/>
        </w:rPr>
        <w:t>2022.</w:t>
      </w:r>
    </w:p>
  </w:footnote>
  <w:footnote w:id="21">
    <w:p w14:paraId="4C348AF7" w14:textId="1E90D248" w:rsidR="002F7DB8" w:rsidRPr="00CC562A" w:rsidRDefault="002F7DB8"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A43532" w:rsidRPr="00CC562A">
        <w:rPr>
          <w:rFonts w:ascii="Cambria" w:hAnsi="Cambria"/>
          <w:sz w:val="16"/>
          <w:szCs w:val="16"/>
          <w:lang w:val="en-US"/>
        </w:rPr>
        <w:t>UN</w:t>
      </w:r>
      <w:r w:rsidR="4D1A0B04" w:rsidRPr="00CC562A">
        <w:rPr>
          <w:rFonts w:ascii="Cambria" w:hAnsi="Cambria"/>
          <w:sz w:val="16"/>
          <w:szCs w:val="16"/>
          <w:lang w:val="en-US"/>
        </w:rPr>
        <w:t xml:space="preserve">. </w:t>
      </w:r>
      <w:r w:rsidR="00A43532" w:rsidRPr="00CC562A">
        <w:rPr>
          <w:rFonts w:ascii="Cambria" w:hAnsi="Cambria"/>
          <w:sz w:val="16"/>
          <w:szCs w:val="16"/>
          <w:lang w:val="en-US"/>
        </w:rPr>
        <w:t>Human Rights Committee</w:t>
      </w:r>
      <w:r w:rsidR="4D1A0B04" w:rsidRPr="00CC562A">
        <w:rPr>
          <w:rFonts w:ascii="Cambria" w:hAnsi="Cambria"/>
          <w:sz w:val="16"/>
          <w:szCs w:val="16"/>
          <w:lang w:val="en-US"/>
        </w:rPr>
        <w:t xml:space="preserve">, </w:t>
      </w:r>
      <w:r w:rsidR="00A43532" w:rsidRPr="00CC562A">
        <w:rPr>
          <w:rFonts w:ascii="Cambria" w:hAnsi="Cambria"/>
          <w:sz w:val="16"/>
          <w:szCs w:val="16"/>
          <w:lang w:val="en-US"/>
        </w:rPr>
        <w:t>Consideration of Periodic Reports Submitted by the States Parties</w:t>
      </w:r>
      <w:r w:rsidR="4D1A0B04" w:rsidRPr="00CC562A">
        <w:rPr>
          <w:rFonts w:ascii="Cambria" w:hAnsi="Cambria"/>
          <w:sz w:val="16"/>
          <w:szCs w:val="16"/>
          <w:lang w:val="en-US"/>
        </w:rPr>
        <w:t xml:space="preserve"> </w:t>
      </w:r>
      <w:r w:rsidR="00A43532" w:rsidRPr="00CC562A">
        <w:rPr>
          <w:rFonts w:ascii="Cambria" w:hAnsi="Cambria"/>
          <w:sz w:val="16"/>
          <w:szCs w:val="16"/>
          <w:lang w:val="en-US"/>
        </w:rPr>
        <w:t xml:space="preserve">under Article </w:t>
      </w:r>
      <w:r w:rsidR="4D1A0B04" w:rsidRPr="00CC562A">
        <w:rPr>
          <w:rFonts w:ascii="Cambria" w:hAnsi="Cambria"/>
          <w:sz w:val="16"/>
          <w:szCs w:val="16"/>
          <w:lang w:val="en-US"/>
        </w:rPr>
        <w:t xml:space="preserve">40 </w:t>
      </w:r>
      <w:r w:rsidR="00A43532" w:rsidRPr="00CC562A">
        <w:rPr>
          <w:rFonts w:ascii="Cambria" w:hAnsi="Cambria"/>
          <w:sz w:val="16"/>
          <w:szCs w:val="16"/>
          <w:lang w:val="en-US"/>
        </w:rPr>
        <w:t>of the Covenant</w:t>
      </w:r>
      <w:r w:rsidR="4D1A0B04" w:rsidRPr="00CC562A">
        <w:rPr>
          <w:rFonts w:ascii="Cambria" w:hAnsi="Cambria"/>
          <w:sz w:val="16"/>
          <w:szCs w:val="16"/>
          <w:lang w:val="en-US"/>
        </w:rPr>
        <w:t xml:space="preserve">, CCPR/CMEX/CO/5, </w:t>
      </w:r>
      <w:r w:rsidR="00A43532" w:rsidRPr="00CC562A">
        <w:rPr>
          <w:rFonts w:ascii="Cambria" w:hAnsi="Cambria"/>
          <w:sz w:val="16"/>
          <w:szCs w:val="16"/>
          <w:lang w:val="en-US"/>
        </w:rPr>
        <w:t xml:space="preserve">April 7, </w:t>
      </w:r>
      <w:r w:rsidR="4D1A0B04" w:rsidRPr="00CC562A">
        <w:rPr>
          <w:rFonts w:ascii="Cambria" w:hAnsi="Cambria"/>
          <w:sz w:val="16"/>
          <w:szCs w:val="16"/>
          <w:lang w:val="en-US"/>
        </w:rPr>
        <w:t xml:space="preserve">2010, </w:t>
      </w:r>
      <w:r w:rsidR="00A43532" w:rsidRPr="00CC562A">
        <w:rPr>
          <w:rFonts w:ascii="Cambria" w:hAnsi="Cambria"/>
          <w:sz w:val="16"/>
          <w:szCs w:val="16"/>
          <w:lang w:val="en-US"/>
        </w:rPr>
        <w:t>para</w:t>
      </w:r>
      <w:r w:rsidR="4D1A0B04" w:rsidRPr="00CC562A">
        <w:rPr>
          <w:rFonts w:ascii="Cambria" w:hAnsi="Cambria"/>
          <w:sz w:val="16"/>
          <w:szCs w:val="16"/>
          <w:lang w:val="en-US"/>
        </w:rPr>
        <w:t xml:space="preserve">. 11. </w:t>
      </w:r>
      <w:r w:rsidR="00E00B36" w:rsidRPr="00CC562A">
        <w:rPr>
          <w:rFonts w:ascii="Cambria" w:hAnsi="Cambria"/>
          <w:sz w:val="16"/>
          <w:szCs w:val="16"/>
          <w:lang w:val="en-US"/>
        </w:rPr>
        <w:t>Similarly, the Special Rapporteur on Extrajudicial Executions stated that</w:t>
      </w:r>
      <w:r w:rsidR="4D1A0B04" w:rsidRPr="00CC562A">
        <w:rPr>
          <w:rFonts w:ascii="Cambria" w:hAnsi="Cambria"/>
          <w:sz w:val="16"/>
          <w:szCs w:val="16"/>
          <w:lang w:val="en-US"/>
        </w:rPr>
        <w:t xml:space="preserve"> “[...] </w:t>
      </w:r>
      <w:r w:rsidR="001C24E9" w:rsidRPr="00CC562A">
        <w:rPr>
          <w:rFonts w:ascii="Cambria" w:hAnsi="Cambria"/>
          <w:sz w:val="16"/>
          <w:szCs w:val="16"/>
          <w:lang w:val="en-US"/>
        </w:rPr>
        <w:t>following a military approach to public security risks creat</w:t>
      </w:r>
      <w:r w:rsidR="00BB30C9" w:rsidRPr="00CC562A">
        <w:rPr>
          <w:rFonts w:ascii="Cambria" w:hAnsi="Cambria"/>
          <w:sz w:val="16"/>
          <w:szCs w:val="16"/>
          <w:lang w:val="en-US"/>
        </w:rPr>
        <w:t>es</w:t>
      </w:r>
      <w:r w:rsidR="001C24E9" w:rsidRPr="00CC562A">
        <w:rPr>
          <w:rFonts w:ascii="Cambria" w:hAnsi="Cambria"/>
          <w:sz w:val="16"/>
          <w:szCs w:val="16"/>
          <w:lang w:val="en-US"/>
        </w:rPr>
        <w:t xml:space="preserve"> a situation where a civilian population is vulnerable to a wide range of abuses. Moreover, there is insufficient accountability for these abuses in the military justice system, which lacks independence and transparency</w:t>
      </w:r>
      <w:r w:rsidR="4D1A0B04" w:rsidRPr="00CC562A">
        <w:rPr>
          <w:rFonts w:ascii="Cambria" w:hAnsi="Cambria"/>
          <w:sz w:val="16"/>
          <w:szCs w:val="16"/>
          <w:lang w:val="en-US"/>
        </w:rPr>
        <w:t xml:space="preserve"> [...]</w:t>
      </w:r>
      <w:r w:rsidR="00BB30C9" w:rsidRPr="00CC562A">
        <w:rPr>
          <w:rFonts w:ascii="Cambria" w:hAnsi="Cambria"/>
          <w:sz w:val="16"/>
          <w:szCs w:val="16"/>
          <w:lang w:val="en-US"/>
        </w:rPr>
        <w:t>.</w:t>
      </w:r>
      <w:r w:rsidR="4D1A0B04" w:rsidRPr="00CC562A">
        <w:rPr>
          <w:rFonts w:ascii="Cambria" w:hAnsi="Cambria"/>
          <w:sz w:val="16"/>
          <w:szCs w:val="16"/>
          <w:lang w:val="en-US"/>
        </w:rPr>
        <w:t>”</w:t>
      </w:r>
      <w:r w:rsidR="00BB30C9" w:rsidRPr="00CC562A">
        <w:rPr>
          <w:rFonts w:ascii="Cambria" w:hAnsi="Cambria"/>
          <w:sz w:val="16"/>
          <w:szCs w:val="16"/>
          <w:lang w:val="en-US"/>
        </w:rPr>
        <w:t xml:space="preserve"> </w:t>
      </w:r>
      <w:proofErr w:type="spellStart"/>
      <w:r w:rsidR="4D1A0B04" w:rsidRPr="00CC562A">
        <w:rPr>
          <w:rFonts w:ascii="Cambria" w:hAnsi="Cambria"/>
          <w:sz w:val="16"/>
          <w:szCs w:val="16"/>
          <w:lang w:val="en-US"/>
        </w:rPr>
        <w:t>Cfr</w:t>
      </w:r>
      <w:proofErr w:type="spellEnd"/>
      <w:r w:rsidR="4D1A0B04" w:rsidRPr="00CC562A">
        <w:rPr>
          <w:rFonts w:ascii="Cambria" w:hAnsi="Cambria"/>
          <w:sz w:val="16"/>
          <w:szCs w:val="16"/>
          <w:lang w:val="en-US"/>
        </w:rPr>
        <w:t xml:space="preserve">. </w:t>
      </w:r>
      <w:r w:rsidR="001C24E9" w:rsidRPr="00CC562A">
        <w:rPr>
          <w:rFonts w:ascii="Cambria" w:hAnsi="Cambria"/>
          <w:sz w:val="16"/>
          <w:szCs w:val="16"/>
          <w:lang w:val="en-US"/>
        </w:rPr>
        <w:t>UN. Report of the Special Rapporteur on Extrajudicial, Summary, or Arbitrary Executions</w:t>
      </w:r>
      <w:r w:rsidR="4D1A0B04" w:rsidRPr="00CC562A">
        <w:rPr>
          <w:rFonts w:ascii="Cambria" w:hAnsi="Cambria"/>
          <w:sz w:val="16"/>
          <w:szCs w:val="16"/>
          <w:lang w:val="en-US"/>
        </w:rPr>
        <w:t xml:space="preserve">, Christof </w:t>
      </w:r>
      <w:proofErr w:type="spellStart"/>
      <w:r w:rsidR="4D1A0B04" w:rsidRPr="00CC562A">
        <w:rPr>
          <w:rFonts w:ascii="Cambria" w:hAnsi="Cambria"/>
          <w:sz w:val="16"/>
          <w:szCs w:val="16"/>
          <w:lang w:val="en-US"/>
        </w:rPr>
        <w:t>Heyns</w:t>
      </w:r>
      <w:proofErr w:type="spellEnd"/>
      <w:r w:rsidR="4D1A0B04" w:rsidRPr="00CC562A">
        <w:rPr>
          <w:rFonts w:ascii="Cambria" w:hAnsi="Cambria"/>
          <w:sz w:val="16"/>
          <w:szCs w:val="16"/>
          <w:lang w:val="en-US"/>
        </w:rPr>
        <w:t xml:space="preserve">, </w:t>
      </w:r>
      <w:r w:rsidR="001C24E9" w:rsidRPr="00CC562A">
        <w:rPr>
          <w:rFonts w:ascii="Cambria" w:hAnsi="Cambria"/>
          <w:sz w:val="16"/>
          <w:szCs w:val="16"/>
          <w:lang w:val="en-US"/>
        </w:rPr>
        <w:t>Mission to Mexico, April 28,</w:t>
      </w:r>
      <w:r w:rsidR="4D1A0B04" w:rsidRPr="00CC562A">
        <w:rPr>
          <w:rFonts w:ascii="Cambria" w:hAnsi="Cambria"/>
          <w:sz w:val="16"/>
          <w:szCs w:val="16"/>
          <w:lang w:val="en-US"/>
        </w:rPr>
        <w:t xml:space="preserve"> de 2014, supra, pa</w:t>
      </w:r>
      <w:r w:rsidR="001C24E9" w:rsidRPr="00CC562A">
        <w:rPr>
          <w:rFonts w:ascii="Cambria" w:hAnsi="Cambria"/>
          <w:sz w:val="16"/>
          <w:szCs w:val="16"/>
          <w:lang w:val="en-US"/>
        </w:rPr>
        <w:t>ra</w:t>
      </w:r>
      <w:r w:rsidR="4D1A0B04" w:rsidRPr="00CC562A">
        <w:rPr>
          <w:rFonts w:ascii="Cambria" w:hAnsi="Cambria"/>
          <w:sz w:val="16"/>
          <w:szCs w:val="16"/>
          <w:lang w:val="en-US"/>
        </w:rPr>
        <w:t xml:space="preserve">. 21; </w:t>
      </w:r>
      <w:r w:rsidR="001E412A" w:rsidRPr="00CC562A">
        <w:rPr>
          <w:rFonts w:ascii="Cambria" w:hAnsi="Cambria"/>
          <w:sz w:val="16"/>
          <w:szCs w:val="16"/>
          <w:lang w:val="en-US"/>
        </w:rPr>
        <w:t>In addition, the</w:t>
      </w:r>
      <w:r w:rsidR="4D1A0B04" w:rsidRPr="00CC562A">
        <w:rPr>
          <w:rFonts w:ascii="Cambria" w:hAnsi="Cambria"/>
          <w:sz w:val="16"/>
          <w:szCs w:val="16"/>
          <w:lang w:val="en-US"/>
        </w:rPr>
        <w:t xml:space="preserve"> </w:t>
      </w:r>
      <w:r w:rsidR="001E412A" w:rsidRPr="00CC562A">
        <w:rPr>
          <w:rFonts w:ascii="Cambria" w:hAnsi="Cambria"/>
          <w:sz w:val="16"/>
          <w:szCs w:val="16"/>
          <w:lang w:val="en-US"/>
        </w:rPr>
        <w:t xml:space="preserve">WGEID </w:t>
      </w:r>
      <w:r w:rsidR="4D1A0B04" w:rsidRPr="00CC562A">
        <w:rPr>
          <w:rFonts w:ascii="Cambria" w:hAnsi="Cambria"/>
          <w:sz w:val="16"/>
          <w:szCs w:val="16"/>
          <w:lang w:val="en-US"/>
        </w:rPr>
        <w:t>reiter</w:t>
      </w:r>
      <w:r w:rsidR="001E412A" w:rsidRPr="00CC562A">
        <w:rPr>
          <w:rFonts w:ascii="Cambria" w:hAnsi="Cambria"/>
          <w:sz w:val="16"/>
          <w:szCs w:val="16"/>
          <w:lang w:val="en-US"/>
        </w:rPr>
        <w:t>ated, among others, its recommendation that the Mexican State consider withdrawing military forces from public security operations and the enforcement of criminal law</w:t>
      </w:r>
      <w:r w:rsidR="4D1A0B04" w:rsidRPr="00CC562A">
        <w:rPr>
          <w:rFonts w:ascii="Cambria" w:hAnsi="Cambria"/>
          <w:sz w:val="16"/>
          <w:szCs w:val="16"/>
          <w:lang w:val="en-US"/>
        </w:rPr>
        <w:t xml:space="preserve"> [...]</w:t>
      </w:r>
      <w:r w:rsidR="00BB30C9" w:rsidRPr="00CC562A">
        <w:rPr>
          <w:rFonts w:ascii="Cambria" w:hAnsi="Cambria"/>
          <w:sz w:val="16"/>
          <w:szCs w:val="16"/>
          <w:lang w:val="en-US"/>
        </w:rPr>
        <w:t>.</w:t>
      </w:r>
      <w:r w:rsidR="4D1A0B04" w:rsidRPr="00CC562A">
        <w:rPr>
          <w:rFonts w:ascii="Cambria" w:hAnsi="Cambria"/>
          <w:sz w:val="16"/>
          <w:szCs w:val="16"/>
          <w:lang w:val="en-US"/>
        </w:rPr>
        <w:t xml:space="preserve">” </w:t>
      </w:r>
      <w:proofErr w:type="spellStart"/>
      <w:r w:rsidR="4D1A0B04" w:rsidRPr="00CC562A">
        <w:rPr>
          <w:rFonts w:ascii="Cambria" w:hAnsi="Cambria"/>
          <w:sz w:val="16"/>
          <w:szCs w:val="16"/>
          <w:lang w:val="en-US"/>
        </w:rPr>
        <w:t>Cfr</w:t>
      </w:r>
      <w:proofErr w:type="spellEnd"/>
      <w:r w:rsidR="4D1A0B04" w:rsidRPr="00CC562A">
        <w:rPr>
          <w:rFonts w:ascii="Cambria" w:hAnsi="Cambria"/>
          <w:sz w:val="16"/>
          <w:szCs w:val="16"/>
          <w:lang w:val="en-US"/>
        </w:rPr>
        <w:t xml:space="preserve">. </w:t>
      </w:r>
      <w:r w:rsidR="001E412A" w:rsidRPr="00CC562A">
        <w:rPr>
          <w:rFonts w:ascii="Cambria" w:hAnsi="Cambria"/>
          <w:sz w:val="16"/>
          <w:szCs w:val="16"/>
          <w:lang w:val="en-US"/>
        </w:rPr>
        <w:t>WGEID</w:t>
      </w:r>
      <w:r w:rsidR="4D1A0B04" w:rsidRPr="00CC562A">
        <w:rPr>
          <w:rFonts w:ascii="Cambria" w:hAnsi="Cambria"/>
          <w:sz w:val="16"/>
          <w:szCs w:val="16"/>
          <w:lang w:val="en-US"/>
        </w:rPr>
        <w:t>,</w:t>
      </w:r>
      <w:r w:rsidR="00EE3B16" w:rsidRPr="00CC562A">
        <w:rPr>
          <w:rFonts w:ascii="Cambria" w:hAnsi="Cambria"/>
          <w:sz w:val="16"/>
          <w:szCs w:val="16"/>
          <w:lang w:val="en-US"/>
        </w:rPr>
        <w:t xml:space="preserve"> Follow-up on the recommendations made by the WGEID </w:t>
      </w:r>
      <w:r w:rsidR="0001625D" w:rsidRPr="00CC562A">
        <w:rPr>
          <w:rFonts w:ascii="Cambria" w:hAnsi="Cambria"/>
          <w:sz w:val="16"/>
          <w:szCs w:val="16"/>
          <w:lang w:val="en-US"/>
        </w:rPr>
        <w:t>in its report</w:t>
      </w:r>
      <w:r w:rsidR="00EE3B16" w:rsidRPr="00CC562A">
        <w:rPr>
          <w:rFonts w:ascii="Cambria" w:hAnsi="Cambria"/>
          <w:sz w:val="16"/>
          <w:szCs w:val="16"/>
          <w:lang w:val="en-US"/>
        </w:rPr>
        <w:t xml:space="preserve"> on its visit to Mexico </w:t>
      </w:r>
      <w:r w:rsidR="0001625D" w:rsidRPr="00CC562A">
        <w:rPr>
          <w:rFonts w:ascii="Cambria" w:hAnsi="Cambria"/>
          <w:sz w:val="16"/>
          <w:szCs w:val="16"/>
          <w:lang w:val="en-US"/>
        </w:rPr>
        <w:t xml:space="preserve">from March </w:t>
      </w:r>
      <w:r w:rsidR="00EE3B16" w:rsidRPr="00CC562A">
        <w:rPr>
          <w:rFonts w:ascii="Cambria" w:hAnsi="Cambria"/>
          <w:sz w:val="16"/>
          <w:szCs w:val="16"/>
          <w:lang w:val="en-US"/>
        </w:rPr>
        <w:t xml:space="preserve">18-31, </w:t>
      </w:r>
      <w:r w:rsidR="4D1A0B04" w:rsidRPr="00CC562A">
        <w:rPr>
          <w:rFonts w:ascii="Cambria" w:hAnsi="Cambria"/>
          <w:sz w:val="16"/>
          <w:szCs w:val="16"/>
          <w:lang w:val="en-US"/>
        </w:rPr>
        <w:t xml:space="preserve">2011, </w:t>
      </w:r>
      <w:r w:rsidR="00EE3B16" w:rsidRPr="00CC562A">
        <w:rPr>
          <w:rFonts w:ascii="Cambria" w:hAnsi="Cambria"/>
          <w:sz w:val="16"/>
          <w:szCs w:val="16"/>
          <w:lang w:val="en-US"/>
        </w:rPr>
        <w:t xml:space="preserve">September 11, </w:t>
      </w:r>
      <w:r w:rsidR="4D1A0B04" w:rsidRPr="00CC562A">
        <w:rPr>
          <w:rFonts w:ascii="Cambria" w:hAnsi="Cambria"/>
          <w:sz w:val="16"/>
          <w:szCs w:val="16"/>
          <w:lang w:val="en-US"/>
        </w:rPr>
        <w:t>2015, A/HRC/30/38/Add.4, pa</w:t>
      </w:r>
      <w:r w:rsidR="001E412A" w:rsidRPr="00CC562A">
        <w:rPr>
          <w:rFonts w:ascii="Cambria" w:hAnsi="Cambria"/>
          <w:sz w:val="16"/>
          <w:szCs w:val="16"/>
          <w:lang w:val="en-US"/>
        </w:rPr>
        <w:t>ra</w:t>
      </w:r>
      <w:r w:rsidR="4D1A0B04" w:rsidRPr="00CC562A">
        <w:rPr>
          <w:rFonts w:ascii="Cambria" w:hAnsi="Cambria"/>
          <w:sz w:val="16"/>
          <w:szCs w:val="16"/>
          <w:lang w:val="en-US"/>
        </w:rPr>
        <w:t xml:space="preserve">. 25; </w:t>
      </w:r>
      <w:r w:rsidR="0001625D" w:rsidRPr="00CC562A">
        <w:rPr>
          <w:rFonts w:ascii="Cambria" w:hAnsi="Cambria"/>
          <w:sz w:val="16"/>
          <w:szCs w:val="16"/>
          <w:lang w:val="en-US"/>
        </w:rPr>
        <w:t>Similarly, i</w:t>
      </w:r>
      <w:r w:rsidR="4D1A0B04" w:rsidRPr="00CC562A">
        <w:rPr>
          <w:rFonts w:ascii="Cambria" w:hAnsi="Cambria"/>
          <w:sz w:val="16"/>
          <w:szCs w:val="16"/>
          <w:lang w:val="en-US"/>
        </w:rPr>
        <w:t xml:space="preserve">n 2015 </w:t>
      </w:r>
      <w:r w:rsidR="00731CC1" w:rsidRPr="00CC562A">
        <w:rPr>
          <w:rFonts w:ascii="Cambria" w:hAnsi="Cambria"/>
          <w:sz w:val="16"/>
          <w:szCs w:val="16"/>
          <w:lang w:val="en-US"/>
        </w:rPr>
        <w:t xml:space="preserve">the UN High Commissioner for Human Rights expressed concern regarding the seriousness of the human rights situation in the country and recommended, among other measures, adoption of a “time frame for the withdrawal of military forces from public security functions.” </w:t>
      </w:r>
      <w:r w:rsidR="4D1A0B04" w:rsidRPr="00CC562A">
        <w:rPr>
          <w:rFonts w:ascii="Cambria" w:hAnsi="Cambria"/>
          <w:sz w:val="16"/>
          <w:szCs w:val="16"/>
          <w:lang w:val="en-US"/>
        </w:rPr>
        <w:t xml:space="preserve"> </w:t>
      </w:r>
      <w:proofErr w:type="spellStart"/>
      <w:r w:rsidR="4D1A0B04" w:rsidRPr="00CC562A">
        <w:rPr>
          <w:rFonts w:ascii="Cambria" w:hAnsi="Cambria"/>
          <w:sz w:val="16"/>
          <w:szCs w:val="16"/>
          <w:lang w:val="en-US"/>
        </w:rPr>
        <w:t>Cfr</w:t>
      </w:r>
      <w:proofErr w:type="spellEnd"/>
      <w:r w:rsidR="4D1A0B04" w:rsidRPr="00CC562A">
        <w:rPr>
          <w:rFonts w:ascii="Cambria" w:hAnsi="Cambria"/>
          <w:sz w:val="16"/>
          <w:szCs w:val="16"/>
          <w:lang w:val="en-US"/>
        </w:rPr>
        <w:t xml:space="preserve">. </w:t>
      </w:r>
      <w:r w:rsidR="00731CC1" w:rsidRPr="00CC562A">
        <w:rPr>
          <w:rFonts w:ascii="Cambria" w:hAnsi="Cambria"/>
          <w:sz w:val="16"/>
          <w:szCs w:val="16"/>
          <w:lang w:val="en-US"/>
        </w:rPr>
        <w:t>Statement of the UN High Commissioner for Human Rights</w:t>
      </w:r>
      <w:r w:rsidR="4D1A0B04" w:rsidRPr="00CC562A">
        <w:rPr>
          <w:rFonts w:ascii="Cambria" w:hAnsi="Cambria"/>
          <w:sz w:val="16"/>
          <w:szCs w:val="16"/>
          <w:lang w:val="en-US"/>
        </w:rPr>
        <w:t xml:space="preserve">, </w:t>
      </w:r>
      <w:proofErr w:type="spellStart"/>
      <w:r w:rsidR="4D1A0B04" w:rsidRPr="00CC562A">
        <w:rPr>
          <w:rFonts w:ascii="Cambria" w:hAnsi="Cambria"/>
          <w:sz w:val="16"/>
          <w:szCs w:val="16"/>
          <w:lang w:val="en-US"/>
        </w:rPr>
        <w:t>Zeid</w:t>
      </w:r>
      <w:proofErr w:type="spellEnd"/>
      <w:r w:rsidR="4D1A0B04" w:rsidRPr="00CC562A">
        <w:rPr>
          <w:rFonts w:ascii="Cambria" w:hAnsi="Cambria"/>
          <w:sz w:val="16"/>
          <w:szCs w:val="16"/>
          <w:lang w:val="en-US"/>
        </w:rPr>
        <w:t xml:space="preserve"> </w:t>
      </w:r>
      <w:proofErr w:type="spellStart"/>
      <w:r w:rsidR="4D1A0B04" w:rsidRPr="00CC562A">
        <w:rPr>
          <w:rFonts w:ascii="Cambria" w:hAnsi="Cambria"/>
          <w:sz w:val="16"/>
          <w:szCs w:val="16"/>
          <w:lang w:val="en-US"/>
        </w:rPr>
        <w:t>Ra’ad</w:t>
      </w:r>
      <w:proofErr w:type="spellEnd"/>
      <w:r w:rsidR="4D1A0B04" w:rsidRPr="00CC562A">
        <w:rPr>
          <w:rFonts w:ascii="Cambria" w:hAnsi="Cambria"/>
          <w:sz w:val="16"/>
          <w:szCs w:val="16"/>
          <w:lang w:val="en-US"/>
        </w:rPr>
        <w:t xml:space="preserve"> Al Hussein, </w:t>
      </w:r>
      <w:r w:rsidR="00731CC1" w:rsidRPr="00CC562A">
        <w:rPr>
          <w:rFonts w:ascii="Cambria" w:hAnsi="Cambria"/>
          <w:sz w:val="16"/>
          <w:szCs w:val="16"/>
          <w:lang w:val="en-US"/>
        </w:rPr>
        <w:t xml:space="preserve">on his visit to Mexico, October 7, </w:t>
      </w:r>
      <w:r w:rsidR="4D1A0B04" w:rsidRPr="00CC562A">
        <w:rPr>
          <w:rFonts w:ascii="Cambria" w:hAnsi="Cambria"/>
          <w:sz w:val="16"/>
          <w:szCs w:val="16"/>
          <w:lang w:val="en-US"/>
        </w:rPr>
        <w:t xml:space="preserve">2015, supra, </w:t>
      </w:r>
      <w:r w:rsidR="00D77397" w:rsidRPr="00CC562A">
        <w:rPr>
          <w:rFonts w:ascii="Cambria" w:hAnsi="Cambria"/>
          <w:sz w:val="16"/>
          <w:szCs w:val="16"/>
          <w:lang w:val="en-US"/>
        </w:rPr>
        <w:t>and</w:t>
      </w:r>
      <w:r w:rsidR="00731CC1" w:rsidRPr="00CC562A">
        <w:rPr>
          <w:rFonts w:ascii="Cambria" w:hAnsi="Cambria"/>
          <w:sz w:val="16"/>
          <w:szCs w:val="16"/>
          <w:lang w:val="en-US"/>
        </w:rPr>
        <w:t xml:space="preserve"> finally, the UN Special Rapporteur </w:t>
      </w:r>
      <w:proofErr w:type="gramStart"/>
      <w:r w:rsidR="00731CC1" w:rsidRPr="00CC562A">
        <w:rPr>
          <w:rFonts w:ascii="Cambria" w:hAnsi="Cambria"/>
          <w:sz w:val="16"/>
          <w:szCs w:val="16"/>
          <w:lang w:val="en-US"/>
        </w:rPr>
        <w:t>on the Situation of</w:t>
      </w:r>
      <w:proofErr w:type="gramEnd"/>
      <w:r w:rsidR="00731CC1" w:rsidRPr="00CC562A">
        <w:rPr>
          <w:rFonts w:ascii="Cambria" w:hAnsi="Cambria"/>
          <w:sz w:val="16"/>
          <w:szCs w:val="16"/>
          <w:lang w:val="en-US"/>
        </w:rPr>
        <w:t xml:space="preserve"> Human Rights Defenders</w:t>
      </w:r>
      <w:r w:rsidR="4D1A0B04" w:rsidRPr="00CC562A">
        <w:rPr>
          <w:rFonts w:ascii="Cambria" w:hAnsi="Cambria"/>
          <w:sz w:val="16"/>
          <w:szCs w:val="16"/>
          <w:lang w:val="en-US"/>
        </w:rPr>
        <w:t xml:space="preserve"> ha</w:t>
      </w:r>
      <w:r w:rsidR="00731CC1" w:rsidRPr="00CC562A">
        <w:rPr>
          <w:rFonts w:ascii="Cambria" w:hAnsi="Cambria"/>
          <w:sz w:val="16"/>
          <w:szCs w:val="16"/>
          <w:lang w:val="en-US"/>
        </w:rPr>
        <w:t>s stated that in Mexico “the use of the armed forces</w:t>
      </w:r>
      <w:r w:rsidR="4D1A0B04" w:rsidRPr="00CC562A">
        <w:rPr>
          <w:rFonts w:ascii="Cambria" w:hAnsi="Cambria"/>
          <w:sz w:val="16"/>
          <w:szCs w:val="16"/>
          <w:lang w:val="en-US"/>
        </w:rPr>
        <w:t xml:space="preserve"> </w:t>
      </w:r>
      <w:r w:rsidR="00A31DC1" w:rsidRPr="00CC562A">
        <w:rPr>
          <w:rFonts w:ascii="Cambria" w:hAnsi="Cambria"/>
          <w:sz w:val="16"/>
          <w:szCs w:val="16"/>
          <w:lang w:val="en-US"/>
        </w:rPr>
        <w:t>in public security functions and the lack of a timetable for the return to a full-fledged civilian security approach raise a number of concerns in terms of democratic governance. Neither has it provided an end to the violence.</w:t>
      </w:r>
      <w:r w:rsidR="4D1A0B04" w:rsidRPr="00CC562A">
        <w:rPr>
          <w:rFonts w:ascii="Cambria" w:hAnsi="Cambria"/>
          <w:sz w:val="16"/>
          <w:szCs w:val="16"/>
          <w:lang w:val="en-US"/>
        </w:rPr>
        <w:t xml:space="preserve">” </w:t>
      </w:r>
      <w:proofErr w:type="spellStart"/>
      <w:r w:rsidR="4D1A0B04" w:rsidRPr="00CC562A">
        <w:rPr>
          <w:rFonts w:ascii="Cambria" w:hAnsi="Cambria"/>
          <w:sz w:val="16"/>
          <w:szCs w:val="16"/>
          <w:lang w:val="en-US"/>
        </w:rPr>
        <w:t>Cfr</w:t>
      </w:r>
      <w:proofErr w:type="spellEnd"/>
      <w:r w:rsidR="4D1A0B04" w:rsidRPr="00CC562A">
        <w:rPr>
          <w:rFonts w:ascii="Cambria" w:hAnsi="Cambria"/>
          <w:sz w:val="16"/>
          <w:szCs w:val="16"/>
          <w:lang w:val="en-US"/>
        </w:rPr>
        <w:t xml:space="preserve">. </w:t>
      </w:r>
      <w:r w:rsidR="00A31DC1" w:rsidRPr="00CC562A">
        <w:rPr>
          <w:rFonts w:ascii="Cambria" w:hAnsi="Cambria"/>
          <w:sz w:val="16"/>
          <w:szCs w:val="16"/>
          <w:lang w:val="en-US"/>
        </w:rPr>
        <w:t>UN</w:t>
      </w:r>
      <w:r w:rsidR="4D1A0B04" w:rsidRPr="00CC562A">
        <w:rPr>
          <w:rFonts w:ascii="Cambria" w:hAnsi="Cambria"/>
          <w:sz w:val="16"/>
          <w:szCs w:val="16"/>
          <w:lang w:val="en-US"/>
        </w:rPr>
        <w:t xml:space="preserve">. </w:t>
      </w:r>
      <w:hyperlink r:id="rId10" w:history="1">
        <w:r w:rsidR="00A31DC1" w:rsidRPr="00CC562A">
          <w:rPr>
            <w:rStyle w:val="Hyperlink"/>
            <w:rFonts w:ascii="Cambria" w:hAnsi="Cambria"/>
            <w:sz w:val="16"/>
            <w:szCs w:val="16"/>
            <w:lang w:val="en-US"/>
          </w:rPr>
          <w:t xml:space="preserve">End of Mission Statement by the United Nations Special Rapporteur </w:t>
        </w:r>
        <w:proofErr w:type="gramStart"/>
        <w:r w:rsidR="00A31DC1" w:rsidRPr="00CC562A">
          <w:rPr>
            <w:rStyle w:val="Hyperlink"/>
            <w:rFonts w:ascii="Cambria" w:hAnsi="Cambria"/>
            <w:sz w:val="16"/>
            <w:szCs w:val="16"/>
            <w:lang w:val="en-US"/>
          </w:rPr>
          <w:t>on the Situation of</w:t>
        </w:r>
        <w:proofErr w:type="gramEnd"/>
        <w:r w:rsidR="00A31DC1" w:rsidRPr="00CC562A">
          <w:rPr>
            <w:rStyle w:val="Hyperlink"/>
            <w:rFonts w:ascii="Cambria" w:hAnsi="Cambria"/>
            <w:sz w:val="16"/>
            <w:szCs w:val="16"/>
            <w:lang w:val="en-US"/>
          </w:rPr>
          <w:t xml:space="preserve"> Human Rights Defenders</w:t>
        </w:r>
        <w:r w:rsidR="4D1A0B04" w:rsidRPr="00CC562A">
          <w:rPr>
            <w:rStyle w:val="Hyperlink"/>
            <w:rFonts w:ascii="Cambria" w:hAnsi="Cambria"/>
            <w:sz w:val="16"/>
            <w:szCs w:val="16"/>
            <w:lang w:val="en-US"/>
          </w:rPr>
          <w:t>,</w:t>
        </w:r>
      </w:hyperlink>
      <w:r w:rsidR="4D1A0B04" w:rsidRPr="00CC562A">
        <w:rPr>
          <w:rFonts w:ascii="Cambria" w:hAnsi="Cambria"/>
          <w:sz w:val="16"/>
          <w:szCs w:val="16"/>
          <w:lang w:val="en-US"/>
        </w:rPr>
        <w:t xml:space="preserve"> Michel </w:t>
      </w:r>
      <w:proofErr w:type="spellStart"/>
      <w:r w:rsidR="4D1A0B04" w:rsidRPr="00CC562A">
        <w:rPr>
          <w:rFonts w:ascii="Cambria" w:hAnsi="Cambria"/>
          <w:sz w:val="16"/>
          <w:szCs w:val="16"/>
          <w:lang w:val="en-US"/>
        </w:rPr>
        <w:t>Forst</w:t>
      </w:r>
      <w:proofErr w:type="spellEnd"/>
      <w:r w:rsidR="4D1A0B04" w:rsidRPr="00CC562A">
        <w:rPr>
          <w:rFonts w:ascii="Cambria" w:hAnsi="Cambria"/>
          <w:sz w:val="16"/>
          <w:szCs w:val="16"/>
          <w:lang w:val="en-US"/>
        </w:rPr>
        <w:t>, Visit</w:t>
      </w:r>
      <w:r w:rsidR="00A31DC1" w:rsidRPr="00CC562A">
        <w:rPr>
          <w:rFonts w:ascii="Cambria" w:hAnsi="Cambria"/>
          <w:sz w:val="16"/>
          <w:szCs w:val="16"/>
          <w:lang w:val="en-US"/>
        </w:rPr>
        <w:t xml:space="preserve"> to Mexico, January 24, </w:t>
      </w:r>
      <w:r w:rsidR="4D1A0B04" w:rsidRPr="00CC562A">
        <w:rPr>
          <w:rFonts w:ascii="Cambria" w:hAnsi="Cambria"/>
          <w:sz w:val="16"/>
          <w:szCs w:val="16"/>
          <w:lang w:val="en-US"/>
        </w:rPr>
        <w:t xml:space="preserve">2017, p. 4. </w:t>
      </w:r>
    </w:p>
  </w:footnote>
  <w:footnote w:id="22">
    <w:p w14:paraId="6168BC12" w14:textId="740589E1" w:rsidR="002F7DB8" w:rsidRPr="00CC562A" w:rsidRDefault="002F7DB8"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A31DC1" w:rsidRPr="00CC562A">
        <w:rPr>
          <w:rFonts w:ascii="Cambria" w:hAnsi="Cambria"/>
          <w:sz w:val="16"/>
          <w:szCs w:val="16"/>
          <w:lang w:val="en-US"/>
        </w:rPr>
        <w:t>UN</w:t>
      </w:r>
      <w:r w:rsidR="4D1A0B04" w:rsidRPr="00CC562A">
        <w:rPr>
          <w:rFonts w:ascii="Cambria" w:hAnsi="Cambria"/>
          <w:sz w:val="16"/>
          <w:szCs w:val="16"/>
          <w:lang w:val="en-US"/>
        </w:rPr>
        <w:t xml:space="preserve">. CEDAW, </w:t>
      </w:r>
      <w:r w:rsidR="00A31DC1" w:rsidRPr="00CC562A">
        <w:rPr>
          <w:rFonts w:ascii="Cambria" w:hAnsi="Cambria"/>
          <w:sz w:val="16"/>
          <w:szCs w:val="16"/>
          <w:lang w:val="en-US"/>
        </w:rPr>
        <w:t>Concluding Observations</w:t>
      </w:r>
      <w:r w:rsidR="4D1A0B04" w:rsidRPr="00CC562A">
        <w:rPr>
          <w:rFonts w:ascii="Cambria" w:hAnsi="Cambria"/>
          <w:sz w:val="16"/>
          <w:szCs w:val="16"/>
          <w:lang w:val="en-US"/>
        </w:rPr>
        <w:t>. Me</w:t>
      </w:r>
      <w:r w:rsidR="00BB30C9" w:rsidRPr="00CC562A">
        <w:rPr>
          <w:rFonts w:ascii="Cambria" w:hAnsi="Cambria"/>
          <w:sz w:val="16"/>
          <w:szCs w:val="16"/>
          <w:lang w:val="en-US"/>
        </w:rPr>
        <w:t>x</w:t>
      </w:r>
      <w:r w:rsidR="4D1A0B04" w:rsidRPr="00CC562A">
        <w:rPr>
          <w:rFonts w:ascii="Cambria" w:hAnsi="Cambria"/>
          <w:sz w:val="16"/>
          <w:szCs w:val="16"/>
          <w:lang w:val="en-US"/>
        </w:rPr>
        <w:t xml:space="preserve">ico, CEDAW/C/MEX/CO/7-8, </w:t>
      </w:r>
      <w:r w:rsidR="00A31DC1" w:rsidRPr="00CC562A">
        <w:rPr>
          <w:rFonts w:ascii="Cambria" w:hAnsi="Cambria"/>
          <w:sz w:val="16"/>
          <w:szCs w:val="16"/>
          <w:lang w:val="en-US"/>
        </w:rPr>
        <w:t>August 7,</w:t>
      </w:r>
      <w:r w:rsidR="4D1A0B04" w:rsidRPr="00CC562A">
        <w:rPr>
          <w:rFonts w:ascii="Cambria" w:hAnsi="Cambria"/>
          <w:sz w:val="16"/>
          <w:szCs w:val="16"/>
          <w:lang w:val="en-US"/>
        </w:rPr>
        <w:t xml:space="preserve"> 2012, </w:t>
      </w:r>
      <w:r w:rsidR="00A31DC1" w:rsidRPr="00CC562A">
        <w:rPr>
          <w:rFonts w:ascii="Cambria" w:hAnsi="Cambria"/>
          <w:sz w:val="16"/>
          <w:szCs w:val="16"/>
          <w:lang w:val="en-US"/>
        </w:rPr>
        <w:t>paras</w:t>
      </w:r>
      <w:r w:rsidR="4D1A0B04" w:rsidRPr="00CC562A">
        <w:rPr>
          <w:rFonts w:ascii="Cambria" w:hAnsi="Cambria"/>
          <w:sz w:val="16"/>
          <w:szCs w:val="16"/>
          <w:lang w:val="en-US"/>
        </w:rPr>
        <w:t>. 11</w:t>
      </w:r>
      <w:r w:rsidR="00A31DC1" w:rsidRPr="00CC562A">
        <w:rPr>
          <w:rFonts w:ascii="Cambria" w:hAnsi="Cambria"/>
          <w:sz w:val="16"/>
          <w:szCs w:val="16"/>
          <w:lang w:val="en-US"/>
        </w:rPr>
        <w:t>-</w:t>
      </w:r>
      <w:r w:rsidR="4D1A0B04" w:rsidRPr="00CC562A">
        <w:rPr>
          <w:rFonts w:ascii="Cambria" w:hAnsi="Cambria"/>
          <w:sz w:val="16"/>
          <w:szCs w:val="16"/>
          <w:lang w:val="en-US"/>
        </w:rPr>
        <w:t xml:space="preserve">12, </w:t>
      </w:r>
      <w:r w:rsidR="00A31DC1" w:rsidRPr="00CC562A">
        <w:rPr>
          <w:rFonts w:ascii="Cambria" w:hAnsi="Cambria"/>
          <w:sz w:val="16"/>
          <w:szCs w:val="16"/>
          <w:lang w:val="en-US"/>
        </w:rPr>
        <w:t>and Concluding Observations on the Ninth Periodic Report of Mexico</w:t>
      </w:r>
      <w:r w:rsidR="4D1A0B04" w:rsidRPr="00CC562A">
        <w:rPr>
          <w:rFonts w:ascii="Cambria" w:hAnsi="Cambria"/>
          <w:sz w:val="16"/>
          <w:szCs w:val="16"/>
          <w:lang w:val="en-US"/>
        </w:rPr>
        <w:t xml:space="preserve">, CEDAW/C/MEX/CO/9, </w:t>
      </w:r>
      <w:r w:rsidR="006A06E8" w:rsidRPr="00CC562A">
        <w:rPr>
          <w:rFonts w:ascii="Cambria" w:hAnsi="Cambria"/>
          <w:sz w:val="16"/>
          <w:szCs w:val="16"/>
          <w:lang w:val="en-US"/>
        </w:rPr>
        <w:t xml:space="preserve">July 25, </w:t>
      </w:r>
      <w:r w:rsidR="4D1A0B04" w:rsidRPr="00CC562A">
        <w:rPr>
          <w:rFonts w:ascii="Cambria" w:hAnsi="Cambria"/>
          <w:sz w:val="16"/>
          <w:szCs w:val="16"/>
          <w:lang w:val="en-US"/>
        </w:rPr>
        <w:t xml:space="preserve">2018, </w:t>
      </w:r>
      <w:r w:rsidR="006A06E8" w:rsidRPr="00CC562A">
        <w:rPr>
          <w:rFonts w:ascii="Cambria" w:hAnsi="Cambria"/>
          <w:sz w:val="16"/>
          <w:szCs w:val="16"/>
          <w:lang w:val="en-US"/>
        </w:rPr>
        <w:t>paras</w:t>
      </w:r>
      <w:r w:rsidR="4D1A0B04" w:rsidRPr="00CC562A">
        <w:rPr>
          <w:rFonts w:ascii="Cambria" w:hAnsi="Cambria"/>
          <w:sz w:val="16"/>
          <w:szCs w:val="16"/>
          <w:lang w:val="en-US"/>
        </w:rPr>
        <w:t>. 9</w:t>
      </w:r>
      <w:r w:rsidR="006A06E8" w:rsidRPr="00CC562A">
        <w:rPr>
          <w:rFonts w:ascii="Cambria" w:hAnsi="Cambria"/>
          <w:sz w:val="16"/>
          <w:szCs w:val="16"/>
          <w:lang w:val="en-US"/>
        </w:rPr>
        <w:t>-</w:t>
      </w:r>
      <w:r w:rsidR="4D1A0B04" w:rsidRPr="00CC562A">
        <w:rPr>
          <w:rFonts w:ascii="Cambria" w:hAnsi="Cambria"/>
          <w:sz w:val="16"/>
          <w:szCs w:val="16"/>
          <w:lang w:val="en-US"/>
        </w:rPr>
        <w:t xml:space="preserve">10. </w:t>
      </w:r>
    </w:p>
  </w:footnote>
  <w:footnote w:id="23">
    <w:p w14:paraId="164189A4" w14:textId="4AB8D5AE" w:rsidR="002F7DB8" w:rsidRPr="00CC562A" w:rsidRDefault="002F7DB8"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6A06E8" w:rsidRPr="00CC562A">
        <w:rPr>
          <w:rFonts w:ascii="Cambria" w:hAnsi="Cambria"/>
          <w:sz w:val="16"/>
          <w:szCs w:val="16"/>
          <w:lang w:val="en-US"/>
        </w:rPr>
        <w:t>UN</w:t>
      </w:r>
      <w:r w:rsidR="4D1A0B04" w:rsidRPr="00CC562A">
        <w:rPr>
          <w:rFonts w:ascii="Cambria" w:hAnsi="Cambria"/>
          <w:sz w:val="16"/>
          <w:szCs w:val="16"/>
          <w:lang w:val="en-US"/>
        </w:rPr>
        <w:t xml:space="preserve">. </w:t>
      </w:r>
      <w:r w:rsidR="006A06E8" w:rsidRPr="00CC562A">
        <w:rPr>
          <w:rFonts w:ascii="Cambria" w:hAnsi="Cambria"/>
          <w:sz w:val="16"/>
          <w:szCs w:val="16"/>
          <w:lang w:val="en-US"/>
        </w:rPr>
        <w:t>WGEID</w:t>
      </w:r>
      <w:r w:rsidR="4D1A0B04" w:rsidRPr="00CC562A">
        <w:rPr>
          <w:rFonts w:ascii="Cambria" w:hAnsi="Cambria"/>
          <w:sz w:val="16"/>
          <w:szCs w:val="16"/>
          <w:lang w:val="en-US"/>
        </w:rPr>
        <w:t xml:space="preserve">, </w:t>
      </w:r>
      <w:hyperlink r:id="rId11" w:history="1">
        <w:proofErr w:type="spellStart"/>
        <w:r w:rsidR="4D1A0B04" w:rsidRPr="00CC562A">
          <w:rPr>
            <w:rStyle w:val="Hyperlink"/>
            <w:rFonts w:ascii="Cambria" w:hAnsi="Cambria"/>
            <w:sz w:val="16"/>
            <w:szCs w:val="16"/>
            <w:lang w:val="en-US"/>
          </w:rPr>
          <w:t>Observaciones</w:t>
        </w:r>
        <w:proofErr w:type="spellEnd"/>
        <w:r w:rsidR="4D1A0B04" w:rsidRPr="00CC562A">
          <w:rPr>
            <w:rStyle w:val="Hyperlink"/>
            <w:rFonts w:ascii="Cambria" w:hAnsi="Cambria"/>
            <w:sz w:val="16"/>
            <w:szCs w:val="16"/>
            <w:lang w:val="en-US"/>
          </w:rPr>
          <w:t xml:space="preserve"> </w:t>
        </w:r>
        <w:proofErr w:type="spellStart"/>
        <w:r w:rsidR="4D1A0B04" w:rsidRPr="00CC562A">
          <w:rPr>
            <w:rStyle w:val="Hyperlink"/>
            <w:rFonts w:ascii="Cambria" w:hAnsi="Cambria"/>
            <w:sz w:val="16"/>
            <w:szCs w:val="16"/>
            <w:lang w:val="en-US"/>
          </w:rPr>
          <w:t>preliminares</w:t>
        </w:r>
        <w:proofErr w:type="spellEnd"/>
        <w:r w:rsidR="4D1A0B04" w:rsidRPr="00CC562A">
          <w:rPr>
            <w:rStyle w:val="Hyperlink"/>
            <w:rFonts w:ascii="Cambria" w:hAnsi="Cambria"/>
            <w:sz w:val="16"/>
            <w:szCs w:val="16"/>
            <w:lang w:val="en-US"/>
          </w:rPr>
          <w:t xml:space="preserve">, </w:t>
        </w:r>
        <w:proofErr w:type="spellStart"/>
        <w:r w:rsidR="4D1A0B04" w:rsidRPr="00CC562A">
          <w:rPr>
            <w:rStyle w:val="Hyperlink"/>
            <w:rFonts w:ascii="Cambria" w:hAnsi="Cambria"/>
            <w:sz w:val="16"/>
            <w:szCs w:val="16"/>
            <w:lang w:val="en-US"/>
          </w:rPr>
          <w:t>Misión</w:t>
        </w:r>
        <w:proofErr w:type="spellEnd"/>
        <w:r w:rsidR="4D1A0B04" w:rsidRPr="00CC562A">
          <w:rPr>
            <w:rStyle w:val="Hyperlink"/>
            <w:rFonts w:ascii="Cambria" w:hAnsi="Cambria"/>
            <w:sz w:val="16"/>
            <w:szCs w:val="16"/>
            <w:lang w:val="en-US"/>
          </w:rPr>
          <w:t xml:space="preserve"> a </w:t>
        </w:r>
        <w:proofErr w:type="spellStart"/>
        <w:r w:rsidR="4D1A0B04" w:rsidRPr="00CC562A">
          <w:rPr>
            <w:rStyle w:val="Hyperlink"/>
            <w:rFonts w:ascii="Cambria" w:hAnsi="Cambria"/>
            <w:sz w:val="16"/>
            <w:szCs w:val="16"/>
            <w:lang w:val="en-US"/>
          </w:rPr>
          <w:t>México</w:t>
        </w:r>
        <w:proofErr w:type="spellEnd"/>
      </w:hyperlink>
      <w:r w:rsidR="4D1A0B04" w:rsidRPr="00CC562A">
        <w:rPr>
          <w:rFonts w:ascii="Cambria" w:hAnsi="Cambria"/>
          <w:sz w:val="16"/>
          <w:szCs w:val="16"/>
          <w:lang w:val="en-US"/>
        </w:rPr>
        <w:t xml:space="preserve">, </w:t>
      </w:r>
      <w:r w:rsidR="006A06E8" w:rsidRPr="00CC562A">
        <w:rPr>
          <w:rFonts w:ascii="Cambria" w:hAnsi="Cambria"/>
          <w:sz w:val="16"/>
          <w:szCs w:val="16"/>
          <w:lang w:val="en-US"/>
        </w:rPr>
        <w:t xml:space="preserve">March 31, </w:t>
      </w:r>
      <w:r w:rsidR="4D1A0B04" w:rsidRPr="00CC562A">
        <w:rPr>
          <w:rFonts w:ascii="Cambria" w:hAnsi="Cambria"/>
          <w:sz w:val="16"/>
          <w:szCs w:val="16"/>
          <w:lang w:val="en-US"/>
        </w:rPr>
        <w:t xml:space="preserve">2011, p. 5 </w:t>
      </w:r>
    </w:p>
  </w:footnote>
  <w:footnote w:id="24">
    <w:p w14:paraId="7A469FB5" w14:textId="705AB27E" w:rsidR="00E075E6" w:rsidRPr="00CC562A" w:rsidRDefault="00E075E6"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185</w:t>
      </w:r>
      <w:r w:rsidR="006A06E8" w:rsidRPr="00CC562A">
        <w:rPr>
          <w:vertAlign w:val="superscript"/>
          <w:lang w:val="en-US"/>
        </w:rPr>
        <w:t>th</w:t>
      </w:r>
      <w:r w:rsidR="006A06E8" w:rsidRPr="00CC562A">
        <w:rPr>
          <w:lang w:val="en-US"/>
        </w:rPr>
        <w:t xml:space="preserve"> Period of Sessions</w:t>
      </w:r>
      <w:r w:rsidR="4D1A0B04" w:rsidRPr="00CC562A">
        <w:rPr>
          <w:lang w:val="en-US"/>
        </w:rPr>
        <w:t xml:space="preserve">, </w:t>
      </w:r>
      <w:r w:rsidR="006A06E8" w:rsidRPr="00CC562A">
        <w:rPr>
          <w:lang w:val="en-US"/>
        </w:rPr>
        <w:t>Public hearing</w:t>
      </w:r>
      <w:r w:rsidR="4D1A0B04" w:rsidRPr="00CC562A">
        <w:rPr>
          <w:lang w:val="en-US"/>
        </w:rPr>
        <w:t xml:space="preserve"> “M</w:t>
      </w:r>
      <w:r w:rsidR="006A06E8" w:rsidRPr="00CC562A">
        <w:rPr>
          <w:lang w:val="en-US"/>
        </w:rPr>
        <w:t>e</w:t>
      </w:r>
      <w:r w:rsidR="4D1A0B04" w:rsidRPr="00CC562A">
        <w:rPr>
          <w:lang w:val="en-US"/>
        </w:rPr>
        <w:t>xico: militariza</w:t>
      </w:r>
      <w:r w:rsidR="006A06E8" w:rsidRPr="00CC562A">
        <w:rPr>
          <w:lang w:val="en-US"/>
        </w:rPr>
        <w:t>tion of public security,</w:t>
      </w:r>
      <w:r w:rsidR="4D1A0B04" w:rsidRPr="00CC562A">
        <w:rPr>
          <w:lang w:val="en-US"/>
        </w:rPr>
        <w:t>”</w:t>
      </w:r>
      <w:r w:rsidR="006A06E8" w:rsidRPr="00CC562A">
        <w:rPr>
          <w:lang w:val="en-US"/>
        </w:rPr>
        <w:t xml:space="preserve"> </w:t>
      </w:r>
      <w:hyperlink r:id="rId12" w:history="1">
        <w:r w:rsidR="006A06E8" w:rsidRPr="00CC562A">
          <w:rPr>
            <w:rStyle w:val="Hyperlink"/>
            <w:lang w:val="en-US"/>
          </w:rPr>
          <w:t>Annex to Press Release</w:t>
        </w:r>
        <w:r w:rsidR="4D1A0B04" w:rsidRPr="00CC562A">
          <w:rPr>
            <w:rStyle w:val="Hyperlink"/>
            <w:lang w:val="en-US"/>
          </w:rPr>
          <w:t xml:space="preserve"> 257/22</w:t>
        </w:r>
      </w:hyperlink>
      <w:r w:rsidR="4D1A0B04" w:rsidRPr="00CC562A">
        <w:rPr>
          <w:lang w:val="en-US"/>
        </w:rPr>
        <w:t xml:space="preserve">, </w:t>
      </w:r>
      <w:r w:rsidR="006A06E8" w:rsidRPr="00CC562A">
        <w:rPr>
          <w:lang w:val="en-US"/>
        </w:rPr>
        <w:t xml:space="preserve">November 16, </w:t>
      </w:r>
      <w:r w:rsidR="4D1A0B04" w:rsidRPr="00CC562A">
        <w:rPr>
          <w:lang w:val="en-US"/>
        </w:rPr>
        <w:t xml:space="preserve">2022. </w:t>
      </w:r>
    </w:p>
  </w:footnote>
  <w:footnote w:id="25">
    <w:p w14:paraId="5848DA59" w14:textId="0AC79605" w:rsidR="00EA785F" w:rsidRPr="00CC562A" w:rsidRDefault="00EA785F"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007700E6" w:rsidRPr="00CC562A">
        <w:rPr>
          <w:rFonts w:ascii="Cambria" w:hAnsi="Cambria"/>
          <w:sz w:val="16"/>
          <w:szCs w:val="16"/>
          <w:lang w:val="en-US"/>
        </w:rPr>
        <w:t>Progress report of the Mexican State on compliance with and follow-up to the recommendations of the IACHR.</w:t>
      </w:r>
      <w:r w:rsidR="4D1A0B04" w:rsidRPr="00CC562A">
        <w:rPr>
          <w:rFonts w:ascii="Cambria" w:hAnsi="Cambria"/>
          <w:sz w:val="16"/>
          <w:szCs w:val="16"/>
          <w:lang w:val="en-US"/>
        </w:rPr>
        <w:t xml:space="preserve"> </w:t>
      </w:r>
      <w:r w:rsidR="00633A40" w:rsidRPr="00CC562A">
        <w:rPr>
          <w:rFonts w:ascii="Cambria" w:hAnsi="Cambria"/>
          <w:sz w:val="16"/>
          <w:szCs w:val="16"/>
          <w:lang w:val="en-US"/>
        </w:rPr>
        <w:t>Chapter</w:t>
      </w:r>
      <w:r w:rsidR="4D1A0B04" w:rsidRPr="00CC562A">
        <w:rPr>
          <w:rFonts w:ascii="Cambria" w:hAnsi="Cambria"/>
          <w:sz w:val="16"/>
          <w:szCs w:val="16"/>
          <w:lang w:val="en-US"/>
        </w:rPr>
        <w:t xml:space="preserve"> V, </w:t>
      </w:r>
      <w:r w:rsidR="00633A40" w:rsidRPr="00CC562A">
        <w:rPr>
          <w:rFonts w:ascii="Cambria" w:hAnsi="Cambria"/>
          <w:sz w:val="16"/>
          <w:szCs w:val="16"/>
          <w:lang w:val="en-US"/>
        </w:rPr>
        <w:t xml:space="preserve">October 21, </w:t>
      </w:r>
      <w:r w:rsidR="00D77397" w:rsidRPr="00CC562A">
        <w:rPr>
          <w:rFonts w:ascii="Cambria" w:hAnsi="Cambria"/>
          <w:sz w:val="16"/>
          <w:szCs w:val="16"/>
          <w:lang w:val="en-US"/>
        </w:rPr>
        <w:t>2022,</w:t>
      </w:r>
      <w:r w:rsidR="4D1A0B04" w:rsidRPr="00CC562A">
        <w:rPr>
          <w:rFonts w:ascii="Cambria" w:hAnsi="Cambria"/>
          <w:sz w:val="16"/>
          <w:szCs w:val="16"/>
          <w:lang w:val="en-US"/>
        </w:rPr>
        <w:t xml:space="preserve"> </w:t>
      </w:r>
      <w:r w:rsidR="00633A40" w:rsidRPr="00CC562A">
        <w:rPr>
          <w:rFonts w:ascii="Cambria" w:hAnsi="Cambria"/>
          <w:sz w:val="16"/>
          <w:szCs w:val="16"/>
          <w:lang w:val="en-US"/>
        </w:rPr>
        <w:t>through the Inter-American</w:t>
      </w:r>
      <w:r w:rsidR="4D1A0B04" w:rsidRPr="00CC562A">
        <w:rPr>
          <w:rFonts w:ascii="Cambria" w:hAnsi="Cambria"/>
          <w:sz w:val="16"/>
          <w:szCs w:val="16"/>
          <w:lang w:val="en-US"/>
        </w:rPr>
        <w:t xml:space="preserve"> SIMORE.</w:t>
      </w:r>
    </w:p>
  </w:footnote>
  <w:footnote w:id="26">
    <w:p w14:paraId="1923AC82" w14:textId="0E32C8F6" w:rsidR="00FD0507" w:rsidRPr="00CC562A" w:rsidRDefault="00FD0507"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00633A40" w:rsidRPr="00CC562A">
        <w:rPr>
          <w:rFonts w:ascii="Cambria" w:hAnsi="Cambria"/>
          <w:sz w:val="16"/>
          <w:szCs w:val="16"/>
          <w:lang w:val="en-US"/>
        </w:rPr>
        <w:t xml:space="preserve"> </w:t>
      </w:r>
      <w:r w:rsidR="001A02E1" w:rsidRPr="00CC562A">
        <w:rPr>
          <w:rFonts w:ascii="Cambria" w:hAnsi="Cambria"/>
          <w:sz w:val="16"/>
          <w:szCs w:val="16"/>
          <w:lang w:val="en-US"/>
        </w:rPr>
        <w:t>These courses include</w:t>
      </w:r>
      <w:r w:rsidR="4D1A0B04" w:rsidRPr="00CC562A">
        <w:rPr>
          <w:rFonts w:ascii="Cambria" w:hAnsi="Cambria"/>
          <w:sz w:val="16"/>
          <w:szCs w:val="16"/>
          <w:lang w:val="en-US"/>
        </w:rPr>
        <w:t xml:space="preserve">: </w:t>
      </w:r>
      <w:r w:rsidR="001A02E1" w:rsidRPr="00CC562A">
        <w:rPr>
          <w:rFonts w:ascii="Cambria" w:hAnsi="Cambria"/>
          <w:sz w:val="16"/>
          <w:szCs w:val="16"/>
          <w:lang w:val="en-US"/>
        </w:rPr>
        <w:t>Use of Force in the National Guard; Human Rights in the National Guard</w:t>
      </w:r>
      <w:r w:rsidR="4D1A0B04" w:rsidRPr="00CC562A">
        <w:rPr>
          <w:rFonts w:ascii="Cambria" w:hAnsi="Cambria"/>
          <w:sz w:val="16"/>
          <w:szCs w:val="16"/>
          <w:lang w:val="en-US"/>
        </w:rPr>
        <w:t>; Introduc</w:t>
      </w:r>
      <w:r w:rsidR="001A02E1" w:rsidRPr="00CC562A">
        <w:rPr>
          <w:rFonts w:ascii="Cambria" w:hAnsi="Cambria"/>
          <w:sz w:val="16"/>
          <w:szCs w:val="16"/>
          <w:lang w:val="en-US"/>
        </w:rPr>
        <w:t>tion to Human Rights</w:t>
      </w:r>
      <w:r w:rsidR="4D1A0B04" w:rsidRPr="00CC562A">
        <w:rPr>
          <w:rFonts w:ascii="Cambria" w:hAnsi="Cambria"/>
          <w:sz w:val="16"/>
          <w:szCs w:val="16"/>
          <w:lang w:val="en-US"/>
        </w:rPr>
        <w:t xml:space="preserve">; </w:t>
      </w:r>
      <w:r w:rsidR="001A02E1" w:rsidRPr="00CC562A">
        <w:rPr>
          <w:rFonts w:ascii="Cambria" w:hAnsi="Cambria"/>
          <w:sz w:val="16"/>
          <w:szCs w:val="16"/>
          <w:lang w:val="en-US"/>
        </w:rPr>
        <w:t>Equality and Non-discrimination</w:t>
      </w:r>
      <w:r w:rsidR="4D1A0B04" w:rsidRPr="00CC562A">
        <w:rPr>
          <w:rFonts w:ascii="Cambria" w:hAnsi="Cambria"/>
          <w:sz w:val="16"/>
          <w:szCs w:val="16"/>
          <w:lang w:val="en-US"/>
        </w:rPr>
        <w:t xml:space="preserve">; </w:t>
      </w:r>
      <w:r w:rsidR="001A02E1" w:rsidRPr="00CC562A">
        <w:rPr>
          <w:rFonts w:ascii="Cambria" w:hAnsi="Cambria"/>
          <w:sz w:val="16"/>
          <w:szCs w:val="16"/>
          <w:lang w:val="en-US"/>
        </w:rPr>
        <w:t xml:space="preserve">Human Rights and </w:t>
      </w:r>
      <w:r w:rsidR="00164069" w:rsidRPr="00CC562A">
        <w:rPr>
          <w:rFonts w:ascii="Cambria" w:hAnsi="Cambria"/>
          <w:sz w:val="16"/>
          <w:szCs w:val="16"/>
          <w:lang w:val="en-US"/>
        </w:rPr>
        <w:t xml:space="preserve">Training on the </w:t>
      </w:r>
      <w:r w:rsidR="001A02E1" w:rsidRPr="00CC562A">
        <w:rPr>
          <w:rFonts w:ascii="Cambria" w:hAnsi="Cambria"/>
          <w:sz w:val="16"/>
          <w:szCs w:val="16"/>
          <w:lang w:val="en-US"/>
        </w:rPr>
        <w:t>Use of Force in the Context of Migration</w:t>
      </w:r>
      <w:r w:rsidR="4D1A0B04" w:rsidRPr="00CC562A">
        <w:rPr>
          <w:rFonts w:ascii="Cambria" w:hAnsi="Cambria"/>
          <w:sz w:val="16"/>
          <w:szCs w:val="16"/>
          <w:lang w:val="en-US"/>
        </w:rPr>
        <w:t>;</w:t>
      </w:r>
      <w:r w:rsidR="00164069" w:rsidRPr="00CC562A">
        <w:rPr>
          <w:rFonts w:ascii="Cambria" w:hAnsi="Cambria"/>
          <w:sz w:val="16"/>
          <w:szCs w:val="16"/>
          <w:lang w:val="en-US"/>
        </w:rPr>
        <w:t xml:space="preserve"> Trainers’/Change Agents’ Course on the Subject of the Rights of Children and Adolescents; Instructors’ Training Course on the Use of Force</w:t>
      </w:r>
      <w:r w:rsidR="4D1A0B04" w:rsidRPr="00CC562A">
        <w:rPr>
          <w:rFonts w:ascii="Cambria" w:hAnsi="Cambria"/>
          <w:sz w:val="16"/>
          <w:szCs w:val="16"/>
          <w:lang w:val="en-US"/>
        </w:rPr>
        <w:t xml:space="preserve"> </w:t>
      </w:r>
      <w:r w:rsidR="00164069" w:rsidRPr="00CC562A">
        <w:rPr>
          <w:rFonts w:ascii="Cambria" w:hAnsi="Cambria"/>
          <w:sz w:val="16"/>
          <w:szCs w:val="16"/>
          <w:lang w:val="en-US"/>
        </w:rPr>
        <w:t xml:space="preserve">and Humanitarian Principles; and On-line courses through virtual platforms of various institutions specializing </w:t>
      </w:r>
      <w:r w:rsidR="00750392" w:rsidRPr="00CC562A">
        <w:rPr>
          <w:rFonts w:ascii="Cambria" w:hAnsi="Cambria"/>
          <w:sz w:val="16"/>
          <w:szCs w:val="16"/>
          <w:lang w:val="en-US"/>
        </w:rPr>
        <w:t>i</w:t>
      </w:r>
      <w:r w:rsidR="00164069" w:rsidRPr="00CC562A">
        <w:rPr>
          <w:rFonts w:ascii="Cambria" w:hAnsi="Cambria"/>
          <w:sz w:val="16"/>
          <w:szCs w:val="16"/>
          <w:lang w:val="en-US"/>
        </w:rPr>
        <w:t>n the subject of gender and human rights, such as</w:t>
      </w:r>
      <w:r w:rsidR="4D1A0B04" w:rsidRPr="00CC562A">
        <w:rPr>
          <w:rFonts w:ascii="Cambria" w:hAnsi="Cambria"/>
          <w:sz w:val="16"/>
          <w:szCs w:val="16"/>
          <w:lang w:val="en-US"/>
        </w:rPr>
        <w:t xml:space="preserve">: </w:t>
      </w:r>
      <w:r w:rsidR="00164069" w:rsidRPr="00CC562A">
        <w:rPr>
          <w:rFonts w:ascii="Cambria" w:hAnsi="Cambria"/>
          <w:sz w:val="16"/>
          <w:szCs w:val="16"/>
          <w:lang w:val="en-US"/>
        </w:rPr>
        <w:t>National System for Integral Family Development</w:t>
      </w:r>
      <w:r w:rsidR="4D1A0B04" w:rsidRPr="00CC562A">
        <w:rPr>
          <w:rFonts w:ascii="Cambria" w:hAnsi="Cambria"/>
          <w:sz w:val="16"/>
          <w:szCs w:val="16"/>
          <w:lang w:val="en-US"/>
        </w:rPr>
        <w:t xml:space="preserve"> (SNDIF), </w:t>
      </w:r>
      <w:r w:rsidR="00164069" w:rsidRPr="00CC562A">
        <w:rPr>
          <w:rFonts w:ascii="Cambria" w:hAnsi="Cambria"/>
          <w:sz w:val="16"/>
          <w:szCs w:val="16"/>
          <w:lang w:val="en-US"/>
        </w:rPr>
        <w:t>National Council for the Prevention of Discrimination</w:t>
      </w:r>
      <w:r w:rsidR="4D1A0B04" w:rsidRPr="00CC562A">
        <w:rPr>
          <w:rFonts w:ascii="Cambria" w:hAnsi="Cambria"/>
          <w:sz w:val="16"/>
          <w:szCs w:val="16"/>
          <w:lang w:val="en-US"/>
        </w:rPr>
        <w:t xml:space="preserve"> (CONAPRED), </w:t>
      </w:r>
      <w:r w:rsidR="00164069" w:rsidRPr="00CC562A">
        <w:rPr>
          <w:rFonts w:ascii="Cambria" w:hAnsi="Cambria"/>
          <w:sz w:val="16"/>
          <w:szCs w:val="16"/>
          <w:lang w:val="en-US"/>
        </w:rPr>
        <w:t>National Human Rights Commission</w:t>
      </w:r>
      <w:r w:rsidR="4D1A0B04" w:rsidRPr="00CC562A">
        <w:rPr>
          <w:rFonts w:ascii="Cambria" w:hAnsi="Cambria"/>
          <w:sz w:val="16"/>
          <w:szCs w:val="16"/>
          <w:lang w:val="en-US"/>
        </w:rPr>
        <w:t xml:space="preserve"> (CNDH), </w:t>
      </w:r>
      <w:r w:rsidR="00164069" w:rsidRPr="00CC562A">
        <w:rPr>
          <w:rFonts w:ascii="Cambria" w:hAnsi="Cambria"/>
          <w:sz w:val="16"/>
          <w:szCs w:val="16"/>
          <w:lang w:val="en-US"/>
        </w:rPr>
        <w:t>Mexico City Human Rights Commission</w:t>
      </w:r>
      <w:r w:rsidR="4D1A0B04" w:rsidRPr="00CC562A">
        <w:rPr>
          <w:rFonts w:ascii="Cambria" w:hAnsi="Cambria"/>
          <w:sz w:val="16"/>
          <w:szCs w:val="16"/>
          <w:lang w:val="en-US"/>
        </w:rPr>
        <w:t xml:space="preserve"> (CDHCM), </w:t>
      </w:r>
      <w:r w:rsidR="00164069" w:rsidRPr="00CC562A">
        <w:rPr>
          <w:rFonts w:ascii="Cambria" w:hAnsi="Cambria"/>
          <w:sz w:val="16"/>
          <w:szCs w:val="16"/>
          <w:lang w:val="en-US"/>
        </w:rPr>
        <w:t>National Search Commission</w:t>
      </w:r>
      <w:r w:rsidR="4D1A0B04" w:rsidRPr="00CC562A">
        <w:rPr>
          <w:rFonts w:ascii="Cambria" w:hAnsi="Cambria"/>
          <w:sz w:val="16"/>
          <w:szCs w:val="16"/>
          <w:lang w:val="en-US"/>
        </w:rPr>
        <w:t xml:space="preserve"> (CNB), </w:t>
      </w:r>
      <w:r w:rsidR="00C43D69" w:rsidRPr="00CC562A">
        <w:rPr>
          <w:rFonts w:ascii="Cambria" w:hAnsi="Cambria"/>
          <w:sz w:val="16"/>
          <w:szCs w:val="16"/>
          <w:lang w:val="en-US"/>
        </w:rPr>
        <w:t>Civil Service Secretariat</w:t>
      </w:r>
      <w:r w:rsidR="4D1A0B04" w:rsidRPr="00CC562A">
        <w:rPr>
          <w:rFonts w:ascii="Cambria" w:hAnsi="Cambria"/>
          <w:sz w:val="16"/>
          <w:szCs w:val="16"/>
          <w:lang w:val="en-US"/>
        </w:rPr>
        <w:t xml:space="preserve"> (SFP), </w:t>
      </w:r>
      <w:r w:rsidR="00C43D69" w:rsidRPr="00CC562A">
        <w:rPr>
          <w:rFonts w:ascii="Cambria" w:hAnsi="Cambria"/>
          <w:sz w:val="16"/>
          <w:szCs w:val="16"/>
          <w:lang w:val="en-US"/>
        </w:rPr>
        <w:t>Ministry of the Interior</w:t>
      </w:r>
      <w:r w:rsidR="4D1A0B04" w:rsidRPr="00CC562A">
        <w:rPr>
          <w:rFonts w:ascii="Cambria" w:hAnsi="Cambria"/>
          <w:sz w:val="16"/>
          <w:szCs w:val="16"/>
          <w:lang w:val="en-US"/>
        </w:rPr>
        <w:t xml:space="preserve"> (SEGOB)</w:t>
      </w:r>
      <w:r w:rsidR="00C43D69" w:rsidRPr="00CC562A">
        <w:rPr>
          <w:rFonts w:ascii="Cambria" w:hAnsi="Cambria"/>
          <w:sz w:val="16"/>
          <w:szCs w:val="16"/>
          <w:lang w:val="en-US"/>
        </w:rPr>
        <w:t>, and International Committee of the Red Cross</w:t>
      </w:r>
      <w:r w:rsidR="4D1A0B04" w:rsidRPr="00CC562A">
        <w:rPr>
          <w:rFonts w:ascii="Cambria" w:hAnsi="Cambria"/>
          <w:sz w:val="16"/>
          <w:szCs w:val="16"/>
          <w:lang w:val="en-US"/>
        </w:rPr>
        <w:t xml:space="preserve"> (</w:t>
      </w:r>
      <w:r w:rsidR="00C43D69" w:rsidRPr="00CC562A">
        <w:rPr>
          <w:rFonts w:ascii="Cambria" w:hAnsi="Cambria"/>
          <w:sz w:val="16"/>
          <w:szCs w:val="16"/>
          <w:lang w:val="en-US"/>
        </w:rPr>
        <w:t>ICRC</w:t>
      </w:r>
      <w:r w:rsidR="4D1A0B04" w:rsidRPr="00CC562A">
        <w:rPr>
          <w:rFonts w:ascii="Cambria" w:hAnsi="Cambria"/>
          <w:sz w:val="16"/>
          <w:szCs w:val="16"/>
          <w:lang w:val="en-US"/>
        </w:rPr>
        <w:t>).  </w:t>
      </w:r>
    </w:p>
  </w:footnote>
  <w:footnote w:id="27">
    <w:p w14:paraId="458B9963" w14:textId="7B30A235" w:rsidR="003E6D7E" w:rsidRPr="00CC562A" w:rsidRDefault="003E6D7E" w:rsidP="00FE0BAD">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rPr>
        <w:footnoteRef/>
      </w:r>
      <w:r w:rsidRPr="00CC562A">
        <w:rPr>
          <w:rFonts w:ascii="Cambria" w:hAnsi="Cambria"/>
          <w:sz w:val="16"/>
          <w:szCs w:val="16"/>
          <w:lang w:val="en-US"/>
        </w:rPr>
        <w:t xml:space="preserve"> </w:t>
      </w:r>
      <w:r w:rsidR="003A6A69" w:rsidRPr="00CC562A">
        <w:rPr>
          <w:rFonts w:ascii="Cambria" w:hAnsi="Cambria"/>
          <w:sz w:val="16"/>
          <w:szCs w:val="16"/>
          <w:lang w:val="en-US"/>
        </w:rPr>
        <w:t>The courses include:</w:t>
      </w:r>
      <w:r w:rsidRPr="00CC562A">
        <w:rPr>
          <w:rFonts w:ascii="Cambria" w:hAnsi="Cambria"/>
          <w:sz w:val="16"/>
          <w:szCs w:val="16"/>
          <w:lang w:val="en-US"/>
        </w:rPr>
        <w:t xml:space="preserve"> </w:t>
      </w:r>
      <w:r w:rsidR="003A6A69" w:rsidRPr="00CC562A">
        <w:rPr>
          <w:rFonts w:ascii="Cambria" w:hAnsi="Cambria"/>
          <w:sz w:val="16"/>
          <w:szCs w:val="16"/>
          <w:lang w:val="en-US"/>
        </w:rPr>
        <w:t>Initial Training Program incorporating human rights; Human Rights, Use of Force, Gender and Non-Discrimination; Use of Force in the National Guard</w:t>
      </w:r>
      <w:r w:rsidRPr="00CC562A">
        <w:rPr>
          <w:rFonts w:ascii="Cambria" w:hAnsi="Cambria"/>
          <w:sz w:val="16"/>
          <w:szCs w:val="16"/>
          <w:lang w:val="en-US"/>
        </w:rPr>
        <w:t xml:space="preserve">; </w:t>
      </w:r>
      <w:r w:rsidR="003A6A69" w:rsidRPr="00CC562A">
        <w:rPr>
          <w:rFonts w:ascii="Cambria" w:hAnsi="Cambria"/>
          <w:sz w:val="16"/>
          <w:szCs w:val="16"/>
          <w:lang w:val="en-US"/>
        </w:rPr>
        <w:t>Human Rights in the National Guard</w:t>
      </w:r>
      <w:r w:rsidRPr="00CC562A">
        <w:rPr>
          <w:rFonts w:ascii="Cambria" w:hAnsi="Cambria"/>
          <w:sz w:val="16"/>
          <w:szCs w:val="16"/>
          <w:lang w:val="en-US"/>
        </w:rPr>
        <w:t>; Introduc</w:t>
      </w:r>
      <w:r w:rsidR="003A6A69" w:rsidRPr="00CC562A">
        <w:rPr>
          <w:rFonts w:ascii="Cambria" w:hAnsi="Cambria"/>
          <w:sz w:val="16"/>
          <w:szCs w:val="16"/>
          <w:lang w:val="en-US"/>
        </w:rPr>
        <w:t>tion to Human Rights</w:t>
      </w:r>
      <w:r w:rsidRPr="00CC562A">
        <w:rPr>
          <w:rFonts w:ascii="Cambria" w:hAnsi="Cambria"/>
          <w:sz w:val="16"/>
          <w:szCs w:val="16"/>
          <w:lang w:val="en-US"/>
        </w:rPr>
        <w:t xml:space="preserve">; </w:t>
      </w:r>
      <w:r w:rsidR="003A6A69" w:rsidRPr="00CC562A">
        <w:rPr>
          <w:rFonts w:ascii="Cambria" w:hAnsi="Cambria"/>
          <w:sz w:val="16"/>
          <w:szCs w:val="16"/>
          <w:lang w:val="en-US"/>
        </w:rPr>
        <w:t>Equality and Non-discrimination; Human Rights and the Use of Force in the Context of Migration</w:t>
      </w:r>
      <w:r w:rsidRPr="00CC562A">
        <w:rPr>
          <w:rFonts w:ascii="Cambria" w:hAnsi="Cambria"/>
          <w:sz w:val="16"/>
          <w:szCs w:val="16"/>
          <w:lang w:val="en-US"/>
        </w:rPr>
        <w:t xml:space="preserve">; </w:t>
      </w:r>
      <w:r w:rsidR="00AB7739" w:rsidRPr="00CC562A">
        <w:rPr>
          <w:rFonts w:ascii="Cambria" w:hAnsi="Cambria"/>
          <w:sz w:val="16"/>
          <w:szCs w:val="16"/>
          <w:lang w:val="en-US"/>
        </w:rPr>
        <w:t>Trainers’/Change Agents’ Course on the Rights of Girls, Boys, and Adolescents</w:t>
      </w:r>
      <w:r w:rsidRPr="00CC562A">
        <w:rPr>
          <w:rFonts w:ascii="Cambria" w:hAnsi="Cambria"/>
          <w:sz w:val="16"/>
          <w:szCs w:val="16"/>
          <w:lang w:val="en-US"/>
        </w:rPr>
        <w:t xml:space="preserve">; </w:t>
      </w:r>
      <w:r w:rsidR="00AB7739" w:rsidRPr="00CC562A">
        <w:rPr>
          <w:rFonts w:ascii="Cambria" w:hAnsi="Cambria"/>
          <w:sz w:val="16"/>
          <w:szCs w:val="16"/>
          <w:lang w:val="en-US"/>
        </w:rPr>
        <w:t>Instructors’ Training Course on the Use of Force and Humanitarian Principles</w:t>
      </w:r>
      <w:r w:rsidRPr="00CC562A">
        <w:rPr>
          <w:rFonts w:ascii="Cambria" w:hAnsi="Cambria"/>
          <w:sz w:val="16"/>
          <w:szCs w:val="16"/>
          <w:lang w:val="en-US"/>
        </w:rPr>
        <w:t xml:space="preserve">; </w:t>
      </w:r>
      <w:r w:rsidR="00AB7739" w:rsidRPr="00CC562A">
        <w:rPr>
          <w:rFonts w:ascii="Cambria" w:hAnsi="Cambria"/>
          <w:sz w:val="16"/>
          <w:szCs w:val="16"/>
          <w:lang w:val="en-US"/>
        </w:rPr>
        <w:t xml:space="preserve">and on-line courses through the virtual platforms of several institutions specializing </w:t>
      </w:r>
      <w:r w:rsidR="007B3B95" w:rsidRPr="00CC562A">
        <w:rPr>
          <w:rFonts w:ascii="Cambria" w:hAnsi="Cambria"/>
          <w:sz w:val="16"/>
          <w:szCs w:val="16"/>
          <w:lang w:val="en-US"/>
        </w:rPr>
        <w:t>in</w:t>
      </w:r>
      <w:r w:rsidR="00AB7739" w:rsidRPr="00CC562A">
        <w:rPr>
          <w:rFonts w:ascii="Cambria" w:hAnsi="Cambria"/>
          <w:sz w:val="16"/>
          <w:szCs w:val="16"/>
          <w:lang w:val="en-US"/>
        </w:rPr>
        <w:t xml:space="preserve"> gender and human rights such as:</w:t>
      </w:r>
      <w:r w:rsidRPr="00CC562A">
        <w:rPr>
          <w:rFonts w:ascii="Cambria" w:hAnsi="Cambria"/>
          <w:sz w:val="16"/>
          <w:szCs w:val="16"/>
          <w:lang w:val="en-US"/>
        </w:rPr>
        <w:t xml:space="preserve"> </w:t>
      </w:r>
      <w:r w:rsidR="00AB7739" w:rsidRPr="00CC562A">
        <w:rPr>
          <w:rFonts w:ascii="Cambria" w:hAnsi="Cambria"/>
          <w:sz w:val="16"/>
          <w:szCs w:val="16"/>
          <w:lang w:val="en-US"/>
        </w:rPr>
        <w:t>the National System for Integral Family Development</w:t>
      </w:r>
      <w:r w:rsidRPr="00CC562A">
        <w:rPr>
          <w:rFonts w:ascii="Cambria" w:hAnsi="Cambria"/>
          <w:sz w:val="16"/>
          <w:szCs w:val="16"/>
          <w:lang w:val="en-US"/>
        </w:rPr>
        <w:t xml:space="preserve"> (SNDIF), </w:t>
      </w:r>
      <w:r w:rsidR="00AB7739" w:rsidRPr="00CC562A">
        <w:rPr>
          <w:rFonts w:ascii="Cambria" w:hAnsi="Cambria"/>
          <w:sz w:val="16"/>
          <w:szCs w:val="16"/>
          <w:lang w:val="en-US"/>
        </w:rPr>
        <w:t>National Council for the Prevention of Discrimination</w:t>
      </w:r>
      <w:r w:rsidRPr="00CC562A">
        <w:rPr>
          <w:rFonts w:ascii="Cambria" w:hAnsi="Cambria"/>
          <w:sz w:val="16"/>
          <w:szCs w:val="16"/>
          <w:lang w:val="en-US"/>
        </w:rPr>
        <w:t xml:space="preserve"> (CONAPRED), </w:t>
      </w:r>
      <w:r w:rsidR="00AB7739" w:rsidRPr="00CC562A">
        <w:rPr>
          <w:rFonts w:ascii="Cambria" w:hAnsi="Cambria"/>
          <w:sz w:val="16"/>
          <w:szCs w:val="16"/>
          <w:lang w:val="en-US"/>
        </w:rPr>
        <w:t>National Human Rights Commission</w:t>
      </w:r>
      <w:r w:rsidRPr="00CC562A">
        <w:rPr>
          <w:rFonts w:ascii="Cambria" w:hAnsi="Cambria"/>
          <w:sz w:val="16"/>
          <w:szCs w:val="16"/>
          <w:lang w:val="en-US"/>
        </w:rPr>
        <w:t xml:space="preserve"> (CNDH), </w:t>
      </w:r>
      <w:r w:rsidR="00AB7739" w:rsidRPr="00CC562A">
        <w:rPr>
          <w:rFonts w:ascii="Cambria" w:hAnsi="Cambria"/>
          <w:sz w:val="16"/>
          <w:szCs w:val="16"/>
          <w:lang w:val="en-US"/>
        </w:rPr>
        <w:t>Mexico City Human Rights Commission</w:t>
      </w:r>
      <w:r w:rsidRPr="00CC562A">
        <w:rPr>
          <w:rFonts w:ascii="Cambria" w:hAnsi="Cambria"/>
          <w:sz w:val="16"/>
          <w:szCs w:val="16"/>
          <w:lang w:val="en-US"/>
        </w:rPr>
        <w:t xml:space="preserve"> (CDHCM), </w:t>
      </w:r>
      <w:r w:rsidR="00AB7739" w:rsidRPr="00CC562A">
        <w:rPr>
          <w:rFonts w:ascii="Cambria" w:hAnsi="Cambria"/>
          <w:sz w:val="16"/>
          <w:szCs w:val="16"/>
          <w:lang w:val="en-US"/>
        </w:rPr>
        <w:t>National Search Commission</w:t>
      </w:r>
      <w:r w:rsidRPr="00CC562A">
        <w:rPr>
          <w:rFonts w:ascii="Cambria" w:hAnsi="Cambria"/>
          <w:sz w:val="16"/>
          <w:szCs w:val="16"/>
          <w:lang w:val="en-US"/>
        </w:rPr>
        <w:t xml:space="preserve"> (CNB), </w:t>
      </w:r>
      <w:r w:rsidR="00AB7739" w:rsidRPr="00CC562A">
        <w:rPr>
          <w:rFonts w:ascii="Cambria" w:hAnsi="Cambria"/>
          <w:sz w:val="16"/>
          <w:szCs w:val="16"/>
          <w:lang w:val="en-US"/>
        </w:rPr>
        <w:t>Civil Service Secretariat</w:t>
      </w:r>
      <w:r w:rsidRPr="00CC562A">
        <w:rPr>
          <w:rFonts w:ascii="Cambria" w:hAnsi="Cambria"/>
          <w:sz w:val="16"/>
          <w:szCs w:val="16"/>
          <w:lang w:val="en-US"/>
        </w:rPr>
        <w:t xml:space="preserve"> (SFP), </w:t>
      </w:r>
      <w:r w:rsidR="00AB7739" w:rsidRPr="00CC562A">
        <w:rPr>
          <w:rFonts w:ascii="Cambria" w:hAnsi="Cambria"/>
          <w:sz w:val="16"/>
          <w:szCs w:val="16"/>
          <w:lang w:val="en-US"/>
        </w:rPr>
        <w:t>Ministry of the Interior</w:t>
      </w:r>
      <w:r w:rsidRPr="00CC562A">
        <w:rPr>
          <w:rFonts w:ascii="Cambria" w:hAnsi="Cambria"/>
          <w:sz w:val="16"/>
          <w:szCs w:val="16"/>
          <w:lang w:val="en-US"/>
        </w:rPr>
        <w:t xml:space="preserve"> (SEGOB</w:t>
      </w:r>
      <w:r w:rsidR="00AB7739" w:rsidRPr="00CC562A">
        <w:rPr>
          <w:rFonts w:ascii="Cambria" w:hAnsi="Cambria"/>
          <w:sz w:val="16"/>
          <w:szCs w:val="16"/>
          <w:lang w:val="en-US"/>
        </w:rPr>
        <w:t xml:space="preserve">), and </w:t>
      </w:r>
      <w:r w:rsidR="00EB3D08" w:rsidRPr="00CC562A">
        <w:rPr>
          <w:rFonts w:ascii="Cambria" w:hAnsi="Cambria"/>
          <w:sz w:val="16"/>
          <w:szCs w:val="16"/>
          <w:lang w:val="en-US"/>
        </w:rPr>
        <w:t>International Committee of the Red Cross</w:t>
      </w:r>
      <w:r w:rsidRPr="00CC562A">
        <w:rPr>
          <w:rFonts w:ascii="Cambria" w:hAnsi="Cambria"/>
          <w:sz w:val="16"/>
          <w:szCs w:val="16"/>
          <w:lang w:val="en-US"/>
        </w:rPr>
        <w:t xml:space="preserve"> (</w:t>
      </w:r>
      <w:r w:rsidR="00EB3D08" w:rsidRPr="00CC562A">
        <w:rPr>
          <w:rFonts w:ascii="Cambria" w:hAnsi="Cambria"/>
          <w:sz w:val="16"/>
          <w:szCs w:val="16"/>
          <w:lang w:val="en-US"/>
        </w:rPr>
        <w:t>ICRC</w:t>
      </w:r>
      <w:r w:rsidRPr="00CC562A">
        <w:rPr>
          <w:rFonts w:ascii="Cambria" w:hAnsi="Cambria"/>
          <w:sz w:val="16"/>
          <w:szCs w:val="16"/>
          <w:lang w:val="en-US"/>
        </w:rPr>
        <w:t>).  </w:t>
      </w:r>
    </w:p>
  </w:footnote>
  <w:footnote w:id="28">
    <w:p w14:paraId="559846A5" w14:textId="16077AB0" w:rsidR="00886665" w:rsidRPr="00CC562A" w:rsidRDefault="00886665" w:rsidP="00FE0BAD">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00C43D69" w:rsidRPr="00CC562A">
        <w:rPr>
          <w:lang w:val="en-US"/>
        </w:rPr>
        <w:t>. Chapter</w:t>
      </w:r>
      <w:r w:rsidR="4D1A0B04" w:rsidRPr="00CC562A">
        <w:rPr>
          <w:lang w:val="en-US"/>
        </w:rPr>
        <w:t xml:space="preserve"> V, </w:t>
      </w:r>
      <w:r w:rsidR="00C43D69" w:rsidRPr="00CC562A">
        <w:rPr>
          <w:lang w:val="en-US"/>
        </w:rPr>
        <w:t>October</w:t>
      </w:r>
      <w:r w:rsidR="4D1A0B04" w:rsidRPr="00CC562A">
        <w:rPr>
          <w:lang w:val="en-US"/>
        </w:rPr>
        <w:t xml:space="preserve"> 2022 </w:t>
      </w:r>
      <w:r w:rsidR="00C43D69" w:rsidRPr="00CC562A">
        <w:rPr>
          <w:lang w:val="en-US"/>
        </w:rPr>
        <w:t>through the Inter-American</w:t>
      </w:r>
      <w:r w:rsidR="4D1A0B04" w:rsidRPr="00CC562A">
        <w:rPr>
          <w:lang w:val="en-US"/>
        </w:rPr>
        <w:t xml:space="preserve"> SIMORE.</w:t>
      </w:r>
    </w:p>
  </w:footnote>
  <w:footnote w:id="29">
    <w:p w14:paraId="4FCFA16B" w14:textId="6754008E"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00FF151D" w:rsidRPr="00CC562A">
        <w:rPr>
          <w:lang w:val="en-US"/>
        </w:rPr>
        <w:t>. Chapter</w:t>
      </w:r>
      <w:r w:rsidR="4D1A0B04" w:rsidRPr="00CC562A">
        <w:rPr>
          <w:lang w:val="en-US"/>
        </w:rPr>
        <w:t xml:space="preserve"> V, </w:t>
      </w:r>
      <w:r w:rsidR="00FF151D" w:rsidRPr="00CC562A">
        <w:rPr>
          <w:lang w:val="en-US"/>
        </w:rPr>
        <w:t xml:space="preserve">October </w:t>
      </w:r>
      <w:r w:rsidR="4D1A0B04" w:rsidRPr="00CC562A">
        <w:rPr>
          <w:lang w:val="en-US"/>
        </w:rPr>
        <w:t xml:space="preserve">2022 </w:t>
      </w:r>
      <w:r w:rsidR="00FF151D" w:rsidRPr="00CC562A">
        <w:rPr>
          <w:lang w:val="en-US"/>
        </w:rPr>
        <w:t>through the Inter-American</w:t>
      </w:r>
      <w:r w:rsidR="4D1A0B04" w:rsidRPr="00CC562A">
        <w:rPr>
          <w:lang w:val="en-US"/>
        </w:rPr>
        <w:t xml:space="preserve"> SIMORE.</w:t>
      </w:r>
    </w:p>
  </w:footnote>
  <w:footnote w:id="30">
    <w:p w14:paraId="3891F314" w14:textId="4FCCAC51" w:rsidR="00115B7D" w:rsidRPr="00CC562A" w:rsidRDefault="00115B7D"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E93FB5" w:rsidRPr="00CC562A">
        <w:rPr>
          <w:rFonts w:ascii="Cambria" w:hAnsi="Cambria"/>
          <w:sz w:val="16"/>
          <w:szCs w:val="16"/>
          <w:lang w:val="en-US"/>
        </w:rPr>
        <w:t xml:space="preserve">Follow-up on </w:t>
      </w:r>
      <w:r w:rsidR="00750392" w:rsidRPr="00CC562A">
        <w:rPr>
          <w:rFonts w:ascii="Cambria" w:hAnsi="Cambria"/>
          <w:sz w:val="16"/>
          <w:szCs w:val="16"/>
          <w:lang w:val="en-US"/>
        </w:rPr>
        <w:t>C</w:t>
      </w:r>
      <w:r w:rsidR="00E93FB5" w:rsidRPr="00CC562A">
        <w:rPr>
          <w:rFonts w:ascii="Cambria" w:hAnsi="Cambria"/>
          <w:sz w:val="16"/>
          <w:szCs w:val="16"/>
          <w:lang w:val="en-US"/>
        </w:rPr>
        <w:t xml:space="preserve">ompliance with </w:t>
      </w:r>
      <w:r w:rsidR="00750392" w:rsidRPr="00CC562A">
        <w:rPr>
          <w:rFonts w:ascii="Cambria" w:hAnsi="Cambria"/>
          <w:sz w:val="16"/>
          <w:szCs w:val="16"/>
          <w:lang w:val="en-US"/>
        </w:rPr>
        <w:t>R</w:t>
      </w:r>
      <w:r w:rsidR="00E93FB5" w:rsidRPr="00CC562A">
        <w:rPr>
          <w:rFonts w:ascii="Cambria" w:hAnsi="Cambria"/>
          <w:sz w:val="16"/>
          <w:szCs w:val="16"/>
          <w:lang w:val="en-US"/>
        </w:rPr>
        <w:t xml:space="preserve">ecommendations in the </w:t>
      </w:r>
      <w:r w:rsidR="00750392" w:rsidRPr="00CC562A">
        <w:rPr>
          <w:rFonts w:ascii="Cambria" w:hAnsi="Cambria"/>
          <w:sz w:val="16"/>
          <w:szCs w:val="16"/>
          <w:lang w:val="en-US"/>
        </w:rPr>
        <w:t>R</w:t>
      </w:r>
      <w:r w:rsidR="00E93FB5" w:rsidRPr="00CC562A">
        <w:rPr>
          <w:rFonts w:ascii="Cambria" w:hAnsi="Cambria"/>
          <w:sz w:val="16"/>
          <w:szCs w:val="16"/>
          <w:lang w:val="en-US"/>
        </w:rPr>
        <w:t>eport on the “Situation of Human Rights in Mexico,” of October 20,</w:t>
      </w:r>
      <w:r w:rsidR="4D1A0B04" w:rsidRPr="00CC562A">
        <w:rPr>
          <w:rFonts w:ascii="Cambria" w:hAnsi="Cambria"/>
          <w:sz w:val="16"/>
          <w:szCs w:val="16"/>
          <w:lang w:val="en-US"/>
        </w:rPr>
        <w:t xml:space="preserve"> </w:t>
      </w:r>
      <w:r w:rsidR="00D77397" w:rsidRPr="00CC562A">
        <w:rPr>
          <w:rFonts w:ascii="Cambria" w:hAnsi="Cambria"/>
          <w:sz w:val="16"/>
          <w:szCs w:val="16"/>
          <w:lang w:val="en-US"/>
        </w:rPr>
        <w:t>2022, pp.</w:t>
      </w:r>
      <w:r w:rsidR="4D1A0B04" w:rsidRPr="00CC562A">
        <w:rPr>
          <w:rFonts w:ascii="Cambria" w:hAnsi="Cambria"/>
          <w:sz w:val="16"/>
          <w:szCs w:val="16"/>
          <w:lang w:val="en-US"/>
        </w:rPr>
        <w:t xml:space="preserve"> 6-7. </w:t>
      </w:r>
    </w:p>
  </w:footnote>
  <w:footnote w:id="31">
    <w:p w14:paraId="59C07AB6" w14:textId="5EFD9A83" w:rsidR="00CC660C" w:rsidRPr="00CC562A" w:rsidRDefault="00CC660C" w:rsidP="007A58B5">
      <w:pPr>
        <w:spacing w:after="0" w:line="240" w:lineRule="auto"/>
        <w:ind w:firstLine="720"/>
        <w:jc w:val="both"/>
        <w:rPr>
          <w:rFonts w:ascii="Cambria" w:hAnsi="Cambria"/>
          <w:sz w:val="16"/>
          <w:szCs w:val="16"/>
          <w:lang w:val="es-E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SCJN. </w:t>
      </w:r>
      <w:hyperlink r:id="rId13" w:history="1">
        <w:r w:rsidR="4D1A0B04" w:rsidRPr="00CC562A">
          <w:rPr>
            <w:rStyle w:val="Hyperlink"/>
            <w:rFonts w:ascii="Cambria" w:hAnsi="Cambria"/>
            <w:sz w:val="16"/>
            <w:szCs w:val="16"/>
            <w:lang w:val="es-ES"/>
          </w:rPr>
          <w:t>Sesión pública de la primera sala de la suprema corte de justicia de la nación</w:t>
        </w:r>
      </w:hyperlink>
      <w:r w:rsidR="4D1A0B04" w:rsidRPr="00CC562A">
        <w:rPr>
          <w:rFonts w:ascii="Cambria" w:hAnsi="Cambria"/>
          <w:sz w:val="16"/>
          <w:szCs w:val="16"/>
          <w:lang w:val="es-ES"/>
        </w:rPr>
        <w:t xml:space="preserve">, </w:t>
      </w:r>
      <w:proofErr w:type="spellStart"/>
      <w:r w:rsidR="00E93FB5" w:rsidRPr="00CC562A">
        <w:rPr>
          <w:rFonts w:ascii="Cambria" w:hAnsi="Cambria"/>
          <w:sz w:val="16"/>
          <w:szCs w:val="16"/>
          <w:lang w:val="es-ES"/>
        </w:rPr>
        <w:t>held</w:t>
      </w:r>
      <w:proofErr w:type="spellEnd"/>
      <w:r w:rsidR="00E93FB5" w:rsidRPr="00CC562A">
        <w:rPr>
          <w:rFonts w:ascii="Cambria" w:hAnsi="Cambria"/>
          <w:sz w:val="16"/>
          <w:szCs w:val="16"/>
          <w:lang w:val="es-ES"/>
        </w:rPr>
        <w:t xml:space="preserve"> </w:t>
      </w:r>
      <w:proofErr w:type="spellStart"/>
      <w:r w:rsidR="00E93FB5" w:rsidRPr="00CC562A">
        <w:rPr>
          <w:rFonts w:ascii="Cambria" w:hAnsi="Cambria"/>
          <w:sz w:val="16"/>
          <w:szCs w:val="16"/>
          <w:lang w:val="es-ES"/>
        </w:rPr>
        <w:t>on</w:t>
      </w:r>
      <w:proofErr w:type="spellEnd"/>
      <w:r w:rsidR="00E93FB5" w:rsidRPr="00CC562A">
        <w:rPr>
          <w:rFonts w:ascii="Cambria" w:hAnsi="Cambria"/>
          <w:sz w:val="16"/>
          <w:szCs w:val="16"/>
          <w:lang w:val="es-ES"/>
        </w:rPr>
        <w:t xml:space="preserve"> </w:t>
      </w:r>
      <w:proofErr w:type="spellStart"/>
      <w:r w:rsidR="00E93FB5" w:rsidRPr="00CC562A">
        <w:rPr>
          <w:rFonts w:ascii="Cambria" w:hAnsi="Cambria"/>
          <w:sz w:val="16"/>
          <w:szCs w:val="16"/>
          <w:lang w:val="es-ES"/>
        </w:rPr>
        <w:t>Wednesday</w:t>
      </w:r>
      <w:proofErr w:type="spellEnd"/>
      <w:r w:rsidR="00E93FB5" w:rsidRPr="00CC562A">
        <w:rPr>
          <w:rFonts w:ascii="Cambria" w:hAnsi="Cambria"/>
          <w:sz w:val="16"/>
          <w:szCs w:val="16"/>
          <w:lang w:val="es-ES"/>
        </w:rPr>
        <w:t xml:space="preserve">, </w:t>
      </w:r>
      <w:proofErr w:type="spellStart"/>
      <w:r w:rsidR="00E93FB5" w:rsidRPr="00CC562A">
        <w:rPr>
          <w:rFonts w:ascii="Cambria" w:hAnsi="Cambria"/>
          <w:sz w:val="16"/>
          <w:szCs w:val="16"/>
          <w:lang w:val="es-ES"/>
        </w:rPr>
        <w:t>November</w:t>
      </w:r>
      <w:proofErr w:type="spellEnd"/>
      <w:r w:rsidR="00E93FB5" w:rsidRPr="00CC562A">
        <w:rPr>
          <w:rFonts w:ascii="Cambria" w:hAnsi="Cambria"/>
          <w:sz w:val="16"/>
          <w:szCs w:val="16"/>
          <w:lang w:val="es-ES"/>
        </w:rPr>
        <w:t xml:space="preserve"> 9,</w:t>
      </w:r>
      <w:r w:rsidR="4D1A0B04" w:rsidRPr="00CC562A">
        <w:rPr>
          <w:rFonts w:ascii="Cambria" w:hAnsi="Cambria"/>
          <w:sz w:val="16"/>
          <w:szCs w:val="16"/>
          <w:lang w:val="es-ES"/>
        </w:rPr>
        <w:t xml:space="preserve"> 2022. </w:t>
      </w:r>
    </w:p>
  </w:footnote>
  <w:footnote w:id="32">
    <w:p w14:paraId="64BD61CA" w14:textId="398AA8DC" w:rsidR="0054543A" w:rsidRPr="00CC562A" w:rsidRDefault="0054543A" w:rsidP="007A58B5">
      <w:pPr>
        <w:spacing w:after="0" w:line="240" w:lineRule="auto"/>
        <w:ind w:firstLine="720"/>
        <w:jc w:val="both"/>
        <w:rPr>
          <w:rFonts w:ascii="Cambria" w:eastAsia="Arial Narrow" w:hAnsi="Cambria" w:cs="Arial Narrow"/>
          <w:sz w:val="16"/>
          <w:szCs w:val="16"/>
          <w:lang w:val="en-U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n-US"/>
        </w:rPr>
        <w:t xml:space="preserve"> </w:t>
      </w:r>
      <w:r w:rsidR="00DA475C" w:rsidRPr="00CC562A">
        <w:rPr>
          <w:rFonts w:ascii="Cambria" w:eastAsia="Arial Narrow" w:hAnsi="Cambria" w:cs="Arial Narrow"/>
          <w:sz w:val="16"/>
          <w:szCs w:val="16"/>
          <w:lang w:val="en-US"/>
        </w:rPr>
        <w:t>Congres</w:t>
      </w:r>
      <w:r w:rsidR="00E93FB5" w:rsidRPr="00CC562A">
        <w:rPr>
          <w:rFonts w:ascii="Cambria" w:eastAsia="Arial Narrow" w:hAnsi="Cambria" w:cs="Arial Narrow"/>
          <w:sz w:val="16"/>
          <w:szCs w:val="16"/>
          <w:lang w:val="en-US"/>
        </w:rPr>
        <w:t>s of the Union</w:t>
      </w:r>
      <w:r w:rsidR="00DA475C" w:rsidRPr="00CC562A">
        <w:rPr>
          <w:rFonts w:ascii="Cambria" w:eastAsia="Arial Narrow" w:hAnsi="Cambria" w:cs="Arial Narrow"/>
          <w:sz w:val="16"/>
          <w:szCs w:val="16"/>
          <w:lang w:val="en-US"/>
        </w:rPr>
        <w:t xml:space="preserve">, </w:t>
      </w:r>
      <w:hyperlink r:id="rId14">
        <w:r w:rsidR="00DA475C" w:rsidRPr="00CC562A">
          <w:rPr>
            <w:rFonts w:ascii="Cambria" w:eastAsia="Arial Narrow" w:hAnsi="Cambria" w:cs="Arial Narrow"/>
            <w:color w:val="0000FF"/>
            <w:sz w:val="16"/>
            <w:szCs w:val="16"/>
            <w:u w:val="single"/>
            <w:lang w:val="en-US"/>
          </w:rPr>
          <w:t xml:space="preserve">Ley Nacional </w:t>
        </w:r>
        <w:proofErr w:type="spellStart"/>
        <w:r w:rsidR="00DA475C" w:rsidRPr="00CC562A">
          <w:rPr>
            <w:rFonts w:ascii="Cambria" w:eastAsia="Arial Narrow" w:hAnsi="Cambria" w:cs="Arial Narrow"/>
            <w:color w:val="0000FF"/>
            <w:sz w:val="16"/>
            <w:szCs w:val="16"/>
            <w:u w:val="single"/>
            <w:lang w:val="en-US"/>
          </w:rPr>
          <w:t>sobre</w:t>
        </w:r>
        <w:proofErr w:type="spellEnd"/>
        <w:r w:rsidR="00DA475C" w:rsidRPr="00CC562A">
          <w:rPr>
            <w:rFonts w:ascii="Cambria" w:eastAsia="Arial Narrow" w:hAnsi="Cambria" w:cs="Arial Narrow"/>
            <w:color w:val="0000FF"/>
            <w:sz w:val="16"/>
            <w:szCs w:val="16"/>
            <w:u w:val="single"/>
            <w:lang w:val="en-US"/>
          </w:rPr>
          <w:t xml:space="preserve"> </w:t>
        </w:r>
        <w:proofErr w:type="spellStart"/>
        <w:r w:rsidR="00DA475C" w:rsidRPr="00CC562A">
          <w:rPr>
            <w:rFonts w:ascii="Cambria" w:eastAsia="Arial Narrow" w:hAnsi="Cambria" w:cs="Arial Narrow"/>
            <w:color w:val="0000FF"/>
            <w:sz w:val="16"/>
            <w:szCs w:val="16"/>
            <w:u w:val="single"/>
            <w:lang w:val="en-US"/>
          </w:rPr>
          <w:t>el</w:t>
        </w:r>
        <w:proofErr w:type="spellEnd"/>
        <w:r w:rsidR="00DA475C" w:rsidRPr="00CC562A">
          <w:rPr>
            <w:rFonts w:ascii="Cambria" w:eastAsia="Arial Narrow" w:hAnsi="Cambria" w:cs="Arial Narrow"/>
            <w:color w:val="0000FF"/>
            <w:sz w:val="16"/>
            <w:szCs w:val="16"/>
            <w:u w:val="single"/>
            <w:lang w:val="en-US"/>
          </w:rPr>
          <w:t xml:space="preserve"> </w:t>
        </w:r>
        <w:proofErr w:type="spellStart"/>
        <w:r w:rsidR="00DA475C" w:rsidRPr="00CC562A">
          <w:rPr>
            <w:rFonts w:ascii="Cambria" w:eastAsia="Arial Narrow" w:hAnsi="Cambria" w:cs="Arial Narrow"/>
            <w:color w:val="0000FF"/>
            <w:sz w:val="16"/>
            <w:szCs w:val="16"/>
            <w:u w:val="single"/>
            <w:lang w:val="en-US"/>
          </w:rPr>
          <w:t>Uso</w:t>
        </w:r>
        <w:proofErr w:type="spellEnd"/>
        <w:r w:rsidR="00DA475C" w:rsidRPr="00CC562A">
          <w:rPr>
            <w:rFonts w:ascii="Cambria" w:eastAsia="Arial Narrow" w:hAnsi="Cambria" w:cs="Arial Narrow"/>
            <w:color w:val="0000FF"/>
            <w:sz w:val="16"/>
            <w:szCs w:val="16"/>
            <w:u w:val="single"/>
            <w:lang w:val="en-US"/>
          </w:rPr>
          <w:t xml:space="preserve"> de la </w:t>
        </w:r>
        <w:proofErr w:type="spellStart"/>
        <w:r w:rsidR="00DA475C" w:rsidRPr="00CC562A">
          <w:rPr>
            <w:rFonts w:ascii="Cambria" w:eastAsia="Arial Narrow" w:hAnsi="Cambria" w:cs="Arial Narrow"/>
            <w:color w:val="0000FF"/>
            <w:sz w:val="16"/>
            <w:szCs w:val="16"/>
            <w:u w:val="single"/>
            <w:lang w:val="en-US"/>
          </w:rPr>
          <w:t>Fuerza</w:t>
        </w:r>
        <w:proofErr w:type="spellEnd"/>
        <w:r w:rsidR="00DA475C" w:rsidRPr="00CC562A">
          <w:rPr>
            <w:rFonts w:ascii="Cambria" w:eastAsia="Arial Narrow" w:hAnsi="Cambria" w:cs="Arial Narrow"/>
            <w:color w:val="0000FF"/>
            <w:sz w:val="16"/>
            <w:szCs w:val="16"/>
            <w:u w:val="single"/>
            <w:lang w:val="en-US"/>
          </w:rPr>
          <w:t xml:space="preserve"> (diputados.gob.mx)</w:t>
        </w:r>
      </w:hyperlink>
      <w:r w:rsidR="00DA475C" w:rsidRPr="00CC562A">
        <w:rPr>
          <w:rFonts w:ascii="Cambria" w:eastAsia="Arial Narrow" w:hAnsi="Cambria" w:cs="Arial Narrow"/>
          <w:color w:val="0000FF"/>
          <w:sz w:val="16"/>
          <w:szCs w:val="16"/>
          <w:u w:val="single"/>
          <w:lang w:val="en-US"/>
        </w:rPr>
        <w:t>,</w:t>
      </w:r>
      <w:r w:rsidRPr="00CC562A">
        <w:rPr>
          <w:rFonts w:ascii="Cambria" w:eastAsia="Arial Narrow" w:hAnsi="Cambria" w:cs="Arial Narrow"/>
          <w:sz w:val="16"/>
          <w:szCs w:val="16"/>
          <w:lang w:val="en-US"/>
        </w:rPr>
        <w:t xml:space="preserve"> </w:t>
      </w:r>
      <w:r w:rsidR="00E93FB5" w:rsidRPr="00CC562A">
        <w:rPr>
          <w:rFonts w:ascii="Cambria" w:eastAsia="Arial Narrow" w:hAnsi="Cambria" w:cs="Arial Narrow"/>
          <w:sz w:val="16"/>
          <w:szCs w:val="16"/>
          <w:lang w:val="en-US"/>
        </w:rPr>
        <w:t>The text of Article</w:t>
      </w:r>
      <w:r w:rsidRPr="00CC562A">
        <w:rPr>
          <w:rFonts w:ascii="Cambria" w:eastAsia="Arial Narrow" w:hAnsi="Cambria" w:cs="Arial Narrow"/>
          <w:sz w:val="16"/>
          <w:szCs w:val="16"/>
          <w:lang w:val="en-US"/>
        </w:rPr>
        <w:t xml:space="preserve"> 32 </w:t>
      </w:r>
      <w:r w:rsidR="00E93FB5" w:rsidRPr="00CC562A">
        <w:rPr>
          <w:rFonts w:ascii="Cambria" w:eastAsia="Arial Narrow" w:hAnsi="Cambria" w:cs="Arial Narrow"/>
          <w:sz w:val="16"/>
          <w:szCs w:val="16"/>
          <w:lang w:val="en-US"/>
        </w:rPr>
        <w:t>of the</w:t>
      </w:r>
      <w:r w:rsidRPr="00CC562A">
        <w:rPr>
          <w:rFonts w:ascii="Cambria" w:eastAsia="Arial Narrow" w:hAnsi="Cambria" w:cs="Arial Narrow"/>
          <w:sz w:val="16"/>
          <w:szCs w:val="16"/>
          <w:lang w:val="en-US"/>
        </w:rPr>
        <w:t xml:space="preserve"> LNUF </w:t>
      </w:r>
      <w:r w:rsidR="00E93FB5" w:rsidRPr="00CC562A">
        <w:rPr>
          <w:rFonts w:ascii="Cambria" w:eastAsia="Arial Narrow" w:hAnsi="Cambria" w:cs="Arial Narrow"/>
          <w:sz w:val="16"/>
          <w:szCs w:val="16"/>
          <w:lang w:val="en-US"/>
        </w:rPr>
        <w:t>establishes as follows:</w:t>
      </w:r>
      <w:r w:rsidRPr="00CC562A">
        <w:rPr>
          <w:rFonts w:ascii="Cambria" w:eastAsia="Arial Narrow" w:hAnsi="Cambria" w:cs="Arial Narrow"/>
          <w:sz w:val="16"/>
          <w:szCs w:val="16"/>
          <w:lang w:val="en-US"/>
        </w:rPr>
        <w:t xml:space="preserve"> “</w:t>
      </w:r>
      <w:r w:rsidR="00E93FB5" w:rsidRPr="00CC562A">
        <w:rPr>
          <w:rFonts w:ascii="Cambria" w:eastAsia="Arial Narrow" w:hAnsi="Cambria" w:cs="Arial Narrow"/>
          <w:sz w:val="16"/>
          <w:szCs w:val="16"/>
          <w:lang w:val="en-US"/>
        </w:rPr>
        <w:t>Whenever members of the security institutions use force in the performance of their duties, they must file a detailed report to their immediate superior</w:t>
      </w:r>
      <w:r w:rsidR="00633971" w:rsidRPr="00CC562A">
        <w:rPr>
          <w:rFonts w:ascii="Cambria" w:eastAsia="Arial Narrow" w:hAnsi="Cambria" w:cs="Arial Narrow"/>
          <w:sz w:val="16"/>
          <w:szCs w:val="16"/>
          <w:lang w:val="en-US"/>
        </w:rPr>
        <w:t xml:space="preserve">, copy of which shall be included in the file of the </w:t>
      </w:r>
      <w:r w:rsidR="00750392" w:rsidRPr="00CC562A">
        <w:rPr>
          <w:rFonts w:ascii="Cambria" w:eastAsia="Arial Narrow" w:hAnsi="Cambria" w:cs="Arial Narrow"/>
          <w:sz w:val="16"/>
          <w:szCs w:val="16"/>
          <w:lang w:val="en-US"/>
        </w:rPr>
        <w:t>officer</w:t>
      </w:r>
      <w:r w:rsidR="00633971" w:rsidRPr="00CC562A">
        <w:rPr>
          <w:rFonts w:ascii="Cambria" w:eastAsia="Arial Narrow" w:hAnsi="Cambria" w:cs="Arial Narrow"/>
          <w:sz w:val="16"/>
          <w:szCs w:val="16"/>
          <w:lang w:val="en-US"/>
        </w:rPr>
        <w:t xml:space="preserve"> in command of the operation and, where appropriate, of each of the participants</w:t>
      </w:r>
      <w:r w:rsidRPr="00CC562A">
        <w:rPr>
          <w:rFonts w:ascii="Cambria" w:eastAsia="Arial Narrow" w:hAnsi="Cambria" w:cs="Arial Narrow"/>
          <w:sz w:val="16"/>
          <w:szCs w:val="16"/>
          <w:lang w:val="en-US"/>
        </w:rPr>
        <w:t xml:space="preserve">. </w:t>
      </w:r>
      <w:r w:rsidR="00750392" w:rsidRPr="00CC562A">
        <w:rPr>
          <w:rFonts w:ascii="Cambria" w:eastAsia="Arial Narrow" w:hAnsi="Cambria" w:cs="Arial Narrow"/>
          <w:sz w:val="16"/>
          <w:szCs w:val="16"/>
          <w:lang w:val="en-US"/>
        </w:rPr>
        <w:t>H</w:t>
      </w:r>
      <w:r w:rsidR="00633971" w:rsidRPr="00CC562A">
        <w:rPr>
          <w:rFonts w:ascii="Cambria" w:eastAsia="Arial Narrow" w:hAnsi="Cambria" w:cs="Arial Narrow"/>
          <w:sz w:val="16"/>
          <w:szCs w:val="16"/>
          <w:lang w:val="en-US"/>
        </w:rPr>
        <w:t>ierarchical superiors shall be responsible when they should have or have knowledge that agents under their command have unlawfully used force, instruments, or firearms under their charge and do not prevent it or do not report it to the corresponding authorities.</w:t>
      </w:r>
      <w:r w:rsidRPr="00CC562A">
        <w:rPr>
          <w:rFonts w:ascii="Cambria" w:eastAsia="Arial Narrow" w:hAnsi="Cambria" w:cs="Arial Narrow"/>
          <w:sz w:val="16"/>
          <w:szCs w:val="16"/>
          <w:lang w:val="en-US"/>
        </w:rPr>
        <w:t xml:space="preserve">” </w:t>
      </w:r>
    </w:p>
  </w:footnote>
  <w:footnote w:id="33">
    <w:p w14:paraId="505D67C3" w14:textId="1D78A449"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Animal Político. </w:t>
      </w:r>
      <w:hyperlink r:id="rId15" w:history="1">
        <w:r w:rsidRPr="00CC562A">
          <w:rPr>
            <w:rStyle w:val="Hyperlink"/>
            <w:rFonts w:ascii="Cambria" w:eastAsia="Arial Narrow" w:hAnsi="Cambria" w:cs="Arial Narrow"/>
            <w:sz w:val="16"/>
            <w:szCs w:val="16"/>
            <w:lang w:val="es-ES"/>
          </w:rPr>
          <w:t xml:space="preserve">Ángel </w:t>
        </w:r>
        <w:proofErr w:type="spellStart"/>
        <w:r w:rsidRPr="00CC562A">
          <w:rPr>
            <w:rStyle w:val="Hyperlink"/>
            <w:rFonts w:ascii="Cambria" w:eastAsia="Arial Narrow" w:hAnsi="Cambria" w:cs="Arial Narrow"/>
            <w:sz w:val="16"/>
            <w:szCs w:val="16"/>
            <w:lang w:val="es-ES"/>
          </w:rPr>
          <w:t>Yael</w:t>
        </w:r>
        <w:proofErr w:type="spellEnd"/>
        <w:r w:rsidRPr="00CC562A">
          <w:rPr>
            <w:rStyle w:val="Hyperlink"/>
            <w:rFonts w:ascii="Cambria" w:eastAsia="Arial Narrow" w:hAnsi="Cambria" w:cs="Arial Narrow"/>
            <w:sz w:val="16"/>
            <w:szCs w:val="16"/>
            <w:lang w:val="es-ES"/>
          </w:rPr>
          <w:t>: el impacto de la militarización</w:t>
        </w:r>
      </w:hyperlink>
      <w:r w:rsidR="00DA475C"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750392" w:rsidRPr="00CC562A">
        <w:rPr>
          <w:rFonts w:ascii="Cambria" w:eastAsia="Arial Narrow" w:hAnsi="Cambria" w:cs="Arial Narrow"/>
          <w:sz w:val="16"/>
          <w:szCs w:val="16"/>
          <w:lang w:val="es-ES"/>
        </w:rPr>
        <w:t>May 3,</w:t>
      </w:r>
      <w:r w:rsidRPr="00CC562A">
        <w:rPr>
          <w:rFonts w:ascii="Cambria" w:eastAsia="Arial Narrow" w:hAnsi="Cambria" w:cs="Arial Narrow"/>
          <w:sz w:val="16"/>
          <w:szCs w:val="16"/>
          <w:lang w:val="es-ES"/>
        </w:rPr>
        <w:t xml:space="preserve"> 2022. </w:t>
      </w:r>
    </w:p>
  </w:footnote>
  <w:footnote w:id="34">
    <w:p w14:paraId="2A627477" w14:textId="0C6D1F10"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w:t>
      </w:r>
      <w:r w:rsidRPr="00CC562A">
        <w:rPr>
          <w:rFonts w:ascii="Cambria" w:eastAsia="Arial Narrow" w:hAnsi="Cambria" w:cs="Arial Narrow"/>
          <w:sz w:val="16"/>
          <w:szCs w:val="16"/>
          <w:lang w:val="es-ES"/>
        </w:rPr>
        <w:t>Expansión</w:t>
      </w:r>
      <w:r w:rsidR="00DA475C"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16" w:history="1">
        <w:r w:rsidRPr="00CC562A">
          <w:rPr>
            <w:rStyle w:val="Hyperlink"/>
            <w:rFonts w:ascii="Cambria" w:eastAsia="Arial Narrow" w:hAnsi="Cambria" w:cs="Arial Narrow"/>
            <w:sz w:val="16"/>
            <w:szCs w:val="16"/>
            <w:lang w:val="es-ES"/>
          </w:rPr>
          <w:t>Las polémicas de la Guardia Nacional: entre agresiones y violaciones a DH</w:t>
        </w:r>
      </w:hyperlink>
      <w:r w:rsidR="00DA475C"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750392" w:rsidRPr="00CC562A">
        <w:rPr>
          <w:rFonts w:ascii="Cambria" w:eastAsia="Arial Narrow" w:hAnsi="Cambria" w:cs="Arial Narrow"/>
          <w:sz w:val="16"/>
          <w:szCs w:val="16"/>
          <w:lang w:val="es-ES"/>
        </w:rPr>
        <w:t xml:space="preserve">May 2, </w:t>
      </w:r>
      <w:r w:rsidRPr="00CC562A">
        <w:rPr>
          <w:rFonts w:ascii="Cambria" w:eastAsia="Arial Narrow" w:hAnsi="Cambria" w:cs="Arial Narrow"/>
          <w:sz w:val="16"/>
          <w:szCs w:val="16"/>
          <w:lang w:val="es-ES"/>
        </w:rPr>
        <w:t xml:space="preserve">2022. </w:t>
      </w:r>
    </w:p>
  </w:footnote>
  <w:footnote w:id="35">
    <w:p w14:paraId="3A486724" w14:textId="00922705" w:rsidR="00384D8C" w:rsidRPr="00CC562A" w:rsidRDefault="00384D8C" w:rsidP="007A58B5">
      <w:pPr>
        <w:spacing w:after="0" w:line="240" w:lineRule="auto"/>
        <w:ind w:firstLine="720"/>
        <w:jc w:val="both"/>
        <w:rPr>
          <w:rFonts w:ascii="Cambria" w:hAnsi="Cambria" w:cs="Times New Roman"/>
          <w:sz w:val="16"/>
          <w:szCs w:val="16"/>
          <w:lang w:val="es-ES" w:eastAsia="en-US"/>
        </w:rPr>
      </w:pPr>
      <w:r w:rsidRPr="00CC562A">
        <w:rPr>
          <w:rStyle w:val="FootnoteReference"/>
          <w:rFonts w:ascii="Cambria" w:hAnsi="Cambria" w:cs="Times New Roman"/>
          <w:sz w:val="16"/>
          <w:szCs w:val="16"/>
          <w:lang w:val="en-US"/>
        </w:rPr>
        <w:footnoteRef/>
      </w:r>
      <w:r w:rsidR="4D1A0B04" w:rsidRPr="00CC562A">
        <w:rPr>
          <w:rFonts w:ascii="Cambria" w:hAnsi="Cambria" w:cs="Times New Roman"/>
          <w:sz w:val="16"/>
          <w:szCs w:val="16"/>
          <w:lang w:val="en-US"/>
        </w:rPr>
        <w:t xml:space="preserve"> </w:t>
      </w:r>
      <w:r w:rsidR="004E0B7E" w:rsidRPr="00CC562A">
        <w:rPr>
          <w:rFonts w:ascii="Cambria" w:hAnsi="Cambria" w:cs="Times New Roman"/>
          <w:sz w:val="16"/>
          <w:szCs w:val="16"/>
          <w:lang w:val="en-US"/>
        </w:rPr>
        <w:t>IACHR</w:t>
      </w:r>
      <w:r w:rsidR="4D1A0B04" w:rsidRPr="00CC562A">
        <w:rPr>
          <w:rFonts w:ascii="Cambria" w:hAnsi="Cambria" w:cs="Times New Roman"/>
          <w:sz w:val="16"/>
          <w:szCs w:val="16"/>
          <w:lang w:val="en-US"/>
        </w:rPr>
        <w:t xml:space="preserve">, </w:t>
      </w:r>
      <w:hyperlink r:id="rId17" w:history="1">
        <w:r w:rsidR="00750392" w:rsidRPr="00CC562A">
          <w:rPr>
            <w:rStyle w:val="Hyperlink"/>
            <w:rFonts w:ascii="Cambria" w:hAnsi="Cambria" w:cs="Times New Roman"/>
            <w:sz w:val="16"/>
            <w:szCs w:val="16"/>
            <w:lang w:val="en-US"/>
          </w:rPr>
          <w:t>Annual Report</w:t>
        </w:r>
        <w:r w:rsidR="4D1A0B04" w:rsidRPr="00CC562A">
          <w:rPr>
            <w:rStyle w:val="Hyperlink"/>
            <w:rFonts w:ascii="Cambria" w:hAnsi="Cambria" w:cs="Times New Roman"/>
            <w:sz w:val="16"/>
            <w:szCs w:val="16"/>
            <w:lang w:val="en-US"/>
          </w:rPr>
          <w:t xml:space="preserve">. </w:t>
        </w:r>
        <w:r w:rsidR="00D77397" w:rsidRPr="00CC562A">
          <w:rPr>
            <w:rStyle w:val="Hyperlink"/>
            <w:rFonts w:ascii="Cambria" w:hAnsi="Cambria" w:cs="Times New Roman"/>
            <w:sz w:val="16"/>
            <w:szCs w:val="16"/>
            <w:lang w:val="en-US"/>
          </w:rPr>
          <w:t>Chapter</w:t>
        </w:r>
        <w:r w:rsidR="4D1A0B04" w:rsidRPr="00CC562A">
          <w:rPr>
            <w:rStyle w:val="Hyperlink"/>
            <w:rFonts w:ascii="Cambria" w:hAnsi="Cambria" w:cs="Times New Roman"/>
            <w:sz w:val="16"/>
            <w:szCs w:val="16"/>
            <w:lang w:val="en-US"/>
          </w:rPr>
          <w:t xml:space="preserve"> V</w:t>
        </w:r>
      </w:hyperlink>
      <w:r w:rsidR="4D1A0B04" w:rsidRPr="00CC562A">
        <w:rPr>
          <w:rFonts w:ascii="Cambria" w:hAnsi="Cambria" w:cs="Times New Roman"/>
          <w:sz w:val="16"/>
          <w:szCs w:val="16"/>
          <w:lang w:val="en-US"/>
        </w:rPr>
        <w:t xml:space="preserve">, </w:t>
      </w:r>
      <w:proofErr w:type="spellStart"/>
      <w:r w:rsidR="4D1A0B04" w:rsidRPr="00CC562A">
        <w:rPr>
          <w:rFonts w:ascii="Cambria" w:hAnsi="Cambria" w:cs="Times New Roman"/>
          <w:sz w:val="16"/>
          <w:szCs w:val="16"/>
          <w:lang w:val="en-US"/>
        </w:rPr>
        <w:t>México</w:t>
      </w:r>
      <w:proofErr w:type="spellEnd"/>
      <w:r w:rsidR="4D1A0B04" w:rsidRPr="00CC562A">
        <w:rPr>
          <w:rFonts w:ascii="Cambria" w:hAnsi="Cambria" w:cs="Times New Roman"/>
          <w:sz w:val="16"/>
          <w:szCs w:val="16"/>
          <w:lang w:val="en-US"/>
        </w:rPr>
        <w:t xml:space="preserve">, 2019, </w:t>
      </w:r>
      <w:r w:rsidR="00750392" w:rsidRPr="00CC562A">
        <w:rPr>
          <w:rFonts w:ascii="Cambria" w:hAnsi="Cambria" w:cs="Times New Roman"/>
          <w:sz w:val="16"/>
          <w:szCs w:val="16"/>
          <w:lang w:val="en-US"/>
        </w:rPr>
        <w:t>para.</w:t>
      </w:r>
      <w:r w:rsidR="4D1A0B04" w:rsidRPr="00CC562A">
        <w:rPr>
          <w:rFonts w:ascii="Cambria" w:hAnsi="Cambria" w:cs="Times New Roman"/>
          <w:sz w:val="16"/>
          <w:szCs w:val="16"/>
          <w:lang w:val="en-US"/>
        </w:rPr>
        <w:t xml:space="preserve"> </w:t>
      </w:r>
      <w:r w:rsidR="4D1A0B04" w:rsidRPr="00CC562A">
        <w:rPr>
          <w:rFonts w:ascii="Cambria" w:hAnsi="Cambria" w:cs="Times New Roman"/>
          <w:sz w:val="16"/>
          <w:szCs w:val="16"/>
          <w:lang w:val="es-ES"/>
        </w:rPr>
        <w:t>28-29.</w:t>
      </w:r>
    </w:p>
  </w:footnote>
  <w:footnote w:id="36">
    <w:p w14:paraId="06A9B3D0" w14:textId="6F9DD3B1" w:rsidR="00384D8C" w:rsidRPr="00CC562A" w:rsidRDefault="00384D8C" w:rsidP="007A58B5">
      <w:pPr>
        <w:spacing w:after="0" w:line="240" w:lineRule="auto"/>
        <w:ind w:firstLine="720"/>
        <w:jc w:val="both"/>
        <w:rPr>
          <w:rFonts w:ascii="Cambria" w:hAnsi="Cambria"/>
          <w:sz w:val="16"/>
          <w:szCs w:val="16"/>
          <w:lang w:val="es-ES" w:eastAsia="en-US"/>
        </w:rPr>
      </w:pPr>
      <w:r w:rsidRPr="00CC562A">
        <w:rPr>
          <w:rStyle w:val="FootnoteReference"/>
          <w:rFonts w:ascii="Cambria" w:hAnsi="Cambria" w:cs="Times New Roman"/>
          <w:sz w:val="16"/>
          <w:szCs w:val="16"/>
          <w:lang w:val="en-US"/>
        </w:rPr>
        <w:footnoteRef/>
      </w:r>
      <w:r w:rsidR="4D1A0B04" w:rsidRPr="00CC562A">
        <w:rPr>
          <w:rFonts w:ascii="Cambria" w:hAnsi="Cambria" w:cs="Times New Roman"/>
          <w:sz w:val="16"/>
          <w:szCs w:val="16"/>
          <w:lang w:val="es-ES"/>
        </w:rPr>
        <w:t xml:space="preserve"> </w:t>
      </w:r>
      <w:r w:rsidR="004E0B7E" w:rsidRPr="00CC562A">
        <w:rPr>
          <w:rFonts w:ascii="Cambria" w:hAnsi="Cambria" w:cs="Times New Roman"/>
          <w:sz w:val="16"/>
          <w:szCs w:val="16"/>
          <w:lang w:val="es-ES"/>
        </w:rPr>
        <w:t>IACHR</w:t>
      </w:r>
      <w:r w:rsidR="4D1A0B04" w:rsidRPr="00CC562A">
        <w:rPr>
          <w:rFonts w:ascii="Cambria" w:hAnsi="Cambria" w:cs="Times New Roman"/>
          <w:sz w:val="16"/>
          <w:szCs w:val="16"/>
          <w:lang w:val="es-ES"/>
        </w:rPr>
        <w:t xml:space="preserve">, </w:t>
      </w:r>
      <w:hyperlink r:id="rId18" w:history="1">
        <w:proofErr w:type="spellStart"/>
        <w:r w:rsidR="00750392" w:rsidRPr="00CC562A">
          <w:rPr>
            <w:rStyle w:val="Hyperlink"/>
            <w:rFonts w:ascii="Cambria" w:hAnsi="Cambria" w:cs="Times New Roman"/>
            <w:sz w:val="16"/>
            <w:szCs w:val="16"/>
            <w:lang w:val="es-ES"/>
          </w:rPr>
          <w:t>Annual</w:t>
        </w:r>
        <w:proofErr w:type="spellEnd"/>
        <w:r w:rsidR="00750392" w:rsidRPr="00CC562A">
          <w:rPr>
            <w:rStyle w:val="Hyperlink"/>
            <w:rFonts w:ascii="Cambria" w:hAnsi="Cambria" w:cs="Times New Roman"/>
            <w:sz w:val="16"/>
            <w:szCs w:val="16"/>
            <w:lang w:val="es-ES"/>
          </w:rPr>
          <w:t xml:space="preserve"> </w:t>
        </w:r>
        <w:proofErr w:type="spellStart"/>
        <w:r w:rsidR="00750392" w:rsidRPr="00CC562A">
          <w:rPr>
            <w:rStyle w:val="Hyperlink"/>
            <w:rFonts w:ascii="Cambria" w:hAnsi="Cambria" w:cs="Times New Roman"/>
            <w:sz w:val="16"/>
            <w:szCs w:val="16"/>
            <w:lang w:val="es-ES"/>
          </w:rPr>
          <w:t>Report</w:t>
        </w:r>
        <w:proofErr w:type="spellEnd"/>
        <w:r w:rsidR="4D1A0B04" w:rsidRPr="00CC562A">
          <w:rPr>
            <w:rStyle w:val="Hyperlink"/>
            <w:rFonts w:ascii="Cambria" w:hAnsi="Cambria" w:cs="Times New Roman"/>
            <w:sz w:val="16"/>
            <w:szCs w:val="16"/>
            <w:lang w:val="es-ES"/>
          </w:rPr>
          <w:t xml:space="preserve">. </w:t>
        </w:r>
        <w:proofErr w:type="spellStart"/>
        <w:r w:rsidR="00AD74ED" w:rsidRPr="00CC562A">
          <w:rPr>
            <w:rStyle w:val="Hyperlink"/>
            <w:rFonts w:ascii="Cambria" w:hAnsi="Cambria" w:cs="Times New Roman"/>
            <w:sz w:val="16"/>
            <w:szCs w:val="16"/>
            <w:lang w:val="es-ES"/>
          </w:rPr>
          <w:t>Chapter</w:t>
        </w:r>
        <w:proofErr w:type="spellEnd"/>
        <w:r w:rsidR="4D1A0B04" w:rsidRPr="00CC562A">
          <w:rPr>
            <w:rStyle w:val="Hyperlink"/>
            <w:rFonts w:ascii="Cambria" w:hAnsi="Cambria" w:cs="Times New Roman"/>
            <w:sz w:val="16"/>
            <w:szCs w:val="16"/>
            <w:lang w:val="es-ES"/>
          </w:rPr>
          <w:t xml:space="preserve"> V</w:t>
        </w:r>
      </w:hyperlink>
      <w:r w:rsidR="4D1A0B04" w:rsidRPr="00CC562A">
        <w:rPr>
          <w:rFonts w:ascii="Cambria" w:hAnsi="Cambria" w:cs="Times New Roman"/>
          <w:sz w:val="16"/>
          <w:szCs w:val="16"/>
          <w:lang w:val="es-ES"/>
        </w:rPr>
        <w:t xml:space="preserve">, </w:t>
      </w:r>
      <w:proofErr w:type="spellStart"/>
      <w:r w:rsidR="4D1A0B04" w:rsidRPr="00CC562A">
        <w:rPr>
          <w:rFonts w:ascii="Cambria" w:hAnsi="Cambria" w:cs="Times New Roman"/>
          <w:sz w:val="16"/>
          <w:szCs w:val="16"/>
          <w:lang w:val="es-ES"/>
        </w:rPr>
        <w:t>México</w:t>
      </w:r>
      <w:proofErr w:type="spellEnd"/>
      <w:r w:rsidR="4D1A0B04" w:rsidRPr="00CC562A">
        <w:rPr>
          <w:rFonts w:ascii="Cambria" w:hAnsi="Cambria" w:cs="Times New Roman"/>
          <w:sz w:val="16"/>
          <w:szCs w:val="16"/>
          <w:lang w:val="es-ES"/>
        </w:rPr>
        <w:t xml:space="preserve">, 2020, </w:t>
      </w:r>
      <w:r w:rsidR="00750392" w:rsidRPr="00CC562A">
        <w:rPr>
          <w:rFonts w:ascii="Cambria" w:hAnsi="Cambria" w:cs="Times New Roman"/>
          <w:sz w:val="16"/>
          <w:szCs w:val="16"/>
          <w:lang w:val="es-ES"/>
        </w:rPr>
        <w:t>para.</w:t>
      </w:r>
      <w:r w:rsidR="4D1A0B04" w:rsidRPr="00CC562A">
        <w:rPr>
          <w:rFonts w:ascii="Cambria" w:hAnsi="Cambria" w:cs="Times New Roman"/>
          <w:sz w:val="16"/>
          <w:szCs w:val="16"/>
          <w:lang w:val="es-ES"/>
        </w:rPr>
        <w:t xml:space="preserve"> 27.</w:t>
      </w:r>
    </w:p>
  </w:footnote>
  <w:footnote w:id="37">
    <w:p w14:paraId="3763DCF9" w14:textId="16A47C5B" w:rsidR="00384D8C" w:rsidRPr="00CC562A" w:rsidRDefault="00384D8C"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004E0B7E" w:rsidRPr="00CC562A">
        <w:rPr>
          <w:lang w:val="es-ES"/>
        </w:rPr>
        <w:t>IACHR</w:t>
      </w:r>
      <w:r w:rsidR="4D1A0B04" w:rsidRPr="00CC562A">
        <w:rPr>
          <w:lang w:val="es-ES"/>
        </w:rPr>
        <w:t xml:space="preserve">, </w:t>
      </w:r>
      <w:hyperlink r:id="rId19" w:history="1">
        <w:proofErr w:type="spellStart"/>
        <w:r w:rsidR="00750392" w:rsidRPr="00CC562A">
          <w:rPr>
            <w:rStyle w:val="Hyperlink"/>
            <w:lang w:val="es-ES"/>
          </w:rPr>
          <w:t>Annual</w:t>
        </w:r>
        <w:proofErr w:type="spellEnd"/>
        <w:r w:rsidR="00750392" w:rsidRPr="00CC562A">
          <w:rPr>
            <w:rStyle w:val="Hyperlink"/>
            <w:lang w:val="es-ES"/>
          </w:rPr>
          <w:t xml:space="preserve"> </w:t>
        </w:r>
        <w:proofErr w:type="spellStart"/>
        <w:r w:rsidR="00750392" w:rsidRPr="00CC562A">
          <w:rPr>
            <w:rStyle w:val="Hyperlink"/>
            <w:lang w:val="es-ES"/>
          </w:rPr>
          <w:t>Report</w:t>
        </w:r>
        <w:proofErr w:type="spellEnd"/>
        <w:r w:rsidR="4D1A0B04" w:rsidRPr="00CC562A">
          <w:rPr>
            <w:rStyle w:val="Hyperlink"/>
            <w:lang w:val="es-ES"/>
          </w:rPr>
          <w:t xml:space="preserve">, </w:t>
        </w:r>
        <w:proofErr w:type="spellStart"/>
        <w:r w:rsidR="00AD74ED" w:rsidRPr="00CC562A">
          <w:rPr>
            <w:rStyle w:val="Hyperlink"/>
            <w:lang w:val="es-ES"/>
          </w:rPr>
          <w:t>Chapter</w:t>
        </w:r>
        <w:proofErr w:type="spellEnd"/>
        <w:r w:rsidR="00750392" w:rsidRPr="00CC562A">
          <w:rPr>
            <w:rStyle w:val="Hyperlink"/>
            <w:lang w:val="es-ES"/>
          </w:rPr>
          <w:t xml:space="preserve"> V</w:t>
        </w:r>
      </w:hyperlink>
      <w:r w:rsidR="4D1A0B04" w:rsidRPr="00CC562A">
        <w:rPr>
          <w:lang w:val="es-ES"/>
        </w:rPr>
        <w:t xml:space="preserve">, </w:t>
      </w:r>
      <w:proofErr w:type="spellStart"/>
      <w:r w:rsidR="00750392" w:rsidRPr="00CC562A">
        <w:rPr>
          <w:lang w:val="es-ES"/>
        </w:rPr>
        <w:t>Mexico</w:t>
      </w:r>
      <w:proofErr w:type="spellEnd"/>
      <w:r w:rsidR="4D1A0B04" w:rsidRPr="00CC562A">
        <w:rPr>
          <w:lang w:val="es-ES"/>
        </w:rPr>
        <w:t xml:space="preserve">, 2021, </w:t>
      </w:r>
      <w:r w:rsidR="00AD74ED" w:rsidRPr="00CC562A">
        <w:rPr>
          <w:lang w:val="es-ES"/>
        </w:rPr>
        <w:t>para.</w:t>
      </w:r>
      <w:r w:rsidR="4D1A0B04" w:rsidRPr="00CC562A">
        <w:rPr>
          <w:lang w:val="es-ES"/>
        </w:rPr>
        <w:t xml:space="preserve"> 23.</w:t>
      </w:r>
    </w:p>
  </w:footnote>
  <w:footnote w:id="38">
    <w:p w14:paraId="7C133D75" w14:textId="78CBE569" w:rsidR="00764DE2" w:rsidRPr="00CC562A" w:rsidRDefault="00764DE2"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00740ECF" w:rsidRPr="00CC562A">
        <w:rPr>
          <w:rFonts w:ascii="Cambria" w:hAnsi="Cambria"/>
          <w:sz w:val="16"/>
          <w:szCs w:val="16"/>
          <w:lang w:val="es-ES"/>
        </w:rPr>
        <w:t>PRODH Center</w:t>
      </w:r>
      <w:r w:rsidR="4D1A0B04" w:rsidRPr="00CC562A">
        <w:rPr>
          <w:rFonts w:ascii="Cambria" w:hAnsi="Cambria"/>
          <w:sz w:val="16"/>
          <w:szCs w:val="16"/>
          <w:lang w:val="es-ES"/>
        </w:rPr>
        <w:t xml:space="preserve">, </w:t>
      </w:r>
      <w:hyperlink r:id="rId20" w:history="1">
        <w:r w:rsidR="4D1A0B04" w:rsidRPr="00CC562A">
          <w:rPr>
            <w:rStyle w:val="Hyperlink"/>
            <w:rFonts w:ascii="Cambria" w:hAnsi="Cambria"/>
            <w:sz w:val="16"/>
            <w:szCs w:val="16"/>
            <w:lang w:val="es-ES"/>
          </w:rPr>
          <w:t>Valida SCJN normas ambiguas sobre uso de la fuerza letal y protesta</w:t>
        </w:r>
      </w:hyperlink>
      <w:r w:rsidR="4D1A0B04" w:rsidRPr="00CC562A">
        <w:rPr>
          <w:rFonts w:ascii="Cambria" w:hAnsi="Cambria"/>
          <w:sz w:val="16"/>
          <w:szCs w:val="16"/>
          <w:lang w:val="es-ES"/>
        </w:rPr>
        <w:t xml:space="preserve">, </w:t>
      </w:r>
      <w:proofErr w:type="spellStart"/>
      <w:r w:rsidR="00AD74ED" w:rsidRPr="00CC562A">
        <w:rPr>
          <w:rFonts w:ascii="Cambria" w:hAnsi="Cambria"/>
          <w:sz w:val="16"/>
          <w:szCs w:val="16"/>
          <w:lang w:val="es-ES"/>
        </w:rPr>
        <w:t>October</w:t>
      </w:r>
      <w:proofErr w:type="spellEnd"/>
      <w:r w:rsidR="00AD74ED" w:rsidRPr="00CC562A">
        <w:rPr>
          <w:rFonts w:ascii="Cambria" w:hAnsi="Cambria"/>
          <w:sz w:val="16"/>
          <w:szCs w:val="16"/>
          <w:lang w:val="es-ES"/>
        </w:rPr>
        <w:t xml:space="preserve"> 7, </w:t>
      </w:r>
      <w:r w:rsidR="4D1A0B04" w:rsidRPr="00CC562A">
        <w:rPr>
          <w:rFonts w:ascii="Cambria" w:hAnsi="Cambria"/>
          <w:sz w:val="16"/>
          <w:szCs w:val="16"/>
          <w:lang w:val="es-ES"/>
        </w:rPr>
        <w:t xml:space="preserve">2021. </w:t>
      </w:r>
    </w:p>
  </w:footnote>
  <w:footnote w:id="39">
    <w:p w14:paraId="55D69E08" w14:textId="3811C167" w:rsidR="00DA475C" w:rsidRPr="00CC562A" w:rsidRDefault="00DA475C" w:rsidP="007A58B5">
      <w:pPr>
        <w:pStyle w:val="NormalWeb"/>
        <w:spacing w:beforeAutospacing="0" w:after="0" w:afterAutospacing="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276638" w:rsidRPr="00CC562A">
        <w:rPr>
          <w:rFonts w:ascii="Cambria" w:hAnsi="Cambria"/>
          <w:sz w:val="16"/>
          <w:szCs w:val="16"/>
          <w:lang w:val="en-US"/>
        </w:rPr>
        <w:t>The IACHR</w:t>
      </w:r>
      <w:r w:rsidR="4D1A0B04" w:rsidRPr="00CC562A">
        <w:rPr>
          <w:rFonts w:ascii="Cambria" w:hAnsi="Cambria"/>
          <w:sz w:val="16"/>
          <w:szCs w:val="16"/>
          <w:lang w:val="en-US"/>
        </w:rPr>
        <w:t xml:space="preserve"> </w:t>
      </w:r>
      <w:r w:rsidR="00AD74ED" w:rsidRPr="00CC562A">
        <w:rPr>
          <w:rFonts w:ascii="Cambria" w:hAnsi="Cambria"/>
          <w:sz w:val="16"/>
          <w:szCs w:val="16"/>
          <w:lang w:val="en-US"/>
        </w:rPr>
        <w:t xml:space="preserve">will continue to monitor the implementation of the law in contexts of social protest, concerns over the use of </w:t>
      </w:r>
      <w:r w:rsidR="00D77397" w:rsidRPr="00CC562A">
        <w:rPr>
          <w:rFonts w:ascii="Cambria" w:hAnsi="Cambria"/>
          <w:sz w:val="16"/>
          <w:szCs w:val="16"/>
          <w:lang w:val="en-US"/>
        </w:rPr>
        <w:t>lethal</w:t>
      </w:r>
      <w:r w:rsidR="00AD74ED" w:rsidRPr="00CC562A">
        <w:rPr>
          <w:rFonts w:ascii="Cambria" w:hAnsi="Cambria"/>
          <w:sz w:val="16"/>
          <w:szCs w:val="16"/>
          <w:lang w:val="en-US"/>
        </w:rPr>
        <w:t xml:space="preserve"> force in social protect contexts, and accountability mechanisms as indicated in paragraph 33 of this report.</w:t>
      </w:r>
      <w:r w:rsidR="4D1A0B04" w:rsidRPr="00CC562A">
        <w:rPr>
          <w:rFonts w:ascii="Cambria" w:hAnsi="Cambria"/>
          <w:sz w:val="16"/>
          <w:szCs w:val="16"/>
          <w:lang w:val="en-US"/>
        </w:rPr>
        <w:t xml:space="preserve"> </w:t>
      </w:r>
    </w:p>
  </w:footnote>
  <w:footnote w:id="40">
    <w:p w14:paraId="24277CDD" w14:textId="119C1EDE"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4D1A0B04" w:rsidRPr="00CC562A">
        <w:rPr>
          <w:lang w:val="en-US"/>
        </w:rPr>
        <w:t xml:space="preserve">. </w:t>
      </w:r>
      <w:r w:rsidR="007700E6" w:rsidRPr="00CC562A">
        <w:rPr>
          <w:lang w:val="en-US"/>
        </w:rPr>
        <w:t>Chapter</w:t>
      </w:r>
      <w:r w:rsidR="4D1A0B04" w:rsidRPr="00CC562A">
        <w:rPr>
          <w:lang w:val="en-US"/>
        </w:rPr>
        <w:t xml:space="preserve"> V, </w:t>
      </w:r>
      <w:r w:rsidR="007700E6" w:rsidRPr="00CC562A">
        <w:rPr>
          <w:lang w:val="en-US"/>
        </w:rPr>
        <w:t xml:space="preserve">October </w:t>
      </w:r>
      <w:r w:rsidR="4D1A0B04" w:rsidRPr="00CC562A">
        <w:rPr>
          <w:lang w:val="en-US"/>
        </w:rPr>
        <w:t xml:space="preserve">2022 </w:t>
      </w:r>
      <w:r w:rsidR="00736A6B" w:rsidRPr="00CC562A">
        <w:rPr>
          <w:lang w:val="en-US"/>
        </w:rPr>
        <w:t>through the Inter-American SIMORE.</w:t>
      </w:r>
    </w:p>
  </w:footnote>
  <w:footnote w:id="41">
    <w:p w14:paraId="629A119F" w14:textId="1EA57289" w:rsidR="00120AFE" w:rsidRPr="00CC562A" w:rsidRDefault="00120AFE" w:rsidP="007A58B5">
      <w:pPr>
        <w:pBdr>
          <w:top w:val="nil"/>
          <w:left w:val="nil"/>
          <w:bottom w:val="nil"/>
          <w:right w:val="nil"/>
          <w:between w:val="nil"/>
        </w:pBdr>
        <w:spacing w:after="0" w:line="240" w:lineRule="auto"/>
        <w:ind w:firstLine="720"/>
        <w:jc w:val="both"/>
        <w:rPr>
          <w:rFonts w:ascii="Cambria" w:eastAsia="Arial Narrow" w:hAnsi="Cambria" w:cs="Arial Narrow"/>
          <w:color w:val="000000"/>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color w:val="000000"/>
          <w:sz w:val="16"/>
          <w:szCs w:val="16"/>
          <w:lang w:val="en-US"/>
        </w:rPr>
        <w:t xml:space="preserve"> Animal </w:t>
      </w:r>
      <w:proofErr w:type="spellStart"/>
      <w:r w:rsidRPr="00CC562A">
        <w:rPr>
          <w:rFonts w:ascii="Cambria" w:eastAsia="Arial Narrow" w:hAnsi="Cambria" w:cs="Arial Narrow"/>
          <w:color w:val="000000"/>
          <w:sz w:val="16"/>
          <w:szCs w:val="16"/>
          <w:lang w:val="en-US"/>
        </w:rPr>
        <w:t>Político</w:t>
      </w:r>
      <w:proofErr w:type="spellEnd"/>
      <w:r w:rsidRPr="00CC562A">
        <w:rPr>
          <w:rFonts w:ascii="Cambria" w:eastAsia="Arial Narrow" w:hAnsi="Cambria" w:cs="Arial Narrow"/>
          <w:color w:val="000000"/>
          <w:sz w:val="16"/>
          <w:szCs w:val="16"/>
          <w:lang w:val="en-US"/>
        </w:rPr>
        <w:t xml:space="preserve">. </w:t>
      </w:r>
      <w:hyperlink r:id="rId21" w:history="1">
        <w:r w:rsidRPr="00CC562A">
          <w:rPr>
            <w:rStyle w:val="Hyperlink"/>
            <w:rFonts w:ascii="Cambria" w:eastAsia="Arial Narrow" w:hAnsi="Cambria" w:cs="Arial Narrow"/>
            <w:sz w:val="16"/>
            <w:szCs w:val="16"/>
            <w:lang w:val="es-ES"/>
          </w:rPr>
          <w:t>Matan a niña en enfrentamiento en Nuevo Laredo; se investiga si disparó el Ejército o crimen organizado: AMLO</w:t>
        </w:r>
      </w:hyperlink>
      <w:r w:rsidR="00354EDA" w:rsidRPr="00CC562A">
        <w:rPr>
          <w:rFonts w:ascii="Cambria" w:eastAsia="Arial Narrow" w:hAnsi="Cambria" w:cs="Arial Narrow"/>
          <w:color w:val="000000"/>
          <w:sz w:val="16"/>
          <w:szCs w:val="16"/>
          <w:lang w:val="es-ES"/>
        </w:rPr>
        <w:t xml:space="preserve">, </w:t>
      </w:r>
      <w:proofErr w:type="spellStart"/>
      <w:r w:rsidR="00AD74ED" w:rsidRPr="00CC562A">
        <w:rPr>
          <w:rFonts w:ascii="Cambria" w:eastAsia="Arial Narrow" w:hAnsi="Cambria" w:cs="Arial Narrow"/>
          <w:color w:val="000000"/>
          <w:sz w:val="16"/>
          <w:szCs w:val="16"/>
          <w:lang w:val="es-ES"/>
        </w:rPr>
        <w:t>September</w:t>
      </w:r>
      <w:proofErr w:type="spellEnd"/>
      <w:r w:rsidR="00AD74ED" w:rsidRPr="00CC562A">
        <w:rPr>
          <w:rFonts w:ascii="Cambria" w:eastAsia="Arial Narrow" w:hAnsi="Cambria" w:cs="Arial Narrow"/>
          <w:color w:val="000000"/>
          <w:sz w:val="16"/>
          <w:szCs w:val="16"/>
          <w:lang w:val="es-ES"/>
        </w:rPr>
        <w:t xml:space="preserve"> 2, </w:t>
      </w:r>
      <w:r w:rsidRPr="00CC562A">
        <w:rPr>
          <w:rFonts w:ascii="Cambria" w:eastAsia="Arial Narrow" w:hAnsi="Cambria" w:cs="Arial Narrow"/>
          <w:color w:val="000000"/>
          <w:sz w:val="16"/>
          <w:szCs w:val="16"/>
          <w:lang w:val="es-ES"/>
        </w:rPr>
        <w:t xml:space="preserve">2022. </w:t>
      </w:r>
    </w:p>
  </w:footnote>
  <w:footnote w:id="42">
    <w:p w14:paraId="4166FA98" w14:textId="191944A8" w:rsidR="00120AFE" w:rsidRPr="00CC562A" w:rsidRDefault="00120AFE" w:rsidP="007A58B5">
      <w:pPr>
        <w:pBdr>
          <w:top w:val="nil"/>
          <w:left w:val="nil"/>
          <w:bottom w:val="nil"/>
          <w:right w:val="nil"/>
          <w:between w:val="nil"/>
        </w:pBdr>
        <w:spacing w:after="0" w:line="240" w:lineRule="auto"/>
        <w:ind w:firstLine="720"/>
        <w:jc w:val="both"/>
        <w:rPr>
          <w:rFonts w:ascii="Cambria" w:eastAsia="Arial Narrow" w:hAnsi="Cambria" w:cs="Arial Narrow"/>
          <w:color w:val="000000"/>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color w:val="000000"/>
          <w:sz w:val="16"/>
          <w:szCs w:val="16"/>
          <w:lang w:val="es-ES"/>
        </w:rPr>
        <w:t xml:space="preserve"> Proceso</w:t>
      </w:r>
      <w:r w:rsidR="00354EDA" w:rsidRPr="00CC562A">
        <w:rPr>
          <w:rFonts w:ascii="Cambria" w:eastAsia="Arial Narrow" w:hAnsi="Cambria" w:cs="Arial Narrow"/>
          <w:color w:val="000000"/>
          <w:sz w:val="16"/>
          <w:szCs w:val="16"/>
          <w:lang w:val="es-ES"/>
        </w:rPr>
        <w:t>,</w:t>
      </w:r>
      <w:r w:rsidRPr="00CC562A">
        <w:rPr>
          <w:rFonts w:ascii="Cambria" w:eastAsia="Arial Narrow" w:hAnsi="Cambria" w:cs="Arial Narrow"/>
          <w:color w:val="000000"/>
          <w:sz w:val="16"/>
          <w:szCs w:val="16"/>
          <w:lang w:val="es-ES"/>
        </w:rPr>
        <w:t xml:space="preserve"> </w:t>
      </w:r>
      <w:hyperlink r:id="rId22" w:history="1">
        <w:r w:rsidRPr="00CC562A">
          <w:rPr>
            <w:rStyle w:val="Hyperlink"/>
            <w:rFonts w:ascii="Cambria" w:eastAsia="Arial Narrow" w:hAnsi="Cambria" w:cs="Arial Narrow"/>
            <w:sz w:val="16"/>
            <w:szCs w:val="16"/>
            <w:lang w:val="es-ES"/>
          </w:rPr>
          <w:t>Familia de Heidi Mariana, niña asesinada en Nuevo Laredo, exige a AMLO investigación imparcial</w:t>
        </w:r>
      </w:hyperlink>
      <w:r w:rsidR="00354EDA" w:rsidRPr="00CC562A">
        <w:rPr>
          <w:rFonts w:ascii="Cambria" w:eastAsia="Arial Narrow" w:hAnsi="Cambria" w:cs="Arial Narrow"/>
          <w:color w:val="000000"/>
          <w:sz w:val="16"/>
          <w:szCs w:val="16"/>
          <w:lang w:val="es-ES"/>
        </w:rPr>
        <w:t>,</w:t>
      </w:r>
      <w:r w:rsidRPr="00CC562A">
        <w:rPr>
          <w:rFonts w:ascii="Cambria" w:eastAsia="Arial Narrow" w:hAnsi="Cambria" w:cs="Arial Narrow"/>
          <w:color w:val="000000"/>
          <w:sz w:val="16"/>
          <w:szCs w:val="16"/>
          <w:lang w:val="es-ES"/>
        </w:rPr>
        <w:t xml:space="preserve"> </w:t>
      </w:r>
      <w:proofErr w:type="spellStart"/>
      <w:r w:rsidR="00AD74ED" w:rsidRPr="00CC562A">
        <w:rPr>
          <w:rFonts w:ascii="Cambria" w:eastAsia="Arial Narrow" w:hAnsi="Cambria" w:cs="Arial Narrow"/>
          <w:color w:val="000000"/>
          <w:sz w:val="16"/>
          <w:szCs w:val="16"/>
          <w:lang w:val="es-ES"/>
        </w:rPr>
        <w:t>September</w:t>
      </w:r>
      <w:proofErr w:type="spellEnd"/>
      <w:r w:rsidR="00AD74ED" w:rsidRPr="00CC562A">
        <w:rPr>
          <w:rFonts w:ascii="Cambria" w:eastAsia="Arial Narrow" w:hAnsi="Cambria" w:cs="Arial Narrow"/>
          <w:color w:val="000000"/>
          <w:sz w:val="16"/>
          <w:szCs w:val="16"/>
          <w:lang w:val="es-ES"/>
        </w:rPr>
        <w:t xml:space="preserve"> 8,</w:t>
      </w:r>
      <w:r w:rsidRPr="00CC562A">
        <w:rPr>
          <w:rFonts w:ascii="Cambria" w:eastAsia="Arial Narrow" w:hAnsi="Cambria" w:cs="Arial Narrow"/>
          <w:color w:val="000000"/>
          <w:sz w:val="16"/>
          <w:szCs w:val="16"/>
          <w:lang w:val="es-ES"/>
        </w:rPr>
        <w:t xml:space="preserve"> 2022. </w:t>
      </w:r>
    </w:p>
  </w:footnote>
  <w:footnote w:id="43">
    <w:p w14:paraId="26A85E4E" w14:textId="72D530B4" w:rsidR="00120AFE" w:rsidRPr="00CC562A" w:rsidRDefault="00120AFE" w:rsidP="007A58B5">
      <w:pPr>
        <w:pBdr>
          <w:top w:val="nil"/>
          <w:left w:val="nil"/>
          <w:bottom w:val="nil"/>
          <w:right w:val="nil"/>
          <w:between w:val="nil"/>
        </w:pBdr>
        <w:spacing w:after="0" w:line="240" w:lineRule="auto"/>
        <w:ind w:firstLine="720"/>
        <w:jc w:val="both"/>
        <w:rPr>
          <w:rFonts w:ascii="Cambria" w:eastAsia="Arial Narrow" w:hAnsi="Cambria" w:cs="Arial Narrow"/>
          <w:color w:val="000000"/>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color w:val="000000"/>
          <w:sz w:val="16"/>
          <w:szCs w:val="16"/>
          <w:lang w:val="es-ES"/>
        </w:rPr>
        <w:t xml:space="preserve"> </w:t>
      </w:r>
      <w:r w:rsidR="00354EDA" w:rsidRPr="00CC562A">
        <w:rPr>
          <w:rFonts w:ascii="Cambria" w:eastAsia="Arial Narrow" w:hAnsi="Cambria" w:cs="Arial Narrow"/>
          <w:sz w:val="16"/>
          <w:szCs w:val="16"/>
          <w:lang w:val="es-ES"/>
        </w:rPr>
        <w:t xml:space="preserve">Aristegui.  </w:t>
      </w:r>
      <w:hyperlink r:id="rId23" w:history="1">
        <w:r w:rsidR="00354EDA" w:rsidRPr="00CC562A">
          <w:rPr>
            <w:rStyle w:val="Hyperlink"/>
            <w:rFonts w:ascii="Cambria" w:eastAsia="Arial Narrow" w:hAnsi="Cambria" w:cs="Arial Narrow"/>
            <w:sz w:val="16"/>
            <w:szCs w:val="16"/>
            <w:lang w:val="es-ES"/>
          </w:rPr>
          <w:t>No hubo enfrentamiento en muerte de Heidi Mariana, 'tenemos evidencia'; AMLO sostiene 'versión falsa</w:t>
        </w:r>
      </w:hyperlink>
      <w:r w:rsidR="00354EDA" w:rsidRPr="00CC562A">
        <w:rPr>
          <w:rFonts w:ascii="Cambria" w:eastAsia="Arial Narrow" w:hAnsi="Cambria" w:cs="Arial Narrow"/>
          <w:sz w:val="16"/>
          <w:szCs w:val="16"/>
          <w:lang w:val="es-ES"/>
        </w:rPr>
        <w:t xml:space="preserve">': Ramos. </w:t>
      </w:r>
      <w:proofErr w:type="spellStart"/>
      <w:r w:rsidR="00AD74ED" w:rsidRPr="00CC562A">
        <w:rPr>
          <w:rFonts w:ascii="Cambria" w:eastAsia="Arial Narrow" w:hAnsi="Cambria" w:cs="Arial Narrow"/>
          <w:sz w:val="16"/>
          <w:szCs w:val="16"/>
          <w:lang w:val="es-ES"/>
        </w:rPr>
        <w:t>September</w:t>
      </w:r>
      <w:proofErr w:type="spellEnd"/>
      <w:r w:rsidR="00AD74ED" w:rsidRPr="00CC562A">
        <w:rPr>
          <w:rFonts w:ascii="Cambria" w:eastAsia="Arial Narrow" w:hAnsi="Cambria" w:cs="Arial Narrow"/>
          <w:sz w:val="16"/>
          <w:szCs w:val="16"/>
          <w:lang w:val="es-ES"/>
        </w:rPr>
        <w:t xml:space="preserve"> 5, </w:t>
      </w:r>
      <w:r w:rsidR="00354EDA" w:rsidRPr="00CC562A">
        <w:rPr>
          <w:rFonts w:ascii="Cambria" w:eastAsia="Arial Narrow" w:hAnsi="Cambria" w:cs="Arial Narrow"/>
          <w:sz w:val="16"/>
          <w:szCs w:val="16"/>
          <w:lang w:val="es-ES"/>
        </w:rPr>
        <w:t xml:space="preserve">2022. </w:t>
      </w:r>
      <w:sdt>
        <w:sdtPr>
          <w:rPr>
            <w:rFonts w:ascii="Cambria" w:hAnsi="Cambria"/>
            <w:color w:val="2B579A"/>
            <w:sz w:val="16"/>
            <w:szCs w:val="16"/>
            <w:shd w:val="clear" w:color="auto" w:fill="E6E6E6"/>
            <w:lang w:val="en-US"/>
          </w:rPr>
          <w:tag w:val="goog_rdk_359"/>
          <w:id w:val="-427653911"/>
          <w:showingPlcHdr/>
        </w:sdtPr>
        <w:sdtContent>
          <w:r w:rsidR="00354EDA" w:rsidRPr="00CC562A">
            <w:rPr>
              <w:rFonts w:ascii="Cambria" w:hAnsi="Cambria"/>
              <w:sz w:val="16"/>
              <w:szCs w:val="16"/>
              <w:lang w:val="es-ES"/>
            </w:rPr>
            <w:t xml:space="preserve">     </w:t>
          </w:r>
        </w:sdtContent>
      </w:sdt>
    </w:p>
  </w:footnote>
  <w:footnote w:id="44">
    <w:p w14:paraId="24369BF2" w14:textId="495DCCC5" w:rsidR="00120AFE" w:rsidRPr="00CC562A" w:rsidRDefault="00120AFE"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Aristegui</w:t>
      </w:r>
      <w:r w:rsidR="00354EDA"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24" w:history="1">
        <w:r w:rsidRPr="00CC562A">
          <w:rPr>
            <w:rStyle w:val="Hyperlink"/>
            <w:rFonts w:ascii="Cambria" w:eastAsia="Arial Narrow" w:hAnsi="Cambria" w:cs="Arial Narrow"/>
            <w:sz w:val="16"/>
            <w:szCs w:val="16"/>
            <w:lang w:val="es-ES"/>
          </w:rPr>
          <w:t xml:space="preserve">Asesinato de </w:t>
        </w:r>
        <w:proofErr w:type="spellStart"/>
        <w:r w:rsidRPr="00CC562A">
          <w:rPr>
            <w:rStyle w:val="Hyperlink"/>
            <w:rFonts w:ascii="Cambria" w:eastAsia="Arial Narrow" w:hAnsi="Cambria" w:cs="Arial Narrow"/>
            <w:sz w:val="16"/>
            <w:szCs w:val="16"/>
            <w:lang w:val="es-ES"/>
          </w:rPr>
          <w:t>Hedi</w:t>
        </w:r>
        <w:proofErr w:type="spellEnd"/>
        <w:r w:rsidRPr="00CC562A">
          <w:rPr>
            <w:rStyle w:val="Hyperlink"/>
            <w:rFonts w:ascii="Cambria" w:eastAsia="Arial Narrow" w:hAnsi="Cambria" w:cs="Arial Narrow"/>
            <w:sz w:val="16"/>
            <w:szCs w:val="16"/>
            <w:lang w:val="es-ES"/>
          </w:rPr>
          <w:t xml:space="preserve"> Mariana, excepción a la regla en operación de </w:t>
        </w:r>
        <w:proofErr w:type="spellStart"/>
        <w:r w:rsidRPr="00CC562A">
          <w:rPr>
            <w:rStyle w:val="Hyperlink"/>
            <w:rFonts w:ascii="Cambria" w:eastAsia="Arial Narrow" w:hAnsi="Cambria" w:cs="Arial Narrow"/>
            <w:sz w:val="16"/>
            <w:szCs w:val="16"/>
            <w:lang w:val="es-ES"/>
          </w:rPr>
          <w:t>Sedena</w:t>
        </w:r>
        <w:proofErr w:type="spellEnd"/>
        <w:r w:rsidRPr="00CC562A">
          <w:rPr>
            <w:rStyle w:val="Hyperlink"/>
            <w:rFonts w:ascii="Cambria" w:eastAsia="Arial Narrow" w:hAnsi="Cambria" w:cs="Arial Narrow"/>
            <w:sz w:val="16"/>
            <w:szCs w:val="16"/>
            <w:lang w:val="es-ES"/>
          </w:rPr>
          <w:t xml:space="preserve"> en seguridad pública: AMLO</w:t>
        </w:r>
      </w:hyperlink>
      <w:r w:rsidR="00354EDA"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proofErr w:type="spellStart"/>
      <w:r w:rsidR="00AD74ED" w:rsidRPr="00CC562A">
        <w:rPr>
          <w:rFonts w:ascii="Cambria" w:eastAsia="Arial Narrow" w:hAnsi="Cambria" w:cs="Arial Narrow"/>
          <w:sz w:val="16"/>
          <w:szCs w:val="16"/>
          <w:lang w:val="es-ES"/>
        </w:rPr>
        <w:t>September</w:t>
      </w:r>
      <w:proofErr w:type="spellEnd"/>
      <w:r w:rsidR="00AD74ED" w:rsidRPr="00CC562A">
        <w:rPr>
          <w:rFonts w:ascii="Cambria" w:eastAsia="Arial Narrow" w:hAnsi="Cambria" w:cs="Arial Narrow"/>
          <w:sz w:val="16"/>
          <w:szCs w:val="16"/>
          <w:lang w:val="es-ES"/>
        </w:rPr>
        <w:t xml:space="preserve"> 5, </w:t>
      </w:r>
      <w:r w:rsidRPr="00CC562A">
        <w:rPr>
          <w:rFonts w:ascii="Cambria" w:eastAsia="Arial Narrow" w:hAnsi="Cambria" w:cs="Arial Narrow"/>
          <w:sz w:val="16"/>
          <w:szCs w:val="16"/>
          <w:lang w:val="es-ES"/>
        </w:rPr>
        <w:t xml:space="preserve">2022; Aristegui.  </w:t>
      </w:r>
      <w:hyperlink r:id="rId25" w:history="1">
        <w:r w:rsidRPr="00CC562A">
          <w:rPr>
            <w:rStyle w:val="Hyperlink"/>
            <w:rFonts w:ascii="Cambria" w:eastAsia="Arial Narrow" w:hAnsi="Cambria" w:cs="Arial Narrow"/>
            <w:sz w:val="16"/>
            <w:szCs w:val="16"/>
            <w:lang w:val="es-ES"/>
          </w:rPr>
          <w:t>No hubo enfrentamiento en muerte de Heidi Mariana, 'tenemos evidencia'; AMLO sostiene 'versión falsa</w:t>
        </w:r>
      </w:hyperlink>
      <w:r w:rsidRPr="00CC562A">
        <w:rPr>
          <w:rFonts w:ascii="Cambria" w:eastAsia="Arial Narrow" w:hAnsi="Cambria" w:cs="Arial Narrow"/>
          <w:sz w:val="16"/>
          <w:szCs w:val="16"/>
          <w:lang w:val="es-ES"/>
        </w:rPr>
        <w:t xml:space="preserve">': Ramos. </w:t>
      </w:r>
      <w:proofErr w:type="spellStart"/>
      <w:r w:rsidR="00AD74ED" w:rsidRPr="00CC562A">
        <w:rPr>
          <w:rFonts w:ascii="Cambria" w:eastAsia="Arial Narrow" w:hAnsi="Cambria" w:cs="Arial Narrow"/>
          <w:sz w:val="16"/>
          <w:szCs w:val="16"/>
          <w:lang w:val="es-ES"/>
        </w:rPr>
        <w:t>September</w:t>
      </w:r>
      <w:proofErr w:type="spellEnd"/>
      <w:r w:rsidR="00AD74ED" w:rsidRPr="00CC562A">
        <w:rPr>
          <w:rFonts w:ascii="Cambria" w:eastAsia="Arial Narrow" w:hAnsi="Cambria" w:cs="Arial Narrow"/>
          <w:sz w:val="16"/>
          <w:szCs w:val="16"/>
          <w:lang w:val="es-ES"/>
        </w:rPr>
        <w:t xml:space="preserve"> 5,</w:t>
      </w:r>
      <w:r w:rsidRPr="00CC562A">
        <w:rPr>
          <w:rFonts w:ascii="Cambria" w:eastAsia="Arial Narrow" w:hAnsi="Cambria" w:cs="Arial Narrow"/>
          <w:sz w:val="16"/>
          <w:szCs w:val="16"/>
          <w:lang w:val="es-ES"/>
        </w:rPr>
        <w:t xml:space="preserve"> 2022. </w:t>
      </w:r>
    </w:p>
  </w:footnote>
  <w:footnote w:id="45">
    <w:p w14:paraId="5CDC3C74" w14:textId="2AA4DBD2" w:rsidR="002C7ADE" w:rsidRPr="00CC562A" w:rsidRDefault="002C7ADE" w:rsidP="00426EDD">
      <w:pPr>
        <w:spacing w:after="0" w:line="240" w:lineRule="auto"/>
        <w:ind w:firstLine="720"/>
        <w:jc w:val="both"/>
        <w:rPr>
          <w:rFonts w:ascii="Cambria" w:eastAsia="Times New Roman" w:hAnsi="Cambria" w:cs="Times New Roman"/>
          <w:sz w:val="16"/>
          <w:szCs w:val="16"/>
          <w:lang w:val="es-ES" w:eastAsia="en-US"/>
        </w:rPr>
      </w:pPr>
      <w:r w:rsidRPr="00CC562A">
        <w:rPr>
          <w:rStyle w:val="FootnoteReference"/>
          <w:rFonts w:ascii="Cambria" w:hAnsi="Cambria"/>
          <w:color w:val="000000" w:themeColor="text1"/>
          <w:sz w:val="16"/>
          <w:szCs w:val="16"/>
          <w:lang w:val="en-US"/>
        </w:rPr>
        <w:footnoteRef/>
      </w:r>
      <w:r w:rsidR="4D1A0B04" w:rsidRPr="00CC562A">
        <w:rPr>
          <w:rFonts w:ascii="Cambria" w:hAnsi="Cambria"/>
          <w:color w:val="000000" w:themeColor="text1"/>
          <w:sz w:val="16"/>
          <w:szCs w:val="16"/>
          <w:lang w:val="es-ES"/>
        </w:rPr>
        <w:t xml:space="preserve"> El Financiero, </w:t>
      </w:r>
      <w:hyperlink w:history="1">
        <w:r w:rsidR="4D1A0B04" w:rsidRPr="00CC562A">
          <w:rPr>
            <w:rStyle w:val="Hyperlink"/>
            <w:rFonts w:ascii="Cambria" w:hAnsi="Cambria"/>
            <w:sz w:val="16"/>
            <w:szCs w:val="16"/>
            <w:lang w:val="es-ES"/>
          </w:rPr>
          <w:t>AMLO defiende a militares “fue una excepción”,</w:t>
        </w:r>
      </w:hyperlink>
      <w:r w:rsidR="4D1A0B04" w:rsidRPr="00CC562A">
        <w:rPr>
          <w:rFonts w:ascii="Cambria" w:hAnsi="Cambria"/>
          <w:sz w:val="16"/>
          <w:szCs w:val="16"/>
          <w:lang w:val="es-ES"/>
        </w:rPr>
        <w:t xml:space="preserve"> </w:t>
      </w:r>
      <w:proofErr w:type="spellStart"/>
      <w:r w:rsidR="00AD74ED" w:rsidRPr="00CC562A">
        <w:rPr>
          <w:rFonts w:ascii="Cambria" w:hAnsi="Cambria"/>
          <w:sz w:val="16"/>
          <w:szCs w:val="16"/>
          <w:lang w:val="es-ES"/>
        </w:rPr>
        <w:t>September</w:t>
      </w:r>
      <w:proofErr w:type="spellEnd"/>
      <w:r w:rsidR="00AD74ED" w:rsidRPr="00CC562A">
        <w:rPr>
          <w:rFonts w:ascii="Cambria" w:hAnsi="Cambria"/>
          <w:sz w:val="16"/>
          <w:szCs w:val="16"/>
          <w:lang w:val="es-ES"/>
        </w:rPr>
        <w:t xml:space="preserve"> 5, </w:t>
      </w:r>
      <w:r w:rsidR="4D1A0B04" w:rsidRPr="00CC562A">
        <w:rPr>
          <w:rFonts w:ascii="Cambria" w:hAnsi="Cambria"/>
          <w:sz w:val="16"/>
          <w:szCs w:val="16"/>
          <w:lang w:val="es-ES"/>
        </w:rPr>
        <w:t>2022.</w:t>
      </w:r>
    </w:p>
  </w:footnote>
  <w:footnote w:id="46">
    <w:p w14:paraId="6F763F0E" w14:textId="1432ADA0"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00F72895" w:rsidRPr="00CC562A">
        <w:rPr>
          <w:lang w:val="en-US"/>
        </w:rPr>
        <w:t>. Chapter</w:t>
      </w:r>
      <w:r w:rsidR="4D1A0B04" w:rsidRPr="00CC562A">
        <w:rPr>
          <w:lang w:val="en-US"/>
        </w:rPr>
        <w:t xml:space="preserve"> V, </w:t>
      </w:r>
      <w:r w:rsidR="00F72895" w:rsidRPr="00CC562A">
        <w:rPr>
          <w:lang w:val="en-US"/>
        </w:rPr>
        <w:t>October</w:t>
      </w:r>
      <w:r w:rsidR="4D1A0B04" w:rsidRPr="00CC562A">
        <w:rPr>
          <w:lang w:val="en-US"/>
        </w:rPr>
        <w:t xml:space="preserve"> 2022 </w:t>
      </w:r>
      <w:r w:rsidR="00F72895" w:rsidRPr="00CC562A">
        <w:rPr>
          <w:lang w:val="en-US"/>
        </w:rPr>
        <w:t xml:space="preserve">through the Inter-American </w:t>
      </w:r>
      <w:r w:rsidR="4D1A0B04" w:rsidRPr="00CC562A">
        <w:rPr>
          <w:lang w:val="en-US"/>
        </w:rPr>
        <w:t>SIMORE</w:t>
      </w:r>
    </w:p>
  </w:footnote>
  <w:footnote w:id="47">
    <w:p w14:paraId="4A9E5690" w14:textId="40803C45" w:rsidR="003E6D7E" w:rsidRPr="00CC562A" w:rsidRDefault="003E6D7E" w:rsidP="003E6D7E">
      <w:pPr>
        <w:pStyle w:val="FootnoteText"/>
        <w:ind w:firstLine="720"/>
        <w:rPr>
          <w:lang w:val="en-US"/>
        </w:rPr>
      </w:pPr>
      <w:r w:rsidRPr="00CC562A">
        <w:rPr>
          <w:rStyle w:val="FootnoteReference"/>
        </w:rPr>
        <w:footnoteRef/>
      </w:r>
      <w:r w:rsidRPr="00CC562A">
        <w:rPr>
          <w:lang w:val="en-US"/>
        </w:rPr>
        <w:t xml:space="preserve"> </w:t>
      </w:r>
      <w:r w:rsidR="002832AF" w:rsidRPr="00CC562A">
        <w:rPr>
          <w:lang w:val="en-US"/>
        </w:rPr>
        <w:t>State of Mexico, OAS Note</w:t>
      </w:r>
      <w:r w:rsidRPr="00CC562A">
        <w:rPr>
          <w:lang w:val="en-US"/>
        </w:rPr>
        <w:t xml:space="preserve"> 517 </w:t>
      </w:r>
      <w:r w:rsidR="002832AF" w:rsidRPr="00CC562A">
        <w:rPr>
          <w:lang w:val="en-US"/>
        </w:rPr>
        <w:t>of February 17,</w:t>
      </w:r>
      <w:r w:rsidRPr="00CC562A">
        <w:rPr>
          <w:lang w:val="en-US"/>
        </w:rPr>
        <w:t xml:space="preserve"> 2023. Observ</w:t>
      </w:r>
      <w:r w:rsidR="002832AF" w:rsidRPr="00CC562A">
        <w:rPr>
          <w:lang w:val="en-US"/>
        </w:rPr>
        <w:t>ations on the preliminary version of the report</w:t>
      </w:r>
      <w:r w:rsidRPr="00CC562A">
        <w:rPr>
          <w:lang w:val="en-US"/>
        </w:rPr>
        <w:t>.</w:t>
      </w:r>
    </w:p>
  </w:footnote>
  <w:footnote w:id="48">
    <w:p w14:paraId="3FB1F3D7" w14:textId="4F228E2B" w:rsidR="00115B7D" w:rsidRPr="00CC562A" w:rsidRDefault="00115B7D"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F72895" w:rsidRPr="00CC562A">
        <w:rPr>
          <w:rFonts w:ascii="Cambria" w:hAnsi="Cambria"/>
          <w:sz w:val="16"/>
          <w:szCs w:val="16"/>
          <w:lang w:val="en-US"/>
        </w:rPr>
        <w:t xml:space="preserve">Follow-up on </w:t>
      </w:r>
      <w:r w:rsidR="00AD74ED" w:rsidRPr="00CC562A">
        <w:rPr>
          <w:rFonts w:ascii="Cambria" w:hAnsi="Cambria"/>
          <w:sz w:val="16"/>
          <w:szCs w:val="16"/>
          <w:lang w:val="en-US"/>
        </w:rPr>
        <w:t>C</w:t>
      </w:r>
      <w:r w:rsidR="00F72895" w:rsidRPr="00CC562A">
        <w:rPr>
          <w:rFonts w:ascii="Cambria" w:hAnsi="Cambria"/>
          <w:sz w:val="16"/>
          <w:szCs w:val="16"/>
          <w:lang w:val="en-US"/>
        </w:rPr>
        <w:t xml:space="preserve">ompliance with </w:t>
      </w:r>
      <w:r w:rsidR="00AD74ED" w:rsidRPr="00CC562A">
        <w:rPr>
          <w:rFonts w:ascii="Cambria" w:hAnsi="Cambria"/>
          <w:sz w:val="16"/>
          <w:szCs w:val="16"/>
          <w:lang w:val="en-US"/>
        </w:rPr>
        <w:t>R</w:t>
      </w:r>
      <w:r w:rsidR="00F72895" w:rsidRPr="00CC562A">
        <w:rPr>
          <w:rFonts w:ascii="Cambria" w:hAnsi="Cambria"/>
          <w:sz w:val="16"/>
          <w:szCs w:val="16"/>
          <w:lang w:val="en-US"/>
        </w:rPr>
        <w:t xml:space="preserve">ecommendation in the </w:t>
      </w:r>
      <w:r w:rsidR="00AD74ED" w:rsidRPr="00CC562A">
        <w:rPr>
          <w:rFonts w:ascii="Cambria" w:hAnsi="Cambria"/>
          <w:sz w:val="16"/>
          <w:szCs w:val="16"/>
          <w:lang w:val="en-US"/>
        </w:rPr>
        <w:t>R</w:t>
      </w:r>
      <w:r w:rsidR="00F72895" w:rsidRPr="00CC562A">
        <w:rPr>
          <w:rFonts w:ascii="Cambria" w:hAnsi="Cambria"/>
          <w:sz w:val="16"/>
          <w:szCs w:val="16"/>
          <w:lang w:val="en-US"/>
        </w:rPr>
        <w:t>eport on the “Situation of Human Rights in Mexico,” of October 20,</w:t>
      </w:r>
      <w:r w:rsidR="4D1A0B04" w:rsidRPr="00CC562A">
        <w:rPr>
          <w:rFonts w:ascii="Cambria" w:hAnsi="Cambria"/>
          <w:sz w:val="16"/>
          <w:szCs w:val="16"/>
          <w:lang w:val="en-US"/>
        </w:rPr>
        <w:t xml:space="preserve"> 2022, </w:t>
      </w:r>
      <w:r w:rsidR="004E0B7E" w:rsidRPr="00CC562A">
        <w:rPr>
          <w:rFonts w:ascii="Cambria" w:hAnsi="Cambria"/>
          <w:sz w:val="16"/>
          <w:szCs w:val="16"/>
          <w:lang w:val="en-US"/>
        </w:rPr>
        <w:t>pp.</w:t>
      </w:r>
      <w:r w:rsidR="4D1A0B04" w:rsidRPr="00CC562A">
        <w:rPr>
          <w:rFonts w:ascii="Cambria" w:hAnsi="Cambria"/>
          <w:sz w:val="16"/>
          <w:szCs w:val="16"/>
          <w:lang w:val="en-US"/>
        </w:rPr>
        <w:t xml:space="preserve"> 7</w:t>
      </w:r>
      <w:r w:rsidR="00AD74ED" w:rsidRPr="00CC562A">
        <w:rPr>
          <w:rFonts w:ascii="Cambria" w:hAnsi="Cambria"/>
          <w:sz w:val="16"/>
          <w:szCs w:val="16"/>
          <w:lang w:val="en-US"/>
        </w:rPr>
        <w:t>-</w:t>
      </w:r>
      <w:r w:rsidR="4D1A0B04" w:rsidRPr="00CC562A">
        <w:rPr>
          <w:rFonts w:ascii="Cambria" w:hAnsi="Cambria"/>
          <w:sz w:val="16"/>
          <w:szCs w:val="16"/>
          <w:lang w:val="en-US"/>
        </w:rPr>
        <w:t>8.</w:t>
      </w:r>
    </w:p>
  </w:footnote>
  <w:footnote w:id="49">
    <w:p w14:paraId="58C8F28A" w14:textId="5BA57F8B" w:rsidR="00143CB1" w:rsidRPr="00CC562A" w:rsidRDefault="00143CB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rFonts w:cs="Times New Roman"/>
          <w:lang w:val="en-US"/>
        </w:rPr>
        <w:t>IACHR</w:t>
      </w:r>
      <w:r w:rsidR="4D1A0B04" w:rsidRPr="00CC562A">
        <w:rPr>
          <w:rFonts w:cs="Times New Roman"/>
          <w:lang w:val="en-US"/>
        </w:rPr>
        <w:t xml:space="preserve">, </w:t>
      </w:r>
      <w:hyperlink r:id="rId26" w:history="1">
        <w:r w:rsidR="00F72895" w:rsidRPr="00CC562A">
          <w:rPr>
            <w:rStyle w:val="Hyperlink"/>
            <w:rFonts w:cs="Times New Roman"/>
            <w:lang w:val="en-US"/>
          </w:rPr>
          <w:t>Annual Report, Chapter</w:t>
        </w:r>
        <w:r w:rsidR="4D1A0B04" w:rsidRPr="00CC562A">
          <w:rPr>
            <w:rStyle w:val="Hyperlink"/>
            <w:rFonts w:cs="Times New Roman"/>
            <w:lang w:val="en-US"/>
          </w:rPr>
          <w:t xml:space="preserve"> V</w:t>
        </w:r>
      </w:hyperlink>
      <w:r w:rsidR="4D1A0B04" w:rsidRPr="00CC562A">
        <w:rPr>
          <w:rFonts w:cs="Times New Roman"/>
          <w:lang w:val="en-US"/>
        </w:rPr>
        <w:t>, M</w:t>
      </w:r>
      <w:r w:rsidR="00F72895" w:rsidRPr="00CC562A">
        <w:rPr>
          <w:rFonts w:cs="Times New Roman"/>
          <w:lang w:val="en-US"/>
        </w:rPr>
        <w:t>e</w:t>
      </w:r>
      <w:r w:rsidR="4D1A0B04" w:rsidRPr="00CC562A">
        <w:rPr>
          <w:rFonts w:cs="Times New Roman"/>
          <w:lang w:val="en-US"/>
        </w:rPr>
        <w:t>xico, 2020, p</w:t>
      </w:r>
      <w:r w:rsidR="00F72895" w:rsidRPr="00CC562A">
        <w:rPr>
          <w:rFonts w:cs="Times New Roman"/>
          <w:lang w:val="en-US"/>
        </w:rPr>
        <w:t>ara</w:t>
      </w:r>
      <w:r w:rsidR="4D1A0B04" w:rsidRPr="00CC562A">
        <w:rPr>
          <w:rFonts w:cs="Times New Roman"/>
          <w:lang w:val="en-US"/>
        </w:rPr>
        <w:t>. 36.</w:t>
      </w:r>
    </w:p>
  </w:footnote>
  <w:footnote w:id="50">
    <w:p w14:paraId="6D5AA271" w14:textId="1AD1D417" w:rsidR="00143CB1" w:rsidRPr="00CC562A" w:rsidRDefault="00143CB1"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F72895" w:rsidRPr="00CC562A">
        <w:rPr>
          <w:rFonts w:ascii="Cambria" w:hAnsi="Cambria"/>
          <w:sz w:val="16"/>
          <w:szCs w:val="16"/>
          <w:lang w:val="en-US"/>
        </w:rPr>
        <w:t>I/</w:t>
      </w:r>
      <w:r w:rsidR="00F72895" w:rsidRPr="00CC562A">
        <w:rPr>
          <w:rFonts w:ascii="Cambria" w:hAnsi="Cambria"/>
          <w:caps/>
          <w:sz w:val="16"/>
          <w:szCs w:val="16"/>
          <w:lang w:val="en-US"/>
        </w:rPr>
        <w:t>A</w:t>
      </w:r>
      <w:r w:rsidR="4D1A0B04" w:rsidRPr="00CC562A">
        <w:rPr>
          <w:rFonts w:ascii="Cambria" w:hAnsi="Cambria"/>
          <w:sz w:val="16"/>
          <w:szCs w:val="16"/>
          <w:lang w:val="en-US"/>
        </w:rPr>
        <w:t xml:space="preserve"> </w:t>
      </w:r>
      <w:r w:rsidR="00F72895" w:rsidRPr="00CC562A">
        <w:rPr>
          <w:rFonts w:ascii="Cambria" w:hAnsi="Cambria"/>
          <w:sz w:val="16"/>
          <w:szCs w:val="16"/>
          <w:lang w:val="en-US"/>
        </w:rPr>
        <w:t xml:space="preserve">Court H.R., Women Victims of Sexual Torture in </w:t>
      </w:r>
      <w:proofErr w:type="spellStart"/>
      <w:r w:rsidR="4D1A0B04" w:rsidRPr="00CC562A">
        <w:rPr>
          <w:rFonts w:ascii="Cambria" w:hAnsi="Cambria"/>
          <w:sz w:val="16"/>
          <w:szCs w:val="16"/>
          <w:lang w:val="en-US"/>
        </w:rPr>
        <w:t>Atenco</w:t>
      </w:r>
      <w:proofErr w:type="spellEnd"/>
      <w:r w:rsidR="4D1A0B04" w:rsidRPr="00CC562A">
        <w:rPr>
          <w:rFonts w:ascii="Cambria" w:hAnsi="Cambria"/>
          <w:sz w:val="16"/>
          <w:szCs w:val="16"/>
          <w:lang w:val="en-US"/>
        </w:rPr>
        <w:t xml:space="preserve"> </w:t>
      </w:r>
      <w:r w:rsidR="00F72895" w:rsidRPr="00CC562A">
        <w:rPr>
          <w:rFonts w:ascii="Cambria" w:hAnsi="Cambria"/>
          <w:sz w:val="16"/>
          <w:szCs w:val="16"/>
          <w:lang w:val="en-US"/>
        </w:rPr>
        <w:t>v</w:t>
      </w:r>
      <w:r w:rsidR="4D1A0B04" w:rsidRPr="00CC562A">
        <w:rPr>
          <w:rFonts w:ascii="Cambria" w:hAnsi="Cambria"/>
          <w:sz w:val="16"/>
          <w:szCs w:val="16"/>
          <w:lang w:val="en-US"/>
        </w:rPr>
        <w:t>. M</w:t>
      </w:r>
      <w:r w:rsidR="00F72895" w:rsidRPr="00CC562A">
        <w:rPr>
          <w:rFonts w:ascii="Cambria" w:hAnsi="Cambria"/>
          <w:sz w:val="16"/>
          <w:szCs w:val="16"/>
          <w:lang w:val="en-US"/>
        </w:rPr>
        <w:t>e</w:t>
      </w:r>
      <w:r w:rsidR="4D1A0B04" w:rsidRPr="00CC562A">
        <w:rPr>
          <w:rFonts w:ascii="Cambria" w:hAnsi="Cambria"/>
          <w:sz w:val="16"/>
          <w:szCs w:val="16"/>
          <w:lang w:val="en-US"/>
        </w:rPr>
        <w:t>xico. Preliminar</w:t>
      </w:r>
      <w:r w:rsidR="00F72895" w:rsidRPr="00CC562A">
        <w:rPr>
          <w:rFonts w:ascii="Cambria" w:hAnsi="Cambria"/>
          <w:sz w:val="16"/>
          <w:szCs w:val="16"/>
          <w:lang w:val="en-US"/>
        </w:rPr>
        <w:t>y Objection, Merits, Reparations, and Costs. Judgment of November 28,</w:t>
      </w:r>
      <w:r w:rsidR="4D1A0B04" w:rsidRPr="00CC562A">
        <w:rPr>
          <w:rFonts w:ascii="Cambria" w:hAnsi="Cambria"/>
          <w:sz w:val="16"/>
          <w:szCs w:val="16"/>
          <w:lang w:val="en-US"/>
        </w:rPr>
        <w:t xml:space="preserve"> 2018. Serie</w:t>
      </w:r>
      <w:r w:rsidR="00F72895" w:rsidRPr="00CC562A">
        <w:rPr>
          <w:rFonts w:ascii="Cambria" w:hAnsi="Cambria"/>
          <w:sz w:val="16"/>
          <w:szCs w:val="16"/>
          <w:lang w:val="en-US"/>
        </w:rPr>
        <w:t xml:space="preserve">s </w:t>
      </w:r>
      <w:r w:rsidR="4D1A0B04" w:rsidRPr="00CC562A">
        <w:rPr>
          <w:rFonts w:ascii="Cambria" w:hAnsi="Cambria"/>
          <w:sz w:val="16"/>
          <w:szCs w:val="16"/>
          <w:lang w:val="en-US"/>
        </w:rPr>
        <w:t>C No. 371, p</w:t>
      </w:r>
      <w:r w:rsidR="00F72895" w:rsidRPr="00CC562A">
        <w:rPr>
          <w:rFonts w:ascii="Cambria" w:hAnsi="Cambria"/>
          <w:sz w:val="16"/>
          <w:szCs w:val="16"/>
          <w:lang w:val="en-US"/>
        </w:rPr>
        <w:t>ara</w:t>
      </w:r>
      <w:r w:rsidR="4D1A0B04" w:rsidRPr="00CC562A">
        <w:rPr>
          <w:rFonts w:ascii="Cambria" w:hAnsi="Cambria"/>
          <w:sz w:val="16"/>
          <w:szCs w:val="16"/>
          <w:lang w:val="en-US"/>
        </w:rPr>
        <w:t xml:space="preserve">. 356. </w:t>
      </w:r>
    </w:p>
  </w:footnote>
  <w:footnote w:id="51">
    <w:p w14:paraId="2BDC4BB9" w14:textId="6DA7895A" w:rsidR="007705DD" w:rsidRPr="00CC562A" w:rsidRDefault="007705DD"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xml:space="preserve">, </w:t>
      </w:r>
      <w:hyperlink r:id="rId27" w:history="1">
        <w:r w:rsidR="00F72895" w:rsidRPr="00CC562A">
          <w:rPr>
            <w:rStyle w:val="Hyperlink"/>
            <w:lang w:val="en-US"/>
          </w:rPr>
          <w:t>Annual Report, Chapter</w:t>
        </w:r>
        <w:r w:rsidR="4D1A0B04" w:rsidRPr="00CC562A">
          <w:rPr>
            <w:rStyle w:val="Hyperlink"/>
            <w:lang w:val="en-US"/>
          </w:rPr>
          <w:t xml:space="preserve"> V</w:t>
        </w:r>
      </w:hyperlink>
      <w:r w:rsidR="4D1A0B04" w:rsidRPr="00CC562A">
        <w:rPr>
          <w:lang w:val="en-US"/>
        </w:rPr>
        <w:t>, M</w:t>
      </w:r>
      <w:r w:rsidR="00F72895" w:rsidRPr="00CC562A">
        <w:rPr>
          <w:lang w:val="en-US"/>
        </w:rPr>
        <w:t>e</w:t>
      </w:r>
      <w:r w:rsidR="4D1A0B04" w:rsidRPr="00CC562A">
        <w:rPr>
          <w:lang w:val="en-US"/>
        </w:rPr>
        <w:t>xico, 2021, p</w:t>
      </w:r>
      <w:r w:rsidR="00F72895" w:rsidRPr="00CC562A">
        <w:rPr>
          <w:lang w:val="en-US"/>
        </w:rPr>
        <w:t>ara</w:t>
      </w:r>
      <w:r w:rsidR="4D1A0B04" w:rsidRPr="00CC562A">
        <w:rPr>
          <w:lang w:val="en-US"/>
        </w:rPr>
        <w:t>. 33.</w:t>
      </w:r>
    </w:p>
  </w:footnote>
  <w:footnote w:id="52">
    <w:p w14:paraId="62DD62AD" w14:textId="12F1915F" w:rsidR="003E6D7E" w:rsidRPr="00CC562A" w:rsidRDefault="003E6D7E" w:rsidP="00426EDD">
      <w:pPr>
        <w:pStyle w:val="FootnoteText"/>
        <w:spacing w:line="240" w:lineRule="auto"/>
        <w:ind w:firstLine="720"/>
        <w:jc w:val="both"/>
        <w:rPr>
          <w:lang w:val="en-US"/>
        </w:rPr>
      </w:pPr>
      <w:r w:rsidRPr="00CC562A">
        <w:rPr>
          <w:rStyle w:val="FootnoteReference"/>
        </w:rPr>
        <w:footnoteRef/>
      </w:r>
      <w:r w:rsidRPr="00CC562A">
        <w:rPr>
          <w:lang w:val="en-US"/>
        </w:rPr>
        <w:t xml:space="preserve"> </w:t>
      </w:r>
      <w:r w:rsidR="00972058" w:rsidRPr="00CC562A">
        <w:rPr>
          <w:lang w:val="en-US"/>
        </w:rPr>
        <w:t>Progress report of the Mexican State on compliance with and follow-up to the recommendations of the IACHR. Chapter V, October 2022 through the Inter-American SIMORE</w:t>
      </w:r>
      <w:r w:rsidRPr="00CC562A">
        <w:rPr>
          <w:lang w:val="en-US"/>
        </w:rPr>
        <w:t xml:space="preserve">; </w:t>
      </w:r>
      <w:r w:rsidR="00074070" w:rsidRPr="00CC562A">
        <w:rPr>
          <w:lang w:val="en-US"/>
        </w:rPr>
        <w:t>State of Mexico, OAS Note</w:t>
      </w:r>
      <w:r w:rsidRPr="00CC562A">
        <w:rPr>
          <w:lang w:val="en-US"/>
        </w:rPr>
        <w:t xml:space="preserve"> 517 </w:t>
      </w:r>
      <w:r w:rsidR="00074070" w:rsidRPr="00CC562A">
        <w:rPr>
          <w:lang w:val="en-US"/>
        </w:rPr>
        <w:t>of February 17,</w:t>
      </w:r>
      <w:r w:rsidRPr="00CC562A">
        <w:rPr>
          <w:lang w:val="en-US"/>
        </w:rPr>
        <w:t xml:space="preserve"> 2023. Observa</w:t>
      </w:r>
      <w:r w:rsidR="00C833E5" w:rsidRPr="00CC562A">
        <w:rPr>
          <w:lang w:val="en-US"/>
        </w:rPr>
        <w:t>tions on the preliminary version of the report</w:t>
      </w:r>
      <w:r w:rsidRPr="00CC562A">
        <w:rPr>
          <w:lang w:val="en-US"/>
        </w:rPr>
        <w:t>.</w:t>
      </w:r>
    </w:p>
  </w:footnote>
  <w:footnote w:id="53">
    <w:p w14:paraId="6466336B" w14:textId="7D03874A" w:rsidR="00086C08" w:rsidRPr="00CC562A" w:rsidRDefault="00086C08" w:rsidP="00426EDD">
      <w:pPr>
        <w:pStyle w:val="FootnoteText"/>
        <w:ind w:firstLine="720"/>
        <w:rPr>
          <w:lang w:val="en-US"/>
        </w:rPr>
      </w:pPr>
      <w:r w:rsidRPr="00CC562A">
        <w:rPr>
          <w:rStyle w:val="FootnoteReference"/>
          <w:lang w:val="en-US"/>
        </w:rPr>
        <w:footnoteRef/>
      </w:r>
      <w:r w:rsidRPr="00CC562A">
        <w:rPr>
          <w:lang w:val="en-US"/>
        </w:rPr>
        <w:t xml:space="preserve"> </w:t>
      </w:r>
      <w:r w:rsidR="00C833E5" w:rsidRPr="00CC562A">
        <w:rPr>
          <w:lang w:val="en-US"/>
        </w:rPr>
        <w:t>State of Mexico, OAS Note</w:t>
      </w:r>
      <w:r w:rsidRPr="00CC562A">
        <w:rPr>
          <w:lang w:val="en-US"/>
        </w:rPr>
        <w:t xml:space="preserve"> 517 </w:t>
      </w:r>
      <w:r w:rsidR="00C833E5" w:rsidRPr="00CC562A">
        <w:rPr>
          <w:lang w:val="en-US"/>
        </w:rPr>
        <w:t>of February 17,</w:t>
      </w:r>
      <w:r w:rsidRPr="00CC562A">
        <w:rPr>
          <w:lang w:val="en-US"/>
        </w:rPr>
        <w:t xml:space="preserve"> 2023. </w:t>
      </w:r>
      <w:r w:rsidR="00972058" w:rsidRPr="00CC562A">
        <w:rPr>
          <w:lang w:val="en-US"/>
        </w:rPr>
        <w:t>Observations</w:t>
      </w:r>
      <w:r w:rsidR="00C833E5" w:rsidRPr="00CC562A">
        <w:rPr>
          <w:lang w:val="en-US"/>
        </w:rPr>
        <w:t xml:space="preserve"> on the preliminary version of the report</w:t>
      </w:r>
      <w:r w:rsidRPr="00CC562A">
        <w:rPr>
          <w:lang w:val="en-US"/>
        </w:rPr>
        <w:t>.</w:t>
      </w:r>
    </w:p>
  </w:footnote>
  <w:footnote w:id="54">
    <w:p w14:paraId="3EBA0B51" w14:textId="450E8C6E"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00134EF7" w:rsidRPr="00CC562A">
        <w:rPr>
          <w:lang w:val="en-US"/>
        </w:rPr>
        <w:t>. Chapter</w:t>
      </w:r>
      <w:r w:rsidR="4D1A0B04" w:rsidRPr="00CC562A">
        <w:rPr>
          <w:lang w:val="en-US"/>
        </w:rPr>
        <w:t xml:space="preserve"> V, </w:t>
      </w:r>
      <w:r w:rsidR="00134EF7" w:rsidRPr="00CC562A">
        <w:rPr>
          <w:lang w:val="en-US"/>
        </w:rPr>
        <w:t>October</w:t>
      </w:r>
      <w:r w:rsidR="4D1A0B04" w:rsidRPr="00CC562A">
        <w:rPr>
          <w:lang w:val="en-US"/>
        </w:rPr>
        <w:t xml:space="preserve"> 2022 </w:t>
      </w:r>
      <w:r w:rsidR="00134EF7" w:rsidRPr="00CC562A">
        <w:rPr>
          <w:lang w:val="en-US"/>
        </w:rPr>
        <w:t xml:space="preserve">through the Inter-American </w:t>
      </w:r>
      <w:r w:rsidR="4D1A0B04" w:rsidRPr="00CC562A">
        <w:rPr>
          <w:lang w:val="en-US"/>
        </w:rPr>
        <w:t>SIMORE.</w:t>
      </w:r>
    </w:p>
  </w:footnote>
  <w:footnote w:id="55">
    <w:p w14:paraId="3A64276B" w14:textId="2BA4A80E" w:rsidR="00086C08" w:rsidRPr="00CC562A" w:rsidRDefault="00086C08" w:rsidP="00E20F4E">
      <w:pPr>
        <w:pStyle w:val="pf0"/>
        <w:spacing w:before="0" w:beforeAutospacing="0" w:after="0" w:afterAutospacing="0"/>
        <w:ind w:firstLine="720"/>
        <w:jc w:val="both"/>
        <w:rPr>
          <w:rFonts w:ascii="Arial" w:hAnsi="Arial" w:cs="Arial"/>
          <w:sz w:val="16"/>
          <w:szCs w:val="16"/>
        </w:rPr>
      </w:pPr>
      <w:r w:rsidRPr="00CC562A">
        <w:rPr>
          <w:rStyle w:val="FootnoteReference"/>
          <w:sz w:val="16"/>
          <w:szCs w:val="16"/>
        </w:rPr>
        <w:footnoteRef/>
      </w:r>
      <w:r w:rsidRPr="00CC562A">
        <w:rPr>
          <w:sz w:val="16"/>
          <w:szCs w:val="16"/>
        </w:rPr>
        <w:t xml:space="preserve"> </w:t>
      </w:r>
      <w:r w:rsidR="00F10252" w:rsidRPr="00CC562A">
        <w:rPr>
          <w:rFonts w:ascii="Cambria" w:hAnsi="Cambria"/>
          <w:sz w:val="16"/>
          <w:szCs w:val="16"/>
        </w:rPr>
        <w:t>The</w:t>
      </w:r>
      <w:r w:rsidRPr="00CC562A">
        <w:rPr>
          <w:rFonts w:ascii="Cambria" w:hAnsi="Cambria"/>
          <w:sz w:val="16"/>
          <w:szCs w:val="16"/>
        </w:rPr>
        <w:t xml:space="preserve"> PHI </w:t>
      </w:r>
      <w:r w:rsidR="00F10252" w:rsidRPr="00CC562A">
        <w:rPr>
          <w:rFonts w:ascii="Cambria" w:hAnsi="Cambria"/>
          <w:sz w:val="16"/>
          <w:szCs w:val="16"/>
        </w:rPr>
        <w:t xml:space="preserve">was approved on July 13, </w:t>
      </w:r>
      <w:r w:rsidR="00A92391" w:rsidRPr="00CC562A">
        <w:rPr>
          <w:rFonts w:ascii="Cambria" w:hAnsi="Cambria"/>
          <w:sz w:val="16"/>
          <w:szCs w:val="16"/>
        </w:rPr>
        <w:t>2018,</w:t>
      </w:r>
      <w:r w:rsidRPr="00CC562A">
        <w:rPr>
          <w:rFonts w:ascii="Cambria" w:hAnsi="Cambria"/>
          <w:sz w:val="16"/>
          <w:szCs w:val="16"/>
        </w:rPr>
        <w:t xml:space="preserve"> </w:t>
      </w:r>
      <w:r w:rsidR="00F10252" w:rsidRPr="00CC562A">
        <w:rPr>
          <w:rFonts w:ascii="Cambria" w:hAnsi="Cambria"/>
          <w:sz w:val="16"/>
          <w:szCs w:val="16"/>
        </w:rPr>
        <w:t>under Agreement</w:t>
      </w:r>
      <w:r w:rsidRPr="00CC562A">
        <w:rPr>
          <w:rStyle w:val="cf01"/>
          <w:rFonts w:ascii="Cambria" w:hAnsi="Cambria"/>
          <w:sz w:val="16"/>
          <w:szCs w:val="16"/>
        </w:rPr>
        <w:t xml:space="preserve"> CNPJ/SE-II/1/2018 </w:t>
      </w:r>
      <w:r w:rsidR="00F10252" w:rsidRPr="00CC562A">
        <w:rPr>
          <w:rStyle w:val="cf01"/>
          <w:rFonts w:ascii="Cambria" w:hAnsi="Cambria"/>
          <w:sz w:val="16"/>
          <w:szCs w:val="16"/>
        </w:rPr>
        <w:t xml:space="preserve">and </w:t>
      </w:r>
      <w:r w:rsidR="00443277" w:rsidRPr="00CC562A">
        <w:rPr>
          <w:rStyle w:val="cf01"/>
          <w:rFonts w:ascii="Cambria" w:hAnsi="Cambria"/>
          <w:sz w:val="16"/>
          <w:szCs w:val="16"/>
        </w:rPr>
        <w:t>the abstract of the PHI</w:t>
      </w:r>
      <w:r w:rsidR="00F10252" w:rsidRPr="00CC562A">
        <w:rPr>
          <w:rStyle w:val="cf01"/>
          <w:rFonts w:ascii="Cambria" w:hAnsi="Cambria"/>
          <w:sz w:val="16"/>
          <w:szCs w:val="16"/>
        </w:rPr>
        <w:t xml:space="preserve"> was published on July</w:t>
      </w:r>
      <w:r w:rsidRPr="00CC562A">
        <w:rPr>
          <w:rFonts w:ascii="Cambria" w:hAnsi="Cambria" w:cs="Segoe UI"/>
          <w:sz w:val="16"/>
          <w:szCs w:val="16"/>
        </w:rPr>
        <w:t xml:space="preserve"> 16</w:t>
      </w:r>
      <w:r w:rsidR="00F10252" w:rsidRPr="00CC562A">
        <w:rPr>
          <w:rFonts w:ascii="Cambria" w:hAnsi="Cambria" w:cs="Segoe UI"/>
          <w:sz w:val="16"/>
          <w:szCs w:val="16"/>
        </w:rPr>
        <w:t>,</w:t>
      </w:r>
      <w:r w:rsidRPr="00CC562A">
        <w:rPr>
          <w:rFonts w:ascii="Cambria" w:hAnsi="Cambria" w:cs="Segoe UI"/>
          <w:sz w:val="16"/>
          <w:szCs w:val="16"/>
        </w:rPr>
        <w:t xml:space="preserve"> </w:t>
      </w:r>
      <w:r w:rsidR="00A92391" w:rsidRPr="00CC562A">
        <w:rPr>
          <w:rFonts w:ascii="Cambria" w:hAnsi="Cambria" w:cs="Segoe UI"/>
          <w:sz w:val="16"/>
          <w:szCs w:val="16"/>
        </w:rPr>
        <w:t>2018,</w:t>
      </w:r>
      <w:r w:rsidR="00F10252" w:rsidRPr="00CC562A">
        <w:rPr>
          <w:rFonts w:ascii="Cambria" w:hAnsi="Cambria" w:cs="Segoe UI"/>
          <w:sz w:val="16"/>
          <w:szCs w:val="16"/>
        </w:rPr>
        <w:t xml:space="preserve"> in the </w:t>
      </w:r>
      <w:r w:rsidRPr="00CC562A">
        <w:rPr>
          <w:rFonts w:ascii="Cambria" w:hAnsi="Cambria" w:cs="Segoe UI"/>
          <w:sz w:val="16"/>
          <w:szCs w:val="16"/>
        </w:rPr>
        <w:t>DOF</w:t>
      </w:r>
      <w:r w:rsidR="00443277" w:rsidRPr="00CC562A">
        <w:rPr>
          <w:rFonts w:ascii="Cambria" w:hAnsi="Cambria" w:cs="Segoe UI"/>
          <w:sz w:val="16"/>
          <w:szCs w:val="16"/>
        </w:rPr>
        <w:t>. State of Mexico, OAS Note</w:t>
      </w:r>
      <w:r w:rsidRPr="00CC562A">
        <w:rPr>
          <w:rFonts w:ascii="Cambria" w:hAnsi="Cambria"/>
          <w:sz w:val="16"/>
          <w:szCs w:val="16"/>
        </w:rPr>
        <w:t xml:space="preserve"> 517 </w:t>
      </w:r>
      <w:r w:rsidR="00443277" w:rsidRPr="00CC562A">
        <w:rPr>
          <w:rFonts w:ascii="Cambria" w:hAnsi="Cambria"/>
          <w:sz w:val="16"/>
          <w:szCs w:val="16"/>
        </w:rPr>
        <w:t>of February 17,</w:t>
      </w:r>
      <w:r w:rsidRPr="00CC562A">
        <w:rPr>
          <w:rFonts w:ascii="Cambria" w:hAnsi="Cambria"/>
          <w:sz w:val="16"/>
          <w:szCs w:val="16"/>
        </w:rPr>
        <w:t xml:space="preserve"> 2023. Observa</w:t>
      </w:r>
      <w:r w:rsidR="00443277" w:rsidRPr="00CC562A">
        <w:rPr>
          <w:rFonts w:ascii="Cambria" w:hAnsi="Cambria"/>
          <w:sz w:val="16"/>
          <w:szCs w:val="16"/>
        </w:rPr>
        <w:t>tions on the preliminary version of the report</w:t>
      </w:r>
      <w:r w:rsidRPr="00CC562A">
        <w:rPr>
          <w:rFonts w:ascii="Cambria" w:hAnsi="Cambria"/>
          <w:sz w:val="16"/>
          <w:szCs w:val="16"/>
        </w:rPr>
        <w:t>.</w:t>
      </w:r>
    </w:p>
  </w:footnote>
  <w:footnote w:id="56">
    <w:p w14:paraId="2F490CAA" w14:textId="0B41C1E8" w:rsidR="00086C08" w:rsidRPr="00CC562A" w:rsidRDefault="00086C08" w:rsidP="00E20F4E">
      <w:pPr>
        <w:pStyle w:val="FootnoteText"/>
        <w:spacing w:line="240" w:lineRule="auto"/>
        <w:ind w:firstLine="720"/>
        <w:jc w:val="both"/>
        <w:rPr>
          <w:lang w:val="en-US"/>
        </w:rPr>
      </w:pPr>
      <w:r w:rsidRPr="00CC562A">
        <w:rPr>
          <w:rStyle w:val="FootnoteReference"/>
          <w:lang w:val="en-US"/>
        </w:rPr>
        <w:footnoteRef/>
      </w:r>
      <w:r w:rsidRPr="00CC562A">
        <w:rPr>
          <w:lang w:val="en-US"/>
        </w:rPr>
        <w:t xml:space="preserve"> </w:t>
      </w:r>
      <w:r w:rsidR="00443277" w:rsidRPr="00CC562A">
        <w:rPr>
          <w:lang w:val="en-US"/>
        </w:rPr>
        <w:t>Progress report of the Mexican State on compliance with and follow-up to the recommendations of the IACHR. Chapter V, October 2022 through the Inter-American SIMORE</w:t>
      </w:r>
      <w:r w:rsidRPr="00CC562A">
        <w:rPr>
          <w:lang w:val="en-US"/>
        </w:rPr>
        <w:t>.</w:t>
      </w:r>
    </w:p>
  </w:footnote>
  <w:footnote w:id="57">
    <w:p w14:paraId="2077929A" w14:textId="3CC12788" w:rsidR="00086C08" w:rsidRPr="00CC562A" w:rsidRDefault="00086C08" w:rsidP="00086C08">
      <w:pPr>
        <w:pStyle w:val="FootnoteText"/>
        <w:ind w:firstLine="720"/>
        <w:rPr>
          <w:lang w:val="en-US"/>
        </w:rPr>
      </w:pPr>
      <w:r w:rsidRPr="00CC562A">
        <w:rPr>
          <w:rStyle w:val="FootnoteReference"/>
        </w:rPr>
        <w:footnoteRef/>
      </w:r>
      <w:r w:rsidRPr="00CC562A">
        <w:rPr>
          <w:lang w:val="en-US"/>
        </w:rPr>
        <w:t xml:space="preserve"> </w:t>
      </w:r>
      <w:r w:rsidR="00443277" w:rsidRPr="00CC562A">
        <w:rPr>
          <w:lang w:val="en-US"/>
        </w:rPr>
        <w:t>State of Mexico. OAS Note</w:t>
      </w:r>
      <w:r w:rsidRPr="00CC562A">
        <w:rPr>
          <w:lang w:val="en-US"/>
        </w:rPr>
        <w:t xml:space="preserve"> 517 </w:t>
      </w:r>
      <w:r w:rsidR="00443277" w:rsidRPr="00CC562A">
        <w:rPr>
          <w:lang w:val="en-US"/>
        </w:rPr>
        <w:t>of February 17,</w:t>
      </w:r>
      <w:r w:rsidRPr="00CC562A">
        <w:rPr>
          <w:lang w:val="en-US"/>
        </w:rPr>
        <w:t xml:space="preserve"> 2023. Observa</w:t>
      </w:r>
      <w:r w:rsidR="00443277" w:rsidRPr="00CC562A">
        <w:rPr>
          <w:lang w:val="en-US"/>
        </w:rPr>
        <w:t>tions on the preliminary version of the report</w:t>
      </w:r>
      <w:r w:rsidRPr="00CC562A">
        <w:rPr>
          <w:lang w:val="en-US"/>
        </w:rPr>
        <w:t>.</w:t>
      </w:r>
    </w:p>
  </w:footnote>
  <w:footnote w:id="58">
    <w:p w14:paraId="1BCBBE71" w14:textId="4C6934EF" w:rsidR="008434D7" w:rsidRPr="00CC562A" w:rsidRDefault="008434D7"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F72895" w:rsidRPr="00CC562A">
        <w:rPr>
          <w:rFonts w:ascii="Cambria" w:hAnsi="Cambria"/>
          <w:sz w:val="16"/>
          <w:szCs w:val="16"/>
          <w:lang w:val="en-US"/>
        </w:rPr>
        <w:t xml:space="preserve">Follow-up on </w:t>
      </w:r>
      <w:r w:rsidR="00D82CEF" w:rsidRPr="00CC562A">
        <w:rPr>
          <w:rFonts w:ascii="Cambria" w:hAnsi="Cambria"/>
          <w:sz w:val="16"/>
          <w:szCs w:val="16"/>
          <w:lang w:val="en-US"/>
        </w:rPr>
        <w:t>C</w:t>
      </w:r>
      <w:r w:rsidR="00F72895" w:rsidRPr="00CC562A">
        <w:rPr>
          <w:rFonts w:ascii="Cambria" w:hAnsi="Cambria"/>
          <w:sz w:val="16"/>
          <w:szCs w:val="16"/>
          <w:lang w:val="en-US"/>
        </w:rPr>
        <w:t xml:space="preserve">ompliance with </w:t>
      </w:r>
      <w:r w:rsidR="00D82CEF" w:rsidRPr="00CC562A">
        <w:rPr>
          <w:rFonts w:ascii="Cambria" w:hAnsi="Cambria"/>
          <w:sz w:val="16"/>
          <w:szCs w:val="16"/>
          <w:lang w:val="en-US"/>
        </w:rPr>
        <w:t>R</w:t>
      </w:r>
      <w:r w:rsidR="00F72895" w:rsidRPr="00CC562A">
        <w:rPr>
          <w:rFonts w:ascii="Cambria" w:hAnsi="Cambria"/>
          <w:sz w:val="16"/>
          <w:szCs w:val="16"/>
          <w:lang w:val="en-US"/>
        </w:rPr>
        <w:t xml:space="preserve">ecommendations in the </w:t>
      </w:r>
      <w:r w:rsidR="00D82CEF" w:rsidRPr="00CC562A">
        <w:rPr>
          <w:rFonts w:ascii="Cambria" w:hAnsi="Cambria"/>
          <w:sz w:val="16"/>
          <w:szCs w:val="16"/>
          <w:lang w:val="en-US"/>
        </w:rPr>
        <w:t>R</w:t>
      </w:r>
      <w:r w:rsidR="00F72895" w:rsidRPr="00CC562A">
        <w:rPr>
          <w:rFonts w:ascii="Cambria" w:hAnsi="Cambria"/>
          <w:sz w:val="16"/>
          <w:szCs w:val="16"/>
          <w:lang w:val="en-US"/>
        </w:rPr>
        <w:t>eport on the “Situation of Human Rights in Mexico,” October 20,</w:t>
      </w:r>
      <w:r w:rsidR="4D1A0B04" w:rsidRPr="00CC562A">
        <w:rPr>
          <w:rFonts w:ascii="Cambria" w:hAnsi="Cambria"/>
          <w:sz w:val="16"/>
          <w:szCs w:val="16"/>
          <w:lang w:val="en-US"/>
        </w:rPr>
        <w:t xml:space="preserve"> 2022, </w:t>
      </w:r>
      <w:r w:rsidR="004E0B7E" w:rsidRPr="00CC562A">
        <w:rPr>
          <w:rFonts w:ascii="Cambria" w:hAnsi="Cambria"/>
          <w:sz w:val="16"/>
          <w:szCs w:val="16"/>
          <w:lang w:val="en-US"/>
        </w:rPr>
        <w:t>pp.</w:t>
      </w:r>
      <w:r w:rsidR="4D1A0B04" w:rsidRPr="00CC562A">
        <w:rPr>
          <w:rFonts w:ascii="Cambria" w:hAnsi="Cambria"/>
          <w:sz w:val="16"/>
          <w:szCs w:val="16"/>
          <w:lang w:val="en-US"/>
        </w:rPr>
        <w:t xml:space="preserve"> 9–11.</w:t>
      </w:r>
    </w:p>
  </w:footnote>
  <w:footnote w:id="59">
    <w:p w14:paraId="47A4382E" w14:textId="45CA458E" w:rsidR="002D2C06" w:rsidRPr="00CC562A" w:rsidRDefault="002D2C06"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w:t>
      </w:r>
      <w:proofErr w:type="spellStart"/>
      <w:r w:rsidRPr="00CC562A">
        <w:rPr>
          <w:rFonts w:ascii="Cambria" w:eastAsia="Arial Narrow" w:hAnsi="Cambria" w:cs="Arial Narrow"/>
          <w:sz w:val="16"/>
          <w:szCs w:val="16"/>
          <w:lang w:val="es-ES"/>
        </w:rPr>
        <w:t>Latinus</w:t>
      </w:r>
      <w:proofErr w:type="spellEnd"/>
      <w:r w:rsidRPr="00CC562A">
        <w:rPr>
          <w:rFonts w:ascii="Cambria" w:eastAsia="Arial Narrow" w:hAnsi="Cambria" w:cs="Arial Narrow"/>
          <w:sz w:val="16"/>
          <w:szCs w:val="16"/>
          <w:lang w:val="es-ES"/>
        </w:rPr>
        <w:t xml:space="preserve">, </w:t>
      </w:r>
      <w:hyperlink r:id="rId28" w:history="1">
        <w:r w:rsidRPr="00CC562A">
          <w:rPr>
            <w:rStyle w:val="Hyperlink"/>
            <w:rFonts w:ascii="Cambria" w:eastAsia="Arial Narrow" w:hAnsi="Cambria" w:cs="Arial Narrow"/>
            <w:sz w:val="16"/>
            <w:szCs w:val="16"/>
            <w:lang w:val="es-ES"/>
          </w:rPr>
          <w:t xml:space="preserve">Correos </w:t>
        </w:r>
        <w:proofErr w:type="spellStart"/>
        <w:r w:rsidRPr="00CC562A">
          <w:rPr>
            <w:rStyle w:val="Hyperlink"/>
            <w:rFonts w:ascii="Cambria" w:eastAsia="Arial Narrow" w:hAnsi="Cambria" w:cs="Arial Narrow"/>
            <w:sz w:val="16"/>
            <w:szCs w:val="16"/>
            <w:lang w:val="es-ES"/>
          </w:rPr>
          <w:t>Sedena</w:t>
        </w:r>
        <w:proofErr w:type="spellEnd"/>
        <w:r w:rsidRPr="00CC562A">
          <w:rPr>
            <w:rStyle w:val="Hyperlink"/>
            <w:rFonts w:ascii="Cambria" w:eastAsia="Arial Narrow" w:hAnsi="Cambria" w:cs="Arial Narrow"/>
            <w:sz w:val="16"/>
            <w:szCs w:val="16"/>
            <w:lang w:val="es-ES"/>
          </w:rPr>
          <w:t>: presidente de la CNDH negoció la recomendación del caso Tlatlaya a cambio de apoyo para ser ministro de la SCJN</w:t>
        </w:r>
      </w:hyperlink>
      <w:r w:rsidRPr="00CC562A">
        <w:rPr>
          <w:rFonts w:ascii="Cambria" w:eastAsia="Arial Narrow" w:hAnsi="Cambria" w:cs="Arial Narrow"/>
          <w:sz w:val="16"/>
          <w:szCs w:val="16"/>
          <w:lang w:val="es-ES"/>
        </w:rPr>
        <w:t xml:space="preserve">, </w:t>
      </w:r>
      <w:proofErr w:type="spellStart"/>
      <w:r w:rsidR="00134EF7" w:rsidRPr="00CC562A">
        <w:rPr>
          <w:rFonts w:ascii="Cambria" w:eastAsia="Arial Narrow" w:hAnsi="Cambria" w:cs="Arial Narrow"/>
          <w:sz w:val="16"/>
          <w:szCs w:val="16"/>
          <w:lang w:val="es-ES"/>
        </w:rPr>
        <w:t>October</w:t>
      </w:r>
      <w:proofErr w:type="spellEnd"/>
      <w:r w:rsidR="00134EF7" w:rsidRPr="00CC562A">
        <w:rPr>
          <w:rFonts w:ascii="Cambria" w:eastAsia="Arial Narrow" w:hAnsi="Cambria" w:cs="Arial Narrow"/>
          <w:sz w:val="16"/>
          <w:szCs w:val="16"/>
          <w:lang w:val="es-ES"/>
        </w:rPr>
        <w:t xml:space="preserve"> </w:t>
      </w:r>
      <w:r w:rsidRPr="00CC562A">
        <w:rPr>
          <w:rFonts w:ascii="Cambria" w:eastAsia="Arial Narrow" w:hAnsi="Cambria" w:cs="Arial Narrow"/>
          <w:sz w:val="16"/>
          <w:szCs w:val="16"/>
          <w:lang w:val="es-ES"/>
        </w:rPr>
        <w:t>6</w:t>
      </w:r>
      <w:r w:rsidR="00134EF7"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2022. </w:t>
      </w:r>
    </w:p>
  </w:footnote>
  <w:footnote w:id="60">
    <w:p w14:paraId="0A688B04" w14:textId="343EC0B1" w:rsidR="002D2C06" w:rsidRPr="00CC562A" w:rsidRDefault="002D2C06"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004E0B7E" w:rsidRPr="00CC562A">
        <w:rPr>
          <w:lang w:val="es-ES"/>
        </w:rPr>
        <w:t>IACHR</w:t>
      </w:r>
      <w:r w:rsidR="4D1A0B04" w:rsidRPr="00CC562A">
        <w:rPr>
          <w:lang w:val="es-ES"/>
        </w:rPr>
        <w:t xml:space="preserve">, </w:t>
      </w:r>
      <w:hyperlink r:id="rId29" w:history="1">
        <w:proofErr w:type="spellStart"/>
        <w:r w:rsidR="00134EF7" w:rsidRPr="00CC562A">
          <w:rPr>
            <w:rStyle w:val="Hyperlink"/>
            <w:lang w:val="es-ES"/>
          </w:rPr>
          <w:t>Annual</w:t>
        </w:r>
        <w:proofErr w:type="spellEnd"/>
        <w:r w:rsidR="00134EF7" w:rsidRPr="00CC562A">
          <w:rPr>
            <w:rStyle w:val="Hyperlink"/>
            <w:lang w:val="es-ES"/>
          </w:rPr>
          <w:t xml:space="preserve"> </w:t>
        </w:r>
        <w:proofErr w:type="spellStart"/>
        <w:r w:rsidR="00134EF7" w:rsidRPr="00CC562A">
          <w:rPr>
            <w:rStyle w:val="Hyperlink"/>
            <w:lang w:val="es-ES"/>
          </w:rPr>
          <w:t>Report</w:t>
        </w:r>
        <w:proofErr w:type="spellEnd"/>
        <w:r w:rsidR="00134EF7" w:rsidRPr="00CC562A">
          <w:rPr>
            <w:rStyle w:val="Hyperlink"/>
            <w:lang w:val="es-ES"/>
          </w:rPr>
          <w:t xml:space="preserve">, </w:t>
        </w:r>
        <w:proofErr w:type="spellStart"/>
        <w:r w:rsidR="00134EF7" w:rsidRPr="00CC562A">
          <w:rPr>
            <w:rStyle w:val="Hyperlink"/>
            <w:lang w:val="es-ES"/>
          </w:rPr>
          <w:t>Chapter</w:t>
        </w:r>
        <w:proofErr w:type="spellEnd"/>
        <w:r w:rsidR="4D1A0B04" w:rsidRPr="00CC562A">
          <w:rPr>
            <w:rStyle w:val="Hyperlink"/>
            <w:lang w:val="es-ES"/>
          </w:rPr>
          <w:t xml:space="preserve"> V</w:t>
        </w:r>
      </w:hyperlink>
      <w:r w:rsidR="4D1A0B04" w:rsidRPr="00CC562A">
        <w:rPr>
          <w:lang w:val="es-ES"/>
        </w:rPr>
        <w:t xml:space="preserve">, </w:t>
      </w:r>
      <w:proofErr w:type="spellStart"/>
      <w:r w:rsidR="4D1A0B04" w:rsidRPr="00CC562A">
        <w:rPr>
          <w:lang w:val="es-ES"/>
        </w:rPr>
        <w:t>M</w:t>
      </w:r>
      <w:r w:rsidR="00134EF7" w:rsidRPr="00CC562A">
        <w:rPr>
          <w:lang w:val="es-ES"/>
        </w:rPr>
        <w:t>e</w:t>
      </w:r>
      <w:r w:rsidR="4D1A0B04" w:rsidRPr="00CC562A">
        <w:rPr>
          <w:lang w:val="es-ES"/>
        </w:rPr>
        <w:t>xico</w:t>
      </w:r>
      <w:proofErr w:type="spellEnd"/>
      <w:r w:rsidR="4D1A0B04" w:rsidRPr="00CC562A">
        <w:rPr>
          <w:lang w:val="es-ES"/>
        </w:rPr>
        <w:t>, 2021, p</w:t>
      </w:r>
      <w:r w:rsidR="00134EF7" w:rsidRPr="00CC562A">
        <w:rPr>
          <w:lang w:val="es-ES"/>
        </w:rPr>
        <w:t>ara</w:t>
      </w:r>
      <w:r w:rsidR="4D1A0B04" w:rsidRPr="00CC562A">
        <w:rPr>
          <w:lang w:val="es-ES"/>
        </w:rPr>
        <w:t>. 37.</w:t>
      </w:r>
    </w:p>
  </w:footnote>
  <w:footnote w:id="61">
    <w:p w14:paraId="54479A6A" w14:textId="5F2AB3E0" w:rsidR="00086C08" w:rsidRPr="00CC562A" w:rsidRDefault="00086C08" w:rsidP="00E20F4E">
      <w:pPr>
        <w:pStyle w:val="FootnoteText"/>
        <w:spacing w:line="240" w:lineRule="auto"/>
        <w:ind w:firstLine="720"/>
        <w:jc w:val="both"/>
        <w:rPr>
          <w:lang w:val="en-US"/>
        </w:rPr>
      </w:pPr>
      <w:r w:rsidRPr="00CC562A">
        <w:rPr>
          <w:rStyle w:val="FootnoteReference"/>
          <w:lang w:val="en-US"/>
        </w:rPr>
        <w:footnoteRef/>
      </w:r>
      <w:r w:rsidRPr="00CC562A">
        <w:rPr>
          <w:lang w:val="es-ES"/>
        </w:rPr>
        <w:t xml:space="preserve"> </w:t>
      </w:r>
      <w:r w:rsidR="00DD4D31" w:rsidRPr="00CC562A">
        <w:rPr>
          <w:lang w:val="es-ES"/>
        </w:rPr>
        <w:t>IACHR</w:t>
      </w:r>
      <w:r w:rsidRPr="00CC562A">
        <w:rPr>
          <w:lang w:val="es-ES"/>
        </w:rPr>
        <w:t xml:space="preserve">, </w:t>
      </w:r>
      <w:proofErr w:type="spellStart"/>
      <w:r w:rsidR="00DD4D31" w:rsidRPr="00CC562A">
        <w:rPr>
          <w:lang w:val="es-ES"/>
        </w:rPr>
        <w:t>Annual</w:t>
      </w:r>
      <w:proofErr w:type="spellEnd"/>
      <w:r w:rsidR="00DD4D31" w:rsidRPr="00CC562A">
        <w:rPr>
          <w:lang w:val="es-ES"/>
        </w:rPr>
        <w:t xml:space="preserve"> </w:t>
      </w:r>
      <w:proofErr w:type="spellStart"/>
      <w:r w:rsidR="00DD4D31" w:rsidRPr="00CC562A">
        <w:rPr>
          <w:lang w:val="es-ES"/>
        </w:rPr>
        <w:t>Report</w:t>
      </w:r>
      <w:proofErr w:type="spellEnd"/>
      <w:r w:rsidR="00DD4D31" w:rsidRPr="00CC562A">
        <w:rPr>
          <w:lang w:val="es-ES"/>
        </w:rPr>
        <w:t xml:space="preserve">, </w:t>
      </w:r>
      <w:proofErr w:type="spellStart"/>
      <w:r w:rsidR="00DD4D31" w:rsidRPr="00CC562A">
        <w:rPr>
          <w:lang w:val="es-ES"/>
        </w:rPr>
        <w:t>Chapter</w:t>
      </w:r>
      <w:proofErr w:type="spellEnd"/>
      <w:r w:rsidR="00DD4D31" w:rsidRPr="00CC562A">
        <w:rPr>
          <w:lang w:val="es-ES"/>
        </w:rPr>
        <w:t xml:space="preserve"> V, </w:t>
      </w:r>
      <w:proofErr w:type="spellStart"/>
      <w:r w:rsidR="00DD4D31" w:rsidRPr="00CC562A">
        <w:rPr>
          <w:lang w:val="es-ES"/>
        </w:rPr>
        <w:t>Mexico</w:t>
      </w:r>
      <w:proofErr w:type="spellEnd"/>
      <w:r w:rsidRPr="00CC562A">
        <w:rPr>
          <w:lang w:val="es-ES"/>
        </w:rPr>
        <w:t>, 2020, p</w:t>
      </w:r>
      <w:r w:rsidR="00DD4D31" w:rsidRPr="00CC562A">
        <w:rPr>
          <w:lang w:val="es-ES"/>
        </w:rPr>
        <w:t>ara</w:t>
      </w:r>
      <w:r w:rsidRPr="00CC562A">
        <w:rPr>
          <w:lang w:val="es-ES"/>
        </w:rPr>
        <w:t xml:space="preserve">. 41; </w:t>
      </w:r>
      <w:r w:rsidR="00DD4D31" w:rsidRPr="00CC562A">
        <w:rPr>
          <w:lang w:val="es-ES"/>
        </w:rPr>
        <w:t>IACHR</w:t>
      </w:r>
      <w:r w:rsidRPr="00CC562A">
        <w:rPr>
          <w:lang w:val="es-ES"/>
        </w:rPr>
        <w:t xml:space="preserve">, </w:t>
      </w:r>
      <w:proofErr w:type="spellStart"/>
      <w:r w:rsidR="00DD4D31" w:rsidRPr="00CC562A">
        <w:rPr>
          <w:lang w:val="es-ES"/>
        </w:rPr>
        <w:t>Annual</w:t>
      </w:r>
      <w:proofErr w:type="spellEnd"/>
      <w:r w:rsidR="00DD4D31" w:rsidRPr="00CC562A">
        <w:rPr>
          <w:lang w:val="es-ES"/>
        </w:rPr>
        <w:t xml:space="preserve"> </w:t>
      </w:r>
      <w:proofErr w:type="spellStart"/>
      <w:r w:rsidR="00DD4D31" w:rsidRPr="00CC562A">
        <w:rPr>
          <w:lang w:val="es-ES"/>
        </w:rPr>
        <w:t>Report</w:t>
      </w:r>
      <w:proofErr w:type="spellEnd"/>
      <w:r w:rsidRPr="00CC562A">
        <w:rPr>
          <w:lang w:val="es-ES"/>
        </w:rPr>
        <w:t xml:space="preserve">. </w:t>
      </w:r>
      <w:proofErr w:type="spellStart"/>
      <w:r w:rsidR="00DD4D31" w:rsidRPr="00CC562A">
        <w:rPr>
          <w:lang w:val="es-ES"/>
        </w:rPr>
        <w:t>Chapter</w:t>
      </w:r>
      <w:proofErr w:type="spellEnd"/>
      <w:r w:rsidRPr="00CC562A">
        <w:rPr>
          <w:lang w:val="es-ES"/>
        </w:rPr>
        <w:t xml:space="preserve"> V, </w:t>
      </w:r>
      <w:proofErr w:type="spellStart"/>
      <w:r w:rsidR="00DD4D31" w:rsidRPr="00CC562A">
        <w:rPr>
          <w:lang w:val="es-ES"/>
        </w:rPr>
        <w:t>Mexico</w:t>
      </w:r>
      <w:proofErr w:type="spellEnd"/>
      <w:r w:rsidRPr="00CC562A">
        <w:rPr>
          <w:lang w:val="es-ES"/>
        </w:rPr>
        <w:t xml:space="preserve">, 2019, </w:t>
      </w:r>
      <w:r w:rsidR="00DD4D31" w:rsidRPr="00CC562A">
        <w:rPr>
          <w:lang w:val="es-ES"/>
        </w:rPr>
        <w:t>para</w:t>
      </w:r>
      <w:r w:rsidRPr="00CC562A">
        <w:rPr>
          <w:lang w:val="es-ES"/>
        </w:rPr>
        <w:t xml:space="preserve">. </w:t>
      </w:r>
      <w:r w:rsidRPr="00CC562A">
        <w:rPr>
          <w:lang w:val="en-US"/>
        </w:rPr>
        <w:t>43.</w:t>
      </w:r>
    </w:p>
  </w:footnote>
  <w:footnote w:id="62">
    <w:p w14:paraId="6572E99D" w14:textId="3BC2F9EB" w:rsidR="005845AC" w:rsidRPr="00CC562A" w:rsidRDefault="005845AC" w:rsidP="00E20F4E">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700E6" w:rsidRPr="00CC562A">
        <w:rPr>
          <w:lang w:val="en-US"/>
        </w:rPr>
        <w:t>Progress report of the Mexican State on compliance with and follow-up to the recommendations of the IACHR</w:t>
      </w:r>
      <w:r w:rsidR="00134EF7" w:rsidRPr="00CC562A">
        <w:rPr>
          <w:lang w:val="en-US"/>
        </w:rPr>
        <w:t>. Chapter</w:t>
      </w:r>
      <w:r w:rsidR="4D1A0B04" w:rsidRPr="00CC562A">
        <w:rPr>
          <w:lang w:val="en-US"/>
        </w:rPr>
        <w:t xml:space="preserve"> V, </w:t>
      </w:r>
      <w:r w:rsidR="00134EF7" w:rsidRPr="00CC562A">
        <w:rPr>
          <w:lang w:val="en-US"/>
        </w:rPr>
        <w:t>October</w:t>
      </w:r>
      <w:r w:rsidR="4D1A0B04" w:rsidRPr="00CC562A">
        <w:rPr>
          <w:lang w:val="en-US"/>
        </w:rPr>
        <w:t xml:space="preserve"> 2022 </w:t>
      </w:r>
      <w:r w:rsidR="00134EF7" w:rsidRPr="00CC562A">
        <w:rPr>
          <w:lang w:val="en-US"/>
        </w:rPr>
        <w:t xml:space="preserve">through the Inter-American </w:t>
      </w:r>
      <w:r w:rsidR="4D1A0B04" w:rsidRPr="00CC562A">
        <w:rPr>
          <w:lang w:val="en-US"/>
        </w:rPr>
        <w:t>SIMORE.</w:t>
      </w:r>
    </w:p>
  </w:footnote>
  <w:footnote w:id="63">
    <w:p w14:paraId="0D66E2C5" w14:textId="2B0B7372"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DD4D31" w:rsidRPr="00CC562A">
        <w:rPr>
          <w:lang w:val="en-US"/>
        </w:rPr>
        <w:t>State of Mexico. OAS Note</w:t>
      </w:r>
      <w:r w:rsidRPr="00CC562A">
        <w:rPr>
          <w:lang w:val="en-US"/>
        </w:rPr>
        <w:t xml:space="preserve"> 517 </w:t>
      </w:r>
      <w:r w:rsidR="00DD4D31" w:rsidRPr="00CC562A">
        <w:rPr>
          <w:lang w:val="en-US"/>
        </w:rPr>
        <w:t>of February 17,</w:t>
      </w:r>
      <w:r w:rsidRPr="00CC562A">
        <w:rPr>
          <w:lang w:val="en-US"/>
        </w:rPr>
        <w:t xml:space="preserve"> 2023. Observa</w:t>
      </w:r>
      <w:r w:rsidR="00DD4D31" w:rsidRPr="00CC562A">
        <w:rPr>
          <w:lang w:val="en-US"/>
        </w:rPr>
        <w:t>tions on the preliminary version of the report</w:t>
      </w:r>
      <w:r w:rsidRPr="00CC562A">
        <w:rPr>
          <w:lang w:val="en-US"/>
        </w:rPr>
        <w:t>.</w:t>
      </w:r>
    </w:p>
  </w:footnote>
  <w:footnote w:id="64">
    <w:p w14:paraId="3E3A8545" w14:textId="77777777" w:rsidR="00D81150" w:rsidRPr="00CC562A" w:rsidRDefault="00D81150"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INMUJERES, </w:t>
      </w:r>
      <w:hyperlink r:id="rId30" w:history="1">
        <w:r w:rsidR="4D1A0B04" w:rsidRPr="00CC562A">
          <w:rPr>
            <w:rStyle w:val="Hyperlink"/>
            <w:lang w:val="es-ES"/>
          </w:rPr>
          <w:t>Colección de boletines mensuales de la serie “Desigualdad en cifras”</w:t>
        </w:r>
      </w:hyperlink>
      <w:r w:rsidR="4D1A0B04" w:rsidRPr="00CC562A">
        <w:rPr>
          <w:lang w:val="es-ES"/>
        </w:rPr>
        <w:t>.</w:t>
      </w:r>
    </w:p>
  </w:footnote>
  <w:footnote w:id="65">
    <w:p w14:paraId="174B1AE4" w14:textId="77777777" w:rsidR="00086C08" w:rsidRPr="00CC562A" w:rsidRDefault="00086C08" w:rsidP="00086C08">
      <w:pPr>
        <w:pStyle w:val="FootnoteText"/>
        <w:ind w:firstLine="720"/>
        <w:rPr>
          <w:lang w:val="es-ES"/>
        </w:rPr>
      </w:pPr>
      <w:r w:rsidRPr="00CC562A">
        <w:rPr>
          <w:rStyle w:val="FootnoteReference"/>
        </w:rPr>
        <w:footnoteRef/>
      </w:r>
      <w:r w:rsidRPr="00CC562A">
        <w:t xml:space="preserve"> Estado de México, Nota OEA 517 del 17 de febrero de 2023. Observaciones a la versión preliminar del informe.</w:t>
      </w:r>
    </w:p>
  </w:footnote>
  <w:footnote w:id="66">
    <w:p w14:paraId="5A231B0E" w14:textId="77777777" w:rsidR="00086C08" w:rsidRPr="00CC562A" w:rsidRDefault="00086C08" w:rsidP="00086C08">
      <w:pPr>
        <w:pStyle w:val="FootnoteText"/>
        <w:ind w:firstLine="720"/>
        <w:rPr>
          <w:lang w:val="es-ES"/>
        </w:rPr>
      </w:pPr>
      <w:r w:rsidRPr="00CC562A">
        <w:rPr>
          <w:rStyle w:val="FootnoteReference"/>
        </w:rPr>
        <w:footnoteRef/>
      </w:r>
      <w:r w:rsidRPr="00CC562A">
        <w:t xml:space="preserve"> Estado de México, Nota OEA 517 del 17 de febrero de 2023. Observaciones a la versión preliminar del informe.</w:t>
      </w:r>
    </w:p>
  </w:footnote>
  <w:footnote w:id="67">
    <w:p w14:paraId="5E46AB3E" w14:textId="295C13CA"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D3614A" w:rsidRPr="00CC562A">
        <w:rPr>
          <w:lang w:val="en-US"/>
        </w:rPr>
        <w:t>State of Mexico, OAS Note</w:t>
      </w:r>
      <w:r w:rsidRPr="00CC562A">
        <w:rPr>
          <w:lang w:val="en-US"/>
        </w:rPr>
        <w:t xml:space="preserve"> 517 </w:t>
      </w:r>
      <w:r w:rsidR="00D3614A" w:rsidRPr="00CC562A">
        <w:rPr>
          <w:lang w:val="en-US"/>
        </w:rPr>
        <w:t xml:space="preserve">of February 17, </w:t>
      </w:r>
      <w:r w:rsidRPr="00CC562A">
        <w:rPr>
          <w:lang w:val="en-US"/>
        </w:rPr>
        <w:t>2023. Observa</w:t>
      </w:r>
      <w:r w:rsidR="00D3614A" w:rsidRPr="00CC562A">
        <w:rPr>
          <w:lang w:val="en-US"/>
        </w:rPr>
        <w:t xml:space="preserve">tions on the preliminary </w:t>
      </w:r>
      <w:r w:rsidR="00650BEB" w:rsidRPr="00CC562A">
        <w:rPr>
          <w:lang w:val="en-US"/>
        </w:rPr>
        <w:t>version</w:t>
      </w:r>
      <w:r w:rsidR="00D3614A" w:rsidRPr="00CC562A">
        <w:rPr>
          <w:lang w:val="en-US"/>
        </w:rPr>
        <w:t xml:space="preserve"> of the report</w:t>
      </w:r>
      <w:r w:rsidRPr="00CC562A">
        <w:rPr>
          <w:lang w:val="en-US"/>
        </w:rPr>
        <w:t>.</w:t>
      </w:r>
    </w:p>
  </w:footnote>
  <w:footnote w:id="68">
    <w:p w14:paraId="66177F6E" w14:textId="77777777" w:rsidR="00D81150" w:rsidRPr="00CC562A" w:rsidRDefault="00D81150"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UPMIRIP, </w:t>
      </w:r>
      <w:hyperlink r:id="rId31" w:history="1">
        <w:r w:rsidR="4D1A0B04" w:rsidRPr="00CC562A">
          <w:rPr>
            <w:rStyle w:val="Hyperlink"/>
            <w:lang w:val="es-ES"/>
          </w:rPr>
          <w:t>Boletín de estadísticas sobre delitos perpetrados en contra de personas migrantes irregulares en México</w:t>
        </w:r>
      </w:hyperlink>
      <w:r w:rsidR="4D1A0B04" w:rsidRPr="00CC562A">
        <w:rPr>
          <w:lang w:val="es-ES"/>
        </w:rPr>
        <w:t xml:space="preserve">. </w:t>
      </w:r>
    </w:p>
  </w:footnote>
  <w:footnote w:id="69">
    <w:p w14:paraId="2E809739" w14:textId="703C9689" w:rsidR="00D81150" w:rsidRPr="00CC562A" w:rsidRDefault="00D81150"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ENDISEG, </w:t>
      </w:r>
      <w:hyperlink r:id="rId32" w:history="1">
        <w:r w:rsidR="4D1A0B04" w:rsidRPr="00CC562A">
          <w:rPr>
            <w:rStyle w:val="Hyperlink"/>
            <w:lang w:val="en-US"/>
          </w:rPr>
          <w:t>2021</w:t>
        </w:r>
      </w:hyperlink>
      <w:r w:rsidR="00CA4094" w:rsidRPr="00CC562A">
        <w:rPr>
          <w:rStyle w:val="Hyperlink"/>
          <w:lang w:val="en-US"/>
        </w:rPr>
        <w:t xml:space="preserve"> Results</w:t>
      </w:r>
      <w:r w:rsidR="4D1A0B04" w:rsidRPr="00CC562A">
        <w:rPr>
          <w:lang w:val="en-US"/>
        </w:rPr>
        <w:t xml:space="preserve">. </w:t>
      </w:r>
    </w:p>
  </w:footnote>
  <w:footnote w:id="70">
    <w:p w14:paraId="32A3C6DA" w14:textId="7908DC7D" w:rsidR="00086C08" w:rsidRPr="00CC562A" w:rsidRDefault="00086C08" w:rsidP="00A72B93">
      <w:pPr>
        <w:pStyle w:val="FootnoteText"/>
        <w:spacing w:line="240" w:lineRule="auto"/>
        <w:ind w:firstLine="720"/>
        <w:jc w:val="both"/>
      </w:pPr>
      <w:r w:rsidRPr="00CC562A">
        <w:rPr>
          <w:rStyle w:val="FootnoteReference"/>
        </w:rPr>
        <w:footnoteRef/>
      </w:r>
      <w:r w:rsidRPr="00CC562A">
        <w:rPr>
          <w:lang w:val="en-US"/>
        </w:rPr>
        <w:t xml:space="preserve"> </w:t>
      </w:r>
      <w:r w:rsidR="007225A1" w:rsidRPr="00CC562A">
        <w:rPr>
          <w:lang w:val="en-US"/>
        </w:rPr>
        <w:t xml:space="preserve">Progress report of the Mexican State on compliance with and follow-up to recommendations from the IACHR. </w:t>
      </w:r>
      <w:proofErr w:type="spellStart"/>
      <w:r w:rsidR="007225A1" w:rsidRPr="00CC562A">
        <w:rPr>
          <w:lang w:val="es-ES"/>
        </w:rPr>
        <w:t>Chapter</w:t>
      </w:r>
      <w:proofErr w:type="spellEnd"/>
      <w:r w:rsidRPr="00CC562A">
        <w:rPr>
          <w:lang w:val="es-ES"/>
        </w:rPr>
        <w:t xml:space="preserve"> V, </w:t>
      </w:r>
      <w:proofErr w:type="spellStart"/>
      <w:r w:rsidR="007225A1" w:rsidRPr="00CC562A">
        <w:rPr>
          <w:lang w:val="es-ES"/>
        </w:rPr>
        <w:t>October</w:t>
      </w:r>
      <w:proofErr w:type="spellEnd"/>
      <w:r w:rsidRPr="00CC562A">
        <w:rPr>
          <w:lang w:val="es-ES"/>
        </w:rPr>
        <w:t xml:space="preserve"> 2022 </w:t>
      </w:r>
      <w:proofErr w:type="spellStart"/>
      <w:r w:rsidR="007225A1" w:rsidRPr="00CC562A">
        <w:rPr>
          <w:lang w:val="es-ES"/>
        </w:rPr>
        <w:t>through</w:t>
      </w:r>
      <w:proofErr w:type="spellEnd"/>
      <w:r w:rsidR="007225A1" w:rsidRPr="00CC562A">
        <w:rPr>
          <w:lang w:val="es-ES"/>
        </w:rPr>
        <w:t xml:space="preserve"> </w:t>
      </w:r>
      <w:proofErr w:type="spellStart"/>
      <w:r w:rsidR="007225A1" w:rsidRPr="00CC562A">
        <w:rPr>
          <w:lang w:val="es-ES"/>
        </w:rPr>
        <w:t>the</w:t>
      </w:r>
      <w:proofErr w:type="spellEnd"/>
      <w:r w:rsidR="007225A1" w:rsidRPr="00CC562A">
        <w:rPr>
          <w:lang w:val="es-ES"/>
        </w:rPr>
        <w:t xml:space="preserve"> Inter-American SIMORE</w:t>
      </w:r>
      <w:r w:rsidRPr="00CC562A">
        <w:rPr>
          <w:lang w:val="es-ES"/>
        </w:rPr>
        <w:t>.</w:t>
      </w:r>
    </w:p>
  </w:footnote>
  <w:footnote w:id="71">
    <w:p w14:paraId="50106313" w14:textId="77777777" w:rsidR="00086C08" w:rsidRPr="00CC562A" w:rsidRDefault="00086C08" w:rsidP="00A72B93">
      <w:pPr>
        <w:pStyle w:val="FootnoteText"/>
        <w:ind w:firstLine="720"/>
        <w:rPr>
          <w:lang w:val="es-ES"/>
        </w:rPr>
      </w:pPr>
      <w:r w:rsidRPr="00CC562A">
        <w:rPr>
          <w:rStyle w:val="FootnoteReference"/>
        </w:rPr>
        <w:footnoteRef/>
      </w:r>
      <w:r w:rsidRPr="00CC562A">
        <w:t xml:space="preserve"> Estado de México, Nota OEA 517 del 17 de febrero de 2023. Observaciones a la versión preliminar del informe.</w:t>
      </w:r>
    </w:p>
  </w:footnote>
  <w:footnote w:id="72">
    <w:p w14:paraId="35C69E0B" w14:textId="79FB20B4" w:rsidR="008D030D" w:rsidRPr="00CC562A" w:rsidRDefault="008D030D"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CA4094" w:rsidRPr="00CC562A">
        <w:rPr>
          <w:rFonts w:ascii="Cambria" w:hAnsi="Cambria"/>
          <w:sz w:val="16"/>
          <w:szCs w:val="16"/>
          <w:lang w:val="en-US"/>
        </w:rPr>
        <w:t>National Search Commission,</w:t>
      </w:r>
      <w:r w:rsidR="4D1A0B04" w:rsidRPr="00CC562A">
        <w:rPr>
          <w:rFonts w:ascii="Cambria" w:hAnsi="Cambria"/>
          <w:sz w:val="16"/>
          <w:szCs w:val="16"/>
          <w:lang w:val="en-US"/>
        </w:rPr>
        <w:t xml:space="preserve"> </w:t>
      </w:r>
      <w:hyperlink r:id="rId33" w:history="1">
        <w:r w:rsidR="008E3BD0" w:rsidRPr="00CC562A">
          <w:rPr>
            <w:rStyle w:val="Hyperlink"/>
            <w:rFonts w:ascii="Cambria" w:eastAsia="Cambria" w:hAnsi="Cambria" w:cs="Cambria"/>
            <w:sz w:val="16"/>
            <w:szCs w:val="16"/>
            <w:lang w:val="en-US"/>
          </w:rPr>
          <w:t>National Register</w:t>
        </w:r>
        <w:r w:rsidR="00CA4094" w:rsidRPr="00CC562A">
          <w:rPr>
            <w:rStyle w:val="Hyperlink"/>
            <w:rFonts w:ascii="Cambria" w:eastAsia="Cambria" w:hAnsi="Cambria" w:cs="Cambria"/>
            <w:sz w:val="16"/>
            <w:szCs w:val="16"/>
            <w:lang w:val="en-US"/>
          </w:rPr>
          <w:t xml:space="preserve"> of Disappeared and Missing Persons</w:t>
        </w:r>
      </w:hyperlink>
      <w:r w:rsidR="4D1A0B04" w:rsidRPr="00CC562A">
        <w:rPr>
          <w:rFonts w:ascii="Cambria" w:hAnsi="Cambria"/>
          <w:sz w:val="16"/>
          <w:szCs w:val="16"/>
          <w:lang w:val="en-US"/>
        </w:rPr>
        <w:t xml:space="preserve">. </w:t>
      </w:r>
    </w:p>
  </w:footnote>
  <w:footnote w:id="73">
    <w:p w14:paraId="4E8BD700" w14:textId="1E4B9459"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E04948" w:rsidRPr="00CC562A">
        <w:rPr>
          <w:lang w:val="en-US"/>
        </w:rPr>
        <w:t>State of Mexico. OAS Note</w:t>
      </w:r>
      <w:r w:rsidRPr="00CC562A">
        <w:rPr>
          <w:lang w:val="en-US"/>
        </w:rPr>
        <w:t xml:space="preserve"> 517 </w:t>
      </w:r>
      <w:r w:rsidR="00E04948" w:rsidRPr="00CC562A">
        <w:rPr>
          <w:lang w:val="en-US"/>
        </w:rPr>
        <w:t xml:space="preserve">of </w:t>
      </w:r>
      <w:r w:rsidR="008F36FF" w:rsidRPr="00CC562A">
        <w:rPr>
          <w:lang w:val="en-US"/>
        </w:rPr>
        <w:t>February</w:t>
      </w:r>
      <w:r w:rsidR="00E04948" w:rsidRPr="00CC562A">
        <w:rPr>
          <w:lang w:val="en-US"/>
        </w:rPr>
        <w:t xml:space="preserve"> 17,</w:t>
      </w:r>
      <w:r w:rsidRPr="00CC562A">
        <w:rPr>
          <w:lang w:val="en-US"/>
        </w:rPr>
        <w:t xml:space="preserve"> 2023. Observa</w:t>
      </w:r>
      <w:r w:rsidR="00E04948" w:rsidRPr="00CC562A">
        <w:rPr>
          <w:lang w:val="en-US"/>
        </w:rPr>
        <w:t xml:space="preserve">tions on the preliminary </w:t>
      </w:r>
      <w:r w:rsidR="008F36FF" w:rsidRPr="00CC562A">
        <w:rPr>
          <w:lang w:val="en-US"/>
        </w:rPr>
        <w:t>version</w:t>
      </w:r>
      <w:r w:rsidR="00E04948" w:rsidRPr="00CC562A">
        <w:rPr>
          <w:lang w:val="en-US"/>
        </w:rPr>
        <w:t xml:space="preserve"> of the report</w:t>
      </w:r>
      <w:r w:rsidRPr="00CC562A">
        <w:rPr>
          <w:lang w:val="en-US"/>
        </w:rPr>
        <w:t>.</w:t>
      </w:r>
    </w:p>
  </w:footnote>
  <w:footnote w:id="74">
    <w:p w14:paraId="24B7B453" w14:textId="206BA2EF"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008E3BD0" w:rsidRPr="00CC562A">
        <w:rPr>
          <w:lang w:val="en-US"/>
        </w:rPr>
        <w:t>. Chapter</w:t>
      </w:r>
      <w:r w:rsidR="4D1A0B04" w:rsidRPr="00CC562A">
        <w:rPr>
          <w:lang w:val="en-US"/>
        </w:rPr>
        <w:t xml:space="preserve"> V, </w:t>
      </w:r>
      <w:r w:rsidR="008E3BD0" w:rsidRPr="00CC562A">
        <w:rPr>
          <w:lang w:val="en-US"/>
        </w:rPr>
        <w:t>October</w:t>
      </w:r>
      <w:r w:rsidR="4D1A0B04" w:rsidRPr="00CC562A">
        <w:rPr>
          <w:lang w:val="en-US"/>
        </w:rPr>
        <w:t xml:space="preserve"> 2022 </w:t>
      </w:r>
      <w:r w:rsidR="008E3BD0" w:rsidRPr="00CC562A">
        <w:rPr>
          <w:lang w:val="en-US"/>
        </w:rPr>
        <w:t xml:space="preserve">through the Inter-American </w:t>
      </w:r>
      <w:r w:rsidR="4D1A0B04" w:rsidRPr="00CC562A">
        <w:rPr>
          <w:lang w:val="en-US"/>
        </w:rPr>
        <w:t>SIMORE.</w:t>
      </w:r>
    </w:p>
  </w:footnote>
  <w:footnote w:id="75">
    <w:p w14:paraId="28EE3F14" w14:textId="573AB486"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E04948" w:rsidRPr="00CC562A">
        <w:rPr>
          <w:lang w:val="en-US"/>
        </w:rPr>
        <w:t>State of Mexico. OAS Note</w:t>
      </w:r>
      <w:r w:rsidRPr="00CC562A">
        <w:rPr>
          <w:lang w:val="en-US"/>
        </w:rPr>
        <w:t xml:space="preserve"> 517 </w:t>
      </w:r>
      <w:r w:rsidR="00E04948" w:rsidRPr="00CC562A">
        <w:rPr>
          <w:lang w:val="en-US"/>
        </w:rPr>
        <w:t>of February 17,</w:t>
      </w:r>
      <w:r w:rsidRPr="00CC562A">
        <w:rPr>
          <w:lang w:val="en-US"/>
        </w:rPr>
        <w:t xml:space="preserve"> 2023. Observa</w:t>
      </w:r>
      <w:r w:rsidR="00E04948" w:rsidRPr="00CC562A">
        <w:rPr>
          <w:lang w:val="en-US"/>
        </w:rPr>
        <w:t>tions on the preliminary version of the report</w:t>
      </w:r>
      <w:r w:rsidRPr="00CC562A">
        <w:rPr>
          <w:lang w:val="en-US"/>
        </w:rPr>
        <w:t>.</w:t>
      </w:r>
    </w:p>
  </w:footnote>
  <w:footnote w:id="76">
    <w:p w14:paraId="793B58B4" w14:textId="5231F879"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E04948" w:rsidRPr="00CC562A">
        <w:rPr>
          <w:lang w:val="en-US"/>
        </w:rPr>
        <w:t>State of Mexico, OAS Note</w:t>
      </w:r>
      <w:r w:rsidRPr="00CC562A">
        <w:rPr>
          <w:lang w:val="en-US"/>
        </w:rPr>
        <w:t xml:space="preserve"> 517 </w:t>
      </w:r>
      <w:r w:rsidR="00E04948" w:rsidRPr="00CC562A">
        <w:rPr>
          <w:lang w:val="en-US"/>
        </w:rPr>
        <w:t>of February 17,</w:t>
      </w:r>
      <w:r w:rsidRPr="00CC562A">
        <w:rPr>
          <w:lang w:val="en-US"/>
        </w:rPr>
        <w:t xml:space="preserve"> 2023. Observa</w:t>
      </w:r>
      <w:r w:rsidR="00E04948" w:rsidRPr="00CC562A">
        <w:rPr>
          <w:lang w:val="en-US"/>
        </w:rPr>
        <w:t>tions on the preliminary version of the report</w:t>
      </w:r>
      <w:r w:rsidRPr="00CC562A">
        <w:rPr>
          <w:lang w:val="en-US"/>
        </w:rPr>
        <w:t>.</w:t>
      </w:r>
    </w:p>
  </w:footnote>
  <w:footnote w:id="77">
    <w:p w14:paraId="12CC2617" w14:textId="162A05C4" w:rsidR="005B1595" w:rsidRPr="00CC562A" w:rsidRDefault="005B1595"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8E3BD0" w:rsidRPr="00CC562A">
        <w:rPr>
          <w:rFonts w:ascii="Cambria" w:hAnsi="Cambria"/>
          <w:sz w:val="16"/>
          <w:szCs w:val="16"/>
          <w:lang w:val="en-US"/>
        </w:rPr>
        <w:t>Follow-up on Compliance with the Recommendations from the report on the “Situation of Human Rights in Mexico, October 20,</w:t>
      </w:r>
      <w:r w:rsidR="4D1A0B04" w:rsidRPr="00CC562A">
        <w:rPr>
          <w:rFonts w:ascii="Cambria" w:hAnsi="Cambria"/>
          <w:sz w:val="16"/>
          <w:szCs w:val="16"/>
          <w:lang w:val="en-US"/>
        </w:rPr>
        <w:t xml:space="preserve"> 2022, p. 8.</w:t>
      </w:r>
    </w:p>
  </w:footnote>
  <w:footnote w:id="78">
    <w:p w14:paraId="47E93A41" w14:textId="1D4327F9" w:rsidR="00CC2D52" w:rsidRPr="00CC562A" w:rsidRDefault="00CC2D52"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UNODC, </w:t>
      </w:r>
      <w:hyperlink r:id="rId34" w:history="1">
        <w:proofErr w:type="spellStart"/>
        <w:r w:rsidR="008E3BD0" w:rsidRPr="00CC562A">
          <w:rPr>
            <w:rStyle w:val="Hyperlink"/>
            <w:lang w:val="es-ES"/>
          </w:rPr>
          <w:t>World</w:t>
        </w:r>
        <w:proofErr w:type="spellEnd"/>
        <w:r w:rsidR="008E3BD0" w:rsidRPr="00CC562A">
          <w:rPr>
            <w:rStyle w:val="Hyperlink"/>
            <w:lang w:val="es-ES"/>
          </w:rPr>
          <w:t xml:space="preserve"> </w:t>
        </w:r>
        <w:proofErr w:type="spellStart"/>
        <w:r w:rsidR="008E3BD0" w:rsidRPr="00CC562A">
          <w:rPr>
            <w:rStyle w:val="Hyperlink"/>
            <w:lang w:val="es-ES"/>
          </w:rPr>
          <w:t>Drug</w:t>
        </w:r>
        <w:proofErr w:type="spellEnd"/>
        <w:r w:rsidR="008E3BD0" w:rsidRPr="00CC562A">
          <w:rPr>
            <w:rStyle w:val="Hyperlink"/>
            <w:lang w:val="es-ES"/>
          </w:rPr>
          <w:t xml:space="preserve"> </w:t>
        </w:r>
        <w:proofErr w:type="spellStart"/>
        <w:r w:rsidR="008E3BD0" w:rsidRPr="00CC562A">
          <w:rPr>
            <w:rStyle w:val="Hyperlink"/>
            <w:lang w:val="es-ES"/>
          </w:rPr>
          <w:t>Report</w:t>
        </w:r>
        <w:proofErr w:type="spellEnd"/>
        <w:r w:rsidR="4D1A0B04" w:rsidRPr="00CC562A">
          <w:rPr>
            <w:rStyle w:val="Hyperlink"/>
            <w:lang w:val="es-ES"/>
          </w:rPr>
          <w:t>,</w:t>
        </w:r>
      </w:hyperlink>
      <w:r w:rsidR="4D1A0B04" w:rsidRPr="00CC562A">
        <w:rPr>
          <w:lang w:val="es-ES"/>
        </w:rPr>
        <w:t xml:space="preserve"> 2009.</w:t>
      </w:r>
    </w:p>
  </w:footnote>
  <w:footnote w:id="79">
    <w:p w14:paraId="7286A37E" w14:textId="77777777" w:rsidR="00086C08" w:rsidRPr="00CC562A" w:rsidRDefault="00086C08" w:rsidP="00086C08">
      <w:pPr>
        <w:pStyle w:val="FootnoteText"/>
        <w:ind w:firstLine="720"/>
        <w:rPr>
          <w:lang w:val="es-ES"/>
        </w:rPr>
      </w:pPr>
      <w:r w:rsidRPr="00CC562A">
        <w:rPr>
          <w:rStyle w:val="FootnoteReference"/>
        </w:rPr>
        <w:footnoteRef/>
      </w:r>
      <w:r w:rsidRPr="00CC562A">
        <w:t xml:space="preserve"> </w:t>
      </w:r>
      <w:r w:rsidRPr="00CC562A">
        <w:rPr>
          <w:lang w:val="es-ES"/>
        </w:rPr>
        <w:t>Estado de México, Nota OEA 517 del 17 de febrero de 2023. Observaciones a la versión preliminar del informe.</w:t>
      </w:r>
    </w:p>
  </w:footnote>
  <w:footnote w:id="80">
    <w:p w14:paraId="193BC4BA" w14:textId="7C2CAD73"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0093477C" w:rsidRPr="00CC562A">
        <w:rPr>
          <w:lang w:val="en-US"/>
        </w:rPr>
        <w:t>. Chapter</w:t>
      </w:r>
      <w:r w:rsidR="4D1A0B04" w:rsidRPr="00CC562A">
        <w:rPr>
          <w:lang w:val="en-US"/>
        </w:rPr>
        <w:t xml:space="preserve"> V, </w:t>
      </w:r>
      <w:r w:rsidR="0093477C" w:rsidRPr="00CC562A">
        <w:rPr>
          <w:lang w:val="en-US"/>
        </w:rPr>
        <w:t>October</w:t>
      </w:r>
      <w:r w:rsidR="4D1A0B04" w:rsidRPr="00CC562A">
        <w:rPr>
          <w:lang w:val="en-US"/>
        </w:rPr>
        <w:t xml:space="preserve"> 2022 </w:t>
      </w:r>
      <w:r w:rsidR="0093477C" w:rsidRPr="00CC562A">
        <w:rPr>
          <w:lang w:val="en-US"/>
        </w:rPr>
        <w:t xml:space="preserve">through the Inter-American </w:t>
      </w:r>
      <w:r w:rsidR="4D1A0B04" w:rsidRPr="00CC562A">
        <w:rPr>
          <w:lang w:val="en-US"/>
        </w:rPr>
        <w:t>SIMORE.</w:t>
      </w:r>
    </w:p>
  </w:footnote>
  <w:footnote w:id="81">
    <w:p w14:paraId="1DF88D7F" w14:textId="2A4DE433"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523DF8" w:rsidRPr="00CC562A">
        <w:rPr>
          <w:lang w:val="en-US"/>
        </w:rPr>
        <w:t>State of Mexico, OAS Note</w:t>
      </w:r>
      <w:r w:rsidRPr="00CC562A">
        <w:rPr>
          <w:lang w:val="en-US"/>
        </w:rPr>
        <w:t xml:space="preserve"> 517 </w:t>
      </w:r>
      <w:r w:rsidR="00523DF8" w:rsidRPr="00CC562A">
        <w:rPr>
          <w:lang w:val="en-US"/>
        </w:rPr>
        <w:t>of February 17,</w:t>
      </w:r>
      <w:r w:rsidRPr="00CC562A">
        <w:rPr>
          <w:lang w:val="en-US"/>
        </w:rPr>
        <w:t xml:space="preserve"> 2023. Observa</w:t>
      </w:r>
      <w:r w:rsidR="00523DF8" w:rsidRPr="00CC562A">
        <w:rPr>
          <w:lang w:val="en-US"/>
        </w:rPr>
        <w:t xml:space="preserve">tions on the preliminary </w:t>
      </w:r>
      <w:r w:rsidR="00D30E01" w:rsidRPr="00CC562A">
        <w:rPr>
          <w:lang w:val="en-US"/>
        </w:rPr>
        <w:t>version</w:t>
      </w:r>
      <w:r w:rsidR="00523DF8" w:rsidRPr="00CC562A">
        <w:rPr>
          <w:lang w:val="en-US"/>
        </w:rPr>
        <w:t xml:space="preserve"> of the report</w:t>
      </w:r>
      <w:r w:rsidRPr="00CC562A">
        <w:rPr>
          <w:lang w:val="en-US"/>
        </w:rPr>
        <w:t>.</w:t>
      </w:r>
    </w:p>
  </w:footnote>
  <w:footnote w:id="82">
    <w:p w14:paraId="63BD741F" w14:textId="06685A49" w:rsidR="00511EF3" w:rsidRPr="00CC562A" w:rsidRDefault="00511EF3"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8E3BD0" w:rsidRPr="00CC562A">
        <w:rPr>
          <w:rFonts w:ascii="Cambria" w:hAnsi="Cambria"/>
          <w:sz w:val="16"/>
          <w:szCs w:val="16"/>
          <w:lang w:val="en-US"/>
        </w:rPr>
        <w:t xml:space="preserve">Follow-up on </w:t>
      </w:r>
      <w:r w:rsidR="00D82CEF" w:rsidRPr="00CC562A">
        <w:rPr>
          <w:rFonts w:ascii="Cambria" w:hAnsi="Cambria"/>
          <w:sz w:val="16"/>
          <w:szCs w:val="16"/>
          <w:lang w:val="en-US"/>
        </w:rPr>
        <w:t>C</w:t>
      </w:r>
      <w:r w:rsidR="008E3BD0" w:rsidRPr="00CC562A">
        <w:rPr>
          <w:rFonts w:ascii="Cambria" w:hAnsi="Cambria"/>
          <w:sz w:val="16"/>
          <w:szCs w:val="16"/>
          <w:lang w:val="en-US"/>
        </w:rPr>
        <w:t xml:space="preserve">ompliance with the </w:t>
      </w:r>
      <w:r w:rsidR="00D82CEF" w:rsidRPr="00CC562A">
        <w:rPr>
          <w:rFonts w:ascii="Cambria" w:hAnsi="Cambria"/>
          <w:sz w:val="16"/>
          <w:szCs w:val="16"/>
          <w:lang w:val="en-US"/>
        </w:rPr>
        <w:t>Re</w:t>
      </w:r>
      <w:r w:rsidR="008E3BD0" w:rsidRPr="00CC562A">
        <w:rPr>
          <w:rFonts w:ascii="Cambria" w:hAnsi="Cambria"/>
          <w:sz w:val="16"/>
          <w:szCs w:val="16"/>
          <w:lang w:val="en-US"/>
        </w:rPr>
        <w:t xml:space="preserve">commendations in the </w:t>
      </w:r>
      <w:r w:rsidR="00D82CEF" w:rsidRPr="00CC562A">
        <w:rPr>
          <w:rFonts w:ascii="Cambria" w:hAnsi="Cambria"/>
          <w:sz w:val="16"/>
          <w:szCs w:val="16"/>
          <w:lang w:val="en-US"/>
        </w:rPr>
        <w:t>R</w:t>
      </w:r>
      <w:r w:rsidR="008E3BD0" w:rsidRPr="00CC562A">
        <w:rPr>
          <w:rFonts w:ascii="Cambria" w:hAnsi="Cambria"/>
          <w:sz w:val="16"/>
          <w:szCs w:val="16"/>
          <w:lang w:val="en-US"/>
        </w:rPr>
        <w:t>eport on the “Situation of Human Rights in Mexico,” October 20,</w:t>
      </w:r>
      <w:r w:rsidR="4D1A0B04" w:rsidRPr="00CC562A">
        <w:rPr>
          <w:rFonts w:ascii="Cambria" w:hAnsi="Cambria"/>
          <w:sz w:val="16"/>
          <w:szCs w:val="16"/>
          <w:lang w:val="en-US"/>
        </w:rPr>
        <w:t xml:space="preserve"> 2022, p</w:t>
      </w:r>
      <w:r w:rsidR="008E3BD0" w:rsidRPr="00CC562A">
        <w:rPr>
          <w:rFonts w:ascii="Cambria" w:hAnsi="Cambria"/>
          <w:sz w:val="16"/>
          <w:szCs w:val="16"/>
          <w:lang w:val="en-US"/>
        </w:rPr>
        <w:t>p</w:t>
      </w:r>
      <w:r w:rsidR="4D1A0B04" w:rsidRPr="00CC562A">
        <w:rPr>
          <w:rFonts w:ascii="Cambria" w:hAnsi="Cambria"/>
          <w:sz w:val="16"/>
          <w:szCs w:val="16"/>
          <w:lang w:val="en-US"/>
        </w:rPr>
        <w:t>. 13- 14.</w:t>
      </w:r>
    </w:p>
  </w:footnote>
  <w:footnote w:id="83">
    <w:p w14:paraId="07942372" w14:textId="7B8EAC7D" w:rsidR="00A06F2A" w:rsidRPr="00CC562A" w:rsidRDefault="00A06F2A"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C047DA" w:rsidRPr="00CC562A">
        <w:rPr>
          <w:rFonts w:ascii="Cambria" w:hAnsi="Cambria"/>
          <w:color w:val="000000"/>
          <w:sz w:val="16"/>
          <w:szCs w:val="16"/>
          <w:lang w:val="en-US"/>
        </w:rPr>
        <w:t xml:space="preserve">CED. </w:t>
      </w:r>
      <w:hyperlink w:history="1">
        <w:r w:rsidR="00C047DA" w:rsidRPr="00CC562A">
          <w:rPr>
            <w:rStyle w:val="Hyperlink"/>
            <w:rFonts w:ascii="Cambria" w:hAnsi="Cambria"/>
            <w:sz w:val="16"/>
            <w:szCs w:val="16"/>
            <w:lang w:val="en-US"/>
          </w:rPr>
          <w:t xml:space="preserve">Informe del </w:t>
        </w:r>
        <w:proofErr w:type="spellStart"/>
        <w:r w:rsidR="00C047DA" w:rsidRPr="00CC562A">
          <w:rPr>
            <w:rStyle w:val="Hyperlink"/>
            <w:rFonts w:ascii="Cambria" w:hAnsi="Cambria"/>
            <w:sz w:val="16"/>
            <w:szCs w:val="16"/>
            <w:lang w:val="en-US"/>
          </w:rPr>
          <w:t>Comité</w:t>
        </w:r>
        <w:proofErr w:type="spellEnd"/>
        <w:r w:rsidR="00C047DA" w:rsidRPr="00CC562A">
          <w:rPr>
            <w:rStyle w:val="Hyperlink"/>
            <w:rFonts w:ascii="Cambria" w:hAnsi="Cambria"/>
            <w:sz w:val="16"/>
            <w:szCs w:val="16"/>
            <w:lang w:val="en-US"/>
          </w:rPr>
          <w:t xml:space="preserve"> contra la </w:t>
        </w:r>
        <w:proofErr w:type="spellStart"/>
        <w:r w:rsidR="00C047DA" w:rsidRPr="00CC562A">
          <w:rPr>
            <w:rStyle w:val="Hyperlink"/>
            <w:rFonts w:ascii="Cambria" w:hAnsi="Cambria"/>
            <w:sz w:val="16"/>
            <w:szCs w:val="16"/>
            <w:lang w:val="en-US"/>
          </w:rPr>
          <w:t>Desaparición</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Forzada</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sobre</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su</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visita</w:t>
        </w:r>
        <w:proofErr w:type="spellEnd"/>
        <w:r w:rsidR="00C047DA" w:rsidRPr="00CC562A">
          <w:rPr>
            <w:rStyle w:val="Hyperlink"/>
            <w:rFonts w:ascii="Cambria" w:hAnsi="Cambria"/>
            <w:sz w:val="16"/>
            <w:szCs w:val="16"/>
            <w:lang w:val="en-US"/>
          </w:rPr>
          <w:t xml:space="preserve"> a México</w:t>
        </w:r>
      </w:hyperlink>
      <w:r w:rsidR="00C047DA" w:rsidRPr="00CC562A">
        <w:rPr>
          <w:rFonts w:ascii="Cambria" w:hAnsi="Cambria"/>
          <w:color w:val="000000"/>
          <w:sz w:val="16"/>
          <w:szCs w:val="16"/>
          <w:lang w:val="en-US"/>
        </w:rPr>
        <w:t>, Informa</w:t>
      </w:r>
      <w:r w:rsidR="00740ECF" w:rsidRPr="00CC562A">
        <w:rPr>
          <w:rFonts w:ascii="Cambria" w:hAnsi="Cambria"/>
          <w:color w:val="000000"/>
          <w:sz w:val="16"/>
          <w:szCs w:val="16"/>
          <w:lang w:val="en-US"/>
        </w:rPr>
        <w:t>tion on the visit, findings, and first part of the recommendations, para.</w:t>
      </w:r>
      <w:r w:rsidR="00C047DA" w:rsidRPr="00CC562A">
        <w:rPr>
          <w:rFonts w:ascii="Cambria" w:hAnsi="Cambria"/>
          <w:color w:val="000000"/>
          <w:sz w:val="16"/>
          <w:szCs w:val="16"/>
          <w:lang w:val="en-US"/>
        </w:rPr>
        <w:t xml:space="preserve"> 58</w:t>
      </w:r>
    </w:p>
  </w:footnote>
  <w:footnote w:id="84">
    <w:p w14:paraId="59206FB4" w14:textId="3B6A0BAC"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C047DA" w:rsidRPr="00CC562A">
        <w:rPr>
          <w:rFonts w:ascii="Cambria" w:hAnsi="Cambria"/>
          <w:color w:val="000000"/>
          <w:sz w:val="16"/>
          <w:szCs w:val="16"/>
          <w:lang w:val="en-US"/>
        </w:rPr>
        <w:t xml:space="preserve">CED. </w:t>
      </w:r>
      <w:hyperlink w:history="1">
        <w:r w:rsidR="00C047DA" w:rsidRPr="00CC562A">
          <w:rPr>
            <w:rStyle w:val="Hyperlink"/>
            <w:rFonts w:ascii="Cambria" w:hAnsi="Cambria"/>
            <w:sz w:val="16"/>
            <w:szCs w:val="16"/>
            <w:lang w:val="en-US"/>
          </w:rPr>
          <w:t xml:space="preserve">Informe del </w:t>
        </w:r>
        <w:proofErr w:type="spellStart"/>
        <w:r w:rsidR="00C047DA" w:rsidRPr="00CC562A">
          <w:rPr>
            <w:rStyle w:val="Hyperlink"/>
            <w:rFonts w:ascii="Cambria" w:hAnsi="Cambria"/>
            <w:sz w:val="16"/>
            <w:szCs w:val="16"/>
            <w:lang w:val="en-US"/>
          </w:rPr>
          <w:t>Comité</w:t>
        </w:r>
        <w:proofErr w:type="spellEnd"/>
        <w:r w:rsidR="00C047DA" w:rsidRPr="00CC562A">
          <w:rPr>
            <w:rStyle w:val="Hyperlink"/>
            <w:rFonts w:ascii="Cambria" w:hAnsi="Cambria"/>
            <w:sz w:val="16"/>
            <w:szCs w:val="16"/>
            <w:lang w:val="en-US"/>
          </w:rPr>
          <w:t xml:space="preserve"> contra la </w:t>
        </w:r>
        <w:proofErr w:type="spellStart"/>
        <w:r w:rsidR="00C047DA" w:rsidRPr="00CC562A">
          <w:rPr>
            <w:rStyle w:val="Hyperlink"/>
            <w:rFonts w:ascii="Cambria" w:hAnsi="Cambria"/>
            <w:sz w:val="16"/>
            <w:szCs w:val="16"/>
            <w:lang w:val="en-US"/>
          </w:rPr>
          <w:t>Desaparición</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Forzada</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sobre</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su</w:t>
        </w:r>
        <w:proofErr w:type="spellEnd"/>
        <w:r w:rsidR="00C047DA" w:rsidRPr="00CC562A">
          <w:rPr>
            <w:rStyle w:val="Hyperlink"/>
            <w:rFonts w:ascii="Cambria" w:hAnsi="Cambria"/>
            <w:sz w:val="16"/>
            <w:szCs w:val="16"/>
            <w:lang w:val="en-US"/>
          </w:rPr>
          <w:t xml:space="preserve"> </w:t>
        </w:r>
        <w:proofErr w:type="spellStart"/>
        <w:r w:rsidR="00C047DA" w:rsidRPr="00CC562A">
          <w:rPr>
            <w:rStyle w:val="Hyperlink"/>
            <w:rFonts w:ascii="Cambria" w:hAnsi="Cambria"/>
            <w:sz w:val="16"/>
            <w:szCs w:val="16"/>
            <w:lang w:val="en-US"/>
          </w:rPr>
          <w:t>visita</w:t>
        </w:r>
        <w:proofErr w:type="spellEnd"/>
        <w:r w:rsidR="00C047DA" w:rsidRPr="00CC562A">
          <w:rPr>
            <w:rStyle w:val="Hyperlink"/>
            <w:rFonts w:ascii="Cambria" w:hAnsi="Cambria"/>
            <w:sz w:val="16"/>
            <w:szCs w:val="16"/>
            <w:lang w:val="en-US"/>
          </w:rPr>
          <w:t xml:space="preserve"> a México</w:t>
        </w:r>
      </w:hyperlink>
      <w:r w:rsidR="00C047DA" w:rsidRPr="00CC562A">
        <w:rPr>
          <w:rFonts w:ascii="Cambria" w:hAnsi="Cambria"/>
          <w:color w:val="000000"/>
          <w:sz w:val="16"/>
          <w:szCs w:val="16"/>
          <w:lang w:val="en-US"/>
        </w:rPr>
        <w:t xml:space="preserve">, </w:t>
      </w:r>
      <w:r w:rsidR="00740ECF" w:rsidRPr="00CC562A">
        <w:rPr>
          <w:rFonts w:ascii="Cambria" w:hAnsi="Cambria"/>
          <w:color w:val="000000"/>
          <w:sz w:val="16"/>
          <w:szCs w:val="16"/>
          <w:lang w:val="en-US"/>
        </w:rPr>
        <w:t>Information on the visit, findings, and first part of the recommendations, para.</w:t>
      </w:r>
      <w:r w:rsidR="00C047DA" w:rsidRPr="00CC562A">
        <w:rPr>
          <w:rFonts w:ascii="Cambria" w:hAnsi="Cambria"/>
          <w:color w:val="000000"/>
          <w:sz w:val="16"/>
          <w:szCs w:val="16"/>
          <w:lang w:val="en-US"/>
        </w:rPr>
        <w:t xml:space="preserve"> </w:t>
      </w:r>
      <w:r w:rsidR="00C047DA" w:rsidRPr="00CC562A">
        <w:rPr>
          <w:rFonts w:ascii="Cambria" w:hAnsi="Cambria"/>
          <w:color w:val="000000"/>
          <w:sz w:val="16"/>
          <w:szCs w:val="16"/>
          <w:lang w:val="es-ES"/>
        </w:rPr>
        <w:t>58</w:t>
      </w:r>
    </w:p>
  </w:footnote>
  <w:footnote w:id="85">
    <w:p w14:paraId="4C6A3B6F" w14:textId="34790906"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w:t>
      </w:r>
      <w:r w:rsidR="00740ECF" w:rsidRPr="00CC562A">
        <w:rPr>
          <w:rFonts w:ascii="Cambria" w:hAnsi="Cambria"/>
          <w:sz w:val="16"/>
          <w:szCs w:val="16"/>
          <w:lang w:val="es-ES"/>
        </w:rPr>
        <w:t>PRODH Center</w:t>
      </w:r>
      <w:r w:rsidRPr="00CC562A">
        <w:rPr>
          <w:rFonts w:ascii="Cambria" w:hAnsi="Cambria"/>
          <w:sz w:val="16"/>
          <w:szCs w:val="16"/>
          <w:lang w:val="es-ES"/>
        </w:rPr>
        <w:t xml:space="preserve">. </w:t>
      </w:r>
      <w:hyperlink r:id="rId35" w:history="1">
        <w:r w:rsidRPr="00CC562A">
          <w:rPr>
            <w:rStyle w:val="Hyperlink"/>
            <w:rFonts w:ascii="Cambria" w:hAnsi="Cambria"/>
            <w:sz w:val="16"/>
            <w:szCs w:val="16"/>
            <w:lang w:val="es-ES"/>
          </w:rPr>
          <w:t>Poder Judicial revisará incumplimiento de FGR ante el rezago forense</w:t>
        </w:r>
      </w:hyperlink>
      <w:r w:rsidR="00C047DA" w:rsidRPr="00CC562A">
        <w:rPr>
          <w:rFonts w:ascii="Cambria" w:hAnsi="Cambria"/>
          <w:sz w:val="16"/>
          <w:szCs w:val="16"/>
          <w:lang w:val="es-ES"/>
        </w:rPr>
        <w:t xml:space="preserve">, </w:t>
      </w:r>
      <w:proofErr w:type="spellStart"/>
      <w:r w:rsidR="00740ECF" w:rsidRPr="00CC562A">
        <w:rPr>
          <w:rFonts w:ascii="Cambria" w:hAnsi="Cambria"/>
          <w:sz w:val="16"/>
          <w:szCs w:val="16"/>
          <w:lang w:val="es-ES"/>
        </w:rPr>
        <w:t>January</w:t>
      </w:r>
      <w:proofErr w:type="spellEnd"/>
      <w:r w:rsidR="00740ECF" w:rsidRPr="00CC562A">
        <w:rPr>
          <w:rFonts w:ascii="Cambria" w:hAnsi="Cambria"/>
          <w:sz w:val="16"/>
          <w:szCs w:val="16"/>
          <w:lang w:val="es-ES"/>
        </w:rPr>
        <w:t xml:space="preserve"> 5, </w:t>
      </w:r>
      <w:r w:rsidRPr="00CC562A">
        <w:rPr>
          <w:rFonts w:ascii="Cambria" w:hAnsi="Cambria"/>
          <w:sz w:val="16"/>
          <w:szCs w:val="16"/>
          <w:lang w:val="es-ES"/>
        </w:rPr>
        <w:t xml:space="preserve">2022. </w:t>
      </w:r>
    </w:p>
  </w:footnote>
  <w:footnote w:id="86">
    <w:p w14:paraId="2276F282" w14:textId="1FE4949F" w:rsidR="00A06F2A" w:rsidRPr="00CC562A" w:rsidRDefault="00A06F2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w:t>
      </w:r>
      <w:r w:rsidR="00740ECF" w:rsidRPr="00CC562A">
        <w:rPr>
          <w:rFonts w:ascii="Cambria" w:eastAsia="Arial Narrow" w:hAnsi="Cambria" w:cs="Arial Narrow"/>
          <w:sz w:val="16"/>
          <w:szCs w:val="16"/>
          <w:lang w:val="es-ES"/>
        </w:rPr>
        <w:t>PRODH Center</w:t>
      </w:r>
      <w:r w:rsidRPr="00CC562A">
        <w:rPr>
          <w:rFonts w:ascii="Cambria" w:eastAsia="Arial Narrow" w:hAnsi="Cambria" w:cs="Arial Narrow"/>
          <w:sz w:val="16"/>
          <w:szCs w:val="16"/>
          <w:lang w:val="es-ES"/>
        </w:rPr>
        <w:t xml:space="preserve">. </w:t>
      </w:r>
      <w:hyperlink r:id="rId36" w:history="1">
        <w:r w:rsidRPr="00CC562A">
          <w:rPr>
            <w:rStyle w:val="Hyperlink"/>
            <w:rFonts w:ascii="Cambria" w:eastAsia="Arial Narrow" w:hAnsi="Cambria" w:cs="Arial Narrow"/>
            <w:sz w:val="16"/>
            <w:szCs w:val="16"/>
            <w:lang w:val="es-ES"/>
          </w:rPr>
          <w:t>Ordena juez a FGR implementar el Banco Nacional de Datos Forenses en 40 días.</w:t>
        </w:r>
      </w:hyperlink>
      <w:r w:rsidRPr="00CC562A">
        <w:rPr>
          <w:rFonts w:ascii="Cambria" w:eastAsia="Arial Narrow" w:hAnsi="Cambria" w:cs="Arial Narrow"/>
          <w:sz w:val="16"/>
          <w:szCs w:val="16"/>
          <w:lang w:val="es-ES"/>
        </w:rPr>
        <w:t xml:space="preserve"> </w:t>
      </w:r>
      <w:proofErr w:type="spellStart"/>
      <w:r w:rsidR="00740ECF" w:rsidRPr="00CC562A">
        <w:rPr>
          <w:rFonts w:ascii="Cambria" w:eastAsia="Arial Narrow" w:hAnsi="Cambria" w:cs="Arial Narrow"/>
          <w:sz w:val="16"/>
          <w:szCs w:val="16"/>
          <w:lang w:val="es-ES"/>
        </w:rPr>
        <w:t>October</w:t>
      </w:r>
      <w:proofErr w:type="spellEnd"/>
      <w:r w:rsidR="00740ECF" w:rsidRPr="00CC562A">
        <w:rPr>
          <w:rFonts w:ascii="Cambria" w:eastAsia="Arial Narrow" w:hAnsi="Cambria" w:cs="Arial Narrow"/>
          <w:sz w:val="16"/>
          <w:szCs w:val="16"/>
          <w:lang w:val="es-ES"/>
        </w:rPr>
        <w:t xml:space="preserve"> 19,</w:t>
      </w:r>
      <w:r w:rsidRPr="00CC562A">
        <w:rPr>
          <w:rFonts w:ascii="Cambria" w:eastAsia="Arial Narrow" w:hAnsi="Cambria" w:cs="Arial Narrow"/>
          <w:sz w:val="16"/>
          <w:szCs w:val="16"/>
          <w:lang w:val="es-ES"/>
        </w:rPr>
        <w:t xml:space="preserve"> 2022. </w:t>
      </w:r>
      <w:sdt>
        <w:sdtPr>
          <w:rPr>
            <w:rFonts w:ascii="Cambria" w:hAnsi="Cambria"/>
            <w:color w:val="2B579A"/>
            <w:sz w:val="16"/>
            <w:szCs w:val="16"/>
            <w:shd w:val="clear" w:color="auto" w:fill="E6E6E6"/>
            <w:lang w:val="en-US"/>
          </w:rPr>
          <w:tag w:val="goog_rdk_365"/>
          <w:id w:val="-686755147"/>
          <w:showingPlcHdr/>
        </w:sdtPr>
        <w:sdtContent>
          <w:r w:rsidR="00C047DA" w:rsidRPr="00CC562A">
            <w:rPr>
              <w:rFonts w:ascii="Cambria" w:hAnsi="Cambria"/>
              <w:sz w:val="16"/>
              <w:szCs w:val="16"/>
              <w:lang w:val="es-ES"/>
            </w:rPr>
            <w:t xml:space="preserve">     </w:t>
          </w:r>
        </w:sdtContent>
      </w:sdt>
    </w:p>
  </w:footnote>
  <w:footnote w:id="87">
    <w:p w14:paraId="29437411" w14:textId="3E362F66" w:rsidR="009A44DE" w:rsidRPr="00CC562A" w:rsidRDefault="009A44DE"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4D1A0B04" w:rsidRPr="00CC562A">
        <w:rPr>
          <w:color w:val="000000"/>
          <w:lang w:val="es-ES"/>
        </w:rPr>
        <w:t xml:space="preserve">CED. </w:t>
      </w:r>
      <w:hyperlink w:history="1">
        <w:r w:rsidR="4D1A0B04" w:rsidRPr="00CC562A">
          <w:rPr>
            <w:rStyle w:val="Hyperlink"/>
            <w:lang w:val="es-ES"/>
          </w:rPr>
          <w:t>Informe del Comité contra la Desaparición Forzada sobre su visita a México</w:t>
        </w:r>
      </w:hyperlink>
      <w:r w:rsidR="4D1A0B04" w:rsidRPr="00CC562A">
        <w:rPr>
          <w:color w:val="000000"/>
          <w:lang w:val="es-ES"/>
        </w:rPr>
        <w:t xml:space="preserve">, </w:t>
      </w:r>
      <w:proofErr w:type="spellStart"/>
      <w:r w:rsidR="4D1A0B04" w:rsidRPr="00CC562A">
        <w:rPr>
          <w:color w:val="000000"/>
          <w:lang w:val="es-ES"/>
        </w:rPr>
        <w:t>Informa</w:t>
      </w:r>
      <w:r w:rsidR="00740ECF" w:rsidRPr="00CC562A">
        <w:rPr>
          <w:color w:val="000000"/>
          <w:lang w:val="es-ES"/>
        </w:rPr>
        <w:t>tion</w:t>
      </w:r>
      <w:proofErr w:type="spellEnd"/>
      <w:r w:rsidR="00740ECF" w:rsidRPr="00CC562A">
        <w:rPr>
          <w:color w:val="000000"/>
          <w:lang w:val="es-ES"/>
        </w:rPr>
        <w:t xml:space="preserve"> </w:t>
      </w:r>
      <w:proofErr w:type="spellStart"/>
      <w:r w:rsidR="00740ECF" w:rsidRPr="00CC562A">
        <w:rPr>
          <w:color w:val="000000"/>
          <w:lang w:val="es-ES"/>
        </w:rPr>
        <w:t>on</w:t>
      </w:r>
      <w:proofErr w:type="spellEnd"/>
      <w:r w:rsidR="00740ECF" w:rsidRPr="00CC562A">
        <w:rPr>
          <w:color w:val="000000"/>
          <w:lang w:val="es-ES"/>
        </w:rPr>
        <w:t xml:space="preserve"> </w:t>
      </w:r>
      <w:proofErr w:type="spellStart"/>
      <w:r w:rsidR="00740ECF" w:rsidRPr="00CC562A">
        <w:rPr>
          <w:color w:val="000000"/>
          <w:lang w:val="es-ES"/>
        </w:rPr>
        <w:t>the</w:t>
      </w:r>
      <w:proofErr w:type="spellEnd"/>
      <w:r w:rsidR="00740ECF" w:rsidRPr="00CC562A">
        <w:rPr>
          <w:color w:val="000000"/>
          <w:lang w:val="es-ES"/>
        </w:rPr>
        <w:t xml:space="preserve"> </w:t>
      </w:r>
      <w:proofErr w:type="spellStart"/>
      <w:r w:rsidR="00740ECF" w:rsidRPr="00CC562A">
        <w:rPr>
          <w:color w:val="000000"/>
          <w:lang w:val="es-ES"/>
        </w:rPr>
        <w:t>visit</w:t>
      </w:r>
      <w:proofErr w:type="spellEnd"/>
      <w:r w:rsidR="00740ECF" w:rsidRPr="00CC562A">
        <w:rPr>
          <w:color w:val="000000"/>
          <w:lang w:val="es-ES"/>
        </w:rPr>
        <w:t xml:space="preserve">, </w:t>
      </w:r>
      <w:proofErr w:type="spellStart"/>
      <w:r w:rsidR="00740ECF" w:rsidRPr="00CC562A">
        <w:rPr>
          <w:color w:val="000000"/>
          <w:lang w:val="es-ES"/>
        </w:rPr>
        <w:t>finding</w:t>
      </w:r>
      <w:proofErr w:type="spellEnd"/>
      <w:r w:rsidR="00740ECF" w:rsidRPr="00CC562A">
        <w:rPr>
          <w:color w:val="000000"/>
          <w:lang w:val="es-ES"/>
        </w:rPr>
        <w:t xml:space="preserve">, and </w:t>
      </w:r>
      <w:proofErr w:type="spellStart"/>
      <w:r w:rsidR="00740ECF" w:rsidRPr="00CC562A">
        <w:rPr>
          <w:color w:val="000000"/>
          <w:lang w:val="es-ES"/>
        </w:rPr>
        <w:t>first</w:t>
      </w:r>
      <w:proofErr w:type="spellEnd"/>
      <w:r w:rsidR="00740ECF" w:rsidRPr="00CC562A">
        <w:rPr>
          <w:color w:val="000000"/>
          <w:lang w:val="es-ES"/>
        </w:rPr>
        <w:t xml:space="preserve"> </w:t>
      </w:r>
      <w:proofErr w:type="spellStart"/>
      <w:r w:rsidR="00740ECF" w:rsidRPr="00CC562A">
        <w:rPr>
          <w:color w:val="000000"/>
          <w:lang w:val="es-ES"/>
        </w:rPr>
        <w:t>part</w:t>
      </w:r>
      <w:proofErr w:type="spellEnd"/>
      <w:r w:rsidR="00740ECF" w:rsidRPr="00CC562A">
        <w:rPr>
          <w:color w:val="000000"/>
          <w:lang w:val="es-ES"/>
        </w:rPr>
        <w:t xml:space="preserve"> </w:t>
      </w:r>
      <w:proofErr w:type="spellStart"/>
      <w:r w:rsidR="00740ECF" w:rsidRPr="00CC562A">
        <w:rPr>
          <w:color w:val="000000"/>
          <w:lang w:val="es-ES"/>
        </w:rPr>
        <w:t>of</w:t>
      </w:r>
      <w:proofErr w:type="spellEnd"/>
      <w:r w:rsidR="00740ECF" w:rsidRPr="00CC562A">
        <w:rPr>
          <w:color w:val="000000"/>
          <w:lang w:val="es-ES"/>
        </w:rPr>
        <w:t xml:space="preserve"> </w:t>
      </w:r>
      <w:proofErr w:type="spellStart"/>
      <w:r w:rsidR="00740ECF" w:rsidRPr="00CC562A">
        <w:rPr>
          <w:color w:val="000000"/>
          <w:lang w:val="es-ES"/>
        </w:rPr>
        <w:t>the</w:t>
      </w:r>
      <w:proofErr w:type="spellEnd"/>
      <w:r w:rsidR="00740ECF" w:rsidRPr="00CC562A">
        <w:rPr>
          <w:color w:val="000000"/>
          <w:lang w:val="es-ES"/>
        </w:rPr>
        <w:t xml:space="preserve"> </w:t>
      </w:r>
      <w:proofErr w:type="spellStart"/>
      <w:r w:rsidR="00740ECF" w:rsidRPr="00CC562A">
        <w:rPr>
          <w:color w:val="000000"/>
          <w:lang w:val="es-ES"/>
        </w:rPr>
        <w:t>recommendations</w:t>
      </w:r>
      <w:proofErr w:type="spellEnd"/>
      <w:r w:rsidR="00740ECF" w:rsidRPr="00CC562A">
        <w:rPr>
          <w:color w:val="000000"/>
          <w:lang w:val="es-ES"/>
        </w:rPr>
        <w:t>, para</w:t>
      </w:r>
      <w:r w:rsidR="4D1A0B04" w:rsidRPr="00CC562A">
        <w:rPr>
          <w:color w:val="000000"/>
          <w:lang w:val="es-ES"/>
        </w:rPr>
        <w:t>. 58.</w:t>
      </w:r>
    </w:p>
  </w:footnote>
  <w:footnote w:id="88">
    <w:p w14:paraId="6A031F21" w14:textId="22624567" w:rsidR="000F1A47" w:rsidRPr="00CC562A" w:rsidRDefault="000F1A47"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s-ES"/>
        </w:rPr>
        <w:t xml:space="preserve"> </w:t>
      </w:r>
      <w:r w:rsidR="4D1A0B04" w:rsidRPr="00CC562A">
        <w:rPr>
          <w:color w:val="000000"/>
          <w:lang w:val="es-ES"/>
        </w:rPr>
        <w:t xml:space="preserve">CED. </w:t>
      </w:r>
      <w:hyperlink w:history="1">
        <w:r w:rsidR="4D1A0B04" w:rsidRPr="00CC562A">
          <w:rPr>
            <w:rStyle w:val="Hyperlink"/>
            <w:lang w:val="es-ES"/>
          </w:rPr>
          <w:t>Informe del Comité contra la Desaparición Forzada sobre su visita a México</w:t>
        </w:r>
      </w:hyperlink>
      <w:r w:rsidR="4D1A0B04" w:rsidRPr="00CC562A">
        <w:rPr>
          <w:color w:val="000000"/>
          <w:lang w:val="es-ES"/>
        </w:rPr>
        <w:t xml:space="preserve">, </w:t>
      </w:r>
      <w:proofErr w:type="spellStart"/>
      <w:r w:rsidR="4D1A0B04" w:rsidRPr="00CC562A">
        <w:rPr>
          <w:color w:val="000000"/>
          <w:lang w:val="es-ES"/>
        </w:rPr>
        <w:t>Informa</w:t>
      </w:r>
      <w:r w:rsidR="00740ECF" w:rsidRPr="00CC562A">
        <w:rPr>
          <w:color w:val="000000"/>
          <w:lang w:val="es-ES"/>
        </w:rPr>
        <w:t>tion</w:t>
      </w:r>
      <w:proofErr w:type="spellEnd"/>
      <w:r w:rsidR="00740ECF" w:rsidRPr="00CC562A">
        <w:rPr>
          <w:color w:val="000000"/>
          <w:lang w:val="es-ES"/>
        </w:rPr>
        <w:t xml:space="preserve"> </w:t>
      </w:r>
      <w:proofErr w:type="spellStart"/>
      <w:r w:rsidR="00740ECF" w:rsidRPr="00CC562A">
        <w:rPr>
          <w:color w:val="000000"/>
          <w:lang w:val="es-ES"/>
        </w:rPr>
        <w:t>on</w:t>
      </w:r>
      <w:proofErr w:type="spellEnd"/>
      <w:r w:rsidR="00740ECF" w:rsidRPr="00CC562A">
        <w:rPr>
          <w:color w:val="000000"/>
          <w:lang w:val="es-ES"/>
        </w:rPr>
        <w:t xml:space="preserve"> </w:t>
      </w:r>
      <w:proofErr w:type="spellStart"/>
      <w:r w:rsidR="00740ECF" w:rsidRPr="00CC562A">
        <w:rPr>
          <w:color w:val="000000"/>
          <w:lang w:val="es-ES"/>
        </w:rPr>
        <w:t>the</w:t>
      </w:r>
      <w:proofErr w:type="spellEnd"/>
      <w:r w:rsidR="00740ECF" w:rsidRPr="00CC562A">
        <w:rPr>
          <w:color w:val="000000"/>
          <w:lang w:val="es-ES"/>
        </w:rPr>
        <w:t xml:space="preserve"> </w:t>
      </w:r>
      <w:proofErr w:type="spellStart"/>
      <w:r w:rsidR="00740ECF" w:rsidRPr="00CC562A">
        <w:rPr>
          <w:color w:val="000000"/>
          <w:lang w:val="es-ES"/>
        </w:rPr>
        <w:t>visit</w:t>
      </w:r>
      <w:proofErr w:type="spellEnd"/>
      <w:r w:rsidR="00740ECF" w:rsidRPr="00CC562A">
        <w:rPr>
          <w:color w:val="000000"/>
          <w:lang w:val="es-ES"/>
        </w:rPr>
        <w:t xml:space="preserve">, </w:t>
      </w:r>
      <w:proofErr w:type="spellStart"/>
      <w:r w:rsidR="00740ECF" w:rsidRPr="00CC562A">
        <w:rPr>
          <w:color w:val="000000"/>
          <w:lang w:val="es-ES"/>
        </w:rPr>
        <w:t>findings</w:t>
      </w:r>
      <w:proofErr w:type="spellEnd"/>
      <w:r w:rsidR="00740ECF" w:rsidRPr="00CC562A">
        <w:rPr>
          <w:color w:val="000000"/>
          <w:lang w:val="es-ES"/>
        </w:rPr>
        <w:t xml:space="preserve">, and </w:t>
      </w:r>
      <w:proofErr w:type="spellStart"/>
      <w:r w:rsidR="00740ECF" w:rsidRPr="00CC562A">
        <w:rPr>
          <w:color w:val="000000"/>
          <w:lang w:val="es-ES"/>
        </w:rPr>
        <w:t>first</w:t>
      </w:r>
      <w:proofErr w:type="spellEnd"/>
      <w:r w:rsidR="00740ECF" w:rsidRPr="00CC562A">
        <w:rPr>
          <w:color w:val="000000"/>
          <w:lang w:val="es-ES"/>
        </w:rPr>
        <w:t xml:space="preserve"> </w:t>
      </w:r>
      <w:proofErr w:type="spellStart"/>
      <w:r w:rsidR="00740ECF" w:rsidRPr="00CC562A">
        <w:rPr>
          <w:color w:val="000000"/>
          <w:lang w:val="es-ES"/>
        </w:rPr>
        <w:t>part</w:t>
      </w:r>
      <w:proofErr w:type="spellEnd"/>
      <w:r w:rsidR="00740ECF" w:rsidRPr="00CC562A">
        <w:rPr>
          <w:color w:val="000000"/>
          <w:lang w:val="es-ES"/>
        </w:rPr>
        <w:t xml:space="preserve"> </w:t>
      </w:r>
      <w:proofErr w:type="spellStart"/>
      <w:r w:rsidR="00740ECF" w:rsidRPr="00CC562A">
        <w:rPr>
          <w:color w:val="000000"/>
          <w:lang w:val="es-ES"/>
        </w:rPr>
        <w:t>of</w:t>
      </w:r>
      <w:proofErr w:type="spellEnd"/>
      <w:r w:rsidR="00740ECF" w:rsidRPr="00CC562A">
        <w:rPr>
          <w:color w:val="000000"/>
          <w:lang w:val="es-ES"/>
        </w:rPr>
        <w:t xml:space="preserve"> </w:t>
      </w:r>
      <w:proofErr w:type="spellStart"/>
      <w:r w:rsidR="00740ECF" w:rsidRPr="00CC562A">
        <w:rPr>
          <w:color w:val="000000"/>
          <w:lang w:val="es-ES"/>
        </w:rPr>
        <w:t>the</w:t>
      </w:r>
      <w:proofErr w:type="spellEnd"/>
      <w:r w:rsidR="00740ECF" w:rsidRPr="00CC562A">
        <w:rPr>
          <w:color w:val="000000"/>
          <w:lang w:val="es-ES"/>
        </w:rPr>
        <w:t xml:space="preserve"> </w:t>
      </w:r>
      <w:proofErr w:type="spellStart"/>
      <w:r w:rsidR="00740ECF" w:rsidRPr="00CC562A">
        <w:rPr>
          <w:color w:val="000000"/>
          <w:lang w:val="es-ES"/>
        </w:rPr>
        <w:t>recommendations</w:t>
      </w:r>
      <w:proofErr w:type="spellEnd"/>
      <w:r w:rsidR="00740ECF" w:rsidRPr="00CC562A">
        <w:rPr>
          <w:color w:val="000000"/>
          <w:lang w:val="es-ES"/>
        </w:rPr>
        <w:t>, para.</w:t>
      </w:r>
      <w:r w:rsidR="4D1A0B04" w:rsidRPr="00CC562A">
        <w:rPr>
          <w:color w:val="000000"/>
          <w:lang w:val="es-ES"/>
        </w:rPr>
        <w:t xml:space="preserve"> </w:t>
      </w:r>
      <w:r w:rsidR="4D1A0B04" w:rsidRPr="00CC562A">
        <w:rPr>
          <w:color w:val="000000"/>
          <w:lang w:val="en-US"/>
        </w:rPr>
        <w:t>59.</w:t>
      </w:r>
    </w:p>
  </w:footnote>
  <w:footnote w:id="89">
    <w:p w14:paraId="77905312" w14:textId="4FC122C6" w:rsidR="007C05EB" w:rsidRPr="00CC562A" w:rsidRDefault="007C05EB"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5F2207" w:rsidRPr="00CC562A">
        <w:rPr>
          <w:rFonts w:ascii="Cambria" w:hAnsi="Cambria"/>
          <w:sz w:val="16"/>
          <w:szCs w:val="16"/>
          <w:lang w:val="en-US"/>
        </w:rPr>
        <w:t>Report of the National Search Commission to the Committee against</w:t>
      </w:r>
      <w:r w:rsidR="00507873" w:rsidRPr="00CC562A">
        <w:rPr>
          <w:rFonts w:ascii="Cambria" w:hAnsi="Cambria"/>
          <w:sz w:val="16"/>
          <w:szCs w:val="16"/>
          <w:lang w:val="en-US"/>
        </w:rPr>
        <w:t xml:space="preserve"> F</w:t>
      </w:r>
      <w:r w:rsidR="005F2207" w:rsidRPr="00CC562A">
        <w:rPr>
          <w:rFonts w:ascii="Cambria" w:hAnsi="Cambria"/>
          <w:sz w:val="16"/>
          <w:szCs w:val="16"/>
          <w:lang w:val="en-US"/>
        </w:rPr>
        <w:t>orced Disappearance</w:t>
      </w:r>
      <w:r w:rsidR="4D1A0B04" w:rsidRPr="00CC562A">
        <w:rPr>
          <w:rFonts w:ascii="Cambria" w:hAnsi="Cambria"/>
          <w:sz w:val="16"/>
          <w:szCs w:val="16"/>
          <w:lang w:val="en-US"/>
        </w:rPr>
        <w:t xml:space="preserve">, </w:t>
      </w:r>
      <w:r w:rsidR="004E0B7E" w:rsidRPr="00CC562A">
        <w:rPr>
          <w:rFonts w:ascii="Cambria" w:hAnsi="Cambria"/>
          <w:sz w:val="16"/>
          <w:szCs w:val="16"/>
          <w:lang w:val="en-US"/>
        </w:rPr>
        <w:t>pp.</w:t>
      </w:r>
      <w:r w:rsidR="4D1A0B04" w:rsidRPr="00CC562A">
        <w:rPr>
          <w:rFonts w:ascii="Cambria" w:hAnsi="Cambria"/>
          <w:sz w:val="16"/>
          <w:szCs w:val="16"/>
          <w:lang w:val="en-US"/>
        </w:rPr>
        <w:t xml:space="preserve"> 39 </w:t>
      </w:r>
      <w:r w:rsidR="005F2207" w:rsidRPr="00CC562A">
        <w:rPr>
          <w:rFonts w:ascii="Cambria" w:hAnsi="Cambria"/>
          <w:sz w:val="16"/>
          <w:szCs w:val="16"/>
          <w:lang w:val="en-US"/>
        </w:rPr>
        <w:t>and</w:t>
      </w:r>
      <w:r w:rsidR="4D1A0B04" w:rsidRPr="00CC562A">
        <w:rPr>
          <w:rFonts w:ascii="Cambria" w:hAnsi="Cambria"/>
          <w:sz w:val="16"/>
          <w:szCs w:val="16"/>
          <w:lang w:val="en-US"/>
        </w:rPr>
        <w:t xml:space="preserve"> 40. </w:t>
      </w:r>
    </w:p>
  </w:footnote>
  <w:footnote w:id="90">
    <w:p w14:paraId="360FB9D8" w14:textId="40013E79" w:rsidR="007C05EB" w:rsidRPr="00CC562A" w:rsidRDefault="007C05EB"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proofErr w:type="spellStart"/>
      <w:r w:rsidR="4D1A0B04" w:rsidRPr="00CC562A">
        <w:rPr>
          <w:rFonts w:ascii="Cambria" w:hAnsi="Cambria"/>
          <w:sz w:val="16"/>
          <w:szCs w:val="16"/>
          <w:lang w:val="es-ES"/>
        </w:rPr>
        <w:t>Mov</w:t>
      </w:r>
      <w:r w:rsidR="005F2207" w:rsidRPr="00CC562A">
        <w:rPr>
          <w:rFonts w:ascii="Cambria" w:hAnsi="Cambria"/>
          <w:sz w:val="16"/>
          <w:szCs w:val="16"/>
          <w:lang w:val="es-ES"/>
        </w:rPr>
        <w:t>ement</w:t>
      </w:r>
      <w:proofErr w:type="spellEnd"/>
      <w:r w:rsidR="005F2207" w:rsidRPr="00CC562A">
        <w:rPr>
          <w:rFonts w:ascii="Cambria" w:hAnsi="Cambria"/>
          <w:sz w:val="16"/>
          <w:szCs w:val="16"/>
          <w:lang w:val="es-ES"/>
        </w:rPr>
        <w:t xml:space="preserve"> </w:t>
      </w:r>
      <w:proofErr w:type="spellStart"/>
      <w:r w:rsidR="005F2207" w:rsidRPr="00CC562A">
        <w:rPr>
          <w:rFonts w:ascii="Cambria" w:hAnsi="Cambria"/>
          <w:sz w:val="16"/>
          <w:szCs w:val="16"/>
          <w:lang w:val="es-ES"/>
        </w:rPr>
        <w:t>for</w:t>
      </w:r>
      <w:proofErr w:type="spellEnd"/>
      <w:r w:rsidR="005F2207" w:rsidRPr="00CC562A">
        <w:rPr>
          <w:rFonts w:ascii="Cambria" w:hAnsi="Cambria"/>
          <w:sz w:val="16"/>
          <w:szCs w:val="16"/>
          <w:lang w:val="es-ES"/>
        </w:rPr>
        <w:t xml:space="preserve"> </w:t>
      </w:r>
      <w:proofErr w:type="spellStart"/>
      <w:r w:rsidR="005F2207" w:rsidRPr="00CC562A">
        <w:rPr>
          <w:rFonts w:ascii="Cambria" w:hAnsi="Cambria"/>
          <w:sz w:val="16"/>
          <w:szCs w:val="16"/>
          <w:lang w:val="es-ES"/>
        </w:rPr>
        <w:t>our</w:t>
      </w:r>
      <w:proofErr w:type="spellEnd"/>
      <w:r w:rsidR="005F2207" w:rsidRPr="00CC562A">
        <w:rPr>
          <w:rFonts w:ascii="Cambria" w:hAnsi="Cambria"/>
          <w:sz w:val="16"/>
          <w:szCs w:val="16"/>
          <w:lang w:val="es-ES"/>
        </w:rPr>
        <w:t xml:space="preserve"> </w:t>
      </w:r>
      <w:proofErr w:type="spellStart"/>
      <w:r w:rsidR="005F2207" w:rsidRPr="00CC562A">
        <w:rPr>
          <w:rFonts w:ascii="Cambria" w:hAnsi="Cambria"/>
          <w:sz w:val="16"/>
          <w:szCs w:val="16"/>
          <w:lang w:val="es-ES"/>
        </w:rPr>
        <w:t>disappeared</w:t>
      </w:r>
      <w:proofErr w:type="spellEnd"/>
      <w:r w:rsidR="005F2207" w:rsidRPr="00CC562A">
        <w:rPr>
          <w:rFonts w:ascii="Cambria" w:hAnsi="Cambria"/>
          <w:sz w:val="16"/>
          <w:szCs w:val="16"/>
          <w:lang w:val="es-ES"/>
        </w:rPr>
        <w:t xml:space="preserve"> in </w:t>
      </w:r>
      <w:proofErr w:type="spellStart"/>
      <w:r w:rsidR="005F2207" w:rsidRPr="00CC562A">
        <w:rPr>
          <w:rFonts w:ascii="Cambria" w:hAnsi="Cambria"/>
          <w:sz w:val="16"/>
          <w:szCs w:val="16"/>
          <w:lang w:val="es-ES"/>
        </w:rPr>
        <w:t>Mexico</w:t>
      </w:r>
      <w:proofErr w:type="spellEnd"/>
      <w:r w:rsidR="4D1A0B04" w:rsidRPr="00CC562A">
        <w:rPr>
          <w:rFonts w:ascii="Cambria" w:hAnsi="Cambria"/>
          <w:sz w:val="16"/>
          <w:szCs w:val="16"/>
          <w:lang w:val="es-ES"/>
        </w:rPr>
        <w:t xml:space="preserve">, </w:t>
      </w:r>
      <w:hyperlink r:id="rId37" w:history="1">
        <w:r w:rsidR="4D1A0B04" w:rsidRPr="00CC562A">
          <w:rPr>
            <w:rStyle w:val="Hyperlink"/>
            <w:rFonts w:ascii="Cambria" w:hAnsi="Cambria"/>
            <w:sz w:val="16"/>
            <w:szCs w:val="16"/>
            <w:lang w:val="es-ES"/>
          </w:rPr>
          <w:t>La Crisis Forense en México: más de 52 mil personas fallecidas sin identificar</w:t>
        </w:r>
      </w:hyperlink>
      <w:r w:rsidR="4D1A0B04" w:rsidRPr="00CC562A">
        <w:rPr>
          <w:rFonts w:ascii="Cambria" w:hAnsi="Cambria"/>
          <w:sz w:val="16"/>
          <w:szCs w:val="16"/>
          <w:lang w:val="es-ES"/>
        </w:rPr>
        <w:t xml:space="preserve">, p. 4 </w:t>
      </w:r>
    </w:p>
  </w:footnote>
  <w:footnote w:id="91">
    <w:p w14:paraId="5CD0CF19" w14:textId="14779498" w:rsidR="003D2F43" w:rsidRPr="00CC562A" w:rsidRDefault="003D2F43"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Infor</w:t>
      </w:r>
      <w:r w:rsidR="005F2207" w:rsidRPr="00CC562A">
        <w:rPr>
          <w:lang w:val="en-US"/>
        </w:rPr>
        <w:t xml:space="preserve">mation provided to the IACHR at a meeting with civil society organizations in Mexico held on November 26, </w:t>
      </w:r>
      <w:r w:rsidR="4D1A0B04" w:rsidRPr="00CC562A">
        <w:rPr>
          <w:lang w:val="en-US"/>
        </w:rPr>
        <w:t xml:space="preserve">2022. </w:t>
      </w:r>
    </w:p>
  </w:footnote>
  <w:footnote w:id="92">
    <w:p w14:paraId="68E0A4F9" w14:textId="7F01DB68" w:rsidR="00886665" w:rsidRPr="00CC562A" w:rsidRDefault="00886665"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005F2207" w:rsidRPr="00CC562A">
        <w:rPr>
          <w:lang w:val="en-US"/>
        </w:rPr>
        <w:t xml:space="preserve">. </w:t>
      </w:r>
      <w:proofErr w:type="spellStart"/>
      <w:r w:rsidR="005F2207" w:rsidRPr="00CC562A">
        <w:rPr>
          <w:lang w:val="es-ES"/>
        </w:rPr>
        <w:t>Chapter</w:t>
      </w:r>
      <w:proofErr w:type="spellEnd"/>
      <w:r w:rsidR="4D1A0B04" w:rsidRPr="00CC562A">
        <w:rPr>
          <w:lang w:val="es-ES"/>
        </w:rPr>
        <w:t xml:space="preserve"> V, </w:t>
      </w:r>
      <w:proofErr w:type="spellStart"/>
      <w:r w:rsidR="005F2207" w:rsidRPr="00CC562A">
        <w:rPr>
          <w:lang w:val="es-ES"/>
        </w:rPr>
        <w:t>October</w:t>
      </w:r>
      <w:proofErr w:type="spellEnd"/>
      <w:r w:rsidR="005F2207" w:rsidRPr="00CC562A">
        <w:rPr>
          <w:lang w:val="es-ES"/>
        </w:rPr>
        <w:t xml:space="preserve"> </w:t>
      </w:r>
      <w:r w:rsidR="4D1A0B04" w:rsidRPr="00CC562A">
        <w:rPr>
          <w:lang w:val="es-ES"/>
        </w:rPr>
        <w:t xml:space="preserve">2022 </w:t>
      </w:r>
      <w:proofErr w:type="spellStart"/>
      <w:r w:rsidR="00AE0531" w:rsidRPr="00CC562A">
        <w:rPr>
          <w:lang w:val="es-ES"/>
        </w:rPr>
        <w:t>through</w:t>
      </w:r>
      <w:proofErr w:type="spellEnd"/>
      <w:r w:rsidR="00AE0531" w:rsidRPr="00CC562A">
        <w:rPr>
          <w:lang w:val="es-ES"/>
        </w:rPr>
        <w:t xml:space="preserve"> </w:t>
      </w:r>
      <w:proofErr w:type="spellStart"/>
      <w:r w:rsidR="00AE0531" w:rsidRPr="00CC562A">
        <w:rPr>
          <w:lang w:val="es-ES"/>
        </w:rPr>
        <w:t>the</w:t>
      </w:r>
      <w:proofErr w:type="spellEnd"/>
      <w:r w:rsidR="00AE0531" w:rsidRPr="00CC562A">
        <w:rPr>
          <w:lang w:val="es-ES"/>
        </w:rPr>
        <w:t xml:space="preserve"> Inter-American SIMORE.</w:t>
      </w:r>
    </w:p>
  </w:footnote>
  <w:footnote w:id="93">
    <w:p w14:paraId="2994962B" w14:textId="77777777" w:rsidR="00086C08" w:rsidRPr="00CC562A" w:rsidRDefault="00086C08" w:rsidP="00086C08">
      <w:pPr>
        <w:pStyle w:val="FootnoteText"/>
        <w:ind w:firstLine="720"/>
      </w:pPr>
      <w:r w:rsidRPr="00CC562A">
        <w:rPr>
          <w:rStyle w:val="FootnoteReference"/>
        </w:rPr>
        <w:footnoteRef/>
      </w:r>
      <w:r w:rsidRPr="00CC562A">
        <w:t xml:space="preserve"> Estado de México, Nota OEA 517 del 17 de febrero de 2023. Observaciones a la versión preliminar del informe.</w:t>
      </w:r>
    </w:p>
  </w:footnote>
  <w:footnote w:id="94">
    <w:p w14:paraId="30C6DF0D" w14:textId="16F02FD8" w:rsidR="00775FE1" w:rsidRPr="00CC562A" w:rsidRDefault="00775FE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AE0531" w:rsidRPr="00CC562A">
        <w:rPr>
          <w:lang w:val="en-US"/>
        </w:rPr>
        <w:t xml:space="preserve">Follow-up on </w:t>
      </w:r>
      <w:r w:rsidR="00D82CEF" w:rsidRPr="00CC562A">
        <w:rPr>
          <w:lang w:val="en-US"/>
        </w:rPr>
        <w:t>C</w:t>
      </w:r>
      <w:r w:rsidR="00AE0531" w:rsidRPr="00CC562A">
        <w:rPr>
          <w:lang w:val="en-US"/>
        </w:rPr>
        <w:t xml:space="preserve">ompliance with </w:t>
      </w:r>
      <w:r w:rsidR="00D82CEF" w:rsidRPr="00CC562A">
        <w:rPr>
          <w:lang w:val="en-US"/>
        </w:rPr>
        <w:t>R</w:t>
      </w:r>
      <w:r w:rsidR="00AE0531" w:rsidRPr="00CC562A">
        <w:rPr>
          <w:lang w:val="en-US"/>
        </w:rPr>
        <w:t xml:space="preserve">ecommendations from the </w:t>
      </w:r>
      <w:r w:rsidR="00D77397" w:rsidRPr="00CC562A">
        <w:rPr>
          <w:lang w:val="en-US"/>
        </w:rPr>
        <w:t>Report</w:t>
      </w:r>
      <w:r w:rsidR="00AE0531" w:rsidRPr="00CC562A">
        <w:rPr>
          <w:lang w:val="en-US"/>
        </w:rPr>
        <w:t xml:space="preserve"> on the “Situation of Human Rights in Mexico</w:t>
      </w:r>
      <w:r w:rsidR="00D77397" w:rsidRPr="00CC562A">
        <w:rPr>
          <w:lang w:val="en-US"/>
        </w:rPr>
        <w:t>,” October</w:t>
      </w:r>
      <w:r w:rsidR="00AE0531" w:rsidRPr="00CC562A">
        <w:rPr>
          <w:lang w:val="en-US"/>
        </w:rPr>
        <w:t xml:space="preserve"> 21,</w:t>
      </w:r>
      <w:r w:rsidR="4D1A0B04" w:rsidRPr="00CC562A">
        <w:rPr>
          <w:lang w:val="en-US"/>
        </w:rPr>
        <w:t xml:space="preserve"> 2022, p. 5.</w:t>
      </w:r>
    </w:p>
  </w:footnote>
  <w:footnote w:id="95">
    <w:p w14:paraId="4F3E5B7E" w14:textId="1220B214" w:rsidR="00D00CFB" w:rsidRPr="00CC562A" w:rsidRDefault="00D00CFB"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CNB, </w:t>
      </w:r>
      <w:hyperlink r:id="rId38" w:history="1">
        <w:r w:rsidR="00AE0531" w:rsidRPr="00CC562A">
          <w:rPr>
            <w:rStyle w:val="Hyperlink"/>
            <w:lang w:val="en-US"/>
          </w:rPr>
          <w:t>Second Session of the National Search System</w:t>
        </w:r>
        <w:r w:rsidR="4D1A0B04" w:rsidRPr="00CC562A">
          <w:rPr>
            <w:rStyle w:val="Hyperlink"/>
            <w:lang w:val="en-US"/>
          </w:rPr>
          <w:t xml:space="preserve"> 2021</w:t>
        </w:r>
      </w:hyperlink>
      <w:r w:rsidR="4D1A0B04" w:rsidRPr="00CC562A">
        <w:rPr>
          <w:lang w:val="en-US"/>
        </w:rPr>
        <w:t xml:space="preserve">, </w:t>
      </w:r>
      <w:r w:rsidR="00AE0531" w:rsidRPr="00CC562A">
        <w:rPr>
          <w:lang w:val="en-US"/>
        </w:rPr>
        <w:t>November 9,</w:t>
      </w:r>
      <w:r w:rsidR="4D1A0B04" w:rsidRPr="00CC562A">
        <w:rPr>
          <w:lang w:val="en-US"/>
        </w:rPr>
        <w:t xml:space="preserve"> 2021.</w:t>
      </w:r>
    </w:p>
  </w:footnote>
  <w:footnote w:id="96">
    <w:p w14:paraId="35E250FC" w14:textId="30C23341"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00A82ABE" w:rsidRPr="00CC562A">
        <w:rPr>
          <w:lang w:val="en-US"/>
        </w:rPr>
        <w:t>. Chapter</w:t>
      </w:r>
      <w:r w:rsidR="4D1A0B04" w:rsidRPr="00CC562A">
        <w:rPr>
          <w:lang w:val="en-US"/>
        </w:rPr>
        <w:t xml:space="preserve"> V, </w:t>
      </w:r>
      <w:r w:rsidR="00A82ABE" w:rsidRPr="00CC562A">
        <w:rPr>
          <w:lang w:val="en-US"/>
        </w:rPr>
        <w:t xml:space="preserve">October </w:t>
      </w:r>
      <w:r w:rsidR="4D1A0B04" w:rsidRPr="00CC562A">
        <w:rPr>
          <w:lang w:val="en-US"/>
        </w:rPr>
        <w:t xml:space="preserve">2022 </w:t>
      </w:r>
      <w:r w:rsidR="00A82ABE" w:rsidRPr="00CC562A">
        <w:rPr>
          <w:lang w:val="en-US"/>
        </w:rPr>
        <w:t xml:space="preserve">through the Inter-American </w:t>
      </w:r>
      <w:r w:rsidR="4D1A0B04" w:rsidRPr="00CC562A">
        <w:rPr>
          <w:lang w:val="en-US"/>
        </w:rPr>
        <w:t>SIMORE.</w:t>
      </w:r>
    </w:p>
  </w:footnote>
  <w:footnote w:id="97">
    <w:p w14:paraId="44EF0818" w14:textId="0C39C6DF" w:rsidR="00086C08" w:rsidRPr="00CC562A" w:rsidRDefault="00086C08" w:rsidP="00086C08">
      <w:pPr>
        <w:pStyle w:val="FootnoteText"/>
        <w:ind w:firstLine="720"/>
        <w:rPr>
          <w:lang w:val="en-US"/>
        </w:rPr>
      </w:pPr>
      <w:r w:rsidRPr="00CC562A">
        <w:rPr>
          <w:rStyle w:val="FootnoteReference"/>
        </w:rPr>
        <w:footnoteRef/>
      </w:r>
      <w:r w:rsidRPr="00CC562A">
        <w:rPr>
          <w:lang w:val="en-US"/>
        </w:rPr>
        <w:t xml:space="preserve"> </w:t>
      </w:r>
      <w:r w:rsidR="00265E79" w:rsidRPr="00CC562A">
        <w:rPr>
          <w:lang w:val="en-US"/>
        </w:rPr>
        <w:t>State of Mexico, OAS Note</w:t>
      </w:r>
      <w:r w:rsidRPr="00CC562A">
        <w:rPr>
          <w:lang w:val="en-US"/>
        </w:rPr>
        <w:t xml:space="preserve"> OEA 517 </w:t>
      </w:r>
      <w:r w:rsidR="00265E79" w:rsidRPr="00CC562A">
        <w:rPr>
          <w:lang w:val="en-US"/>
        </w:rPr>
        <w:t>of February 17,</w:t>
      </w:r>
      <w:r w:rsidRPr="00CC562A">
        <w:rPr>
          <w:lang w:val="en-US"/>
        </w:rPr>
        <w:t xml:space="preserve"> 2023. Observa</w:t>
      </w:r>
      <w:r w:rsidR="00265E79" w:rsidRPr="00CC562A">
        <w:rPr>
          <w:lang w:val="en-US"/>
        </w:rPr>
        <w:t>tions on the preliminary version of the report</w:t>
      </w:r>
      <w:r w:rsidRPr="00CC562A">
        <w:rPr>
          <w:lang w:val="en-US"/>
        </w:rPr>
        <w:t>.</w:t>
      </w:r>
    </w:p>
  </w:footnote>
  <w:footnote w:id="98">
    <w:p w14:paraId="22B3E0E6" w14:textId="69AB0050"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4D1A0B04" w:rsidRPr="00CC562A">
        <w:rPr>
          <w:lang w:val="en-US"/>
        </w:rPr>
        <w:t xml:space="preserve">. </w:t>
      </w:r>
      <w:r w:rsidR="00F73F53" w:rsidRPr="00CC562A">
        <w:rPr>
          <w:lang w:val="en-US"/>
        </w:rPr>
        <w:t>Chapter</w:t>
      </w:r>
      <w:r w:rsidR="4D1A0B04" w:rsidRPr="00CC562A">
        <w:rPr>
          <w:lang w:val="en-US"/>
        </w:rPr>
        <w:t xml:space="preserve"> V, </w:t>
      </w:r>
      <w:r w:rsidR="00F73F53" w:rsidRPr="00CC562A">
        <w:rPr>
          <w:lang w:val="en-US"/>
        </w:rPr>
        <w:t>October</w:t>
      </w:r>
      <w:r w:rsidR="4D1A0B04" w:rsidRPr="00CC562A">
        <w:rPr>
          <w:lang w:val="en-US"/>
        </w:rPr>
        <w:t xml:space="preserve"> 2022 </w:t>
      </w:r>
      <w:r w:rsidR="00736A6B" w:rsidRPr="00CC562A">
        <w:rPr>
          <w:lang w:val="en-US"/>
        </w:rPr>
        <w:t>through the Inter-American SIMORE.</w:t>
      </w:r>
    </w:p>
  </w:footnote>
  <w:footnote w:id="99">
    <w:p w14:paraId="36A69B58" w14:textId="5DE7F7CA" w:rsidR="005845AC" w:rsidRPr="00CC562A" w:rsidRDefault="005845AC"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00C64165" w:rsidRPr="00CC562A">
        <w:rPr>
          <w:lang w:val="en-US"/>
        </w:rPr>
        <w:t xml:space="preserve">. </w:t>
      </w:r>
      <w:proofErr w:type="spellStart"/>
      <w:r w:rsidR="00C64165" w:rsidRPr="00CC562A">
        <w:rPr>
          <w:lang w:val="es-ES"/>
        </w:rPr>
        <w:t>Chapter</w:t>
      </w:r>
      <w:proofErr w:type="spellEnd"/>
      <w:r w:rsidR="4D1A0B04" w:rsidRPr="00CC562A">
        <w:rPr>
          <w:lang w:val="es-ES"/>
        </w:rPr>
        <w:t xml:space="preserve"> V, </w:t>
      </w:r>
      <w:proofErr w:type="spellStart"/>
      <w:r w:rsidR="00C64165" w:rsidRPr="00CC562A">
        <w:rPr>
          <w:lang w:val="es-ES"/>
        </w:rPr>
        <w:t>October</w:t>
      </w:r>
      <w:proofErr w:type="spellEnd"/>
      <w:r w:rsidR="4D1A0B04" w:rsidRPr="00CC562A">
        <w:rPr>
          <w:lang w:val="es-ES"/>
        </w:rPr>
        <w:t xml:space="preserve"> 2022 </w:t>
      </w:r>
      <w:proofErr w:type="spellStart"/>
      <w:r w:rsidR="00C64165" w:rsidRPr="00CC562A">
        <w:rPr>
          <w:lang w:val="es-ES"/>
        </w:rPr>
        <w:t>through</w:t>
      </w:r>
      <w:proofErr w:type="spellEnd"/>
      <w:r w:rsidR="00C64165" w:rsidRPr="00CC562A">
        <w:rPr>
          <w:lang w:val="es-ES"/>
        </w:rPr>
        <w:t xml:space="preserve"> </w:t>
      </w:r>
      <w:proofErr w:type="spellStart"/>
      <w:r w:rsidR="00C64165" w:rsidRPr="00CC562A">
        <w:rPr>
          <w:lang w:val="es-ES"/>
        </w:rPr>
        <w:t>the</w:t>
      </w:r>
      <w:proofErr w:type="spellEnd"/>
      <w:r w:rsidR="00C64165" w:rsidRPr="00CC562A">
        <w:rPr>
          <w:lang w:val="es-ES"/>
        </w:rPr>
        <w:t xml:space="preserve"> Inter-American </w:t>
      </w:r>
      <w:r w:rsidR="4D1A0B04" w:rsidRPr="00CC562A">
        <w:rPr>
          <w:lang w:val="es-ES"/>
        </w:rPr>
        <w:t>SIMORE.</w:t>
      </w:r>
    </w:p>
  </w:footnote>
  <w:footnote w:id="100">
    <w:p w14:paraId="6A2ED28E" w14:textId="09719B82" w:rsidR="00086C08" w:rsidRPr="00CC562A" w:rsidRDefault="00086C08" w:rsidP="00A92391">
      <w:pPr>
        <w:pStyle w:val="NoSpacing"/>
        <w:ind w:firstLine="720"/>
        <w:jc w:val="both"/>
        <w:rPr>
          <w:rFonts w:ascii="Cambria" w:hAnsi="Cambria"/>
          <w:sz w:val="16"/>
          <w:szCs w:val="16"/>
          <w:lang w:val="en-US"/>
        </w:rPr>
      </w:pPr>
      <w:r w:rsidRPr="00CC562A">
        <w:rPr>
          <w:rStyle w:val="FootnoteReference"/>
          <w:rFonts w:ascii="Cambria" w:hAnsi="Cambria"/>
          <w:sz w:val="16"/>
          <w:szCs w:val="16"/>
        </w:rPr>
        <w:footnoteRef/>
      </w:r>
      <w:r w:rsidRPr="00CC562A">
        <w:rPr>
          <w:rFonts w:ascii="Cambria" w:hAnsi="Cambria"/>
          <w:sz w:val="16"/>
          <w:szCs w:val="16"/>
        </w:rPr>
        <w:t xml:space="preserve"> Informe de avance del Estado mexicano sobre el cumplimiento y seguimiento de las recomendaciones de la CIDH. </w:t>
      </w:r>
      <w:proofErr w:type="spellStart"/>
      <w:r w:rsidRPr="00A63873">
        <w:rPr>
          <w:rFonts w:ascii="Cambria" w:hAnsi="Cambria"/>
          <w:sz w:val="16"/>
          <w:szCs w:val="16"/>
          <w:lang w:val="en-US"/>
        </w:rPr>
        <w:t>Capítulo</w:t>
      </w:r>
      <w:proofErr w:type="spellEnd"/>
      <w:r w:rsidRPr="00A63873">
        <w:rPr>
          <w:rFonts w:ascii="Cambria" w:hAnsi="Cambria"/>
          <w:sz w:val="16"/>
          <w:szCs w:val="16"/>
          <w:lang w:val="en-US"/>
        </w:rPr>
        <w:t xml:space="preserve"> V, de </w:t>
      </w:r>
      <w:proofErr w:type="spellStart"/>
      <w:r w:rsidRPr="00A63873">
        <w:rPr>
          <w:rFonts w:ascii="Cambria" w:hAnsi="Cambria"/>
          <w:sz w:val="16"/>
          <w:szCs w:val="16"/>
          <w:lang w:val="en-US"/>
        </w:rPr>
        <w:t>octubre</w:t>
      </w:r>
      <w:proofErr w:type="spellEnd"/>
      <w:r w:rsidRPr="00A63873">
        <w:rPr>
          <w:rFonts w:ascii="Cambria" w:hAnsi="Cambria"/>
          <w:sz w:val="16"/>
          <w:szCs w:val="16"/>
          <w:lang w:val="en-US"/>
        </w:rPr>
        <w:t xml:space="preserve"> de 2022 a </w:t>
      </w:r>
      <w:proofErr w:type="spellStart"/>
      <w:r w:rsidRPr="00A63873">
        <w:rPr>
          <w:rFonts w:ascii="Cambria" w:hAnsi="Cambria"/>
          <w:sz w:val="16"/>
          <w:szCs w:val="16"/>
          <w:lang w:val="en-US"/>
        </w:rPr>
        <w:t>través</w:t>
      </w:r>
      <w:proofErr w:type="spellEnd"/>
      <w:r w:rsidRPr="00A63873">
        <w:rPr>
          <w:rFonts w:ascii="Cambria" w:hAnsi="Cambria"/>
          <w:sz w:val="16"/>
          <w:szCs w:val="16"/>
          <w:lang w:val="en-US"/>
        </w:rPr>
        <w:t xml:space="preserve"> del SIMORE Interamericano. </w:t>
      </w:r>
      <w:r w:rsidR="00265E79" w:rsidRPr="00CC562A">
        <w:rPr>
          <w:rFonts w:ascii="Cambria" w:hAnsi="Cambria"/>
          <w:sz w:val="16"/>
          <w:szCs w:val="16"/>
          <w:lang w:val="en-US"/>
        </w:rPr>
        <w:t>The data provided are an update carried out by the State of Mexico. OAS Note</w:t>
      </w:r>
      <w:r w:rsidRPr="00CC562A">
        <w:rPr>
          <w:rFonts w:ascii="Cambria" w:hAnsi="Cambria"/>
          <w:sz w:val="16"/>
          <w:szCs w:val="16"/>
          <w:lang w:val="en-US"/>
        </w:rPr>
        <w:t xml:space="preserve"> 517 </w:t>
      </w:r>
      <w:r w:rsidR="00265E79" w:rsidRPr="00CC562A">
        <w:rPr>
          <w:rFonts w:ascii="Cambria" w:hAnsi="Cambria"/>
          <w:sz w:val="16"/>
          <w:szCs w:val="16"/>
          <w:lang w:val="en-US"/>
        </w:rPr>
        <w:t>of February 17,</w:t>
      </w:r>
      <w:r w:rsidRPr="00CC562A">
        <w:rPr>
          <w:rFonts w:ascii="Cambria" w:hAnsi="Cambria"/>
          <w:sz w:val="16"/>
          <w:szCs w:val="16"/>
          <w:lang w:val="en-US"/>
        </w:rPr>
        <w:t xml:space="preserve"> 2023. Observa</w:t>
      </w:r>
      <w:r w:rsidR="00265E79" w:rsidRPr="00CC562A">
        <w:rPr>
          <w:rFonts w:ascii="Cambria" w:hAnsi="Cambria"/>
          <w:sz w:val="16"/>
          <w:szCs w:val="16"/>
          <w:lang w:val="en-US"/>
        </w:rPr>
        <w:t>tions on the preliminary version of the report</w:t>
      </w:r>
      <w:r w:rsidRPr="00CC562A">
        <w:rPr>
          <w:rFonts w:ascii="Cambria" w:hAnsi="Cambria"/>
          <w:sz w:val="16"/>
          <w:szCs w:val="16"/>
          <w:lang w:val="en-US"/>
        </w:rPr>
        <w:t>.</w:t>
      </w:r>
    </w:p>
  </w:footnote>
  <w:footnote w:id="101">
    <w:p w14:paraId="732F5D64" w14:textId="3E8E75C0" w:rsidR="007920E4" w:rsidRPr="00CC562A" w:rsidRDefault="007920E4"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004E0B7E" w:rsidRPr="00CC562A">
        <w:rPr>
          <w:lang w:val="es-ES"/>
        </w:rPr>
        <w:t>IACHR</w:t>
      </w:r>
      <w:r w:rsidR="4D1A0B04" w:rsidRPr="00CC562A">
        <w:rPr>
          <w:lang w:val="es-ES"/>
        </w:rPr>
        <w:t xml:space="preserve">, </w:t>
      </w:r>
      <w:hyperlink r:id="rId39" w:history="1">
        <w:r w:rsidR="4D1A0B04" w:rsidRPr="00CC562A">
          <w:rPr>
            <w:rStyle w:val="Hyperlink"/>
            <w:lang w:val="es-ES"/>
          </w:rPr>
          <w:t>Tercer Informe del Mecanismo Especial de Seguimiento al Asunto Ayotzinapa (MESA) Avances y seguimiento del cumplimiento de la Medida Cautelar MC/409/14</w:t>
        </w:r>
      </w:hyperlink>
      <w:r w:rsidR="4D1A0B04" w:rsidRPr="00CC562A">
        <w:rPr>
          <w:lang w:val="es-ES"/>
        </w:rPr>
        <w:t>, OEA/</w:t>
      </w:r>
      <w:proofErr w:type="spellStart"/>
      <w:r w:rsidR="4D1A0B04" w:rsidRPr="00CC562A">
        <w:rPr>
          <w:lang w:val="es-ES"/>
        </w:rPr>
        <w:t>Ser.L</w:t>
      </w:r>
      <w:proofErr w:type="spellEnd"/>
      <w:r w:rsidR="4D1A0B04" w:rsidRPr="00CC562A">
        <w:rPr>
          <w:lang w:val="es-ES"/>
        </w:rPr>
        <w:t xml:space="preserve">/V/II. Doc. 270 </w:t>
      </w:r>
      <w:proofErr w:type="spellStart"/>
      <w:r w:rsidR="00340166" w:rsidRPr="00CC562A">
        <w:rPr>
          <w:lang w:val="es-ES"/>
        </w:rPr>
        <w:t>November</w:t>
      </w:r>
      <w:proofErr w:type="spellEnd"/>
      <w:r w:rsidR="00340166" w:rsidRPr="00CC562A">
        <w:rPr>
          <w:lang w:val="es-ES"/>
        </w:rPr>
        <w:t xml:space="preserve"> 8, </w:t>
      </w:r>
      <w:r w:rsidR="4D1A0B04" w:rsidRPr="00CC562A">
        <w:rPr>
          <w:lang w:val="es-ES"/>
        </w:rPr>
        <w:t>2022.</w:t>
      </w:r>
    </w:p>
  </w:footnote>
  <w:footnote w:id="102">
    <w:p w14:paraId="09825E45" w14:textId="27903A77" w:rsidR="005845AC" w:rsidRPr="00CC562A" w:rsidRDefault="005845AC"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007D5153" w:rsidRPr="00CC562A">
        <w:rPr>
          <w:lang w:val="en-US"/>
        </w:rPr>
        <w:t>. Chapter</w:t>
      </w:r>
      <w:r w:rsidR="4D1A0B04" w:rsidRPr="00CC562A">
        <w:rPr>
          <w:lang w:val="en-US"/>
        </w:rPr>
        <w:t xml:space="preserve"> V, </w:t>
      </w:r>
      <w:r w:rsidR="007D5153" w:rsidRPr="00CC562A">
        <w:rPr>
          <w:lang w:val="en-US"/>
        </w:rPr>
        <w:t>October</w:t>
      </w:r>
      <w:r w:rsidR="4D1A0B04" w:rsidRPr="00CC562A">
        <w:rPr>
          <w:lang w:val="en-US"/>
        </w:rPr>
        <w:t xml:space="preserve"> 2022 </w:t>
      </w:r>
      <w:r w:rsidR="007D5153" w:rsidRPr="00CC562A">
        <w:rPr>
          <w:lang w:val="en-US"/>
        </w:rPr>
        <w:t>through the Inter-American SIMORE.</w:t>
      </w:r>
    </w:p>
  </w:footnote>
  <w:footnote w:id="103">
    <w:p w14:paraId="19D27444" w14:textId="34AFE63A" w:rsidR="00086C08" w:rsidRPr="00CC562A" w:rsidRDefault="00086C08" w:rsidP="00086C08">
      <w:pPr>
        <w:pStyle w:val="FootnoteText"/>
        <w:ind w:firstLine="720"/>
        <w:rPr>
          <w:lang w:val="en-US"/>
        </w:rPr>
      </w:pPr>
      <w:r w:rsidRPr="00CC562A">
        <w:rPr>
          <w:rStyle w:val="FootnoteReference"/>
          <w:lang w:val="en-US"/>
        </w:rPr>
        <w:footnoteRef/>
      </w:r>
      <w:r w:rsidRPr="00CC562A">
        <w:rPr>
          <w:lang w:val="en-US"/>
        </w:rPr>
        <w:t xml:space="preserve"> </w:t>
      </w:r>
      <w:r w:rsidR="004A3889" w:rsidRPr="00CC562A">
        <w:rPr>
          <w:lang w:val="en-US"/>
        </w:rPr>
        <w:t>State of Mexico, OAS Note</w:t>
      </w:r>
      <w:r w:rsidRPr="00CC562A">
        <w:rPr>
          <w:lang w:val="en-US"/>
        </w:rPr>
        <w:t xml:space="preserve"> 517 </w:t>
      </w:r>
      <w:r w:rsidR="004A3889" w:rsidRPr="00CC562A">
        <w:rPr>
          <w:lang w:val="en-US"/>
        </w:rPr>
        <w:t>of February 17,</w:t>
      </w:r>
      <w:r w:rsidRPr="00CC562A">
        <w:rPr>
          <w:lang w:val="en-US"/>
        </w:rPr>
        <w:t xml:space="preserve"> 2023. Observa</w:t>
      </w:r>
      <w:r w:rsidR="004A3889" w:rsidRPr="00CC562A">
        <w:rPr>
          <w:lang w:val="en-US"/>
        </w:rPr>
        <w:t>tions on the preliminary version of the report</w:t>
      </w:r>
      <w:r w:rsidRPr="00CC562A">
        <w:rPr>
          <w:lang w:val="en-US"/>
        </w:rPr>
        <w:t>.</w:t>
      </w:r>
    </w:p>
  </w:footnote>
  <w:footnote w:id="104">
    <w:p w14:paraId="2EEA5D49" w14:textId="136355E6"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862596" w:rsidRPr="00CC562A">
        <w:rPr>
          <w:lang w:val="en-US"/>
        </w:rPr>
        <w:t>State of Mexico. OAS Note</w:t>
      </w:r>
      <w:r w:rsidRPr="00CC562A">
        <w:rPr>
          <w:lang w:val="en-US"/>
        </w:rPr>
        <w:t xml:space="preserve"> 517 </w:t>
      </w:r>
      <w:r w:rsidR="00862596" w:rsidRPr="00CC562A">
        <w:rPr>
          <w:lang w:val="en-US"/>
        </w:rPr>
        <w:t>of February 17,</w:t>
      </w:r>
      <w:r w:rsidRPr="00CC562A">
        <w:rPr>
          <w:lang w:val="en-US"/>
        </w:rPr>
        <w:t xml:space="preserve"> 2023. Observa</w:t>
      </w:r>
      <w:r w:rsidR="00862596" w:rsidRPr="00CC562A">
        <w:rPr>
          <w:lang w:val="en-US"/>
        </w:rPr>
        <w:t xml:space="preserve">tions on the preliminary </w:t>
      </w:r>
      <w:r w:rsidR="00E7400E" w:rsidRPr="00CC562A">
        <w:rPr>
          <w:lang w:val="en-US"/>
        </w:rPr>
        <w:t>version</w:t>
      </w:r>
      <w:r w:rsidR="00862596" w:rsidRPr="00CC562A">
        <w:rPr>
          <w:lang w:val="en-US"/>
        </w:rPr>
        <w:t xml:space="preserve"> of the report</w:t>
      </w:r>
      <w:r w:rsidRPr="00CC562A">
        <w:rPr>
          <w:lang w:val="en-US"/>
        </w:rPr>
        <w:t>.</w:t>
      </w:r>
    </w:p>
  </w:footnote>
  <w:footnote w:id="105">
    <w:p w14:paraId="47CDC0EB" w14:textId="2AD8A0D4" w:rsidR="00A331D2" w:rsidRPr="00CC562A" w:rsidRDefault="00A331D2"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4E08F9" w:rsidRPr="00CC562A">
        <w:rPr>
          <w:rFonts w:ascii="Cambria" w:hAnsi="Cambria"/>
          <w:sz w:val="16"/>
          <w:szCs w:val="16"/>
          <w:lang w:val="en-US"/>
        </w:rPr>
        <w:t>Follow-up on compliance with the recommendation in the report on the “Situation of Human Rights in Mexico,” October 20,</w:t>
      </w:r>
      <w:r w:rsidR="4D1A0B04" w:rsidRPr="00CC562A">
        <w:rPr>
          <w:rFonts w:ascii="Cambria" w:hAnsi="Cambria"/>
          <w:sz w:val="16"/>
          <w:szCs w:val="16"/>
          <w:lang w:val="en-US"/>
        </w:rPr>
        <w:t xml:space="preserve"> 2022, </w:t>
      </w:r>
      <w:r w:rsidR="004E0B7E" w:rsidRPr="00CC562A">
        <w:rPr>
          <w:rFonts w:ascii="Cambria" w:hAnsi="Cambria"/>
          <w:sz w:val="16"/>
          <w:szCs w:val="16"/>
          <w:lang w:val="en-US"/>
        </w:rPr>
        <w:t>pp.</w:t>
      </w:r>
      <w:r w:rsidR="4D1A0B04" w:rsidRPr="00CC562A">
        <w:rPr>
          <w:rFonts w:ascii="Cambria" w:hAnsi="Cambria"/>
          <w:sz w:val="16"/>
          <w:szCs w:val="16"/>
          <w:lang w:val="en-US"/>
        </w:rPr>
        <w:t xml:space="preserve"> 16- 17.</w:t>
      </w:r>
    </w:p>
  </w:footnote>
  <w:footnote w:id="106">
    <w:p w14:paraId="6386C2A8" w14:textId="6045F9D9" w:rsidR="000204EB" w:rsidRPr="00CC562A" w:rsidRDefault="000204EB"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8F9" w:rsidRPr="00CC562A">
        <w:rPr>
          <w:lang w:val="en-US"/>
        </w:rPr>
        <w:t xml:space="preserve">Eleventh District Court in Administrative Matters of Mexico City under Indirect Appeal No. </w:t>
      </w:r>
      <w:r w:rsidR="4D1A0B04" w:rsidRPr="00CC562A">
        <w:rPr>
          <w:rFonts w:eastAsia="Cambria" w:cs="Cambria"/>
          <w:lang w:val="en-US"/>
        </w:rPr>
        <w:t xml:space="preserve">568/2022. </w:t>
      </w:r>
      <w:r w:rsidR="00237512" w:rsidRPr="00CC562A">
        <w:rPr>
          <w:rFonts w:eastAsia="Cambria" w:cs="Cambria"/>
          <w:lang w:val="en-US"/>
        </w:rPr>
        <w:t>The Tenth Collegiate Court in Administrative Matters of the First Circuit heard the complaint proceeding.</w:t>
      </w:r>
      <w:r w:rsidRPr="00CC562A">
        <w:rPr>
          <w:rFonts w:eastAsia="Cambria" w:cs="Cambria"/>
          <w:lang w:val="en-US"/>
        </w:rPr>
        <w:softHyphen/>
      </w:r>
    </w:p>
  </w:footnote>
  <w:footnote w:id="107">
    <w:p w14:paraId="1DBA2D6B" w14:textId="58F5B99F" w:rsidR="00861D6F" w:rsidRPr="00CC562A" w:rsidRDefault="00861D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rFonts w:cs="Times New Roman"/>
          <w:lang w:val="en-US"/>
        </w:rPr>
        <w:t>IACHR</w:t>
      </w:r>
      <w:r w:rsidR="4D1A0B04" w:rsidRPr="00CC562A">
        <w:rPr>
          <w:rFonts w:cs="Times New Roman"/>
          <w:lang w:val="en-US"/>
        </w:rPr>
        <w:t xml:space="preserve">, </w:t>
      </w:r>
      <w:hyperlink r:id="rId40" w:history="1">
        <w:r w:rsidR="00750392" w:rsidRPr="00CC562A">
          <w:rPr>
            <w:rStyle w:val="Hyperlink"/>
            <w:rFonts w:cs="Times New Roman"/>
            <w:lang w:val="en-US"/>
          </w:rPr>
          <w:t>Annual Report</w:t>
        </w:r>
        <w:r w:rsidR="4D1A0B04" w:rsidRPr="00CC562A">
          <w:rPr>
            <w:rStyle w:val="Hyperlink"/>
            <w:rFonts w:cs="Times New Roman"/>
            <w:lang w:val="en-US"/>
          </w:rPr>
          <w:t xml:space="preserve">. </w:t>
        </w:r>
        <w:r w:rsidR="00340166" w:rsidRPr="00CC562A">
          <w:rPr>
            <w:rStyle w:val="Hyperlink"/>
            <w:rFonts w:cs="Times New Roman"/>
            <w:lang w:val="en-US"/>
          </w:rPr>
          <w:t>Chapter</w:t>
        </w:r>
        <w:r w:rsidR="4D1A0B04" w:rsidRPr="00CC562A">
          <w:rPr>
            <w:rStyle w:val="Hyperlink"/>
            <w:rFonts w:cs="Times New Roman"/>
            <w:lang w:val="en-US"/>
          </w:rPr>
          <w:t xml:space="preserve"> V</w:t>
        </w:r>
      </w:hyperlink>
      <w:r w:rsidR="4D1A0B04" w:rsidRPr="00CC562A">
        <w:rPr>
          <w:rFonts w:cs="Times New Roman"/>
          <w:lang w:val="en-US"/>
        </w:rPr>
        <w:t>, Me</w:t>
      </w:r>
      <w:r w:rsidR="00340166" w:rsidRPr="00CC562A">
        <w:rPr>
          <w:rFonts w:cs="Times New Roman"/>
          <w:lang w:val="en-US"/>
        </w:rPr>
        <w:t>x</w:t>
      </w:r>
      <w:r w:rsidR="4D1A0B04" w:rsidRPr="00CC562A">
        <w:rPr>
          <w:rFonts w:cs="Times New Roman"/>
          <w:lang w:val="en-US"/>
        </w:rPr>
        <w:t>ico, 2019.</w:t>
      </w:r>
    </w:p>
  </w:footnote>
  <w:footnote w:id="108">
    <w:p w14:paraId="0A6D1C78" w14:textId="14E45587" w:rsidR="00861D6F" w:rsidRPr="00CC562A" w:rsidRDefault="00861D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w:t>
      </w:r>
      <w:r w:rsidR="4D1A0B04" w:rsidRPr="00CC562A">
        <w:rPr>
          <w:lang w:val="en-US"/>
        </w:rPr>
        <w:t xml:space="preserve">. </w:t>
      </w:r>
      <w:r w:rsidR="00F73F53" w:rsidRPr="00CC562A">
        <w:rPr>
          <w:lang w:val="en-US"/>
        </w:rPr>
        <w:t>Chapter</w:t>
      </w:r>
      <w:r w:rsidR="4D1A0B04" w:rsidRPr="00CC562A">
        <w:rPr>
          <w:lang w:val="en-US"/>
        </w:rPr>
        <w:t xml:space="preserve"> V, </w:t>
      </w:r>
      <w:r w:rsidR="00F73F53" w:rsidRPr="00CC562A">
        <w:rPr>
          <w:lang w:val="en-US"/>
        </w:rPr>
        <w:t xml:space="preserve">October </w:t>
      </w:r>
      <w:r w:rsidR="4D1A0B04" w:rsidRPr="00CC562A">
        <w:rPr>
          <w:lang w:val="en-US"/>
        </w:rPr>
        <w:t xml:space="preserve">2022 </w:t>
      </w:r>
      <w:r w:rsidR="00736A6B" w:rsidRPr="00CC562A">
        <w:rPr>
          <w:lang w:val="en-US"/>
        </w:rPr>
        <w:t>through the Inter-American SIMORE.</w:t>
      </w:r>
    </w:p>
  </w:footnote>
  <w:footnote w:id="109">
    <w:p w14:paraId="16E9DCB9" w14:textId="11FF2259" w:rsidR="00861D6F" w:rsidRPr="00CC562A" w:rsidRDefault="00861D6F"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T</w:t>
      </w:r>
      <w:r w:rsidR="00340166" w:rsidRPr="00CC562A">
        <w:rPr>
          <w:rFonts w:ascii="Cambria" w:hAnsi="Cambria"/>
          <w:sz w:val="16"/>
          <w:szCs w:val="16"/>
          <w:lang w:val="en-US"/>
        </w:rPr>
        <w:t>hird</w:t>
      </w:r>
      <w:r w:rsidR="4D1A0B04" w:rsidRPr="00CC562A">
        <w:rPr>
          <w:rFonts w:ascii="Cambria" w:hAnsi="Cambria"/>
          <w:sz w:val="16"/>
          <w:szCs w:val="16"/>
          <w:lang w:val="en-US"/>
        </w:rPr>
        <w:t xml:space="preserve">. </w:t>
      </w:r>
      <w:r w:rsidR="00340166" w:rsidRPr="00CC562A">
        <w:rPr>
          <w:rFonts w:ascii="Cambria" w:hAnsi="Cambria"/>
          <w:sz w:val="16"/>
          <w:szCs w:val="16"/>
          <w:lang w:val="en-US"/>
        </w:rPr>
        <w:t xml:space="preserve">Within no more than 180 days from the entry </w:t>
      </w:r>
      <w:r w:rsidR="00D77397" w:rsidRPr="00CC562A">
        <w:rPr>
          <w:rFonts w:ascii="Cambria" w:hAnsi="Cambria"/>
          <w:sz w:val="16"/>
          <w:szCs w:val="16"/>
          <w:lang w:val="en-US"/>
        </w:rPr>
        <w:t>into force</w:t>
      </w:r>
      <w:r w:rsidR="00340166" w:rsidRPr="00CC562A">
        <w:rPr>
          <w:rFonts w:ascii="Cambria" w:hAnsi="Cambria"/>
          <w:sz w:val="16"/>
          <w:szCs w:val="16"/>
          <w:lang w:val="en-US"/>
        </w:rPr>
        <w:t xml:space="preserve"> of this decree, the legislature of each federative entity shall harmonize its legal framework in accordance with the law. General Law to Prevent, Investigate, and Punish Torture and Other Cruel and Inhuman Treatment</w:t>
      </w:r>
      <w:r w:rsidR="4D1A0B04" w:rsidRPr="00CC562A">
        <w:rPr>
          <w:rFonts w:ascii="Cambria" w:hAnsi="Cambria"/>
          <w:sz w:val="16"/>
          <w:szCs w:val="16"/>
          <w:lang w:val="en-US"/>
        </w:rPr>
        <w:t xml:space="preserve">. </w:t>
      </w:r>
    </w:p>
  </w:footnote>
  <w:footnote w:id="110">
    <w:p w14:paraId="24C5505E" w14:textId="5F97C16D" w:rsidR="00861D6F" w:rsidRPr="00CC562A" w:rsidRDefault="00861D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Progress report of the Mexican State on compliance with and follow-up to the recommendations of the IACHR. Chapter V, October 2022 through the Inter-American SIMORE</w:t>
      </w:r>
    </w:p>
  </w:footnote>
  <w:footnote w:id="111">
    <w:p w14:paraId="349B112A" w14:textId="49A79660" w:rsidR="000204EB" w:rsidRPr="00CC562A" w:rsidRDefault="000204EB"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112">
    <w:p w14:paraId="3BEE4B0E" w14:textId="6F4B6351" w:rsidR="000204EB" w:rsidRPr="00CC562A" w:rsidRDefault="000204EB"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SCJN, 2021. </w:t>
      </w:r>
      <w:r w:rsidR="00FC08FE" w:rsidRPr="00CC562A">
        <w:rPr>
          <w:rFonts w:ascii="Cambria" w:hAnsi="Cambria"/>
          <w:sz w:val="16"/>
          <w:szCs w:val="16"/>
          <w:lang w:val="en-US"/>
        </w:rPr>
        <w:t>Protocol for Judging Cases of Torture and Mistreatment of the Judicial Branch of the Federation, General Directorate of Human Rights of the Supreme Court of Justice of the Nation</w:t>
      </w:r>
      <w:r w:rsidR="4D1A0B04" w:rsidRPr="00CC562A">
        <w:rPr>
          <w:rFonts w:ascii="Cambria" w:hAnsi="Cambria"/>
          <w:sz w:val="16"/>
          <w:szCs w:val="16"/>
          <w:lang w:val="en-US"/>
        </w:rPr>
        <w:t xml:space="preserve"> </w:t>
      </w:r>
    </w:p>
  </w:footnote>
  <w:footnote w:id="113">
    <w:p w14:paraId="3FC226E9" w14:textId="4A4AF7BB" w:rsidR="000204EB" w:rsidRPr="00CC562A" w:rsidRDefault="000204EB"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114">
    <w:p w14:paraId="775B3707" w14:textId="18C1A53B"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0B4897" w:rsidRPr="00CC562A">
        <w:rPr>
          <w:lang w:val="en-US"/>
        </w:rPr>
        <w:t>State of Mexico, OAS Note</w:t>
      </w:r>
      <w:r w:rsidRPr="00CC562A">
        <w:rPr>
          <w:lang w:val="en-US"/>
        </w:rPr>
        <w:t xml:space="preserve"> 517 </w:t>
      </w:r>
      <w:r w:rsidR="000B4897" w:rsidRPr="00CC562A">
        <w:rPr>
          <w:lang w:val="en-US"/>
        </w:rPr>
        <w:t>of February 17,</w:t>
      </w:r>
      <w:r w:rsidRPr="00CC562A">
        <w:rPr>
          <w:lang w:val="en-US"/>
        </w:rPr>
        <w:t xml:space="preserve"> 2023. Observa</w:t>
      </w:r>
      <w:r w:rsidR="000B4897" w:rsidRPr="00CC562A">
        <w:rPr>
          <w:lang w:val="en-US"/>
        </w:rPr>
        <w:t>tions on the preliminary version of the report</w:t>
      </w:r>
      <w:r w:rsidRPr="00CC562A">
        <w:rPr>
          <w:lang w:val="en-US"/>
        </w:rPr>
        <w:t>.</w:t>
      </w:r>
    </w:p>
  </w:footnote>
  <w:footnote w:id="115">
    <w:p w14:paraId="633521E3" w14:textId="68C283CD" w:rsidR="00522749" w:rsidRPr="00CC562A" w:rsidRDefault="00522749"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F73F53" w:rsidRPr="00CC562A">
        <w:rPr>
          <w:lang w:val="en-US"/>
        </w:rPr>
        <w:t xml:space="preserve">Progress report of the Mexican State on compliance with and follow-up to the recommendations of the IACHR. Chapter V, October </w:t>
      </w:r>
      <w:r w:rsidR="00D77397" w:rsidRPr="00CC562A">
        <w:rPr>
          <w:lang w:val="en-US"/>
        </w:rPr>
        <w:t>2022 through</w:t>
      </w:r>
      <w:r w:rsidR="001273A0" w:rsidRPr="00CC562A">
        <w:rPr>
          <w:lang w:val="en-US"/>
        </w:rPr>
        <w:t xml:space="preserve"> the Inter-American </w:t>
      </w:r>
      <w:r w:rsidR="4D1A0B04" w:rsidRPr="00CC562A">
        <w:rPr>
          <w:lang w:val="en-US"/>
        </w:rPr>
        <w:t>SIMORE.</w:t>
      </w:r>
    </w:p>
  </w:footnote>
  <w:footnote w:id="116">
    <w:p w14:paraId="0861FE00" w14:textId="23C2CEFF" w:rsidR="00522749" w:rsidRPr="00CC562A" w:rsidRDefault="00522749"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INEGI, ENPOL 2021. D</w:t>
      </w:r>
      <w:r w:rsidR="001273A0" w:rsidRPr="00CC562A">
        <w:rPr>
          <w:lang w:val="en-US"/>
        </w:rPr>
        <w:t>ecember</w:t>
      </w:r>
      <w:r w:rsidR="4D1A0B04" w:rsidRPr="00CC562A">
        <w:rPr>
          <w:lang w:val="en-US"/>
        </w:rPr>
        <w:t xml:space="preserve"> 2021.</w:t>
      </w:r>
    </w:p>
  </w:footnote>
  <w:footnote w:id="117">
    <w:p w14:paraId="2B64E0A1" w14:textId="3B348209" w:rsidR="00ED6826" w:rsidRPr="00CC562A" w:rsidRDefault="00ED6826"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B572B8" w:rsidRPr="00CC562A">
        <w:rPr>
          <w:rFonts w:ascii="Cambria" w:hAnsi="Cambria"/>
          <w:sz w:val="16"/>
          <w:szCs w:val="16"/>
          <w:lang w:val="en-US"/>
        </w:rPr>
        <w:t xml:space="preserve">Follow-up of </w:t>
      </w:r>
      <w:r w:rsidR="00FC08FE" w:rsidRPr="00CC562A">
        <w:rPr>
          <w:rFonts w:ascii="Cambria" w:hAnsi="Cambria"/>
          <w:sz w:val="16"/>
          <w:szCs w:val="16"/>
          <w:lang w:val="en-US"/>
        </w:rPr>
        <w:t>C</w:t>
      </w:r>
      <w:r w:rsidR="00B572B8" w:rsidRPr="00CC562A">
        <w:rPr>
          <w:rFonts w:ascii="Cambria" w:hAnsi="Cambria"/>
          <w:sz w:val="16"/>
          <w:szCs w:val="16"/>
          <w:lang w:val="en-US"/>
        </w:rPr>
        <w:t xml:space="preserve">ompliance with </w:t>
      </w:r>
      <w:r w:rsidR="00FC08FE" w:rsidRPr="00CC562A">
        <w:rPr>
          <w:rFonts w:ascii="Cambria" w:hAnsi="Cambria"/>
          <w:sz w:val="16"/>
          <w:szCs w:val="16"/>
          <w:lang w:val="en-US"/>
        </w:rPr>
        <w:t>R</w:t>
      </w:r>
      <w:r w:rsidR="00B572B8" w:rsidRPr="00CC562A">
        <w:rPr>
          <w:rFonts w:ascii="Cambria" w:hAnsi="Cambria"/>
          <w:sz w:val="16"/>
          <w:szCs w:val="16"/>
          <w:lang w:val="en-US"/>
        </w:rPr>
        <w:t xml:space="preserve">ecommendations in the </w:t>
      </w:r>
      <w:r w:rsidR="00FC08FE" w:rsidRPr="00CC562A">
        <w:rPr>
          <w:rFonts w:ascii="Cambria" w:hAnsi="Cambria"/>
          <w:sz w:val="16"/>
          <w:szCs w:val="16"/>
          <w:lang w:val="en-US"/>
        </w:rPr>
        <w:t>R</w:t>
      </w:r>
      <w:r w:rsidR="00B572B8" w:rsidRPr="00CC562A">
        <w:rPr>
          <w:rFonts w:ascii="Cambria" w:hAnsi="Cambria"/>
          <w:sz w:val="16"/>
          <w:szCs w:val="16"/>
          <w:lang w:val="en-US"/>
        </w:rPr>
        <w:t>eport on the “Situation of Human Rights in Mexico,” October 20,</w:t>
      </w:r>
      <w:r w:rsidR="4D1A0B04" w:rsidRPr="00CC562A">
        <w:rPr>
          <w:rFonts w:ascii="Cambria" w:hAnsi="Cambria"/>
          <w:sz w:val="16"/>
          <w:szCs w:val="16"/>
          <w:lang w:val="en-US"/>
        </w:rPr>
        <w:t xml:space="preserve"> 2022, p. 17.</w:t>
      </w:r>
    </w:p>
  </w:footnote>
  <w:footnote w:id="118">
    <w:p w14:paraId="0E7411BA" w14:textId="48FCDE89"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734287" w:rsidRPr="00CC562A">
        <w:rPr>
          <w:lang w:val="en-US"/>
        </w:rPr>
        <w:t>State of Mexico, OAS Note</w:t>
      </w:r>
      <w:r w:rsidRPr="00CC562A">
        <w:rPr>
          <w:lang w:val="en-US"/>
        </w:rPr>
        <w:t xml:space="preserve"> 517 </w:t>
      </w:r>
      <w:r w:rsidR="00734287" w:rsidRPr="00CC562A">
        <w:rPr>
          <w:lang w:val="en-US"/>
        </w:rPr>
        <w:t>of February 17,</w:t>
      </w:r>
      <w:r w:rsidRPr="00CC562A">
        <w:rPr>
          <w:lang w:val="en-US"/>
        </w:rPr>
        <w:t xml:space="preserve"> 2023. Observa</w:t>
      </w:r>
      <w:r w:rsidR="00734287" w:rsidRPr="00CC562A">
        <w:rPr>
          <w:lang w:val="en-US"/>
        </w:rPr>
        <w:t>tions on the preliminary version of the report</w:t>
      </w:r>
      <w:r w:rsidRPr="00CC562A">
        <w:rPr>
          <w:lang w:val="en-US"/>
        </w:rPr>
        <w:t>.</w:t>
      </w:r>
    </w:p>
  </w:footnote>
  <w:footnote w:id="119">
    <w:p w14:paraId="3BEB5879" w14:textId="1701D977" w:rsidR="00861D6F" w:rsidRPr="00CC562A" w:rsidRDefault="00861D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INEGI, ENPOL 2021. </w:t>
      </w:r>
      <w:r w:rsidR="00B572B8" w:rsidRPr="00CC562A">
        <w:rPr>
          <w:lang w:val="en-US"/>
        </w:rPr>
        <w:t xml:space="preserve">December </w:t>
      </w:r>
      <w:r w:rsidR="4D1A0B04" w:rsidRPr="00CC562A">
        <w:rPr>
          <w:lang w:val="en-US"/>
        </w:rPr>
        <w:t>2021.</w:t>
      </w:r>
    </w:p>
  </w:footnote>
  <w:footnote w:id="120">
    <w:p w14:paraId="659C7581" w14:textId="2D6CE311"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826638" w:rsidRPr="00CC562A">
        <w:rPr>
          <w:lang w:val="en-US"/>
        </w:rPr>
        <w:t>through the Inter-American SIMORE</w:t>
      </w:r>
      <w:r w:rsidR="4D1A0B04" w:rsidRPr="00CC562A">
        <w:rPr>
          <w:lang w:val="en-US"/>
        </w:rPr>
        <w:t>.</w:t>
      </w:r>
    </w:p>
  </w:footnote>
  <w:footnote w:id="121">
    <w:p w14:paraId="206B9C03" w14:textId="65560A1C"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705048" w:rsidRPr="00CC562A">
        <w:rPr>
          <w:lang w:val="en-US"/>
        </w:rPr>
        <w:t>State of Mexico, OAS Note</w:t>
      </w:r>
      <w:r w:rsidRPr="00CC562A">
        <w:rPr>
          <w:lang w:val="en-US"/>
        </w:rPr>
        <w:t xml:space="preserve"> 517 </w:t>
      </w:r>
      <w:r w:rsidR="00705048" w:rsidRPr="00CC562A">
        <w:rPr>
          <w:lang w:val="en-US"/>
        </w:rPr>
        <w:t>of February 17,</w:t>
      </w:r>
      <w:r w:rsidRPr="00CC562A">
        <w:rPr>
          <w:lang w:val="en-US"/>
        </w:rPr>
        <w:t xml:space="preserve"> 2023. Observa</w:t>
      </w:r>
      <w:r w:rsidR="00705048" w:rsidRPr="00CC562A">
        <w:rPr>
          <w:lang w:val="en-US"/>
        </w:rPr>
        <w:t>tions on the preliminary version of the report</w:t>
      </w:r>
      <w:r w:rsidRPr="00CC562A">
        <w:rPr>
          <w:lang w:val="en-US"/>
        </w:rPr>
        <w:t>.</w:t>
      </w:r>
    </w:p>
  </w:footnote>
  <w:footnote w:id="122">
    <w:p w14:paraId="0EB59EFB" w14:textId="64DE0726" w:rsidR="008B6AE1" w:rsidRPr="00CC562A" w:rsidRDefault="008B6AE1"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CMDPDH. </w:t>
      </w:r>
      <w:r w:rsidR="00826638" w:rsidRPr="00CC562A">
        <w:rPr>
          <w:rFonts w:ascii="Cambria" w:hAnsi="Cambria"/>
          <w:sz w:val="16"/>
          <w:szCs w:val="16"/>
          <w:lang w:val="en-US"/>
        </w:rPr>
        <w:t xml:space="preserve">Follow-up of </w:t>
      </w:r>
      <w:r w:rsidR="00FC08FE" w:rsidRPr="00CC562A">
        <w:rPr>
          <w:rFonts w:ascii="Cambria" w:hAnsi="Cambria"/>
          <w:sz w:val="16"/>
          <w:szCs w:val="16"/>
          <w:lang w:val="en-US"/>
        </w:rPr>
        <w:t>C</w:t>
      </w:r>
      <w:r w:rsidR="00826638" w:rsidRPr="00CC562A">
        <w:rPr>
          <w:rFonts w:ascii="Cambria" w:hAnsi="Cambria"/>
          <w:sz w:val="16"/>
          <w:szCs w:val="16"/>
          <w:lang w:val="en-US"/>
        </w:rPr>
        <w:t xml:space="preserve">ompliance with </w:t>
      </w:r>
      <w:r w:rsidR="00FC08FE" w:rsidRPr="00CC562A">
        <w:rPr>
          <w:rFonts w:ascii="Cambria" w:hAnsi="Cambria"/>
          <w:sz w:val="16"/>
          <w:szCs w:val="16"/>
          <w:lang w:val="en-US"/>
        </w:rPr>
        <w:t>R</w:t>
      </w:r>
      <w:r w:rsidR="00826638" w:rsidRPr="00CC562A">
        <w:rPr>
          <w:rFonts w:ascii="Cambria" w:hAnsi="Cambria"/>
          <w:sz w:val="16"/>
          <w:szCs w:val="16"/>
          <w:lang w:val="en-US"/>
        </w:rPr>
        <w:t xml:space="preserve">ecommendations in the </w:t>
      </w:r>
      <w:r w:rsidR="00FC08FE" w:rsidRPr="00CC562A">
        <w:rPr>
          <w:rFonts w:ascii="Cambria" w:hAnsi="Cambria"/>
          <w:sz w:val="16"/>
          <w:szCs w:val="16"/>
          <w:lang w:val="en-US"/>
        </w:rPr>
        <w:t>R</w:t>
      </w:r>
      <w:r w:rsidR="00826638" w:rsidRPr="00CC562A">
        <w:rPr>
          <w:rFonts w:ascii="Cambria" w:hAnsi="Cambria"/>
          <w:sz w:val="16"/>
          <w:szCs w:val="16"/>
          <w:lang w:val="en-US"/>
        </w:rPr>
        <w:t>eport on the “Situation of Human Rights in Mexico,” of October 20,</w:t>
      </w:r>
      <w:r w:rsidR="4D1A0B04" w:rsidRPr="00CC562A">
        <w:rPr>
          <w:rFonts w:ascii="Cambria" w:hAnsi="Cambria"/>
          <w:sz w:val="16"/>
          <w:szCs w:val="16"/>
          <w:lang w:val="en-US"/>
        </w:rPr>
        <w:t xml:space="preserve"> 2022, </w:t>
      </w:r>
      <w:r w:rsidR="004E0B7E" w:rsidRPr="00CC562A">
        <w:rPr>
          <w:rFonts w:ascii="Cambria" w:hAnsi="Cambria"/>
          <w:sz w:val="16"/>
          <w:szCs w:val="16"/>
          <w:lang w:val="en-US"/>
        </w:rPr>
        <w:t>pp.</w:t>
      </w:r>
      <w:r w:rsidR="4D1A0B04" w:rsidRPr="00CC562A">
        <w:rPr>
          <w:rFonts w:ascii="Cambria" w:hAnsi="Cambria"/>
          <w:sz w:val="16"/>
          <w:szCs w:val="16"/>
          <w:lang w:val="en-US"/>
        </w:rPr>
        <w:t xml:space="preserve"> 14-16.</w:t>
      </w:r>
    </w:p>
  </w:footnote>
  <w:footnote w:id="123">
    <w:p w14:paraId="018861A6" w14:textId="2A7621DF"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C01682" w:rsidRPr="00CC562A">
        <w:rPr>
          <w:lang w:val="en-US"/>
        </w:rPr>
        <w:t>State of Mexico, OAS Note</w:t>
      </w:r>
      <w:r w:rsidRPr="00CC562A">
        <w:rPr>
          <w:lang w:val="en-US"/>
        </w:rPr>
        <w:t xml:space="preserve"> 517 </w:t>
      </w:r>
      <w:r w:rsidR="00C01682" w:rsidRPr="00CC562A">
        <w:rPr>
          <w:lang w:val="en-US"/>
        </w:rPr>
        <w:t>of February 17,</w:t>
      </w:r>
      <w:r w:rsidRPr="00CC562A">
        <w:rPr>
          <w:lang w:val="en-US"/>
        </w:rPr>
        <w:t xml:space="preserve"> 2023. Observa</w:t>
      </w:r>
      <w:r w:rsidR="00C01682" w:rsidRPr="00CC562A">
        <w:rPr>
          <w:lang w:val="en-US"/>
        </w:rPr>
        <w:t>tions on the preliminary version of the report</w:t>
      </w:r>
      <w:r w:rsidRPr="00CC562A">
        <w:rPr>
          <w:lang w:val="en-US"/>
        </w:rPr>
        <w:t>.</w:t>
      </w:r>
    </w:p>
  </w:footnote>
  <w:footnote w:id="124">
    <w:p w14:paraId="35B7FBF2" w14:textId="11710A6D" w:rsidR="00671684" w:rsidRPr="00CC562A" w:rsidRDefault="00671684" w:rsidP="007A58B5">
      <w:pPr>
        <w:spacing w:after="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FC08FE" w:rsidRPr="00CC562A">
        <w:rPr>
          <w:rFonts w:ascii="Cambria" w:hAnsi="Cambria"/>
          <w:sz w:val="16"/>
          <w:szCs w:val="16"/>
          <w:lang w:val="en-US"/>
        </w:rPr>
        <w:t xml:space="preserve">The </w:t>
      </w:r>
      <w:r w:rsidR="4D1A0B04" w:rsidRPr="00CC562A">
        <w:rPr>
          <w:rFonts w:ascii="Cambria" w:hAnsi="Cambria"/>
          <w:sz w:val="16"/>
          <w:szCs w:val="16"/>
          <w:lang w:val="en-US"/>
        </w:rPr>
        <w:t>FGR inclu</w:t>
      </w:r>
      <w:r w:rsidR="00FC08FE" w:rsidRPr="00CC562A">
        <w:rPr>
          <w:rFonts w:ascii="Cambria" w:hAnsi="Cambria"/>
          <w:sz w:val="16"/>
          <w:szCs w:val="16"/>
          <w:lang w:val="en-US"/>
        </w:rPr>
        <w:t xml:space="preserve">des complaints occurring since </w:t>
      </w:r>
      <w:r w:rsidR="4D1A0B04" w:rsidRPr="00CC562A">
        <w:rPr>
          <w:rFonts w:ascii="Cambria" w:hAnsi="Cambria"/>
          <w:sz w:val="16"/>
          <w:szCs w:val="16"/>
          <w:lang w:val="en-US"/>
        </w:rPr>
        <w:t xml:space="preserve">2006, </w:t>
      </w:r>
      <w:r w:rsidR="00FC08FE" w:rsidRPr="00CC562A">
        <w:rPr>
          <w:rFonts w:ascii="Cambria" w:hAnsi="Cambria"/>
          <w:sz w:val="16"/>
          <w:szCs w:val="16"/>
          <w:lang w:val="en-US"/>
        </w:rPr>
        <w:t xml:space="preserve">i.e., when it was the </w:t>
      </w:r>
      <w:r w:rsidR="4D1A0B04" w:rsidRPr="00CC562A">
        <w:rPr>
          <w:rFonts w:ascii="Cambria" w:hAnsi="Cambria"/>
          <w:sz w:val="16"/>
          <w:szCs w:val="16"/>
          <w:lang w:val="en-US"/>
        </w:rPr>
        <w:t xml:space="preserve">PGR. </w:t>
      </w:r>
      <w:r w:rsidR="006621FD" w:rsidRPr="00CC562A">
        <w:rPr>
          <w:rFonts w:ascii="Cambria" w:hAnsi="Cambria"/>
          <w:sz w:val="16"/>
          <w:szCs w:val="16"/>
          <w:lang w:val="en-US"/>
        </w:rPr>
        <w:t xml:space="preserve">Likewise, the Federal Police includes different affiliations and names from the period between </w:t>
      </w:r>
      <w:r w:rsidR="4D1A0B04" w:rsidRPr="00CC562A">
        <w:rPr>
          <w:rFonts w:ascii="Cambria" w:hAnsi="Cambria"/>
          <w:sz w:val="16"/>
          <w:szCs w:val="16"/>
          <w:lang w:val="en-US"/>
        </w:rPr>
        <w:t>2006 a</w:t>
      </w:r>
      <w:r w:rsidR="006621FD" w:rsidRPr="00CC562A">
        <w:rPr>
          <w:rFonts w:ascii="Cambria" w:hAnsi="Cambria"/>
          <w:sz w:val="16"/>
          <w:szCs w:val="16"/>
          <w:lang w:val="en-US"/>
        </w:rPr>
        <w:t>nd</w:t>
      </w:r>
      <w:r w:rsidR="4D1A0B04" w:rsidRPr="00CC562A">
        <w:rPr>
          <w:rFonts w:ascii="Cambria" w:hAnsi="Cambria"/>
          <w:sz w:val="16"/>
          <w:szCs w:val="16"/>
          <w:lang w:val="en-US"/>
        </w:rPr>
        <w:t xml:space="preserve"> 2021. </w:t>
      </w:r>
    </w:p>
  </w:footnote>
  <w:footnote w:id="125">
    <w:p w14:paraId="4D84673B" w14:textId="23D8F463"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26">
    <w:p w14:paraId="00F0CAA5" w14:textId="2AA622EC" w:rsidR="007677D2" w:rsidRPr="00CC562A" w:rsidRDefault="007677D2" w:rsidP="007677D2">
      <w:pPr>
        <w:pStyle w:val="FootnoteText"/>
        <w:ind w:firstLine="720"/>
        <w:rPr>
          <w:lang w:val="en-US"/>
        </w:rPr>
      </w:pPr>
      <w:r w:rsidRPr="00CC562A">
        <w:rPr>
          <w:rStyle w:val="FootnoteReference"/>
          <w:lang w:val="en-US"/>
        </w:rPr>
        <w:footnoteRef/>
      </w:r>
      <w:r w:rsidRPr="00CC562A">
        <w:rPr>
          <w:lang w:val="en-US"/>
        </w:rPr>
        <w:t xml:space="preserve"> </w:t>
      </w:r>
      <w:r w:rsidR="00C01682" w:rsidRPr="00CC562A">
        <w:rPr>
          <w:lang w:val="en-US"/>
        </w:rPr>
        <w:t>State of Mexico, OAS Note</w:t>
      </w:r>
      <w:r w:rsidRPr="00CC562A">
        <w:rPr>
          <w:lang w:val="en-US"/>
        </w:rPr>
        <w:t xml:space="preserve"> 517 </w:t>
      </w:r>
      <w:r w:rsidR="00C01682" w:rsidRPr="00CC562A">
        <w:rPr>
          <w:lang w:val="en-US"/>
        </w:rPr>
        <w:t>of February 17,</w:t>
      </w:r>
      <w:r w:rsidRPr="00CC562A">
        <w:rPr>
          <w:lang w:val="en-US"/>
        </w:rPr>
        <w:t xml:space="preserve"> 2023. Observa</w:t>
      </w:r>
      <w:r w:rsidR="00C01682" w:rsidRPr="00CC562A">
        <w:rPr>
          <w:lang w:val="en-US"/>
        </w:rPr>
        <w:t>tions on the preliminary version of the report</w:t>
      </w:r>
      <w:r w:rsidRPr="00CC562A">
        <w:rPr>
          <w:lang w:val="en-US"/>
        </w:rPr>
        <w:t>.</w:t>
      </w:r>
    </w:p>
  </w:footnote>
  <w:footnote w:id="127">
    <w:p w14:paraId="7B0418E1" w14:textId="691B0C45"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28">
    <w:p w14:paraId="57B10646" w14:textId="04D4AC1F" w:rsidR="00157391" w:rsidRPr="00CC562A" w:rsidRDefault="0015739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CMDPDH. </w:t>
      </w:r>
      <w:r w:rsidR="006621FD" w:rsidRPr="00CC562A">
        <w:rPr>
          <w:lang w:val="en-US"/>
        </w:rPr>
        <w:t>Follow-up on Compliance with Recommendations in the Report on the “Human Rights Situation in Mexico,” October 20,</w:t>
      </w:r>
      <w:r w:rsidR="4D1A0B04" w:rsidRPr="00CC562A">
        <w:rPr>
          <w:lang w:val="en-US"/>
        </w:rPr>
        <w:t xml:space="preserve"> 2022, </w:t>
      </w:r>
      <w:r w:rsidR="004E0B7E" w:rsidRPr="00CC562A">
        <w:rPr>
          <w:lang w:val="en-US"/>
        </w:rPr>
        <w:t>pp.</w:t>
      </w:r>
      <w:r w:rsidR="4D1A0B04" w:rsidRPr="00CC562A">
        <w:rPr>
          <w:lang w:val="en-US"/>
        </w:rPr>
        <w:t xml:space="preserve"> 4-5.</w:t>
      </w:r>
    </w:p>
  </w:footnote>
  <w:footnote w:id="129">
    <w:p w14:paraId="4F7C79E6" w14:textId="72A69A1E"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191347" w:rsidRPr="00CC562A">
        <w:rPr>
          <w:lang w:val="en-US"/>
        </w:rPr>
        <w:t>State of Mexico, OAS Note</w:t>
      </w:r>
      <w:r w:rsidRPr="00CC562A">
        <w:rPr>
          <w:lang w:val="en-US"/>
        </w:rPr>
        <w:t xml:space="preserve"> 517 </w:t>
      </w:r>
      <w:r w:rsidR="00191347" w:rsidRPr="00CC562A">
        <w:rPr>
          <w:lang w:val="en-US"/>
        </w:rPr>
        <w:t>of February 17,</w:t>
      </w:r>
      <w:r w:rsidRPr="00CC562A">
        <w:rPr>
          <w:lang w:val="en-US"/>
        </w:rPr>
        <w:t xml:space="preserve"> 2023. Observa</w:t>
      </w:r>
      <w:r w:rsidR="00191347" w:rsidRPr="00CC562A">
        <w:rPr>
          <w:lang w:val="en-US"/>
        </w:rPr>
        <w:t>tions on the preliminary version of the report</w:t>
      </w:r>
      <w:r w:rsidRPr="00CC562A">
        <w:rPr>
          <w:lang w:val="en-US"/>
        </w:rPr>
        <w:t>.</w:t>
      </w:r>
    </w:p>
  </w:footnote>
  <w:footnote w:id="130">
    <w:p w14:paraId="4E50725D" w14:textId="4F3265F8" w:rsidR="006364A9" w:rsidRPr="00CC562A" w:rsidRDefault="006364A9"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6621FD" w:rsidRPr="00CC562A">
        <w:rPr>
          <w:lang w:val="en-US"/>
        </w:rPr>
        <w:t>Follow-up on Compliance with Recommendations in the Report on the “Human Rights Situation in Mexico,” October 20, 2022</w:t>
      </w:r>
      <w:r w:rsidR="4D1A0B04" w:rsidRPr="00CC562A">
        <w:rPr>
          <w:rFonts w:eastAsia="Cambria" w:cs="Cambria"/>
          <w:color w:val="000000"/>
          <w:lang w:val="en-US"/>
        </w:rPr>
        <w:t xml:space="preserve">, </w:t>
      </w:r>
      <w:r w:rsidR="004E0B7E" w:rsidRPr="00CC562A">
        <w:rPr>
          <w:rFonts w:eastAsia="Cambria" w:cs="Cambria"/>
          <w:color w:val="000000"/>
          <w:lang w:val="en-US"/>
        </w:rPr>
        <w:t>pp.</w:t>
      </w:r>
      <w:r w:rsidR="4D1A0B04" w:rsidRPr="00CC562A">
        <w:rPr>
          <w:rFonts w:eastAsia="Cambria" w:cs="Cambria"/>
          <w:color w:val="000000"/>
          <w:lang w:val="en-US"/>
        </w:rPr>
        <w:t xml:space="preserve"> 17-18.</w:t>
      </w:r>
    </w:p>
  </w:footnote>
  <w:footnote w:id="131">
    <w:p w14:paraId="7F403A11" w14:textId="3F5D5580" w:rsidR="006364A9" w:rsidRPr="00CC562A" w:rsidRDefault="006364A9" w:rsidP="007A58B5">
      <w:pPr>
        <w:pStyle w:val="NormalWeb"/>
        <w:spacing w:beforeAutospacing="0" w:after="0" w:afterAutospacing="0" w:line="240" w:lineRule="auto"/>
        <w:ind w:firstLine="720"/>
        <w:jc w:val="both"/>
        <w:rPr>
          <w:rFonts w:ascii="Cambria" w:hAnsi="Cambria"/>
          <w:sz w:val="16"/>
          <w:szCs w:val="16"/>
          <w:lang w:val="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6621FD" w:rsidRPr="00CC562A">
        <w:rPr>
          <w:rFonts w:ascii="Cambria" w:hAnsi="Cambria"/>
          <w:sz w:val="16"/>
          <w:szCs w:val="16"/>
          <w:lang w:val="en-US"/>
        </w:rPr>
        <w:t>Citizen Observatory of the Justice System</w:t>
      </w:r>
      <w:r w:rsidR="4D1A0B04" w:rsidRPr="00CC562A">
        <w:rPr>
          <w:rFonts w:ascii="Cambria" w:hAnsi="Cambria" w:cs="Calibri"/>
          <w:sz w:val="16"/>
          <w:szCs w:val="16"/>
          <w:lang w:val="en-US"/>
        </w:rPr>
        <w:t xml:space="preserve"> (OCSJ), </w:t>
      </w:r>
      <w:hyperlink r:id="rId41" w:history="1">
        <w:r w:rsidR="4D1A0B04" w:rsidRPr="00CC562A">
          <w:rPr>
            <w:rStyle w:val="Hyperlink"/>
            <w:rFonts w:ascii="Cambria" w:hAnsi="Cambria" w:cs="Calibri"/>
            <w:sz w:val="16"/>
            <w:szCs w:val="16"/>
            <w:lang w:val="en-US"/>
          </w:rPr>
          <w:t xml:space="preserve">El </w:t>
        </w:r>
        <w:proofErr w:type="spellStart"/>
        <w:r w:rsidR="4D1A0B04" w:rsidRPr="00CC562A">
          <w:rPr>
            <w:rStyle w:val="Hyperlink"/>
            <w:rFonts w:ascii="Cambria" w:hAnsi="Cambria" w:cs="Calibri"/>
            <w:sz w:val="16"/>
            <w:szCs w:val="16"/>
            <w:lang w:val="en-US"/>
          </w:rPr>
          <w:t>Arraigo</w:t>
        </w:r>
        <w:proofErr w:type="spellEnd"/>
        <w:r w:rsidR="4D1A0B04" w:rsidRPr="00CC562A">
          <w:rPr>
            <w:rStyle w:val="Hyperlink"/>
            <w:rFonts w:ascii="Cambria" w:hAnsi="Cambria" w:cs="Calibri"/>
            <w:sz w:val="16"/>
            <w:szCs w:val="16"/>
            <w:lang w:val="en-US"/>
          </w:rPr>
          <w:t xml:space="preserve"> penal </w:t>
        </w:r>
        <w:proofErr w:type="spellStart"/>
        <w:r w:rsidR="4D1A0B04" w:rsidRPr="00CC562A">
          <w:rPr>
            <w:rStyle w:val="Hyperlink"/>
            <w:rFonts w:ascii="Cambria" w:hAnsi="Cambria" w:cs="Calibri"/>
            <w:sz w:val="16"/>
            <w:szCs w:val="16"/>
            <w:lang w:val="en-US"/>
          </w:rPr>
          <w:t>como</w:t>
        </w:r>
        <w:proofErr w:type="spellEnd"/>
        <w:r w:rsidR="4D1A0B04" w:rsidRPr="00CC562A">
          <w:rPr>
            <w:rStyle w:val="Hyperlink"/>
            <w:rFonts w:ascii="Cambria" w:hAnsi="Cambria" w:cs="Calibri"/>
            <w:sz w:val="16"/>
            <w:szCs w:val="16"/>
            <w:lang w:val="en-US"/>
          </w:rPr>
          <w:t xml:space="preserve"> </w:t>
        </w:r>
        <w:proofErr w:type="spellStart"/>
        <w:r w:rsidR="4D1A0B04" w:rsidRPr="00CC562A">
          <w:rPr>
            <w:rStyle w:val="Hyperlink"/>
            <w:rFonts w:ascii="Cambria" w:hAnsi="Cambria" w:cs="Calibri"/>
            <w:sz w:val="16"/>
            <w:szCs w:val="16"/>
            <w:lang w:val="en-US"/>
          </w:rPr>
          <w:t>crimen</w:t>
        </w:r>
        <w:proofErr w:type="spellEnd"/>
        <w:r w:rsidR="4D1A0B04" w:rsidRPr="00CC562A">
          <w:rPr>
            <w:rStyle w:val="Hyperlink"/>
            <w:rFonts w:ascii="Cambria" w:hAnsi="Cambria" w:cs="Calibri"/>
            <w:sz w:val="16"/>
            <w:szCs w:val="16"/>
            <w:lang w:val="en-US"/>
          </w:rPr>
          <w:t xml:space="preserve"> de </w:t>
        </w:r>
        <w:proofErr w:type="spellStart"/>
        <w:r w:rsidR="4D1A0B04" w:rsidRPr="00CC562A">
          <w:rPr>
            <w:rStyle w:val="Hyperlink"/>
            <w:rFonts w:ascii="Cambria" w:hAnsi="Cambria" w:cs="Calibri"/>
            <w:sz w:val="16"/>
            <w:szCs w:val="16"/>
            <w:lang w:val="en-US"/>
          </w:rPr>
          <w:t>lesa</w:t>
        </w:r>
        <w:proofErr w:type="spellEnd"/>
        <w:r w:rsidR="4D1A0B04" w:rsidRPr="00CC562A">
          <w:rPr>
            <w:rStyle w:val="Hyperlink"/>
            <w:rFonts w:ascii="Cambria" w:hAnsi="Cambria" w:cs="Calibri"/>
            <w:sz w:val="16"/>
            <w:szCs w:val="16"/>
            <w:lang w:val="en-US"/>
          </w:rPr>
          <w:t xml:space="preserve"> </w:t>
        </w:r>
        <w:proofErr w:type="spellStart"/>
        <w:r w:rsidR="4D1A0B04" w:rsidRPr="00CC562A">
          <w:rPr>
            <w:rStyle w:val="Hyperlink"/>
            <w:rFonts w:ascii="Cambria" w:hAnsi="Cambria" w:cs="Calibri"/>
            <w:sz w:val="16"/>
            <w:szCs w:val="16"/>
            <w:lang w:val="en-US"/>
          </w:rPr>
          <w:t>humanidad</w:t>
        </w:r>
        <w:proofErr w:type="spellEnd"/>
      </w:hyperlink>
      <w:r w:rsidR="4D1A0B04" w:rsidRPr="00CC562A">
        <w:rPr>
          <w:rFonts w:ascii="Cambria" w:hAnsi="Cambria" w:cs="Calibri"/>
          <w:sz w:val="16"/>
          <w:szCs w:val="16"/>
          <w:lang w:val="en-US"/>
        </w:rPr>
        <w:t xml:space="preserve">, 2019. </w:t>
      </w:r>
    </w:p>
  </w:footnote>
  <w:footnote w:id="132">
    <w:p w14:paraId="392DF17E" w14:textId="5A85FBE5"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276638" w:rsidRPr="00CC562A">
        <w:rPr>
          <w:lang w:val="en-US"/>
        </w:rPr>
        <w:t>through the Inter-American SIMORE</w:t>
      </w:r>
      <w:r w:rsidR="00736A6B" w:rsidRPr="00CC562A">
        <w:rPr>
          <w:lang w:val="en-US"/>
        </w:rPr>
        <w:t>.</w:t>
      </w:r>
    </w:p>
  </w:footnote>
  <w:footnote w:id="133">
    <w:p w14:paraId="131D2DF3" w14:textId="611D5D53" w:rsidR="00F7756F" w:rsidRPr="00CC562A" w:rsidRDefault="00F775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xml:space="preserve">. </w:t>
      </w:r>
      <w:r w:rsidR="00736A6B" w:rsidRPr="00CC562A">
        <w:rPr>
          <w:lang w:val="en-US"/>
        </w:rPr>
        <w:t>Annual Report, Mexico</w:t>
      </w:r>
      <w:r w:rsidR="4D1A0B04" w:rsidRPr="00CC562A">
        <w:rPr>
          <w:lang w:val="en-US"/>
        </w:rPr>
        <w:t xml:space="preserve">. 2021. </w:t>
      </w:r>
      <w:r w:rsidR="00736A6B" w:rsidRPr="00CC562A">
        <w:rPr>
          <w:lang w:val="en-US"/>
        </w:rPr>
        <w:t>para.</w:t>
      </w:r>
      <w:r w:rsidR="4D1A0B04" w:rsidRPr="00CC562A">
        <w:rPr>
          <w:lang w:val="en-US"/>
        </w:rPr>
        <w:t xml:space="preserve"> 1114. </w:t>
      </w:r>
    </w:p>
  </w:footnote>
  <w:footnote w:id="134">
    <w:p w14:paraId="1A1ECB03" w14:textId="52256197"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7A11C8" w:rsidRPr="00CC562A">
        <w:rPr>
          <w:lang w:val="en-US"/>
        </w:rPr>
        <w:t>State of Mexico. OAS Note</w:t>
      </w:r>
      <w:r w:rsidRPr="00CC562A">
        <w:rPr>
          <w:lang w:val="en-US"/>
        </w:rPr>
        <w:t xml:space="preserve"> 517 </w:t>
      </w:r>
      <w:r w:rsidR="007A11C8" w:rsidRPr="00CC562A">
        <w:rPr>
          <w:lang w:val="en-US"/>
        </w:rPr>
        <w:t>of February 17,</w:t>
      </w:r>
      <w:r w:rsidRPr="00CC562A">
        <w:rPr>
          <w:lang w:val="en-US"/>
        </w:rPr>
        <w:t xml:space="preserve"> 2023. Observa</w:t>
      </w:r>
      <w:r w:rsidR="007A11C8" w:rsidRPr="00CC562A">
        <w:rPr>
          <w:lang w:val="en-US"/>
        </w:rPr>
        <w:t>tions on the preliminary version of the report</w:t>
      </w:r>
      <w:r w:rsidRPr="00CC562A">
        <w:rPr>
          <w:lang w:val="en-US"/>
        </w:rPr>
        <w:t>.</w:t>
      </w:r>
    </w:p>
  </w:footnote>
  <w:footnote w:id="135">
    <w:p w14:paraId="61C96068" w14:textId="4FCC06AD"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136">
    <w:p w14:paraId="6CF49504" w14:textId="44018B6D" w:rsidR="00A06F2A" w:rsidRPr="00CC562A" w:rsidRDefault="00A06F2A"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CED</w:t>
      </w:r>
      <w:r w:rsidR="002476A7" w:rsidRPr="00CC562A">
        <w:rPr>
          <w:rFonts w:ascii="Cambria" w:hAnsi="Cambria"/>
          <w:sz w:val="16"/>
          <w:szCs w:val="16"/>
          <w:lang w:val="en-US"/>
        </w:rPr>
        <w:t>,</w:t>
      </w:r>
      <w:r w:rsidRPr="00CC562A">
        <w:rPr>
          <w:rFonts w:ascii="Cambria" w:hAnsi="Cambria"/>
          <w:sz w:val="16"/>
          <w:szCs w:val="16"/>
          <w:lang w:val="en-US"/>
        </w:rPr>
        <w:t xml:space="preserve"> </w:t>
      </w:r>
      <w:r w:rsidR="00A93A83" w:rsidRPr="00CC562A">
        <w:rPr>
          <w:rFonts w:ascii="Cambria" w:hAnsi="Cambria"/>
          <w:sz w:val="16"/>
          <w:szCs w:val="16"/>
          <w:lang w:val="en-US"/>
        </w:rPr>
        <w:t xml:space="preserve">Report of the Committee on </w:t>
      </w:r>
      <w:r w:rsidR="00507873" w:rsidRPr="00CC562A">
        <w:rPr>
          <w:rFonts w:ascii="Cambria" w:hAnsi="Cambria"/>
          <w:sz w:val="16"/>
          <w:szCs w:val="16"/>
          <w:lang w:val="en-US"/>
        </w:rPr>
        <w:t>F</w:t>
      </w:r>
      <w:r w:rsidR="00A93A83" w:rsidRPr="00CC562A">
        <w:rPr>
          <w:rFonts w:ascii="Cambria" w:hAnsi="Cambria"/>
          <w:sz w:val="16"/>
          <w:szCs w:val="16"/>
          <w:lang w:val="en-US"/>
        </w:rPr>
        <w:t xml:space="preserve">orced Disappearance on its visit to Mexico under Article </w:t>
      </w:r>
      <w:r w:rsidRPr="00CC562A">
        <w:rPr>
          <w:rFonts w:ascii="Cambria" w:hAnsi="Cambria"/>
          <w:sz w:val="16"/>
          <w:szCs w:val="16"/>
          <w:lang w:val="en-US"/>
        </w:rPr>
        <w:t>33</w:t>
      </w:r>
      <w:r w:rsidR="00A93A83" w:rsidRPr="00CC562A">
        <w:rPr>
          <w:rFonts w:ascii="Cambria" w:hAnsi="Cambria"/>
          <w:sz w:val="16"/>
          <w:szCs w:val="16"/>
          <w:lang w:val="en-US"/>
        </w:rPr>
        <w:t xml:space="preserve"> of the Convention. Information on the visit, findings, and first part of the recommendations</w:t>
      </w:r>
      <w:r w:rsidRPr="00CC562A">
        <w:rPr>
          <w:rFonts w:ascii="Cambria" w:hAnsi="Cambria"/>
          <w:sz w:val="16"/>
          <w:szCs w:val="16"/>
          <w:lang w:val="en-US"/>
        </w:rPr>
        <w:t xml:space="preserve">, </w:t>
      </w:r>
      <w:r w:rsidR="00736A6B" w:rsidRPr="00CC562A">
        <w:rPr>
          <w:rFonts w:ascii="Cambria" w:hAnsi="Cambria"/>
          <w:sz w:val="16"/>
          <w:szCs w:val="16"/>
          <w:lang w:val="en-US"/>
        </w:rPr>
        <w:t>para.</w:t>
      </w:r>
      <w:r w:rsidRPr="00CC562A">
        <w:rPr>
          <w:rFonts w:ascii="Cambria" w:hAnsi="Cambria"/>
          <w:sz w:val="16"/>
          <w:szCs w:val="16"/>
          <w:lang w:val="en-US"/>
        </w:rPr>
        <w:t xml:space="preserve"> 28.</w:t>
      </w:r>
    </w:p>
  </w:footnote>
  <w:footnote w:id="137">
    <w:p w14:paraId="7E059E54" w14:textId="769022F4"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2476A7" w:rsidRPr="00CC562A">
        <w:rPr>
          <w:rFonts w:ascii="Cambria" w:hAnsi="Cambria"/>
          <w:sz w:val="16"/>
          <w:szCs w:val="16"/>
          <w:lang w:val="en-US"/>
        </w:rPr>
        <w:t xml:space="preserve">CED, </w:t>
      </w:r>
      <w:r w:rsidR="00A93A83" w:rsidRPr="00CC562A">
        <w:rPr>
          <w:rFonts w:ascii="Cambria" w:hAnsi="Cambria"/>
          <w:sz w:val="16"/>
          <w:szCs w:val="16"/>
          <w:lang w:val="en-US"/>
        </w:rPr>
        <w:t xml:space="preserve">Report of the Committee on </w:t>
      </w:r>
      <w:r w:rsidR="00507873" w:rsidRPr="00CC562A">
        <w:rPr>
          <w:rFonts w:ascii="Cambria" w:hAnsi="Cambria"/>
          <w:sz w:val="16"/>
          <w:szCs w:val="16"/>
          <w:lang w:val="en-US"/>
        </w:rPr>
        <w:t>F</w:t>
      </w:r>
      <w:r w:rsidR="00A93A83" w:rsidRPr="00CC562A">
        <w:rPr>
          <w:rFonts w:ascii="Cambria" w:hAnsi="Cambria"/>
          <w:sz w:val="16"/>
          <w:szCs w:val="16"/>
          <w:lang w:val="en-US"/>
        </w:rPr>
        <w:t>orced Disappearance on its visit to Mexico under Article 33 of the Convention. Information on the visit, findings, and first part of the recommendations</w:t>
      </w:r>
      <w:r w:rsidR="002476A7" w:rsidRPr="00CC562A">
        <w:rPr>
          <w:rFonts w:ascii="Cambria" w:hAnsi="Cambria"/>
          <w:sz w:val="16"/>
          <w:szCs w:val="16"/>
          <w:lang w:val="en-US"/>
        </w:rPr>
        <w:t xml:space="preserve">, </w:t>
      </w:r>
      <w:r w:rsidR="00736A6B" w:rsidRPr="00CC562A">
        <w:rPr>
          <w:rFonts w:ascii="Cambria" w:hAnsi="Cambria"/>
          <w:sz w:val="16"/>
          <w:szCs w:val="16"/>
          <w:lang w:val="en-US"/>
        </w:rPr>
        <w:t>para.</w:t>
      </w:r>
      <w:r w:rsidRPr="00CC562A">
        <w:rPr>
          <w:rFonts w:ascii="Cambria" w:hAnsi="Cambria"/>
          <w:sz w:val="16"/>
          <w:szCs w:val="16"/>
          <w:lang w:val="en-US"/>
        </w:rPr>
        <w:t xml:space="preserve"> </w:t>
      </w:r>
      <w:r w:rsidRPr="00CC562A">
        <w:rPr>
          <w:rFonts w:ascii="Cambria" w:hAnsi="Cambria"/>
          <w:sz w:val="16"/>
          <w:szCs w:val="16"/>
          <w:lang w:val="es-ES"/>
        </w:rPr>
        <w:t>29.</w:t>
      </w:r>
    </w:p>
  </w:footnote>
  <w:footnote w:id="138">
    <w:p w14:paraId="389801AA" w14:textId="3303764E"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Animal Político</w:t>
      </w:r>
      <w:r w:rsidR="002476A7" w:rsidRPr="00CC562A">
        <w:rPr>
          <w:rFonts w:ascii="Cambria" w:hAnsi="Cambria"/>
          <w:sz w:val="16"/>
          <w:szCs w:val="16"/>
          <w:lang w:val="es-ES"/>
        </w:rPr>
        <w:t>,</w:t>
      </w:r>
      <w:r w:rsidRPr="00CC562A">
        <w:rPr>
          <w:rFonts w:ascii="Cambria" w:hAnsi="Cambria"/>
          <w:sz w:val="16"/>
          <w:szCs w:val="16"/>
          <w:lang w:val="es-ES"/>
        </w:rPr>
        <w:t xml:space="preserve"> </w:t>
      </w:r>
      <w:hyperlink r:id="rId42" w:history="1">
        <w:r w:rsidRPr="00CC562A">
          <w:rPr>
            <w:rStyle w:val="Hyperlink"/>
            <w:rFonts w:ascii="Cambria" w:hAnsi="Cambria"/>
            <w:sz w:val="16"/>
            <w:szCs w:val="16"/>
            <w:lang w:val="es-ES"/>
          </w:rPr>
          <w:t>Frente a la crisis forense, #IdentificaciónYa</w:t>
        </w:r>
      </w:hyperlink>
      <w:r w:rsidR="002476A7" w:rsidRPr="00CC562A">
        <w:rPr>
          <w:rFonts w:ascii="Cambria" w:hAnsi="Cambria"/>
          <w:sz w:val="16"/>
          <w:szCs w:val="16"/>
          <w:lang w:val="es-ES"/>
        </w:rPr>
        <w:t xml:space="preserve">, </w:t>
      </w:r>
      <w:r w:rsidR="00A643BA" w:rsidRPr="00CC562A">
        <w:rPr>
          <w:rFonts w:ascii="Cambria" w:hAnsi="Cambria"/>
          <w:sz w:val="16"/>
          <w:szCs w:val="16"/>
          <w:lang w:val="es-ES"/>
        </w:rPr>
        <w:t xml:space="preserve">August 11, </w:t>
      </w:r>
      <w:r w:rsidRPr="00CC562A">
        <w:rPr>
          <w:rFonts w:ascii="Cambria" w:hAnsi="Cambria"/>
          <w:sz w:val="16"/>
          <w:szCs w:val="16"/>
          <w:lang w:val="es-ES"/>
        </w:rPr>
        <w:t xml:space="preserve">2022. </w:t>
      </w:r>
    </w:p>
  </w:footnote>
  <w:footnote w:id="139">
    <w:p w14:paraId="3A84A80E" w14:textId="3647884F" w:rsidR="00A06F2A" w:rsidRPr="00CC562A" w:rsidRDefault="00A06F2A"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w:t>
      </w:r>
      <w:proofErr w:type="spellStart"/>
      <w:r w:rsidR="00A643BA" w:rsidRPr="00CC562A">
        <w:rPr>
          <w:rFonts w:ascii="Cambria" w:hAnsi="Cambria"/>
          <w:sz w:val="16"/>
          <w:szCs w:val="16"/>
          <w:lang w:val="es-ES"/>
        </w:rPr>
        <w:t>However</w:t>
      </w:r>
      <w:proofErr w:type="spellEnd"/>
      <w:r w:rsidR="002476A7" w:rsidRPr="00CC562A">
        <w:rPr>
          <w:rFonts w:ascii="Cambria" w:hAnsi="Cambria"/>
          <w:sz w:val="16"/>
          <w:szCs w:val="16"/>
          <w:lang w:val="es-ES"/>
        </w:rPr>
        <w:t>,</w:t>
      </w:r>
      <w:r w:rsidRPr="00CC562A">
        <w:rPr>
          <w:rFonts w:ascii="Cambria" w:hAnsi="Cambria"/>
          <w:sz w:val="16"/>
          <w:szCs w:val="16"/>
          <w:lang w:val="es-ES"/>
        </w:rPr>
        <w:t xml:space="preserve"> </w:t>
      </w:r>
      <w:hyperlink r:id="rId43" w:history="1">
        <w:r w:rsidRPr="00CC562A">
          <w:rPr>
            <w:rStyle w:val="Hyperlink"/>
            <w:rFonts w:ascii="Cambria" w:hAnsi="Cambria"/>
            <w:sz w:val="16"/>
            <w:szCs w:val="16"/>
            <w:lang w:val="es-ES"/>
          </w:rPr>
          <w:t>Presupuesto 2023: ¿atiende la crisis forense y de desaparición?</w:t>
        </w:r>
      </w:hyperlink>
      <w:r w:rsidRPr="00CC562A">
        <w:rPr>
          <w:rFonts w:ascii="Cambria" w:hAnsi="Cambria"/>
          <w:sz w:val="16"/>
          <w:szCs w:val="16"/>
          <w:lang w:val="es-ES"/>
        </w:rPr>
        <w:t xml:space="preserve"> </w:t>
      </w:r>
      <w:r w:rsidR="00A643BA" w:rsidRPr="00CC562A">
        <w:rPr>
          <w:rFonts w:ascii="Cambria" w:hAnsi="Cambria"/>
          <w:sz w:val="16"/>
          <w:szCs w:val="16"/>
          <w:lang w:val="en-US"/>
        </w:rPr>
        <w:t xml:space="preserve">October 4, </w:t>
      </w:r>
      <w:r w:rsidRPr="00CC562A">
        <w:rPr>
          <w:rFonts w:ascii="Cambria" w:hAnsi="Cambria"/>
          <w:sz w:val="16"/>
          <w:szCs w:val="16"/>
          <w:lang w:val="en-US"/>
        </w:rPr>
        <w:t xml:space="preserve">2022.  </w:t>
      </w:r>
    </w:p>
  </w:footnote>
  <w:footnote w:id="140">
    <w:p w14:paraId="73FF4860" w14:textId="7EA9AE4A" w:rsidR="00F7756F" w:rsidRPr="00CC562A" w:rsidRDefault="00F775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41">
    <w:p w14:paraId="2388756D" w14:textId="12D2C0C2" w:rsidR="00F7756F" w:rsidRPr="00CC562A" w:rsidRDefault="00F775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008251F5" w:rsidRPr="00CC562A">
        <w:rPr>
          <w:lang w:val="en-US"/>
        </w:rPr>
        <w:t xml:space="preserve"> </w:t>
      </w:r>
      <w:r w:rsidR="00736A6B" w:rsidRPr="00CC562A">
        <w:rPr>
          <w:lang w:val="en-US"/>
        </w:rPr>
        <w:t>through the Inter-American SIMORE.</w:t>
      </w:r>
    </w:p>
  </w:footnote>
  <w:footnote w:id="142">
    <w:p w14:paraId="3FFCFC78" w14:textId="4B4D9964"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43">
    <w:p w14:paraId="621B6900" w14:textId="732CA03E" w:rsidR="007677D2" w:rsidRPr="00CC562A" w:rsidRDefault="007677D2" w:rsidP="007677D2">
      <w:pPr>
        <w:pStyle w:val="FootnoteText"/>
        <w:ind w:firstLine="720"/>
        <w:rPr>
          <w:lang w:val="en-US"/>
        </w:rPr>
      </w:pPr>
      <w:r w:rsidRPr="00CC562A">
        <w:rPr>
          <w:rStyle w:val="FootnoteReference"/>
        </w:rPr>
        <w:footnoteRef/>
      </w:r>
      <w:r w:rsidRPr="00CC562A">
        <w:rPr>
          <w:lang w:val="en-US"/>
        </w:rPr>
        <w:t xml:space="preserve">  </w:t>
      </w:r>
      <w:r w:rsidR="00AE7C2E" w:rsidRPr="00CC562A">
        <w:rPr>
          <w:lang w:val="en-US"/>
        </w:rPr>
        <w:t>State of Mexico, OAS Note</w:t>
      </w:r>
      <w:r w:rsidRPr="00CC562A">
        <w:rPr>
          <w:lang w:val="en-US"/>
        </w:rPr>
        <w:t xml:space="preserve"> 517 </w:t>
      </w:r>
      <w:r w:rsidR="00AE7C2E" w:rsidRPr="00CC562A">
        <w:rPr>
          <w:lang w:val="en-US"/>
        </w:rPr>
        <w:t>of February 17,</w:t>
      </w:r>
      <w:r w:rsidRPr="00CC562A">
        <w:rPr>
          <w:lang w:val="en-US"/>
        </w:rPr>
        <w:t xml:space="preserve"> 2023. Observa</w:t>
      </w:r>
      <w:r w:rsidR="00AE7C2E" w:rsidRPr="00CC562A">
        <w:rPr>
          <w:lang w:val="en-US"/>
        </w:rPr>
        <w:t>tions on the preliminary version of the report</w:t>
      </w:r>
      <w:r w:rsidRPr="00CC562A">
        <w:rPr>
          <w:lang w:val="en-US"/>
        </w:rPr>
        <w:t>.</w:t>
      </w:r>
    </w:p>
  </w:footnote>
  <w:footnote w:id="144">
    <w:p w14:paraId="7BB2820B" w14:textId="4279D4A3"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950050" w:rsidRPr="00CC562A">
        <w:rPr>
          <w:rFonts w:ascii="Cambria" w:hAnsi="Cambria"/>
          <w:sz w:val="16"/>
          <w:szCs w:val="16"/>
          <w:lang w:val="en-US"/>
        </w:rPr>
        <w:t>Where do the disappeared go?</w:t>
      </w:r>
      <w:r w:rsidRPr="00CC562A">
        <w:rPr>
          <w:rFonts w:ascii="Cambria" w:hAnsi="Cambria"/>
          <w:sz w:val="16"/>
          <w:szCs w:val="16"/>
          <w:lang w:val="en-US"/>
        </w:rPr>
        <w:t xml:space="preserve"> </w:t>
      </w:r>
      <w:hyperlink r:id="rId44" w:history="1">
        <w:r w:rsidRPr="00CC562A">
          <w:rPr>
            <w:rStyle w:val="Hyperlink"/>
            <w:rFonts w:ascii="Cambria" w:hAnsi="Cambria"/>
            <w:sz w:val="16"/>
            <w:szCs w:val="16"/>
            <w:lang w:val="es-ES"/>
          </w:rPr>
          <w:t>A un año de operar, el Mecanismo de Identificación Forense ha iniciado trabajos en tres estados</w:t>
        </w:r>
      </w:hyperlink>
      <w:r w:rsidR="002476A7" w:rsidRPr="00CC562A">
        <w:rPr>
          <w:rFonts w:ascii="Cambria" w:hAnsi="Cambria"/>
          <w:sz w:val="16"/>
          <w:szCs w:val="16"/>
          <w:lang w:val="es-ES"/>
        </w:rPr>
        <w:t xml:space="preserve">, </w:t>
      </w:r>
      <w:r w:rsidRPr="00CC562A">
        <w:rPr>
          <w:rFonts w:ascii="Cambria" w:hAnsi="Cambria"/>
          <w:sz w:val="16"/>
          <w:szCs w:val="16"/>
          <w:lang w:val="es-ES"/>
        </w:rPr>
        <w:t xml:space="preserve"> 6 de septiembre de 2022. </w:t>
      </w:r>
    </w:p>
  </w:footnote>
  <w:footnote w:id="145">
    <w:p w14:paraId="036653B1" w14:textId="21C4CC0C"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w:t>
      </w:r>
      <w:r w:rsidR="00950050" w:rsidRPr="00CC562A">
        <w:rPr>
          <w:rFonts w:ascii="Cambria" w:hAnsi="Cambria"/>
          <w:sz w:val="16"/>
          <w:szCs w:val="16"/>
          <w:lang w:val="es-ES"/>
        </w:rPr>
        <w:t xml:space="preserve">UN </w:t>
      </w:r>
      <w:proofErr w:type="spellStart"/>
      <w:r w:rsidR="00950050" w:rsidRPr="00CC562A">
        <w:rPr>
          <w:rFonts w:ascii="Cambria" w:hAnsi="Cambria"/>
          <w:sz w:val="16"/>
          <w:szCs w:val="16"/>
          <w:lang w:val="es-ES"/>
        </w:rPr>
        <w:t>Mexico</w:t>
      </w:r>
      <w:proofErr w:type="spellEnd"/>
      <w:r w:rsidR="00AD3027" w:rsidRPr="00CC562A">
        <w:rPr>
          <w:rFonts w:ascii="Cambria" w:hAnsi="Cambria"/>
          <w:sz w:val="16"/>
          <w:szCs w:val="16"/>
          <w:lang w:val="es-ES"/>
        </w:rPr>
        <w:t>,</w:t>
      </w:r>
      <w:r w:rsidRPr="00CC562A">
        <w:rPr>
          <w:rFonts w:ascii="Cambria" w:hAnsi="Cambria"/>
          <w:sz w:val="16"/>
          <w:szCs w:val="16"/>
          <w:lang w:val="es-ES"/>
        </w:rPr>
        <w:t xml:space="preserve"> </w:t>
      </w:r>
      <w:hyperlink r:id="rId45" w:history="1">
        <w:r w:rsidRPr="00CC562A">
          <w:rPr>
            <w:rStyle w:val="Hyperlink"/>
            <w:rFonts w:ascii="Cambria" w:hAnsi="Cambria"/>
            <w:sz w:val="16"/>
            <w:szCs w:val="16"/>
            <w:lang w:val="es-ES"/>
          </w:rPr>
          <w:t>La ONU-DH saluda la creación del Centro Nacional de Identificación Humana como parte de la respuesta a la crisis forense</w:t>
        </w:r>
      </w:hyperlink>
      <w:r w:rsidR="002476A7" w:rsidRPr="00CC562A">
        <w:rPr>
          <w:rFonts w:ascii="Cambria" w:hAnsi="Cambria"/>
          <w:sz w:val="16"/>
          <w:szCs w:val="16"/>
          <w:lang w:val="es-ES"/>
        </w:rPr>
        <w:t>,</w:t>
      </w:r>
      <w:r w:rsidRPr="00CC562A">
        <w:rPr>
          <w:rFonts w:ascii="Cambria" w:hAnsi="Cambria"/>
          <w:sz w:val="16"/>
          <w:szCs w:val="16"/>
          <w:lang w:val="es-ES"/>
        </w:rPr>
        <w:t xml:space="preserve"> </w:t>
      </w:r>
      <w:r w:rsidR="00950050" w:rsidRPr="00CC562A">
        <w:rPr>
          <w:rFonts w:ascii="Cambria" w:hAnsi="Cambria"/>
          <w:sz w:val="16"/>
          <w:szCs w:val="16"/>
          <w:lang w:val="es-ES"/>
        </w:rPr>
        <w:t>May 13,</w:t>
      </w:r>
      <w:r w:rsidRPr="00CC562A">
        <w:rPr>
          <w:rFonts w:ascii="Cambria" w:hAnsi="Cambria"/>
          <w:sz w:val="16"/>
          <w:szCs w:val="16"/>
          <w:lang w:val="es-ES"/>
        </w:rPr>
        <w:t xml:space="preserve"> 2022. </w:t>
      </w:r>
    </w:p>
  </w:footnote>
  <w:footnote w:id="146">
    <w:p w14:paraId="6E9E228A" w14:textId="54A2AE45" w:rsidR="00A06F2A" w:rsidRPr="00CC562A" w:rsidRDefault="00A06F2A"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w:t>
      </w:r>
      <w:r w:rsidR="00740ECF" w:rsidRPr="00CC562A">
        <w:rPr>
          <w:rFonts w:ascii="Cambria" w:hAnsi="Cambria"/>
          <w:sz w:val="16"/>
          <w:szCs w:val="16"/>
          <w:lang w:val="es-ES"/>
        </w:rPr>
        <w:t>PRODH Center</w:t>
      </w:r>
      <w:r w:rsidR="00AD3027" w:rsidRPr="00CC562A">
        <w:rPr>
          <w:rFonts w:ascii="Cambria" w:hAnsi="Cambria"/>
          <w:sz w:val="16"/>
          <w:szCs w:val="16"/>
          <w:lang w:val="es-ES"/>
        </w:rPr>
        <w:t>,</w:t>
      </w:r>
      <w:r w:rsidRPr="00CC562A">
        <w:rPr>
          <w:rFonts w:ascii="Cambria" w:hAnsi="Cambria"/>
          <w:sz w:val="16"/>
          <w:szCs w:val="16"/>
          <w:lang w:val="es-ES"/>
        </w:rPr>
        <w:t xml:space="preserve"> </w:t>
      </w:r>
      <w:hyperlink r:id="rId46" w:history="1">
        <w:r w:rsidRPr="00CC562A">
          <w:rPr>
            <w:rStyle w:val="Hyperlink"/>
            <w:rFonts w:ascii="Cambria" w:hAnsi="Cambria"/>
            <w:sz w:val="16"/>
            <w:szCs w:val="16"/>
            <w:lang w:val="es-ES"/>
          </w:rPr>
          <w:t>Frente a la crisis forense, #IdentificaciónYa. Animal Político</w:t>
        </w:r>
      </w:hyperlink>
      <w:r w:rsidR="002476A7" w:rsidRPr="00CC562A">
        <w:rPr>
          <w:rFonts w:ascii="Cambria" w:hAnsi="Cambria"/>
          <w:sz w:val="16"/>
          <w:szCs w:val="16"/>
          <w:lang w:val="es-ES"/>
        </w:rPr>
        <w:t xml:space="preserve">, </w:t>
      </w:r>
      <w:r w:rsidR="00950050" w:rsidRPr="00CC562A">
        <w:rPr>
          <w:rFonts w:ascii="Cambria" w:hAnsi="Cambria"/>
          <w:sz w:val="16"/>
          <w:szCs w:val="16"/>
          <w:lang w:val="es-ES"/>
        </w:rPr>
        <w:t xml:space="preserve">August 11, </w:t>
      </w:r>
      <w:r w:rsidRPr="00CC562A">
        <w:rPr>
          <w:rFonts w:ascii="Cambria" w:hAnsi="Cambria"/>
          <w:sz w:val="16"/>
          <w:szCs w:val="16"/>
          <w:lang w:val="es-ES"/>
        </w:rPr>
        <w:t>2022</w:t>
      </w:r>
      <w:r w:rsidR="002476A7" w:rsidRPr="00CC562A">
        <w:rPr>
          <w:rFonts w:ascii="Cambria" w:hAnsi="Cambria"/>
          <w:sz w:val="16"/>
          <w:szCs w:val="16"/>
          <w:lang w:val="es-ES"/>
        </w:rPr>
        <w:t>;</w:t>
      </w:r>
      <w:r w:rsidRPr="00CC562A">
        <w:rPr>
          <w:rFonts w:ascii="Cambria" w:hAnsi="Cambria"/>
          <w:sz w:val="16"/>
          <w:szCs w:val="16"/>
          <w:lang w:val="es-ES"/>
        </w:rPr>
        <w:t xml:space="preserve"> Animal Político</w:t>
      </w:r>
      <w:r w:rsidR="002476A7" w:rsidRPr="00CC562A">
        <w:rPr>
          <w:rFonts w:ascii="Cambria" w:hAnsi="Cambria"/>
          <w:sz w:val="16"/>
          <w:szCs w:val="16"/>
          <w:lang w:val="es-ES"/>
        </w:rPr>
        <w:t xml:space="preserve">, </w:t>
      </w:r>
      <w:hyperlink r:id="rId47" w:history="1">
        <w:r w:rsidRPr="00CC562A">
          <w:rPr>
            <w:rStyle w:val="Hyperlink"/>
            <w:rFonts w:ascii="Cambria" w:hAnsi="Cambria"/>
            <w:sz w:val="16"/>
            <w:szCs w:val="16"/>
            <w:lang w:val="es-ES"/>
          </w:rPr>
          <w:t>Crisis forense: sin banco de datos ni coordinación, México tardará 120 años en identificar 52 mil cuerpos, más los que se sumen</w:t>
        </w:r>
        <w:r w:rsidR="002476A7" w:rsidRPr="00CC562A">
          <w:rPr>
            <w:rStyle w:val="Hyperlink"/>
            <w:rFonts w:ascii="Cambria" w:hAnsi="Cambria"/>
            <w:sz w:val="16"/>
            <w:szCs w:val="16"/>
            <w:lang w:val="es-ES"/>
          </w:rPr>
          <w:t>.</w:t>
        </w:r>
      </w:hyperlink>
      <w:r w:rsidRPr="00CC562A">
        <w:rPr>
          <w:rFonts w:ascii="Cambria" w:hAnsi="Cambria"/>
          <w:sz w:val="16"/>
          <w:szCs w:val="16"/>
          <w:lang w:val="es-ES"/>
        </w:rPr>
        <w:t xml:space="preserve"> </w:t>
      </w:r>
      <w:r w:rsidR="00950050" w:rsidRPr="00CC562A">
        <w:rPr>
          <w:rFonts w:ascii="Cambria" w:hAnsi="Cambria"/>
          <w:sz w:val="16"/>
          <w:szCs w:val="16"/>
          <w:lang w:val="en-US"/>
        </w:rPr>
        <w:t>April 20,</w:t>
      </w:r>
      <w:r w:rsidRPr="00CC562A">
        <w:rPr>
          <w:rFonts w:ascii="Cambria" w:hAnsi="Cambria"/>
          <w:sz w:val="16"/>
          <w:szCs w:val="16"/>
          <w:lang w:val="en-US"/>
        </w:rPr>
        <w:t xml:space="preserve"> 2022. </w:t>
      </w:r>
    </w:p>
  </w:footnote>
  <w:footnote w:id="147">
    <w:p w14:paraId="235CAAD5" w14:textId="6CFFB9A5" w:rsidR="00F7756F" w:rsidRPr="00CC562A" w:rsidRDefault="00F7756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xml:space="preserve">. </w:t>
      </w:r>
      <w:r w:rsidR="00750392" w:rsidRPr="00CC562A">
        <w:rPr>
          <w:lang w:val="en-US"/>
        </w:rPr>
        <w:t>Annual Report</w:t>
      </w:r>
      <w:r w:rsidR="4D1A0B04" w:rsidRPr="00CC562A">
        <w:rPr>
          <w:lang w:val="en-US"/>
        </w:rPr>
        <w:t xml:space="preserve">, </w:t>
      </w:r>
      <w:r w:rsidR="00750392" w:rsidRPr="00CC562A">
        <w:rPr>
          <w:lang w:val="en-US"/>
        </w:rPr>
        <w:t>Mexico</w:t>
      </w:r>
      <w:r w:rsidR="4D1A0B04" w:rsidRPr="00CC562A">
        <w:rPr>
          <w:lang w:val="en-US"/>
        </w:rPr>
        <w:t xml:space="preserve">. 2021. </w:t>
      </w:r>
    </w:p>
  </w:footnote>
  <w:footnote w:id="148">
    <w:p w14:paraId="58A314FC" w14:textId="270CBFD6" w:rsidR="005845AC" w:rsidRPr="00CC562A" w:rsidRDefault="005845AC"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49">
    <w:p w14:paraId="08CBF03C" w14:textId="3C3A5DFF" w:rsidR="00C75F12" w:rsidRPr="00CC562A" w:rsidRDefault="00C75F12" w:rsidP="00C75F12">
      <w:pPr>
        <w:pStyle w:val="FootnoteText"/>
        <w:ind w:firstLine="720"/>
        <w:rPr>
          <w:lang w:val="en-US"/>
        </w:rPr>
      </w:pPr>
      <w:r w:rsidRPr="00CC562A">
        <w:rPr>
          <w:rStyle w:val="FootnoteReference"/>
        </w:rPr>
        <w:footnoteRef/>
      </w:r>
      <w:r w:rsidRPr="00CC562A">
        <w:rPr>
          <w:lang w:val="en-US"/>
        </w:rPr>
        <w:t xml:space="preserve"> </w:t>
      </w:r>
      <w:r w:rsidR="009963DE" w:rsidRPr="00CC562A">
        <w:rPr>
          <w:lang w:val="en-US"/>
        </w:rPr>
        <w:t>State of Mexico, OAS Note</w:t>
      </w:r>
      <w:r w:rsidRPr="00CC562A">
        <w:rPr>
          <w:lang w:val="en-US"/>
        </w:rPr>
        <w:t xml:space="preserve"> 517 </w:t>
      </w:r>
      <w:r w:rsidR="009963DE" w:rsidRPr="00CC562A">
        <w:rPr>
          <w:lang w:val="en-US"/>
        </w:rPr>
        <w:t>of February 17,</w:t>
      </w:r>
      <w:r w:rsidRPr="00CC562A">
        <w:rPr>
          <w:lang w:val="en-US"/>
        </w:rPr>
        <w:t xml:space="preserve"> 2023. Obser</w:t>
      </w:r>
      <w:r w:rsidR="009963DE" w:rsidRPr="00CC562A">
        <w:rPr>
          <w:lang w:val="en-US"/>
        </w:rPr>
        <w:t>vations on the preliminary version of the report</w:t>
      </w:r>
      <w:r w:rsidRPr="00CC562A">
        <w:rPr>
          <w:lang w:val="en-US"/>
        </w:rPr>
        <w:t>.</w:t>
      </w:r>
    </w:p>
  </w:footnote>
  <w:footnote w:id="150">
    <w:p w14:paraId="5F61E40E" w14:textId="4E3182DA" w:rsidR="00C75F12" w:rsidRPr="00CC562A" w:rsidRDefault="00C75F12" w:rsidP="00C75F12">
      <w:pPr>
        <w:pStyle w:val="FootnoteText"/>
        <w:ind w:firstLine="720"/>
        <w:rPr>
          <w:lang w:val="en-US"/>
        </w:rPr>
      </w:pPr>
      <w:r w:rsidRPr="00CC562A">
        <w:rPr>
          <w:rStyle w:val="FootnoteReference"/>
          <w:lang w:val="en-US"/>
        </w:rPr>
        <w:footnoteRef/>
      </w:r>
      <w:r w:rsidRPr="00CC562A">
        <w:rPr>
          <w:lang w:val="en-US"/>
        </w:rPr>
        <w:t xml:space="preserve"> </w:t>
      </w:r>
      <w:r w:rsidR="009963DE" w:rsidRPr="00CC562A">
        <w:rPr>
          <w:lang w:val="en-US"/>
        </w:rPr>
        <w:t>State of Mexico, OAS Note 517 of February 17, 2023. Observations on the preliminary version of the report</w:t>
      </w:r>
      <w:r w:rsidRPr="00CC562A">
        <w:rPr>
          <w:lang w:val="en-US"/>
        </w:rPr>
        <w:t>.</w:t>
      </w:r>
    </w:p>
  </w:footnote>
  <w:footnote w:id="151">
    <w:p w14:paraId="722D4361" w14:textId="7D343C18" w:rsidR="00C75F12" w:rsidRPr="00CC562A" w:rsidRDefault="00C75F12" w:rsidP="00A92391">
      <w:pPr>
        <w:pStyle w:val="NoSpacing"/>
        <w:ind w:firstLine="720"/>
        <w:jc w:val="both"/>
        <w:rPr>
          <w:rFonts w:ascii="Cambria" w:hAnsi="Cambria"/>
          <w:sz w:val="16"/>
          <w:szCs w:val="16"/>
          <w:lang w:val="en-US"/>
        </w:rPr>
      </w:pPr>
      <w:r w:rsidRPr="00CC562A">
        <w:rPr>
          <w:rStyle w:val="FootnoteReference"/>
          <w:rFonts w:ascii="Cambria" w:hAnsi="Cambria"/>
          <w:sz w:val="16"/>
          <w:szCs w:val="16"/>
        </w:rPr>
        <w:footnoteRef/>
      </w:r>
      <w:r w:rsidRPr="00CC562A">
        <w:rPr>
          <w:rFonts w:ascii="Cambria" w:hAnsi="Cambria"/>
          <w:sz w:val="16"/>
          <w:szCs w:val="16"/>
        </w:rPr>
        <w:t xml:space="preserve"> Informe de avance del Estado mexicano sobre el cumplimiento y seguimiento de las recomendaciones de la CIDH. </w:t>
      </w:r>
      <w:proofErr w:type="spellStart"/>
      <w:r w:rsidRPr="00A63873">
        <w:rPr>
          <w:rFonts w:ascii="Cambria" w:hAnsi="Cambria"/>
          <w:sz w:val="16"/>
          <w:szCs w:val="16"/>
          <w:lang w:val="en-US"/>
        </w:rPr>
        <w:t>Capítulo</w:t>
      </w:r>
      <w:proofErr w:type="spellEnd"/>
      <w:r w:rsidRPr="00A63873">
        <w:rPr>
          <w:rFonts w:ascii="Cambria" w:hAnsi="Cambria"/>
          <w:sz w:val="16"/>
          <w:szCs w:val="16"/>
          <w:lang w:val="en-US"/>
        </w:rPr>
        <w:t xml:space="preserve"> V, de </w:t>
      </w:r>
      <w:proofErr w:type="spellStart"/>
      <w:r w:rsidRPr="00A63873">
        <w:rPr>
          <w:rFonts w:ascii="Cambria" w:hAnsi="Cambria"/>
          <w:sz w:val="16"/>
          <w:szCs w:val="16"/>
          <w:lang w:val="en-US"/>
        </w:rPr>
        <w:t>octubre</w:t>
      </w:r>
      <w:proofErr w:type="spellEnd"/>
      <w:r w:rsidRPr="00A63873">
        <w:rPr>
          <w:rFonts w:ascii="Cambria" w:hAnsi="Cambria"/>
          <w:sz w:val="16"/>
          <w:szCs w:val="16"/>
          <w:lang w:val="en-US"/>
        </w:rPr>
        <w:t xml:space="preserve"> de 2022 a </w:t>
      </w:r>
      <w:proofErr w:type="spellStart"/>
      <w:r w:rsidRPr="00A63873">
        <w:rPr>
          <w:rFonts w:ascii="Cambria" w:hAnsi="Cambria"/>
          <w:sz w:val="16"/>
          <w:szCs w:val="16"/>
          <w:lang w:val="en-US"/>
        </w:rPr>
        <w:t>través</w:t>
      </w:r>
      <w:proofErr w:type="spellEnd"/>
      <w:r w:rsidRPr="00A63873">
        <w:rPr>
          <w:rFonts w:ascii="Cambria" w:hAnsi="Cambria"/>
          <w:sz w:val="16"/>
          <w:szCs w:val="16"/>
          <w:lang w:val="en-US"/>
        </w:rPr>
        <w:t xml:space="preserve"> del SIMORE Interamericano. </w:t>
      </w:r>
      <w:r w:rsidR="008A12A2" w:rsidRPr="00CC562A">
        <w:rPr>
          <w:rFonts w:ascii="Cambria" w:hAnsi="Cambria"/>
          <w:sz w:val="16"/>
          <w:szCs w:val="16"/>
          <w:lang w:val="en-US"/>
        </w:rPr>
        <w:t>State of Mexico, OAS Note</w:t>
      </w:r>
      <w:r w:rsidRPr="00CC562A">
        <w:rPr>
          <w:rFonts w:ascii="Cambria" w:hAnsi="Cambria"/>
          <w:sz w:val="16"/>
          <w:szCs w:val="16"/>
          <w:lang w:val="en-US"/>
        </w:rPr>
        <w:t xml:space="preserve"> 517 </w:t>
      </w:r>
      <w:r w:rsidR="008A12A2" w:rsidRPr="00CC562A">
        <w:rPr>
          <w:rFonts w:ascii="Cambria" w:hAnsi="Cambria"/>
          <w:sz w:val="16"/>
          <w:szCs w:val="16"/>
          <w:lang w:val="en-US"/>
        </w:rPr>
        <w:t>of February 17,</w:t>
      </w:r>
      <w:r w:rsidRPr="00CC562A">
        <w:rPr>
          <w:rFonts w:ascii="Cambria" w:hAnsi="Cambria"/>
          <w:sz w:val="16"/>
          <w:szCs w:val="16"/>
          <w:lang w:val="en-US"/>
        </w:rPr>
        <w:t xml:space="preserve"> 2023. Observa</w:t>
      </w:r>
      <w:r w:rsidR="008A12A2" w:rsidRPr="00CC562A">
        <w:rPr>
          <w:rFonts w:ascii="Cambria" w:hAnsi="Cambria"/>
          <w:sz w:val="16"/>
          <w:szCs w:val="16"/>
          <w:lang w:val="en-US"/>
        </w:rPr>
        <w:t>tions on the preliminary version of the report.</w:t>
      </w:r>
    </w:p>
  </w:footnote>
  <w:footnote w:id="152">
    <w:p w14:paraId="154A15AA" w14:textId="75827FB4"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153">
    <w:p w14:paraId="2BBF01DD" w14:textId="65AEC7CF" w:rsidR="008A12A2" w:rsidRPr="00CC562A" w:rsidRDefault="00C75F12" w:rsidP="008A12A2">
      <w:pPr>
        <w:pStyle w:val="FootnoteText"/>
        <w:spacing w:after="120" w:line="240" w:lineRule="auto"/>
        <w:ind w:firstLine="720"/>
        <w:jc w:val="both"/>
        <w:rPr>
          <w:lang w:val="en-US"/>
        </w:rPr>
      </w:pPr>
      <w:r w:rsidRPr="00CC562A">
        <w:rPr>
          <w:rStyle w:val="FootnoteReference"/>
          <w:lang w:val="en-US"/>
        </w:rPr>
        <w:footnoteRef/>
      </w:r>
      <w:r w:rsidRPr="00CC562A">
        <w:rPr>
          <w:lang w:val="en-US"/>
        </w:rPr>
        <w:t xml:space="preserve"> </w:t>
      </w:r>
      <w:r w:rsidR="008A12A2" w:rsidRPr="00CC562A">
        <w:rPr>
          <w:lang w:val="en-US"/>
        </w:rPr>
        <w:t>State of Mexico, OAS Note 517 of February 17, 2023. Observations on the preliminary version of the report.</w:t>
      </w:r>
    </w:p>
    <w:p w14:paraId="0CBC7D95" w14:textId="59B73D12" w:rsidR="00C75F12" w:rsidRPr="00CC562A" w:rsidRDefault="00C75F12" w:rsidP="00C75F12">
      <w:pPr>
        <w:pStyle w:val="FootnoteText"/>
        <w:ind w:firstLine="720"/>
        <w:rPr>
          <w:lang w:val="en-US"/>
        </w:rPr>
      </w:pPr>
    </w:p>
  </w:footnote>
  <w:footnote w:id="154">
    <w:p w14:paraId="6C662BE8" w14:textId="40A489E6"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55">
    <w:p w14:paraId="1A7EEC78" w14:textId="3581DCC2" w:rsidR="00775FE1" w:rsidRPr="00CC562A" w:rsidRDefault="00775FE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950050" w:rsidRPr="00CC562A">
        <w:rPr>
          <w:lang w:val="en-US"/>
        </w:rPr>
        <w:t>Follow-up on Compliance with Recommendations in the Report on the “Situation of Human Rights in Mexico,” October 21,</w:t>
      </w:r>
      <w:r w:rsidR="4D1A0B04" w:rsidRPr="00CC562A">
        <w:rPr>
          <w:lang w:val="en-US"/>
        </w:rPr>
        <w:t xml:space="preserve"> 2022, </w:t>
      </w:r>
      <w:r w:rsidR="009E09A3" w:rsidRPr="00CC562A">
        <w:rPr>
          <w:lang w:val="en-US"/>
        </w:rPr>
        <w:t>p.</w:t>
      </w:r>
      <w:r w:rsidR="4D1A0B04" w:rsidRPr="00CC562A">
        <w:rPr>
          <w:lang w:val="en-US"/>
        </w:rPr>
        <w:t xml:space="preserve"> 9.</w:t>
      </w:r>
    </w:p>
  </w:footnote>
  <w:footnote w:id="156">
    <w:p w14:paraId="4AEF1E6B" w14:textId="68CFD555" w:rsidR="004B6604" w:rsidRPr="00CC562A" w:rsidRDefault="004B6604"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40ECF" w:rsidRPr="00CC562A">
        <w:rPr>
          <w:lang w:val="en-US"/>
        </w:rPr>
        <w:t>PRODH Center</w:t>
      </w:r>
      <w:r w:rsidR="4D1A0B04" w:rsidRPr="00CC562A">
        <w:rPr>
          <w:lang w:val="en-US"/>
        </w:rPr>
        <w:t xml:space="preserve">. </w:t>
      </w:r>
      <w:r w:rsidR="00950050" w:rsidRPr="00CC562A">
        <w:rPr>
          <w:lang w:val="en-US"/>
        </w:rPr>
        <w:t>Follow-up on Compliance with Recommendations in the Report on the “Situation of Human Rights in Mexico,” November</w:t>
      </w:r>
      <w:r w:rsidR="4D1A0B04" w:rsidRPr="00CC562A">
        <w:rPr>
          <w:lang w:val="en-US"/>
        </w:rPr>
        <w:t xml:space="preserve"> 2022.</w:t>
      </w:r>
    </w:p>
  </w:footnote>
  <w:footnote w:id="157">
    <w:p w14:paraId="13219D3E" w14:textId="7276148F"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58">
    <w:p w14:paraId="64FB436A" w14:textId="6BC701A9" w:rsidR="00C75F12" w:rsidRPr="00CC562A" w:rsidRDefault="00C75F12" w:rsidP="00C75F12">
      <w:pPr>
        <w:pStyle w:val="FootnoteText"/>
        <w:ind w:firstLine="720"/>
        <w:rPr>
          <w:lang w:val="en-US"/>
        </w:rPr>
      </w:pPr>
      <w:r w:rsidRPr="00CC562A">
        <w:rPr>
          <w:rStyle w:val="FootnoteReference"/>
        </w:rPr>
        <w:footnoteRef/>
      </w:r>
      <w:r w:rsidRPr="00CC562A">
        <w:rPr>
          <w:lang w:val="en-US"/>
        </w:rPr>
        <w:t xml:space="preserve"> </w:t>
      </w:r>
      <w:r w:rsidR="005C2908" w:rsidRPr="00CC562A">
        <w:rPr>
          <w:lang w:val="en-US"/>
        </w:rPr>
        <w:t>State of Mexico, OAS Note</w:t>
      </w:r>
      <w:r w:rsidRPr="00CC562A">
        <w:rPr>
          <w:lang w:val="en-US"/>
        </w:rPr>
        <w:t xml:space="preserve"> 517 </w:t>
      </w:r>
      <w:r w:rsidR="005C2908" w:rsidRPr="00CC562A">
        <w:rPr>
          <w:lang w:val="en-US"/>
        </w:rPr>
        <w:t>of February 17,</w:t>
      </w:r>
      <w:r w:rsidRPr="00CC562A">
        <w:rPr>
          <w:lang w:val="en-US"/>
        </w:rPr>
        <w:t xml:space="preserve"> 2023. Observa</w:t>
      </w:r>
      <w:r w:rsidR="005C2908" w:rsidRPr="00CC562A">
        <w:rPr>
          <w:lang w:val="en-US"/>
        </w:rPr>
        <w:t>tions on the preliminary version of the report</w:t>
      </w:r>
      <w:r w:rsidRPr="00CC562A">
        <w:rPr>
          <w:lang w:val="en-US"/>
        </w:rPr>
        <w:t>.</w:t>
      </w:r>
    </w:p>
  </w:footnote>
  <w:footnote w:id="159">
    <w:p w14:paraId="12AECA62" w14:textId="41526F05" w:rsidR="00C75F12" w:rsidRPr="00CC562A" w:rsidRDefault="00C75F12" w:rsidP="00C75F12">
      <w:pPr>
        <w:pStyle w:val="FootnoteText"/>
        <w:ind w:firstLine="720"/>
        <w:rPr>
          <w:lang w:val="en-US"/>
        </w:rPr>
      </w:pPr>
      <w:r w:rsidRPr="00CC562A">
        <w:rPr>
          <w:rStyle w:val="FootnoteReference"/>
          <w:lang w:val="en-US"/>
        </w:rPr>
        <w:footnoteRef/>
      </w:r>
      <w:r w:rsidRPr="00CC562A">
        <w:rPr>
          <w:lang w:val="en-US"/>
        </w:rPr>
        <w:t xml:space="preserve">  </w:t>
      </w:r>
      <w:r w:rsidR="00FD6769" w:rsidRPr="00CC562A">
        <w:rPr>
          <w:lang w:val="en-US"/>
        </w:rPr>
        <w:t>State of Mexico, OAS Note</w:t>
      </w:r>
      <w:r w:rsidRPr="00CC562A">
        <w:rPr>
          <w:lang w:val="en-US"/>
        </w:rPr>
        <w:t xml:space="preserve"> 517 </w:t>
      </w:r>
      <w:r w:rsidR="00FD6769" w:rsidRPr="00CC562A">
        <w:rPr>
          <w:lang w:val="en-US"/>
        </w:rPr>
        <w:t>of February 17,</w:t>
      </w:r>
      <w:r w:rsidRPr="00CC562A">
        <w:rPr>
          <w:lang w:val="en-US"/>
        </w:rPr>
        <w:t xml:space="preserve"> 2023. Observa</w:t>
      </w:r>
      <w:r w:rsidR="00FD6769" w:rsidRPr="00CC562A">
        <w:rPr>
          <w:lang w:val="en-US"/>
        </w:rPr>
        <w:t>tions on the preliminary version of the report</w:t>
      </w:r>
      <w:r w:rsidRPr="00CC562A">
        <w:rPr>
          <w:lang w:val="en-US"/>
        </w:rPr>
        <w:t>.</w:t>
      </w:r>
    </w:p>
  </w:footnote>
  <w:footnote w:id="160">
    <w:p w14:paraId="49D3232D" w14:textId="108B450E"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161">
    <w:p w14:paraId="10B5D3C3" w14:textId="1A105AB9" w:rsidR="00854DD5" w:rsidRPr="00CC562A" w:rsidRDefault="00854DD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 xml:space="preserve">Report of the </w:t>
      </w:r>
      <w:r w:rsidR="009051BD" w:rsidRPr="00CC562A">
        <w:rPr>
          <w:color w:val="000000"/>
          <w:shd w:val="clear" w:color="auto" w:fill="FFFFFF"/>
          <w:lang w:val="en-US"/>
        </w:rPr>
        <w:t>Mexican State. Chapter</w:t>
      </w:r>
      <w:r w:rsidR="4D1A0B04" w:rsidRPr="00CC562A">
        <w:rPr>
          <w:color w:val="000000"/>
          <w:shd w:val="clear" w:color="auto" w:fill="FFFFFF"/>
          <w:lang w:val="en-US"/>
        </w:rPr>
        <w:t xml:space="preserve"> IV. </w:t>
      </w:r>
      <w:r w:rsidR="009051BD" w:rsidRPr="00CC562A">
        <w:rPr>
          <w:color w:val="000000"/>
          <w:shd w:val="clear" w:color="auto" w:fill="FFFFFF"/>
          <w:lang w:val="en-US"/>
        </w:rPr>
        <w:t xml:space="preserve">November 18, </w:t>
      </w:r>
      <w:r w:rsidR="4D1A0B04" w:rsidRPr="00CC562A">
        <w:rPr>
          <w:color w:val="000000"/>
          <w:shd w:val="clear" w:color="auto" w:fill="FFFFFF"/>
          <w:lang w:val="en-US"/>
        </w:rPr>
        <w:t>2022, p</w:t>
      </w:r>
      <w:r w:rsidR="009051BD" w:rsidRPr="00CC562A">
        <w:rPr>
          <w:color w:val="000000"/>
          <w:shd w:val="clear" w:color="auto" w:fill="FFFFFF"/>
          <w:lang w:val="en-US"/>
        </w:rPr>
        <w:t>aras</w:t>
      </w:r>
      <w:r w:rsidR="4D1A0B04" w:rsidRPr="00CC562A">
        <w:rPr>
          <w:color w:val="000000"/>
          <w:shd w:val="clear" w:color="auto" w:fill="FFFFFF"/>
          <w:lang w:val="en-US"/>
        </w:rPr>
        <w:t>. 155</w:t>
      </w:r>
      <w:r w:rsidR="009051BD" w:rsidRPr="00CC562A">
        <w:rPr>
          <w:color w:val="000000"/>
          <w:shd w:val="clear" w:color="auto" w:fill="FFFFFF"/>
          <w:lang w:val="en-US"/>
        </w:rPr>
        <w:t xml:space="preserve"> -</w:t>
      </w:r>
      <w:r w:rsidR="4D1A0B04" w:rsidRPr="00CC562A">
        <w:rPr>
          <w:color w:val="000000"/>
          <w:shd w:val="clear" w:color="auto" w:fill="FFFFFF"/>
          <w:lang w:val="en-US"/>
        </w:rPr>
        <w:t>157.</w:t>
      </w:r>
    </w:p>
  </w:footnote>
  <w:footnote w:id="162">
    <w:p w14:paraId="5D2C03C1" w14:textId="6A61BBBC" w:rsidR="00C75F12" w:rsidRPr="00CC562A" w:rsidRDefault="00C75F12" w:rsidP="00C75F12">
      <w:pPr>
        <w:pStyle w:val="FootnoteText"/>
        <w:ind w:firstLine="720"/>
        <w:rPr>
          <w:lang w:val="en-US"/>
        </w:rPr>
      </w:pPr>
      <w:r w:rsidRPr="00CC562A">
        <w:rPr>
          <w:rStyle w:val="FootnoteReference"/>
          <w:lang w:val="en-US"/>
        </w:rPr>
        <w:footnoteRef/>
      </w:r>
      <w:r w:rsidRPr="00CC562A">
        <w:rPr>
          <w:lang w:val="en-US"/>
        </w:rPr>
        <w:t xml:space="preserve"> </w:t>
      </w:r>
      <w:r w:rsidR="00FD6769" w:rsidRPr="00CC562A">
        <w:rPr>
          <w:lang w:val="en-US"/>
        </w:rPr>
        <w:t>State of Mexico, OAS Note 517 of February 17, 2023. Observations on the preliminary version of the report</w:t>
      </w:r>
      <w:r w:rsidRPr="00CC562A">
        <w:rPr>
          <w:lang w:val="en-US"/>
        </w:rPr>
        <w:t>.</w:t>
      </w:r>
    </w:p>
  </w:footnote>
  <w:footnote w:id="163">
    <w:p w14:paraId="28000FC5" w14:textId="2D919166" w:rsidR="00C75F12" w:rsidRPr="00CC562A" w:rsidRDefault="00C75F12" w:rsidP="00C75F12">
      <w:pPr>
        <w:pStyle w:val="FootnoteText"/>
        <w:ind w:firstLine="720"/>
        <w:rPr>
          <w:lang w:val="en-US"/>
        </w:rPr>
      </w:pPr>
      <w:r w:rsidRPr="00CC562A">
        <w:rPr>
          <w:rStyle w:val="FootnoteReference"/>
        </w:rPr>
        <w:footnoteRef/>
      </w:r>
      <w:r w:rsidRPr="00CC562A">
        <w:rPr>
          <w:lang w:val="en-US"/>
        </w:rPr>
        <w:t xml:space="preserve"> </w:t>
      </w:r>
      <w:r w:rsidR="004D30FD" w:rsidRPr="00CC562A">
        <w:rPr>
          <w:lang w:val="en-US"/>
        </w:rPr>
        <w:t>State of Mexico, OAS Note</w:t>
      </w:r>
      <w:r w:rsidRPr="00CC562A">
        <w:rPr>
          <w:lang w:val="en-US"/>
        </w:rPr>
        <w:t xml:space="preserve"> 517 </w:t>
      </w:r>
      <w:r w:rsidR="004D30FD" w:rsidRPr="00CC562A">
        <w:rPr>
          <w:lang w:val="en-US"/>
        </w:rPr>
        <w:t>of February 17,</w:t>
      </w:r>
      <w:r w:rsidRPr="00CC562A">
        <w:rPr>
          <w:lang w:val="en-US"/>
        </w:rPr>
        <w:t xml:space="preserve"> 2023. Observa</w:t>
      </w:r>
      <w:r w:rsidR="004D30FD" w:rsidRPr="00CC562A">
        <w:rPr>
          <w:lang w:val="en-US"/>
        </w:rPr>
        <w:t>tions on the preliminary version of the report</w:t>
      </w:r>
      <w:r w:rsidRPr="00CC562A">
        <w:rPr>
          <w:lang w:val="en-US"/>
        </w:rPr>
        <w:t>.</w:t>
      </w:r>
    </w:p>
  </w:footnote>
  <w:footnote w:id="164">
    <w:p w14:paraId="3139C83E" w14:textId="72F0CB6F" w:rsidR="00CE50C6" w:rsidRPr="00CC562A" w:rsidRDefault="00CE50C6" w:rsidP="007A58B5">
      <w:pPr>
        <w:spacing w:after="0" w:line="240" w:lineRule="auto"/>
        <w:ind w:firstLine="720"/>
        <w:jc w:val="both"/>
        <w:rPr>
          <w:rFonts w:ascii="Cambria" w:eastAsia="Times New Roman" w:hAnsi="Cambria" w:cs="Times New Roman"/>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SCJN, </w:t>
      </w:r>
      <w:hyperlink r:id="rId48" w:history="1">
        <w:r w:rsidR="4D1A0B04" w:rsidRPr="00CC562A">
          <w:rPr>
            <w:rStyle w:val="Hyperlink"/>
            <w:rFonts w:ascii="Cambria" w:hAnsi="Cambria"/>
            <w:sz w:val="16"/>
            <w:szCs w:val="16"/>
            <w:lang w:val="es-ES"/>
          </w:rPr>
          <w:t>Amparo en Revisión 453/2015</w:t>
        </w:r>
      </w:hyperlink>
      <w:r w:rsidR="4D1A0B04" w:rsidRPr="00CC562A">
        <w:rPr>
          <w:rFonts w:ascii="Cambria" w:hAnsi="Cambria"/>
          <w:sz w:val="16"/>
          <w:szCs w:val="16"/>
          <w:lang w:val="es-ES"/>
        </w:rPr>
        <w:t xml:space="preserve">, </w:t>
      </w:r>
      <w:r w:rsidR="00E662AC" w:rsidRPr="00CC562A">
        <w:rPr>
          <w:rFonts w:ascii="Cambria" w:hAnsi="Cambria"/>
          <w:sz w:val="16"/>
          <w:szCs w:val="16"/>
          <w:lang w:val="es-ES"/>
        </w:rPr>
        <w:t xml:space="preserve">April 4, </w:t>
      </w:r>
      <w:r w:rsidR="4D1A0B04" w:rsidRPr="00CC562A">
        <w:rPr>
          <w:rFonts w:ascii="Cambria" w:hAnsi="Cambria"/>
          <w:sz w:val="16"/>
          <w:szCs w:val="16"/>
          <w:lang w:val="es-ES"/>
        </w:rPr>
        <w:t xml:space="preserve">2019. </w:t>
      </w:r>
    </w:p>
  </w:footnote>
  <w:footnote w:id="165">
    <w:p w14:paraId="6CAEE55E" w14:textId="6BB322C6" w:rsidR="004B6604" w:rsidRPr="00CC562A" w:rsidRDefault="004B6604"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740ECF" w:rsidRPr="00CC562A">
        <w:rPr>
          <w:lang w:val="en-US"/>
        </w:rPr>
        <w:t>PRODH Center</w:t>
      </w:r>
      <w:r w:rsidR="4D1A0B04" w:rsidRPr="00CC562A">
        <w:rPr>
          <w:lang w:val="en-US"/>
        </w:rPr>
        <w:t xml:space="preserve">. </w:t>
      </w:r>
      <w:r w:rsidR="00E662AC" w:rsidRPr="00CC562A">
        <w:rPr>
          <w:lang w:val="en-US"/>
        </w:rPr>
        <w:t xml:space="preserve">Follow-up on </w:t>
      </w:r>
      <w:r w:rsidR="00C57DB1" w:rsidRPr="00CC562A">
        <w:rPr>
          <w:lang w:val="en-US"/>
        </w:rPr>
        <w:t>C</w:t>
      </w:r>
      <w:r w:rsidR="00E662AC" w:rsidRPr="00CC562A">
        <w:rPr>
          <w:lang w:val="en-US"/>
        </w:rPr>
        <w:t xml:space="preserve">ompliance with </w:t>
      </w:r>
      <w:r w:rsidR="00C57DB1" w:rsidRPr="00CC562A">
        <w:rPr>
          <w:lang w:val="en-US"/>
        </w:rPr>
        <w:t>R</w:t>
      </w:r>
      <w:r w:rsidR="00E662AC" w:rsidRPr="00CC562A">
        <w:rPr>
          <w:lang w:val="en-US"/>
        </w:rPr>
        <w:t xml:space="preserve">ecommendations in the </w:t>
      </w:r>
      <w:r w:rsidR="00C57DB1" w:rsidRPr="00CC562A">
        <w:rPr>
          <w:lang w:val="en-US"/>
        </w:rPr>
        <w:t>R</w:t>
      </w:r>
      <w:r w:rsidR="00E662AC" w:rsidRPr="00CC562A">
        <w:rPr>
          <w:lang w:val="en-US"/>
        </w:rPr>
        <w:t>eport on the “Situation of Human Rights in Mexico, November</w:t>
      </w:r>
      <w:r w:rsidR="4D1A0B04" w:rsidRPr="00CC562A">
        <w:rPr>
          <w:lang w:val="en-US"/>
        </w:rPr>
        <w:t xml:space="preserve"> 2022, </w:t>
      </w:r>
      <w:r w:rsidR="004E0B7E" w:rsidRPr="00CC562A">
        <w:rPr>
          <w:lang w:val="en-US"/>
        </w:rPr>
        <w:t>pp.</w:t>
      </w:r>
      <w:r w:rsidR="4D1A0B04" w:rsidRPr="00CC562A">
        <w:rPr>
          <w:lang w:val="en-US"/>
        </w:rPr>
        <w:t xml:space="preserve"> 1-3.</w:t>
      </w:r>
    </w:p>
  </w:footnote>
  <w:footnote w:id="166">
    <w:p w14:paraId="3F5C47BA" w14:textId="61D7C9DF"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IM Defensoras</w:t>
      </w:r>
      <w:r w:rsidR="001A4CE0" w:rsidRPr="00CC562A">
        <w:rPr>
          <w:rFonts w:ascii="Cambria" w:hAnsi="Cambria"/>
          <w:sz w:val="16"/>
          <w:szCs w:val="16"/>
          <w:lang w:val="es-ES"/>
        </w:rPr>
        <w:t xml:space="preserve">, </w:t>
      </w:r>
      <w:hyperlink r:id="rId49" w:history="1">
        <w:r w:rsidRPr="00CC562A">
          <w:rPr>
            <w:rStyle w:val="Hyperlink"/>
            <w:rFonts w:ascii="Cambria" w:hAnsi="Cambria"/>
            <w:sz w:val="16"/>
            <w:szCs w:val="16"/>
            <w:lang w:val="es-ES"/>
          </w:rPr>
          <w:t>[Alerta Defensoras] MÉXICO / Asesinan a la defensora Brenda Jazmín Beltrán, del colectivo Guerreras Buscadoras de Cajeme, Sonora</w:t>
        </w:r>
      </w:hyperlink>
      <w:r w:rsidR="001A4CE0" w:rsidRPr="00CC562A">
        <w:rPr>
          <w:rFonts w:ascii="Cambria" w:hAnsi="Cambria"/>
          <w:sz w:val="16"/>
          <w:szCs w:val="16"/>
          <w:lang w:val="es-ES"/>
        </w:rPr>
        <w:t>,</w:t>
      </w:r>
      <w:r w:rsidRPr="00CC562A">
        <w:rPr>
          <w:rFonts w:ascii="Cambria" w:hAnsi="Cambria"/>
          <w:sz w:val="16"/>
          <w:szCs w:val="16"/>
          <w:lang w:val="es-ES"/>
        </w:rPr>
        <w:t xml:space="preserve"> </w:t>
      </w:r>
      <w:r w:rsidR="00C57DB1" w:rsidRPr="00CC562A">
        <w:rPr>
          <w:rFonts w:ascii="Cambria" w:hAnsi="Cambria"/>
          <w:sz w:val="16"/>
          <w:szCs w:val="16"/>
          <w:lang w:val="es-ES"/>
        </w:rPr>
        <w:t xml:space="preserve">July 25, </w:t>
      </w:r>
      <w:r w:rsidRPr="00CC562A">
        <w:rPr>
          <w:rFonts w:ascii="Cambria" w:hAnsi="Cambria"/>
          <w:sz w:val="16"/>
          <w:szCs w:val="16"/>
          <w:lang w:val="es-ES"/>
        </w:rPr>
        <w:t xml:space="preserve">2022. </w:t>
      </w:r>
    </w:p>
  </w:footnote>
  <w:footnote w:id="167">
    <w:p w14:paraId="523872BA" w14:textId="5357623C"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El País</w:t>
      </w:r>
      <w:r w:rsidR="00946551" w:rsidRPr="00CC562A">
        <w:rPr>
          <w:rFonts w:ascii="Cambria" w:hAnsi="Cambria"/>
          <w:sz w:val="16"/>
          <w:szCs w:val="16"/>
          <w:lang w:val="es-ES"/>
        </w:rPr>
        <w:t>,</w:t>
      </w:r>
      <w:r w:rsidRPr="00CC562A">
        <w:rPr>
          <w:rFonts w:ascii="Cambria" w:hAnsi="Cambria"/>
          <w:sz w:val="16"/>
          <w:szCs w:val="16"/>
          <w:lang w:val="es-ES"/>
        </w:rPr>
        <w:t xml:space="preserve"> </w:t>
      </w:r>
      <w:hyperlink r:id="rId50" w:history="1">
        <w:r w:rsidRPr="00CC562A">
          <w:rPr>
            <w:rStyle w:val="Hyperlink"/>
            <w:rFonts w:ascii="Cambria" w:hAnsi="Cambria"/>
            <w:sz w:val="16"/>
            <w:szCs w:val="16"/>
            <w:lang w:val="es-ES"/>
          </w:rPr>
          <w:t>Asesinada una madre buscadora al salir de una misa en honor a su hijo desaparecido en Sinaloa</w:t>
        </w:r>
      </w:hyperlink>
      <w:r w:rsidR="00946551" w:rsidRPr="00CC562A">
        <w:rPr>
          <w:rFonts w:ascii="Cambria" w:hAnsi="Cambria"/>
          <w:sz w:val="16"/>
          <w:szCs w:val="16"/>
          <w:lang w:val="es-ES"/>
        </w:rPr>
        <w:t xml:space="preserve">, </w:t>
      </w:r>
      <w:r w:rsidRPr="00CC562A">
        <w:rPr>
          <w:rFonts w:ascii="Cambria" w:hAnsi="Cambria"/>
          <w:sz w:val="16"/>
          <w:szCs w:val="16"/>
          <w:lang w:val="es-ES"/>
        </w:rPr>
        <w:t xml:space="preserve"> </w:t>
      </w:r>
      <w:r w:rsidR="00C57DB1" w:rsidRPr="00CC562A">
        <w:rPr>
          <w:rFonts w:ascii="Cambria" w:hAnsi="Cambria"/>
          <w:sz w:val="16"/>
          <w:szCs w:val="16"/>
          <w:lang w:val="es-ES"/>
        </w:rPr>
        <w:t>August 31,</w:t>
      </w:r>
      <w:r w:rsidRPr="00CC562A">
        <w:rPr>
          <w:rFonts w:ascii="Cambria" w:hAnsi="Cambria"/>
          <w:sz w:val="16"/>
          <w:szCs w:val="16"/>
          <w:lang w:val="es-ES"/>
        </w:rPr>
        <w:t xml:space="preserve"> 2022. </w:t>
      </w:r>
    </w:p>
  </w:footnote>
  <w:footnote w:id="168">
    <w:p w14:paraId="5A962056" w14:textId="63DAC261"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Excelsio</w:t>
      </w:r>
      <w:r w:rsidR="001A4CE0" w:rsidRPr="00CC562A">
        <w:rPr>
          <w:rFonts w:ascii="Cambria" w:hAnsi="Cambria"/>
          <w:sz w:val="16"/>
          <w:szCs w:val="16"/>
          <w:lang w:val="es-ES"/>
        </w:rPr>
        <w:t xml:space="preserve">r, </w:t>
      </w:r>
      <w:r w:rsidRPr="00CC562A">
        <w:rPr>
          <w:rFonts w:ascii="Cambria" w:hAnsi="Cambria"/>
          <w:sz w:val="16"/>
          <w:szCs w:val="16"/>
          <w:lang w:val="es-ES"/>
        </w:rPr>
        <w:t xml:space="preserve"> </w:t>
      </w:r>
      <w:hyperlink w:history="1">
        <w:r w:rsidRPr="00CC562A">
          <w:rPr>
            <w:rStyle w:val="Hyperlink"/>
            <w:rFonts w:ascii="Cambria" w:hAnsi="Cambria"/>
            <w:sz w:val="16"/>
            <w:szCs w:val="16"/>
            <w:lang w:val="es-ES"/>
          </w:rPr>
          <w:t>Asesinan a Esmeralda Gallardo, madre buscadora en Puebla</w:t>
        </w:r>
      </w:hyperlink>
      <w:r w:rsidR="001A4CE0" w:rsidRPr="00CC562A">
        <w:rPr>
          <w:rFonts w:ascii="Cambria" w:hAnsi="Cambria"/>
          <w:sz w:val="16"/>
          <w:szCs w:val="16"/>
          <w:lang w:val="es-ES"/>
        </w:rPr>
        <w:t xml:space="preserve">, </w:t>
      </w:r>
      <w:r w:rsidRPr="00CC562A">
        <w:rPr>
          <w:rFonts w:ascii="Cambria" w:hAnsi="Cambria"/>
          <w:sz w:val="16"/>
          <w:szCs w:val="16"/>
          <w:lang w:val="es-ES"/>
        </w:rPr>
        <w:t xml:space="preserve"> </w:t>
      </w:r>
      <w:proofErr w:type="spellStart"/>
      <w:r w:rsidR="00C57DB1" w:rsidRPr="00CC562A">
        <w:rPr>
          <w:rFonts w:ascii="Cambria" w:hAnsi="Cambria"/>
          <w:sz w:val="16"/>
          <w:szCs w:val="16"/>
          <w:lang w:val="es-ES"/>
        </w:rPr>
        <w:t>October</w:t>
      </w:r>
      <w:proofErr w:type="spellEnd"/>
      <w:r w:rsidR="00C57DB1" w:rsidRPr="00CC562A">
        <w:rPr>
          <w:rFonts w:ascii="Cambria" w:hAnsi="Cambria"/>
          <w:sz w:val="16"/>
          <w:szCs w:val="16"/>
          <w:lang w:val="es-ES"/>
        </w:rPr>
        <w:t xml:space="preserve"> 4, </w:t>
      </w:r>
      <w:r w:rsidRPr="00CC562A">
        <w:rPr>
          <w:rFonts w:ascii="Cambria" w:hAnsi="Cambria"/>
          <w:sz w:val="16"/>
          <w:szCs w:val="16"/>
          <w:lang w:val="es-ES"/>
        </w:rPr>
        <w:t xml:space="preserve">2022. </w:t>
      </w:r>
    </w:p>
  </w:footnote>
  <w:footnote w:id="169">
    <w:p w14:paraId="4C636A1E" w14:textId="5FF086BB"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Proceso</w:t>
      </w:r>
      <w:r w:rsidR="001A4CE0" w:rsidRPr="00CC562A">
        <w:rPr>
          <w:rFonts w:ascii="Cambria" w:hAnsi="Cambria"/>
          <w:sz w:val="16"/>
          <w:szCs w:val="16"/>
          <w:lang w:val="es-ES"/>
        </w:rPr>
        <w:t xml:space="preserve">, </w:t>
      </w:r>
      <w:hyperlink r:id="rId51" w:history="1">
        <w:r w:rsidRPr="00CC562A">
          <w:rPr>
            <w:rStyle w:val="Hyperlink"/>
            <w:rFonts w:ascii="Cambria" w:hAnsi="Cambria"/>
            <w:sz w:val="16"/>
            <w:szCs w:val="16"/>
            <w:lang w:val="es-ES"/>
          </w:rPr>
          <w:t>Atacan a colectivo mientras buscaban a desaparecidos en Rioverde, SLP</w:t>
        </w:r>
      </w:hyperlink>
      <w:r w:rsidR="001A4CE0" w:rsidRPr="00CC562A">
        <w:rPr>
          <w:rFonts w:ascii="Cambria" w:hAnsi="Cambria"/>
          <w:sz w:val="16"/>
          <w:szCs w:val="16"/>
          <w:lang w:val="es-ES"/>
        </w:rPr>
        <w:t>,</w:t>
      </w:r>
      <w:r w:rsidRPr="00CC562A">
        <w:rPr>
          <w:rFonts w:ascii="Cambria" w:hAnsi="Cambria"/>
          <w:sz w:val="16"/>
          <w:szCs w:val="16"/>
          <w:lang w:val="es-ES"/>
        </w:rPr>
        <w:t xml:space="preserve"> </w:t>
      </w:r>
      <w:r w:rsidR="00C57DB1" w:rsidRPr="00CC562A">
        <w:rPr>
          <w:rFonts w:ascii="Cambria" w:hAnsi="Cambria"/>
          <w:sz w:val="16"/>
          <w:szCs w:val="16"/>
          <w:lang w:val="es-ES"/>
        </w:rPr>
        <w:t>July 29,</w:t>
      </w:r>
      <w:r w:rsidRPr="00CC562A">
        <w:rPr>
          <w:rFonts w:ascii="Cambria" w:hAnsi="Cambria"/>
          <w:sz w:val="16"/>
          <w:szCs w:val="16"/>
          <w:lang w:val="es-ES"/>
        </w:rPr>
        <w:t xml:space="preserve"> 2022. </w:t>
      </w:r>
    </w:p>
  </w:footnote>
  <w:footnote w:id="170">
    <w:p w14:paraId="1CEAE9CD" w14:textId="18868901" w:rsidR="00A06F2A" w:rsidRPr="00CC562A" w:rsidRDefault="00A06F2A"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IMER Noticias</w:t>
      </w:r>
      <w:r w:rsidR="001A4CE0" w:rsidRPr="00CC562A">
        <w:rPr>
          <w:rFonts w:ascii="Cambria" w:hAnsi="Cambria"/>
          <w:sz w:val="16"/>
          <w:szCs w:val="16"/>
          <w:lang w:val="es-ES"/>
        </w:rPr>
        <w:t xml:space="preserve">, </w:t>
      </w:r>
      <w:hyperlink r:id="rId52" w:history="1">
        <w:r w:rsidRPr="00CC562A">
          <w:rPr>
            <w:rStyle w:val="Hyperlink"/>
            <w:rFonts w:ascii="Cambria" w:hAnsi="Cambria"/>
            <w:sz w:val="16"/>
            <w:szCs w:val="16"/>
            <w:lang w:val="es-ES"/>
          </w:rPr>
          <w:t>Las madres y padres asesinados en la búsqueda de sus desaparecidos</w:t>
        </w:r>
      </w:hyperlink>
      <w:r w:rsidR="001A4CE0" w:rsidRPr="00CC562A">
        <w:rPr>
          <w:rFonts w:ascii="Cambria" w:hAnsi="Cambria"/>
          <w:sz w:val="16"/>
          <w:szCs w:val="16"/>
          <w:lang w:val="es-ES"/>
        </w:rPr>
        <w:t>,</w:t>
      </w:r>
      <w:r w:rsidRPr="00CC562A">
        <w:rPr>
          <w:rFonts w:ascii="Cambria" w:hAnsi="Cambria"/>
          <w:sz w:val="16"/>
          <w:szCs w:val="16"/>
          <w:lang w:val="es-ES"/>
        </w:rPr>
        <w:t xml:space="preserve"> </w:t>
      </w:r>
      <w:r w:rsidR="00C57DB1" w:rsidRPr="00CC562A">
        <w:rPr>
          <w:rFonts w:ascii="Cambria" w:hAnsi="Cambria"/>
          <w:sz w:val="16"/>
          <w:szCs w:val="16"/>
          <w:lang w:val="es-ES"/>
        </w:rPr>
        <w:t xml:space="preserve">August 31, </w:t>
      </w:r>
      <w:r w:rsidRPr="00CC562A">
        <w:rPr>
          <w:rFonts w:ascii="Cambria" w:hAnsi="Cambria"/>
          <w:sz w:val="16"/>
          <w:szCs w:val="16"/>
          <w:lang w:val="es-ES"/>
        </w:rPr>
        <w:t xml:space="preserve">2022; RT. </w:t>
      </w:r>
      <w:hyperlink r:id="rId53" w:history="1">
        <w:r w:rsidRPr="00CC562A">
          <w:rPr>
            <w:rStyle w:val="Hyperlink"/>
            <w:rFonts w:ascii="Cambria" w:hAnsi="Cambria"/>
            <w:sz w:val="16"/>
            <w:szCs w:val="16"/>
            <w:lang w:val="es-ES"/>
          </w:rPr>
          <w:t>El caso de Esmeralda Gallardo exhibe la dolorosa lista de 'madres buscadoras' asesinadas en México</w:t>
        </w:r>
      </w:hyperlink>
      <w:r w:rsidR="001A4CE0" w:rsidRPr="00CC562A">
        <w:rPr>
          <w:rFonts w:ascii="Cambria" w:hAnsi="Cambria"/>
          <w:sz w:val="16"/>
          <w:szCs w:val="16"/>
          <w:lang w:val="es-ES"/>
        </w:rPr>
        <w:t>,</w:t>
      </w:r>
      <w:r w:rsidRPr="00CC562A">
        <w:rPr>
          <w:rFonts w:ascii="Cambria" w:hAnsi="Cambria"/>
          <w:sz w:val="16"/>
          <w:szCs w:val="16"/>
          <w:lang w:val="es-ES"/>
        </w:rPr>
        <w:t xml:space="preserve"> 7 de octubre de 2022; El Economista</w:t>
      </w:r>
      <w:r w:rsidR="001A4CE0" w:rsidRPr="00CC562A">
        <w:rPr>
          <w:rFonts w:ascii="Cambria" w:hAnsi="Cambria"/>
          <w:sz w:val="16"/>
          <w:szCs w:val="16"/>
          <w:lang w:val="es-ES"/>
        </w:rPr>
        <w:t>,</w:t>
      </w:r>
      <w:r w:rsidRPr="00CC562A">
        <w:rPr>
          <w:rFonts w:ascii="Cambria" w:hAnsi="Cambria"/>
          <w:sz w:val="16"/>
          <w:szCs w:val="16"/>
          <w:lang w:val="es-ES"/>
        </w:rPr>
        <w:t xml:space="preserve"> </w:t>
      </w:r>
      <w:hyperlink r:id="rId54" w:history="1">
        <w:r w:rsidRPr="00CC562A">
          <w:rPr>
            <w:rStyle w:val="Hyperlink"/>
            <w:rFonts w:ascii="Cambria" w:hAnsi="Cambria"/>
            <w:sz w:val="16"/>
            <w:szCs w:val="16"/>
            <w:lang w:val="es-ES"/>
          </w:rPr>
          <w:t>Buscaban a un familiar desaparecido; fueron asesinados</w:t>
        </w:r>
      </w:hyperlink>
      <w:r w:rsidR="001A4CE0" w:rsidRPr="00CC562A">
        <w:rPr>
          <w:rFonts w:ascii="Cambria" w:hAnsi="Cambria"/>
          <w:sz w:val="16"/>
          <w:szCs w:val="16"/>
          <w:lang w:val="es-ES"/>
        </w:rPr>
        <w:t>,</w:t>
      </w:r>
      <w:r w:rsidRPr="00CC562A">
        <w:rPr>
          <w:rFonts w:ascii="Cambria" w:hAnsi="Cambria"/>
          <w:sz w:val="16"/>
          <w:szCs w:val="16"/>
          <w:lang w:val="es-ES"/>
        </w:rPr>
        <w:t xml:space="preserve"> </w:t>
      </w:r>
      <w:r w:rsidR="00C57DB1" w:rsidRPr="00CC562A">
        <w:rPr>
          <w:rFonts w:ascii="Cambria" w:hAnsi="Cambria"/>
          <w:sz w:val="16"/>
          <w:szCs w:val="16"/>
          <w:lang w:val="es-ES"/>
        </w:rPr>
        <w:t xml:space="preserve">August 5, </w:t>
      </w:r>
      <w:r w:rsidRPr="00CC562A">
        <w:rPr>
          <w:rFonts w:ascii="Cambria" w:hAnsi="Cambria"/>
          <w:sz w:val="16"/>
          <w:szCs w:val="16"/>
          <w:lang w:val="es-ES"/>
        </w:rPr>
        <w:t xml:space="preserve">2021. </w:t>
      </w:r>
    </w:p>
  </w:footnote>
  <w:footnote w:id="171">
    <w:p w14:paraId="2EC03903" w14:textId="2A9EB5C9" w:rsidR="006364A9" w:rsidRPr="00CC562A" w:rsidRDefault="006364A9"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C57DB1" w:rsidRPr="00CC562A">
        <w:rPr>
          <w:rFonts w:eastAsia="Cambria" w:cs="Cambria"/>
          <w:color w:val="000000"/>
          <w:lang w:val="en-US"/>
        </w:rPr>
        <w:t>Follow-up on Compliance with Recommendations in the Report on the “Human Rights Situation in Mexico, October 20,</w:t>
      </w:r>
      <w:r w:rsidR="4D1A0B04" w:rsidRPr="00CC562A">
        <w:rPr>
          <w:rFonts w:eastAsia="Cambria" w:cs="Cambria"/>
          <w:color w:val="000000"/>
          <w:lang w:val="en-US"/>
        </w:rPr>
        <w:t xml:space="preserve"> 2022, p. 21.</w:t>
      </w:r>
    </w:p>
  </w:footnote>
  <w:footnote w:id="172">
    <w:p w14:paraId="3B8979B2" w14:textId="248F40A8" w:rsidR="004D271F" w:rsidRPr="00CC562A" w:rsidRDefault="004D271F"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El País, </w:t>
      </w:r>
      <w:hyperlink r:id="rId55" w:history="1">
        <w:r w:rsidR="4D1A0B04" w:rsidRPr="00CC562A">
          <w:rPr>
            <w:rStyle w:val="Hyperlink"/>
            <w:lang w:val="es-ES"/>
          </w:rPr>
          <w:t>El asesinato de Cecilia Monzón</w:t>
        </w:r>
      </w:hyperlink>
      <w:r w:rsidR="4D1A0B04" w:rsidRPr="00CC562A">
        <w:rPr>
          <w:lang w:val="es-ES"/>
        </w:rPr>
        <w:t xml:space="preserve">, </w:t>
      </w:r>
      <w:r w:rsidR="00C57DB1" w:rsidRPr="00CC562A">
        <w:rPr>
          <w:lang w:val="es-ES"/>
        </w:rPr>
        <w:t>July 22,</w:t>
      </w:r>
      <w:r w:rsidR="4D1A0B04" w:rsidRPr="00CC562A">
        <w:rPr>
          <w:lang w:val="es-ES"/>
        </w:rPr>
        <w:t xml:space="preserve"> 2022.</w:t>
      </w:r>
    </w:p>
  </w:footnote>
  <w:footnote w:id="173">
    <w:p w14:paraId="4A51830B" w14:textId="290A47D3" w:rsidR="00C75F12" w:rsidRPr="00A04335" w:rsidRDefault="00C75F12" w:rsidP="00A04335">
      <w:pPr>
        <w:spacing w:after="0" w:line="240" w:lineRule="auto"/>
        <w:ind w:firstLine="720"/>
        <w:jc w:val="both"/>
        <w:rPr>
          <w:rFonts w:ascii="Cambria" w:eastAsia="Cambria" w:hAnsi="Cambria" w:cs="Cambria"/>
          <w:color w:val="000000" w:themeColor="text1"/>
          <w:sz w:val="16"/>
          <w:szCs w:val="16"/>
          <w:lang w:val="en-US"/>
        </w:rPr>
      </w:pPr>
      <w:r w:rsidRPr="00CC562A">
        <w:rPr>
          <w:rStyle w:val="FootnoteReference"/>
          <w:rFonts w:ascii="Cambria" w:hAnsi="Cambria"/>
          <w:color w:val="000000" w:themeColor="text1"/>
          <w:sz w:val="16"/>
          <w:szCs w:val="16"/>
        </w:rPr>
        <w:footnoteRef/>
      </w:r>
      <w:r w:rsidRPr="00CC562A">
        <w:rPr>
          <w:rFonts w:ascii="Cambria" w:hAnsi="Cambria"/>
          <w:color w:val="000000" w:themeColor="text1"/>
          <w:sz w:val="16"/>
          <w:szCs w:val="16"/>
        </w:rPr>
        <w:t xml:space="preserve"> Informe de avance del Estado mexicano sobre el cumplimiento y seguimiento de las recomendaciones de la CIDH. </w:t>
      </w:r>
      <w:proofErr w:type="spellStart"/>
      <w:r w:rsidRPr="00A63873">
        <w:rPr>
          <w:rFonts w:ascii="Cambria" w:hAnsi="Cambria"/>
          <w:color w:val="000000" w:themeColor="text1"/>
          <w:sz w:val="16"/>
          <w:szCs w:val="16"/>
          <w:lang w:val="en-US"/>
        </w:rPr>
        <w:t>Capítulo</w:t>
      </w:r>
      <w:proofErr w:type="spellEnd"/>
      <w:r w:rsidRPr="00A63873">
        <w:rPr>
          <w:rFonts w:ascii="Cambria" w:hAnsi="Cambria"/>
          <w:color w:val="000000" w:themeColor="text1"/>
          <w:sz w:val="16"/>
          <w:szCs w:val="16"/>
          <w:lang w:val="en-US"/>
        </w:rPr>
        <w:t xml:space="preserve"> V, de </w:t>
      </w:r>
      <w:proofErr w:type="spellStart"/>
      <w:r w:rsidRPr="00A63873">
        <w:rPr>
          <w:rFonts w:ascii="Cambria" w:hAnsi="Cambria"/>
          <w:color w:val="000000" w:themeColor="text1"/>
          <w:sz w:val="16"/>
          <w:szCs w:val="16"/>
          <w:lang w:val="en-US"/>
        </w:rPr>
        <w:t>octubre</w:t>
      </w:r>
      <w:proofErr w:type="spellEnd"/>
      <w:r w:rsidRPr="00A63873">
        <w:rPr>
          <w:rFonts w:ascii="Cambria" w:hAnsi="Cambria"/>
          <w:color w:val="000000" w:themeColor="text1"/>
          <w:sz w:val="16"/>
          <w:szCs w:val="16"/>
          <w:lang w:val="en-US"/>
        </w:rPr>
        <w:t xml:space="preserve"> de 2022 a </w:t>
      </w:r>
      <w:proofErr w:type="spellStart"/>
      <w:r w:rsidRPr="00A63873">
        <w:rPr>
          <w:rFonts w:ascii="Cambria" w:hAnsi="Cambria"/>
          <w:color w:val="000000" w:themeColor="text1"/>
          <w:sz w:val="16"/>
          <w:szCs w:val="16"/>
          <w:lang w:val="en-US"/>
        </w:rPr>
        <w:t>través</w:t>
      </w:r>
      <w:proofErr w:type="spellEnd"/>
      <w:r w:rsidRPr="00A63873">
        <w:rPr>
          <w:rFonts w:ascii="Cambria" w:hAnsi="Cambria"/>
          <w:color w:val="000000" w:themeColor="text1"/>
          <w:sz w:val="16"/>
          <w:szCs w:val="16"/>
          <w:lang w:val="en-US"/>
        </w:rPr>
        <w:t xml:space="preserve"> del SIMORE Interamericano. </w:t>
      </w:r>
      <w:r w:rsidR="00386730" w:rsidRPr="00CC562A">
        <w:rPr>
          <w:rFonts w:ascii="Cambria" w:hAnsi="Cambria"/>
          <w:color w:val="000000" w:themeColor="text1"/>
          <w:sz w:val="16"/>
          <w:szCs w:val="16"/>
          <w:lang w:val="en-US"/>
        </w:rPr>
        <w:t>The State also indicated that, on February 5,</w:t>
      </w:r>
      <w:r w:rsidRPr="00CC562A">
        <w:rPr>
          <w:rFonts w:ascii="Cambria" w:eastAsia="Cambria" w:hAnsi="Cambria" w:cs="Cambria"/>
          <w:color w:val="000000" w:themeColor="text1"/>
          <w:sz w:val="16"/>
          <w:szCs w:val="16"/>
          <w:lang w:val="en-US"/>
        </w:rPr>
        <w:t xml:space="preserve"> 2019, </w:t>
      </w:r>
      <w:r w:rsidR="00386730" w:rsidRPr="00CC562A">
        <w:rPr>
          <w:rFonts w:ascii="Cambria" w:eastAsia="Cambria" w:hAnsi="Cambria" w:cs="Cambria"/>
          <w:color w:val="000000" w:themeColor="text1"/>
          <w:sz w:val="16"/>
          <w:szCs w:val="16"/>
          <w:lang w:val="en-US"/>
        </w:rPr>
        <w:t>Judge</w:t>
      </w:r>
      <w:r w:rsidRPr="00CC562A">
        <w:rPr>
          <w:rFonts w:ascii="Cambria" w:eastAsia="Cambria" w:hAnsi="Cambria" w:cs="Cambria"/>
          <w:color w:val="000000" w:themeColor="text1"/>
          <w:sz w:val="16"/>
          <w:szCs w:val="16"/>
          <w:lang w:val="en-US"/>
        </w:rPr>
        <w:t xml:space="preserve"> Uriel Villegas Ortiz </w:t>
      </w:r>
      <w:r w:rsidR="00386730" w:rsidRPr="00CC562A">
        <w:rPr>
          <w:rFonts w:ascii="Cambria" w:eastAsia="Cambria" w:hAnsi="Cambria" w:cs="Cambria"/>
          <w:color w:val="000000" w:themeColor="text1"/>
          <w:sz w:val="16"/>
          <w:szCs w:val="16"/>
          <w:lang w:val="en-US"/>
        </w:rPr>
        <w:t xml:space="preserve">filed a brief </w:t>
      </w:r>
      <w:r w:rsidR="004449B6" w:rsidRPr="00CC562A">
        <w:rPr>
          <w:rFonts w:ascii="Cambria" w:eastAsia="Cambria" w:hAnsi="Cambria" w:cs="Cambria"/>
          <w:color w:val="000000" w:themeColor="text1"/>
          <w:sz w:val="16"/>
          <w:szCs w:val="16"/>
          <w:lang w:val="en-US"/>
        </w:rPr>
        <w:t xml:space="preserve">renouncing </w:t>
      </w:r>
      <w:r w:rsidR="00386730" w:rsidRPr="00CC562A">
        <w:rPr>
          <w:rFonts w:ascii="Cambria" w:eastAsia="Cambria" w:hAnsi="Cambria" w:cs="Cambria"/>
          <w:color w:val="000000" w:themeColor="text1"/>
          <w:sz w:val="16"/>
          <w:szCs w:val="16"/>
          <w:lang w:val="en-US"/>
        </w:rPr>
        <w:t>the measures he had assigned, stating that there were no data to support considering the family to be at risk. After hearing the</w:t>
      </w:r>
      <w:r w:rsidR="00245926" w:rsidRPr="00CC562A">
        <w:rPr>
          <w:rFonts w:ascii="Cambria" w:eastAsia="Cambria" w:hAnsi="Cambria" w:cs="Cambria"/>
          <w:color w:val="000000" w:themeColor="text1"/>
          <w:sz w:val="16"/>
          <w:szCs w:val="16"/>
          <w:lang w:val="en-US"/>
        </w:rPr>
        <w:t xml:space="preserve"> Security Coordination’s</w:t>
      </w:r>
      <w:r w:rsidR="00386730" w:rsidRPr="00CC562A">
        <w:rPr>
          <w:rFonts w:ascii="Cambria" w:eastAsia="Cambria" w:hAnsi="Cambria" w:cs="Cambria"/>
          <w:color w:val="000000" w:themeColor="text1"/>
          <w:sz w:val="16"/>
          <w:szCs w:val="16"/>
          <w:lang w:val="en-US"/>
        </w:rPr>
        <w:t xml:space="preserve"> technical opinion </w:t>
      </w:r>
      <w:r w:rsidR="00294B7B" w:rsidRPr="00CC562A">
        <w:rPr>
          <w:rFonts w:ascii="Cambria" w:eastAsia="Cambria" w:hAnsi="Cambria" w:cs="Cambria"/>
          <w:color w:val="000000" w:themeColor="text1"/>
          <w:sz w:val="16"/>
          <w:szCs w:val="16"/>
          <w:lang w:val="en-US"/>
        </w:rPr>
        <w:t xml:space="preserve">on whether an environment of risk persisted at the Court, on February 27, </w:t>
      </w:r>
      <w:r w:rsidRPr="00CC562A">
        <w:rPr>
          <w:rFonts w:ascii="Cambria" w:eastAsia="Cambria" w:hAnsi="Cambria" w:cs="Cambria"/>
          <w:color w:val="000000" w:themeColor="text1"/>
          <w:sz w:val="16"/>
          <w:szCs w:val="16"/>
          <w:lang w:val="en-US"/>
        </w:rPr>
        <w:t xml:space="preserve">2019, </w:t>
      </w:r>
      <w:r w:rsidR="00294B7B" w:rsidRPr="00CC562A">
        <w:rPr>
          <w:rFonts w:ascii="Cambria" w:eastAsia="Cambria" w:hAnsi="Cambria" w:cs="Cambria"/>
          <w:color w:val="000000" w:themeColor="text1"/>
          <w:sz w:val="16"/>
          <w:szCs w:val="16"/>
          <w:lang w:val="en-US"/>
        </w:rPr>
        <w:t xml:space="preserve">the judge repeated his rejection of the measures assigned, under his most strict responsibility. On March 25, </w:t>
      </w:r>
      <w:r w:rsidRPr="00CC562A">
        <w:rPr>
          <w:rFonts w:ascii="Cambria" w:eastAsia="Cambria" w:hAnsi="Cambria" w:cs="Cambria"/>
          <w:color w:val="000000" w:themeColor="text1"/>
          <w:sz w:val="16"/>
          <w:szCs w:val="16"/>
          <w:lang w:val="en-US"/>
        </w:rPr>
        <w:t xml:space="preserve">2019, </w:t>
      </w:r>
      <w:r w:rsidR="00294B7B" w:rsidRPr="00CC562A">
        <w:rPr>
          <w:rFonts w:ascii="Cambria" w:eastAsia="Cambria" w:hAnsi="Cambria" w:cs="Cambria"/>
          <w:color w:val="000000" w:themeColor="text1"/>
          <w:sz w:val="16"/>
          <w:szCs w:val="16"/>
          <w:lang w:val="en-US"/>
        </w:rPr>
        <w:t xml:space="preserve">the Surveillance Commission took note of the judge’s rejection and ordered withdrawal of the measures. Thus, the </w:t>
      </w:r>
      <w:r w:rsidR="00A92391" w:rsidRPr="00CC562A">
        <w:rPr>
          <w:rFonts w:ascii="Cambria" w:eastAsia="Cambria" w:hAnsi="Cambria" w:cs="Cambria"/>
          <w:color w:val="000000" w:themeColor="text1"/>
          <w:sz w:val="16"/>
          <w:szCs w:val="16"/>
          <w:lang w:val="en-US"/>
        </w:rPr>
        <w:t>guard service</w:t>
      </w:r>
      <w:r w:rsidR="00294B7B" w:rsidRPr="00CC562A">
        <w:rPr>
          <w:rFonts w:ascii="Cambria" w:eastAsia="Cambria" w:hAnsi="Cambria" w:cs="Cambria"/>
          <w:color w:val="000000" w:themeColor="text1"/>
          <w:sz w:val="16"/>
          <w:szCs w:val="16"/>
          <w:lang w:val="en-US"/>
        </w:rPr>
        <w:t xml:space="preserve"> was withdrawn on March 31, </w:t>
      </w:r>
      <w:r w:rsidR="00A92391" w:rsidRPr="00CC562A">
        <w:rPr>
          <w:rFonts w:ascii="Cambria" w:eastAsia="Cambria" w:hAnsi="Cambria" w:cs="Cambria"/>
          <w:color w:val="000000" w:themeColor="text1"/>
          <w:sz w:val="16"/>
          <w:szCs w:val="16"/>
          <w:lang w:val="en-US"/>
        </w:rPr>
        <w:t>2019,</w:t>
      </w:r>
      <w:r w:rsidR="00294B7B" w:rsidRPr="00CC562A">
        <w:rPr>
          <w:rFonts w:ascii="Cambria" w:eastAsia="Cambria" w:hAnsi="Cambria" w:cs="Cambria"/>
          <w:color w:val="000000" w:themeColor="text1"/>
          <w:sz w:val="16"/>
          <w:szCs w:val="16"/>
          <w:lang w:val="en-US"/>
        </w:rPr>
        <w:t xml:space="preserve"> and on April 1, </w:t>
      </w:r>
      <w:r w:rsidR="00A92391" w:rsidRPr="00CC562A">
        <w:rPr>
          <w:rFonts w:ascii="Cambria" w:eastAsia="Cambria" w:hAnsi="Cambria" w:cs="Cambria"/>
          <w:color w:val="000000" w:themeColor="text1"/>
          <w:sz w:val="16"/>
          <w:szCs w:val="16"/>
          <w:lang w:val="en-US"/>
        </w:rPr>
        <w:t>2019,</w:t>
      </w:r>
      <w:r w:rsidR="00294B7B" w:rsidRPr="00CC562A">
        <w:rPr>
          <w:rFonts w:ascii="Cambria" w:eastAsia="Cambria" w:hAnsi="Cambria" w:cs="Cambria"/>
          <w:color w:val="000000" w:themeColor="text1"/>
          <w:sz w:val="16"/>
          <w:szCs w:val="16"/>
          <w:lang w:val="en-US"/>
        </w:rPr>
        <w:t xml:space="preserve"> the armored vehicle and personal prot</w:t>
      </w:r>
      <w:r w:rsidR="00E511B4" w:rsidRPr="00CC562A">
        <w:rPr>
          <w:rFonts w:ascii="Cambria" w:eastAsia="Cambria" w:hAnsi="Cambria" w:cs="Cambria"/>
          <w:color w:val="000000" w:themeColor="text1"/>
          <w:sz w:val="16"/>
          <w:szCs w:val="16"/>
          <w:lang w:val="en-US"/>
        </w:rPr>
        <w:t>ective clothing were withdrawn. The State indic</w:t>
      </w:r>
      <w:r w:rsidR="009C2617" w:rsidRPr="00CC562A">
        <w:rPr>
          <w:rFonts w:ascii="Cambria" w:eastAsia="Cambria" w:hAnsi="Cambria" w:cs="Cambria"/>
          <w:color w:val="000000" w:themeColor="text1"/>
          <w:sz w:val="16"/>
          <w:szCs w:val="16"/>
          <w:lang w:val="en-US"/>
        </w:rPr>
        <w:t>a</w:t>
      </w:r>
      <w:r w:rsidR="00E511B4" w:rsidRPr="00CC562A">
        <w:rPr>
          <w:rFonts w:ascii="Cambria" w:eastAsia="Cambria" w:hAnsi="Cambria" w:cs="Cambria"/>
          <w:color w:val="000000" w:themeColor="text1"/>
          <w:sz w:val="16"/>
          <w:szCs w:val="16"/>
          <w:lang w:val="en-US"/>
        </w:rPr>
        <w:t>ted that, after the judge and his wife were deprived of life, the</w:t>
      </w:r>
      <w:r w:rsidRPr="00CC562A">
        <w:rPr>
          <w:rFonts w:ascii="Cambria" w:eastAsia="Cambria" w:hAnsi="Cambria" w:cs="Cambria"/>
          <w:color w:val="000000" w:themeColor="text1"/>
          <w:sz w:val="16"/>
          <w:szCs w:val="16"/>
          <w:lang w:val="en-US"/>
        </w:rPr>
        <w:t xml:space="preserve"> CJF </w:t>
      </w:r>
      <w:r w:rsidR="00E511B4" w:rsidRPr="00CC562A">
        <w:rPr>
          <w:rFonts w:ascii="Cambria" w:eastAsia="Cambria" w:hAnsi="Cambria" w:cs="Cambria"/>
          <w:color w:val="000000" w:themeColor="text1"/>
          <w:sz w:val="16"/>
          <w:szCs w:val="16"/>
          <w:lang w:val="en-US"/>
        </w:rPr>
        <w:t>granted formal security measures and contact numbers for the security areas of the Federal Judiciary Council to handle emergencies for the judge’s daughters and in July</w:t>
      </w:r>
      <w:r w:rsidRPr="00CC562A">
        <w:rPr>
          <w:rFonts w:ascii="Cambria" w:eastAsia="Cambria" w:hAnsi="Cambria" w:cs="Cambria"/>
          <w:color w:val="000000" w:themeColor="text1"/>
          <w:sz w:val="16"/>
          <w:szCs w:val="16"/>
          <w:lang w:val="en-US"/>
        </w:rPr>
        <w:t xml:space="preserve"> 2020 </w:t>
      </w:r>
      <w:r w:rsidR="00E511B4" w:rsidRPr="00CC562A">
        <w:rPr>
          <w:rFonts w:ascii="Cambria" w:eastAsia="Cambria" w:hAnsi="Cambria" w:cs="Cambria"/>
          <w:color w:val="000000" w:themeColor="text1"/>
          <w:sz w:val="16"/>
          <w:szCs w:val="16"/>
          <w:lang w:val="en-US"/>
        </w:rPr>
        <w:t xml:space="preserve">the full </w:t>
      </w:r>
      <w:r w:rsidRPr="00CC562A">
        <w:rPr>
          <w:rFonts w:ascii="Cambria" w:eastAsia="Cambria" w:hAnsi="Cambria" w:cs="Cambria"/>
          <w:color w:val="000000" w:themeColor="text1"/>
          <w:sz w:val="16"/>
          <w:szCs w:val="16"/>
          <w:lang w:val="en-US"/>
        </w:rPr>
        <w:t xml:space="preserve">CJF </w:t>
      </w:r>
      <w:r w:rsidR="00E511B4" w:rsidRPr="00CC562A">
        <w:rPr>
          <w:rFonts w:ascii="Cambria" w:eastAsia="Cambria" w:hAnsi="Cambria" w:cs="Cambria"/>
          <w:color w:val="000000" w:themeColor="text1"/>
          <w:sz w:val="16"/>
          <w:szCs w:val="16"/>
          <w:lang w:val="en-US"/>
        </w:rPr>
        <w:t xml:space="preserve">approved a comprehensive reparations plan in favor of the judge’s family members, </w:t>
      </w:r>
      <w:r w:rsidR="00FC02DD" w:rsidRPr="00CC562A">
        <w:rPr>
          <w:rFonts w:ascii="Cambria" w:eastAsia="Cambria" w:hAnsi="Cambria" w:cs="Cambria"/>
          <w:color w:val="000000" w:themeColor="text1"/>
          <w:sz w:val="16"/>
          <w:szCs w:val="16"/>
          <w:lang w:val="en-US"/>
        </w:rPr>
        <w:t xml:space="preserve">consisting of </w:t>
      </w:r>
      <w:r w:rsidR="00E511B4" w:rsidRPr="00CC562A">
        <w:rPr>
          <w:rFonts w:ascii="Cambria" w:eastAsia="Cambria" w:hAnsi="Cambria" w:cs="Cambria"/>
          <w:color w:val="000000" w:themeColor="text1"/>
          <w:sz w:val="16"/>
          <w:szCs w:val="16"/>
          <w:lang w:val="en-US"/>
        </w:rPr>
        <w:t>economic measure</w:t>
      </w:r>
      <w:r w:rsidR="00FC02DD" w:rsidRPr="00CC562A">
        <w:rPr>
          <w:rFonts w:ascii="Cambria" w:eastAsia="Cambria" w:hAnsi="Cambria" w:cs="Cambria"/>
          <w:color w:val="000000" w:themeColor="text1"/>
          <w:sz w:val="16"/>
          <w:szCs w:val="16"/>
          <w:lang w:val="en-US"/>
        </w:rPr>
        <w:t>s that included indemnities for the violent death occurring in the performance of his position and pensions, as well as various rehabilitation and satisfaction measures such as medical coverage for the girls until both of them reached the age of 25</w:t>
      </w:r>
      <w:r w:rsidRPr="00CC562A">
        <w:rPr>
          <w:rFonts w:ascii="Cambria" w:eastAsia="Cambria" w:hAnsi="Cambria" w:cs="Cambria"/>
          <w:color w:val="000000" w:themeColor="text1"/>
          <w:sz w:val="16"/>
          <w:szCs w:val="16"/>
          <w:lang w:val="en-US"/>
        </w:rPr>
        <w:t xml:space="preserve">, </w:t>
      </w:r>
      <w:r w:rsidR="00FC02DD" w:rsidRPr="00CC562A">
        <w:rPr>
          <w:rFonts w:ascii="Cambria" w:eastAsia="Cambria" w:hAnsi="Cambria" w:cs="Cambria"/>
          <w:color w:val="000000" w:themeColor="text1"/>
          <w:sz w:val="16"/>
          <w:szCs w:val="16"/>
          <w:lang w:val="en-US"/>
        </w:rPr>
        <w:t>thanatological and psycho-emotional care with unlimited coverage, as well as the payment of various benefits, and other measures. State of Mexico, OAS Note</w:t>
      </w:r>
      <w:r w:rsidRPr="00CC562A">
        <w:rPr>
          <w:rFonts w:ascii="Cambria" w:hAnsi="Cambria"/>
          <w:sz w:val="16"/>
          <w:szCs w:val="16"/>
          <w:lang w:val="en-US"/>
        </w:rPr>
        <w:t xml:space="preserve"> OEA 517 </w:t>
      </w:r>
      <w:r w:rsidR="00FC02DD" w:rsidRPr="00CC562A">
        <w:rPr>
          <w:rFonts w:ascii="Cambria" w:hAnsi="Cambria"/>
          <w:sz w:val="16"/>
          <w:szCs w:val="16"/>
          <w:lang w:val="en-US"/>
        </w:rPr>
        <w:t>of February 17,</w:t>
      </w:r>
      <w:r w:rsidRPr="00CC562A">
        <w:rPr>
          <w:rFonts w:ascii="Cambria" w:hAnsi="Cambria"/>
          <w:sz w:val="16"/>
          <w:szCs w:val="16"/>
          <w:lang w:val="en-US"/>
        </w:rPr>
        <w:t xml:space="preserve"> 2023. Observa</w:t>
      </w:r>
      <w:r w:rsidR="00FC02DD" w:rsidRPr="00CC562A">
        <w:rPr>
          <w:rFonts w:ascii="Cambria" w:hAnsi="Cambria"/>
          <w:sz w:val="16"/>
          <w:szCs w:val="16"/>
          <w:lang w:val="en-US"/>
        </w:rPr>
        <w:t>tions on the preliminary version of the report</w:t>
      </w:r>
      <w:r w:rsidRPr="00CC562A">
        <w:rPr>
          <w:rFonts w:ascii="Cambria" w:hAnsi="Cambria"/>
          <w:sz w:val="16"/>
          <w:szCs w:val="16"/>
          <w:lang w:val="en-US"/>
        </w:rPr>
        <w:t>.</w:t>
      </w:r>
    </w:p>
  </w:footnote>
  <w:footnote w:id="174">
    <w:p w14:paraId="3A14FF27" w14:textId="2370F0B6" w:rsidR="002E34AC" w:rsidRPr="00CC562A" w:rsidRDefault="002E34AC"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Semana, </w:t>
      </w:r>
      <w:hyperlink r:id="rId56" w:history="1">
        <w:r w:rsidR="4D1A0B04" w:rsidRPr="00CC562A">
          <w:rPr>
            <w:rStyle w:val="Hyperlink"/>
            <w:lang w:val="es-ES"/>
          </w:rPr>
          <w:t>Asesinan a un juez en México y el Poder Judicial del país promete responder contundentemente</w:t>
        </w:r>
      </w:hyperlink>
      <w:r w:rsidR="4D1A0B04" w:rsidRPr="00CC562A">
        <w:rPr>
          <w:lang w:val="es-ES"/>
        </w:rPr>
        <w:t xml:space="preserve">, </w:t>
      </w:r>
      <w:proofErr w:type="spellStart"/>
      <w:r w:rsidR="00717803" w:rsidRPr="00CC562A">
        <w:rPr>
          <w:lang w:val="es-ES"/>
        </w:rPr>
        <w:t>December</w:t>
      </w:r>
      <w:proofErr w:type="spellEnd"/>
      <w:r w:rsidR="00717803" w:rsidRPr="00CC562A">
        <w:rPr>
          <w:lang w:val="es-ES"/>
        </w:rPr>
        <w:t xml:space="preserve"> 4, </w:t>
      </w:r>
      <w:r w:rsidR="4D1A0B04" w:rsidRPr="00CC562A">
        <w:rPr>
          <w:lang w:val="es-ES"/>
        </w:rPr>
        <w:t>2022.</w:t>
      </w:r>
    </w:p>
  </w:footnote>
  <w:footnote w:id="175">
    <w:p w14:paraId="0629D0B1" w14:textId="16B9316E" w:rsidR="00C75F12" w:rsidRPr="00CC562A" w:rsidRDefault="00C75F12" w:rsidP="00C75F12">
      <w:pPr>
        <w:pStyle w:val="FootnoteText"/>
        <w:ind w:firstLine="720"/>
        <w:rPr>
          <w:lang w:val="en-US"/>
        </w:rPr>
      </w:pPr>
      <w:r w:rsidRPr="00CC562A">
        <w:rPr>
          <w:rStyle w:val="FootnoteReference"/>
        </w:rPr>
        <w:footnoteRef/>
      </w:r>
      <w:r w:rsidRPr="00CC562A">
        <w:rPr>
          <w:lang w:val="en-US"/>
        </w:rPr>
        <w:t xml:space="preserve"> </w:t>
      </w:r>
      <w:r w:rsidR="009C2617" w:rsidRPr="00CC562A">
        <w:rPr>
          <w:lang w:val="en-US"/>
        </w:rPr>
        <w:t>State of Mexico, OAS Note</w:t>
      </w:r>
      <w:r w:rsidRPr="00CC562A">
        <w:rPr>
          <w:lang w:val="en-US"/>
        </w:rPr>
        <w:t xml:space="preserve"> 517 </w:t>
      </w:r>
      <w:r w:rsidR="009C2617" w:rsidRPr="00CC562A">
        <w:rPr>
          <w:lang w:val="en-US"/>
        </w:rPr>
        <w:t>of February 17,</w:t>
      </w:r>
      <w:r w:rsidRPr="00CC562A">
        <w:rPr>
          <w:lang w:val="en-US"/>
        </w:rPr>
        <w:t xml:space="preserve"> 2023. Observa</w:t>
      </w:r>
      <w:r w:rsidR="009C2617" w:rsidRPr="00CC562A">
        <w:rPr>
          <w:lang w:val="en-US"/>
        </w:rPr>
        <w:t>tions on the preliminary version of the report</w:t>
      </w:r>
      <w:r w:rsidRPr="00CC562A">
        <w:rPr>
          <w:lang w:val="en-US"/>
        </w:rPr>
        <w:t>.</w:t>
      </w:r>
    </w:p>
  </w:footnote>
  <w:footnote w:id="176">
    <w:p w14:paraId="73E0FD51" w14:textId="0AD163DC"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77">
    <w:p w14:paraId="097E5DD3" w14:textId="5BB1B692" w:rsidR="00580797" w:rsidRPr="00CC562A" w:rsidRDefault="00580797" w:rsidP="007A58B5">
      <w:pPr>
        <w:spacing w:after="0" w:line="240" w:lineRule="auto"/>
        <w:ind w:firstLine="720"/>
        <w:jc w:val="both"/>
        <w:rPr>
          <w:rFonts w:ascii="Cambria" w:eastAsia="Times New Roman" w:hAnsi="Cambria" w:cs="Times New Roman"/>
          <w:sz w:val="16"/>
          <w:szCs w:val="16"/>
          <w:lang w:val="en-US"/>
        </w:rPr>
      </w:pPr>
      <w:r w:rsidRPr="00CC562A">
        <w:rPr>
          <w:rFonts w:ascii="Cambria" w:hAnsi="Cambria"/>
          <w:sz w:val="16"/>
          <w:szCs w:val="16"/>
          <w:vertAlign w:val="superscript"/>
          <w:lang w:val="en-US"/>
        </w:rPr>
        <w:footnoteRef/>
      </w:r>
      <w:r w:rsidRPr="00CC562A">
        <w:rPr>
          <w:rFonts w:ascii="Cambria" w:eastAsia="Times New Roman" w:hAnsi="Cambria" w:cs="Times New Roman"/>
          <w:sz w:val="16"/>
          <w:szCs w:val="16"/>
          <w:lang w:val="en-US"/>
        </w:rPr>
        <w:t xml:space="preserve"> </w:t>
      </w:r>
      <w:r w:rsidR="001107D6" w:rsidRPr="00CC562A">
        <w:rPr>
          <w:rFonts w:ascii="Cambria" w:eastAsia="Times New Roman" w:hAnsi="Cambria" w:cs="Times New Roman"/>
          <w:sz w:val="16"/>
          <w:szCs w:val="16"/>
          <w:lang w:val="en-US"/>
        </w:rPr>
        <w:t>General Law on Victims, Article</w:t>
      </w:r>
      <w:r w:rsidRPr="00CC562A">
        <w:rPr>
          <w:rFonts w:ascii="Cambria" w:eastAsia="Times New Roman" w:hAnsi="Cambria" w:cs="Times New Roman"/>
          <w:sz w:val="16"/>
          <w:szCs w:val="16"/>
          <w:lang w:val="en-US"/>
        </w:rPr>
        <w:t xml:space="preserve"> 7</w:t>
      </w:r>
      <w:r w:rsidR="001107D6" w:rsidRPr="00CC562A">
        <w:rPr>
          <w:rFonts w:ascii="Cambria" w:eastAsia="Times New Roman" w:hAnsi="Cambria" w:cs="Times New Roman"/>
          <w:sz w:val="16"/>
          <w:szCs w:val="16"/>
          <w:lang w:val="en-US"/>
        </w:rPr>
        <w:t xml:space="preserve">, sections </w:t>
      </w:r>
      <w:r w:rsidRPr="00CC562A">
        <w:rPr>
          <w:rFonts w:ascii="Cambria" w:eastAsia="Times New Roman" w:hAnsi="Cambria" w:cs="Times New Roman"/>
          <w:sz w:val="16"/>
          <w:szCs w:val="16"/>
          <w:lang w:val="en-US"/>
        </w:rPr>
        <w:t>VI, XXIII</w:t>
      </w:r>
      <w:r w:rsidR="001107D6" w:rsidRPr="00CC562A">
        <w:rPr>
          <w:rFonts w:ascii="Cambria" w:eastAsia="Times New Roman" w:hAnsi="Cambria" w:cs="Times New Roman"/>
          <w:sz w:val="16"/>
          <w:szCs w:val="16"/>
          <w:lang w:val="en-US"/>
        </w:rPr>
        <w:t xml:space="preserve">, and </w:t>
      </w:r>
      <w:r w:rsidRPr="00CC562A">
        <w:rPr>
          <w:rFonts w:ascii="Cambria" w:eastAsia="Times New Roman" w:hAnsi="Cambria" w:cs="Times New Roman"/>
          <w:sz w:val="16"/>
          <w:szCs w:val="16"/>
          <w:lang w:val="en-US"/>
        </w:rPr>
        <w:t>XXX</w:t>
      </w:r>
      <w:r w:rsidR="001107D6" w:rsidRPr="00CC562A">
        <w:rPr>
          <w:rFonts w:ascii="Cambria" w:eastAsia="Times New Roman" w:hAnsi="Cambria" w:cs="Times New Roman"/>
          <w:sz w:val="16"/>
          <w:szCs w:val="16"/>
          <w:lang w:val="en-US"/>
        </w:rPr>
        <w:t>,</w:t>
      </w:r>
      <w:r w:rsidRPr="00CC562A">
        <w:rPr>
          <w:rFonts w:ascii="Cambria" w:eastAsia="Times New Roman" w:hAnsi="Cambria" w:cs="Times New Roman"/>
          <w:sz w:val="16"/>
          <w:szCs w:val="16"/>
          <w:lang w:val="en-US"/>
        </w:rPr>
        <w:t xml:space="preserve"> </w:t>
      </w:r>
      <w:r w:rsidR="001107D6" w:rsidRPr="00CC562A">
        <w:rPr>
          <w:rFonts w:ascii="Cambria" w:eastAsia="Times New Roman" w:hAnsi="Cambria" w:cs="Times New Roman"/>
          <w:sz w:val="16"/>
          <w:szCs w:val="16"/>
          <w:lang w:val="en-US"/>
        </w:rPr>
        <w:t>and Article</w:t>
      </w:r>
      <w:r w:rsidRPr="00CC562A">
        <w:rPr>
          <w:rFonts w:ascii="Cambria" w:eastAsia="Times New Roman" w:hAnsi="Cambria" w:cs="Times New Roman"/>
          <w:sz w:val="16"/>
          <w:szCs w:val="16"/>
          <w:lang w:val="en-US"/>
        </w:rPr>
        <w:t xml:space="preserve"> 8.</w:t>
      </w:r>
    </w:p>
  </w:footnote>
  <w:footnote w:id="178">
    <w:p w14:paraId="1596DA1B" w14:textId="7D57ACEF" w:rsidR="00C75F12" w:rsidRPr="00CC562A" w:rsidRDefault="00C75F12" w:rsidP="00C75F12">
      <w:pPr>
        <w:pStyle w:val="FootnoteText"/>
        <w:ind w:firstLine="720"/>
        <w:rPr>
          <w:lang w:val="en-US"/>
        </w:rPr>
      </w:pPr>
      <w:r w:rsidRPr="00CC562A">
        <w:rPr>
          <w:rStyle w:val="FootnoteReference"/>
        </w:rPr>
        <w:footnoteRef/>
      </w:r>
      <w:r w:rsidRPr="00CC562A">
        <w:rPr>
          <w:lang w:val="en-US"/>
        </w:rPr>
        <w:t xml:space="preserve"> </w:t>
      </w:r>
      <w:r w:rsidR="00043EFA" w:rsidRPr="00CC562A">
        <w:rPr>
          <w:lang w:val="en-US"/>
        </w:rPr>
        <w:t>State of Mexico, OAS Note</w:t>
      </w:r>
      <w:r w:rsidRPr="00CC562A">
        <w:rPr>
          <w:lang w:val="en-US"/>
        </w:rPr>
        <w:t xml:space="preserve"> 517 </w:t>
      </w:r>
      <w:r w:rsidR="00043EFA" w:rsidRPr="00CC562A">
        <w:rPr>
          <w:lang w:val="en-US"/>
        </w:rPr>
        <w:t xml:space="preserve">of February 17, </w:t>
      </w:r>
      <w:r w:rsidRPr="00CC562A">
        <w:rPr>
          <w:lang w:val="en-US"/>
        </w:rPr>
        <w:t>2023. Observa</w:t>
      </w:r>
      <w:r w:rsidR="00043EFA" w:rsidRPr="00CC562A">
        <w:rPr>
          <w:lang w:val="en-US"/>
        </w:rPr>
        <w:t xml:space="preserve">tions on the preliminary </w:t>
      </w:r>
      <w:r w:rsidR="0065266A" w:rsidRPr="00CC562A">
        <w:rPr>
          <w:lang w:val="en-US"/>
        </w:rPr>
        <w:t>version</w:t>
      </w:r>
      <w:r w:rsidR="00043EFA" w:rsidRPr="00CC562A">
        <w:rPr>
          <w:lang w:val="en-US"/>
        </w:rPr>
        <w:t xml:space="preserve"> of the report</w:t>
      </w:r>
      <w:r w:rsidRPr="00CC562A">
        <w:rPr>
          <w:lang w:val="en-US"/>
        </w:rPr>
        <w:t>.</w:t>
      </w:r>
    </w:p>
  </w:footnote>
  <w:footnote w:id="179">
    <w:p w14:paraId="5427D553" w14:textId="1DE62641" w:rsidR="006364A9" w:rsidRPr="00CC562A" w:rsidRDefault="006364A9"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AA2032" w:rsidRPr="00CC562A">
        <w:rPr>
          <w:rFonts w:eastAsia="Cambria" w:cs="Cambria"/>
          <w:color w:val="000000"/>
          <w:lang w:val="en-US"/>
        </w:rPr>
        <w:t xml:space="preserve">Follow-up on </w:t>
      </w:r>
      <w:r w:rsidR="00C926DA" w:rsidRPr="00CC562A">
        <w:rPr>
          <w:rFonts w:eastAsia="Cambria" w:cs="Cambria"/>
          <w:color w:val="000000"/>
          <w:lang w:val="en-US"/>
        </w:rPr>
        <w:t>C</w:t>
      </w:r>
      <w:r w:rsidR="00AA2032" w:rsidRPr="00CC562A">
        <w:rPr>
          <w:rFonts w:eastAsia="Cambria" w:cs="Cambria"/>
          <w:color w:val="000000"/>
          <w:lang w:val="en-US"/>
        </w:rPr>
        <w:t xml:space="preserve">ompliance with </w:t>
      </w:r>
      <w:r w:rsidR="00C926DA" w:rsidRPr="00CC562A">
        <w:rPr>
          <w:rFonts w:eastAsia="Cambria" w:cs="Cambria"/>
          <w:color w:val="000000"/>
          <w:lang w:val="en-US"/>
        </w:rPr>
        <w:t>R</w:t>
      </w:r>
      <w:r w:rsidR="00AA2032" w:rsidRPr="00CC562A">
        <w:rPr>
          <w:rFonts w:eastAsia="Cambria" w:cs="Cambria"/>
          <w:color w:val="000000"/>
          <w:lang w:val="en-US"/>
        </w:rPr>
        <w:t>ecommendation</w:t>
      </w:r>
      <w:r w:rsidR="00C926DA" w:rsidRPr="00CC562A">
        <w:rPr>
          <w:rFonts w:eastAsia="Cambria" w:cs="Cambria"/>
          <w:color w:val="000000"/>
          <w:lang w:val="en-US"/>
        </w:rPr>
        <w:t>s</w:t>
      </w:r>
      <w:r w:rsidR="00AA2032" w:rsidRPr="00CC562A">
        <w:rPr>
          <w:rFonts w:eastAsia="Cambria" w:cs="Cambria"/>
          <w:color w:val="000000"/>
          <w:lang w:val="en-US"/>
        </w:rPr>
        <w:t xml:space="preserve"> in the</w:t>
      </w:r>
      <w:r w:rsidR="00C926DA" w:rsidRPr="00CC562A">
        <w:rPr>
          <w:rFonts w:eastAsia="Cambria" w:cs="Cambria"/>
          <w:color w:val="000000"/>
          <w:lang w:val="en-US"/>
        </w:rPr>
        <w:t xml:space="preserve"> R</w:t>
      </w:r>
      <w:r w:rsidR="00AA2032" w:rsidRPr="00CC562A">
        <w:rPr>
          <w:rFonts w:eastAsia="Cambria" w:cs="Cambria"/>
          <w:color w:val="000000"/>
          <w:lang w:val="en-US"/>
        </w:rPr>
        <w:t>eport on the “Situation of Human Rights in Mex</w:t>
      </w:r>
      <w:r w:rsidR="00C926DA" w:rsidRPr="00CC562A">
        <w:rPr>
          <w:rFonts w:eastAsia="Cambria" w:cs="Cambria"/>
          <w:color w:val="000000"/>
          <w:lang w:val="en-US"/>
        </w:rPr>
        <w:t>ico,</w:t>
      </w:r>
      <w:r w:rsidR="00AA2032" w:rsidRPr="00CC562A">
        <w:rPr>
          <w:rFonts w:eastAsia="Cambria" w:cs="Cambria"/>
          <w:color w:val="000000"/>
          <w:lang w:val="en-US"/>
        </w:rPr>
        <w:t>” October 20,</w:t>
      </w:r>
      <w:r w:rsidR="4D1A0B04" w:rsidRPr="00CC562A">
        <w:rPr>
          <w:rFonts w:eastAsia="Cambria" w:cs="Cambria"/>
          <w:color w:val="000000"/>
          <w:lang w:val="en-US"/>
        </w:rPr>
        <w:t xml:space="preserve"> 2022, p. 23.</w:t>
      </w:r>
    </w:p>
  </w:footnote>
  <w:footnote w:id="180">
    <w:p w14:paraId="60F9A630" w14:textId="0F4FB6F4" w:rsidR="006C5BEE" w:rsidRPr="00CC562A" w:rsidRDefault="006C5BEE" w:rsidP="007A58B5">
      <w:pPr>
        <w:pStyle w:val="FootnoteText"/>
        <w:spacing w:line="240" w:lineRule="auto"/>
        <w:ind w:firstLine="720"/>
        <w:jc w:val="both"/>
        <w:rPr>
          <w:rFonts w:cs="Arial"/>
          <w:lang w:val="en-US"/>
        </w:rPr>
      </w:pPr>
      <w:r w:rsidRPr="00CC562A">
        <w:rPr>
          <w:rStyle w:val="FootnoteReference"/>
          <w:rFonts w:cs="Arial"/>
          <w:lang w:val="en-US"/>
        </w:rPr>
        <w:footnoteRef/>
      </w:r>
      <w:r w:rsidR="4D1A0B04" w:rsidRPr="00CC562A">
        <w:rPr>
          <w:rFonts w:cs="Arial"/>
          <w:lang w:val="en-US"/>
        </w:rPr>
        <w:t xml:space="preserve"> </w:t>
      </w:r>
      <w:r w:rsidR="00001E47" w:rsidRPr="00CC562A">
        <w:rPr>
          <w:rFonts w:cs="Arial"/>
          <w:lang w:val="en-US"/>
        </w:rPr>
        <w:t>Commission for Access to the Truth, Historical Clarification, and Promotion of Justice for serious human rights violations committed from</w:t>
      </w:r>
      <w:r w:rsidR="4D1A0B04" w:rsidRPr="00CC562A">
        <w:rPr>
          <w:rFonts w:eastAsia="Cambria" w:cs="Cambria"/>
          <w:lang w:val="en-US"/>
        </w:rPr>
        <w:t xml:space="preserve"> 1965 </w:t>
      </w:r>
      <w:r w:rsidR="00001E47" w:rsidRPr="00CC562A">
        <w:rPr>
          <w:rFonts w:eastAsia="Cambria" w:cs="Cambria"/>
          <w:lang w:val="en-US"/>
        </w:rPr>
        <w:t>to</w:t>
      </w:r>
      <w:r w:rsidR="4D1A0B04" w:rsidRPr="00CC562A">
        <w:rPr>
          <w:rFonts w:eastAsia="Cambria" w:cs="Cambria"/>
          <w:lang w:val="en-US"/>
        </w:rPr>
        <w:t xml:space="preserve"> 1990 (</w:t>
      </w:r>
      <w:r w:rsidR="00D77397" w:rsidRPr="00CC562A">
        <w:rPr>
          <w:rFonts w:eastAsia="Cambria" w:cs="Cambria"/>
          <w:lang w:val="en-US"/>
        </w:rPr>
        <w:t>hereinafter the</w:t>
      </w:r>
      <w:r w:rsidR="00001E47" w:rsidRPr="00CC562A">
        <w:rPr>
          <w:rFonts w:eastAsia="Cambria" w:cs="Cambria"/>
          <w:lang w:val="en-US"/>
        </w:rPr>
        <w:t xml:space="preserve"> Truth Commission” or</w:t>
      </w:r>
      <w:r w:rsidR="4D1A0B04" w:rsidRPr="00CC562A">
        <w:rPr>
          <w:rFonts w:eastAsia="Cambria" w:cs="Cambria"/>
          <w:lang w:val="en-US"/>
        </w:rPr>
        <w:t xml:space="preserve"> “COVEH”).</w:t>
      </w:r>
    </w:p>
  </w:footnote>
  <w:footnote w:id="181">
    <w:p w14:paraId="434A7D32" w14:textId="7384F9B0" w:rsidR="3BC3B131" w:rsidRPr="00A63873" w:rsidRDefault="3BC3B131" w:rsidP="007A58B5">
      <w:pPr>
        <w:pStyle w:val="NoSpacing"/>
        <w:ind w:firstLine="720"/>
        <w:jc w:val="both"/>
        <w:rPr>
          <w:rFonts w:ascii="Cambria" w:eastAsia="Cambria" w:hAnsi="Cambria" w:cs="Cambria"/>
          <w:sz w:val="16"/>
          <w:szCs w:val="16"/>
          <w:lang w:val="en-US"/>
        </w:rPr>
      </w:pPr>
      <w:r w:rsidRPr="00CC562A">
        <w:rPr>
          <w:rFonts w:ascii="Cambria" w:eastAsia="Cambria" w:hAnsi="Cambria" w:cs="Cambria"/>
          <w:sz w:val="16"/>
          <w:szCs w:val="16"/>
          <w:vertAlign w:val="superscript"/>
          <w:lang w:val="en-US"/>
        </w:rPr>
        <w:footnoteRef/>
      </w:r>
      <w:r w:rsidRPr="00A63873">
        <w:rPr>
          <w:rFonts w:ascii="Cambria" w:eastAsia="Cambria" w:hAnsi="Cambria" w:cs="Cambria"/>
          <w:sz w:val="16"/>
          <w:szCs w:val="16"/>
          <w:lang w:val="en-US"/>
        </w:rPr>
        <w:t xml:space="preserve"> </w:t>
      </w:r>
      <w:r w:rsidR="00C926DA" w:rsidRPr="00A63873">
        <w:rPr>
          <w:rFonts w:ascii="Cambria" w:eastAsia="Cambria" w:hAnsi="Cambria" w:cs="Cambria"/>
          <w:sz w:val="16"/>
          <w:szCs w:val="16"/>
          <w:lang w:val="en-US"/>
        </w:rPr>
        <w:t>Ministry of the Interior</w:t>
      </w:r>
      <w:r w:rsidRPr="00A63873">
        <w:rPr>
          <w:rFonts w:ascii="Cambria" w:eastAsia="Cambria" w:hAnsi="Cambria" w:cs="Cambria"/>
          <w:sz w:val="16"/>
          <w:szCs w:val="16"/>
          <w:lang w:val="en-US"/>
        </w:rPr>
        <w:t xml:space="preserve">, </w:t>
      </w:r>
      <w:hyperlink r:id="rId57" w:history="1">
        <w:proofErr w:type="spellStart"/>
        <w:r w:rsidRPr="00A63873">
          <w:rPr>
            <w:rStyle w:val="Hyperlink"/>
            <w:rFonts w:ascii="Cambria" w:eastAsia="Cambria" w:hAnsi="Cambria" w:cs="Cambria"/>
            <w:sz w:val="16"/>
            <w:szCs w:val="16"/>
            <w:lang w:val="en-US"/>
          </w:rPr>
          <w:t>Inician</w:t>
        </w:r>
        <w:proofErr w:type="spellEnd"/>
        <w:r w:rsidRPr="00A63873">
          <w:rPr>
            <w:rStyle w:val="Hyperlink"/>
            <w:rFonts w:ascii="Cambria" w:eastAsia="Cambria" w:hAnsi="Cambria" w:cs="Cambria"/>
            <w:sz w:val="16"/>
            <w:szCs w:val="16"/>
            <w:lang w:val="en-US"/>
          </w:rPr>
          <w:t xml:space="preserve"> </w:t>
        </w:r>
        <w:proofErr w:type="spellStart"/>
        <w:r w:rsidRPr="00A63873">
          <w:rPr>
            <w:rStyle w:val="Hyperlink"/>
            <w:rFonts w:ascii="Cambria" w:eastAsia="Cambria" w:hAnsi="Cambria" w:cs="Cambria"/>
            <w:sz w:val="16"/>
            <w:szCs w:val="16"/>
            <w:lang w:val="en-US"/>
          </w:rPr>
          <w:t>formalmente</w:t>
        </w:r>
        <w:proofErr w:type="spellEnd"/>
        <w:r w:rsidRPr="00A63873">
          <w:rPr>
            <w:rStyle w:val="Hyperlink"/>
            <w:rFonts w:ascii="Cambria" w:eastAsia="Cambria" w:hAnsi="Cambria" w:cs="Cambria"/>
            <w:sz w:val="16"/>
            <w:szCs w:val="16"/>
            <w:lang w:val="en-US"/>
          </w:rPr>
          <w:t xml:space="preserve"> </w:t>
        </w:r>
        <w:proofErr w:type="spellStart"/>
        <w:r w:rsidRPr="00A63873">
          <w:rPr>
            <w:rStyle w:val="Hyperlink"/>
            <w:rFonts w:ascii="Cambria" w:eastAsia="Cambria" w:hAnsi="Cambria" w:cs="Cambria"/>
            <w:sz w:val="16"/>
            <w:szCs w:val="16"/>
            <w:lang w:val="en-US"/>
          </w:rPr>
          <w:t>trabajos</w:t>
        </w:r>
        <w:proofErr w:type="spellEnd"/>
        <w:r w:rsidRPr="00A63873">
          <w:rPr>
            <w:rStyle w:val="Hyperlink"/>
            <w:rFonts w:ascii="Cambria" w:eastAsia="Cambria" w:hAnsi="Cambria" w:cs="Cambria"/>
            <w:sz w:val="16"/>
            <w:szCs w:val="16"/>
            <w:lang w:val="en-US"/>
          </w:rPr>
          <w:t xml:space="preserve"> de </w:t>
        </w:r>
        <w:proofErr w:type="spellStart"/>
        <w:r w:rsidRPr="00A63873">
          <w:rPr>
            <w:rStyle w:val="Hyperlink"/>
            <w:rFonts w:ascii="Cambria" w:eastAsia="Cambria" w:hAnsi="Cambria" w:cs="Cambria"/>
            <w:sz w:val="16"/>
            <w:szCs w:val="16"/>
            <w:lang w:val="en-US"/>
          </w:rPr>
          <w:t>comisión</w:t>
        </w:r>
        <w:proofErr w:type="spellEnd"/>
        <w:r w:rsidRPr="00A63873">
          <w:rPr>
            <w:rStyle w:val="Hyperlink"/>
            <w:rFonts w:ascii="Cambria" w:eastAsia="Cambria" w:hAnsi="Cambria" w:cs="Cambria"/>
            <w:sz w:val="16"/>
            <w:szCs w:val="16"/>
            <w:lang w:val="en-US"/>
          </w:rPr>
          <w:t xml:space="preserve"> </w:t>
        </w:r>
        <w:proofErr w:type="spellStart"/>
        <w:r w:rsidRPr="00A63873">
          <w:rPr>
            <w:rStyle w:val="Hyperlink"/>
            <w:rFonts w:ascii="Cambria" w:eastAsia="Cambria" w:hAnsi="Cambria" w:cs="Cambria"/>
            <w:sz w:val="16"/>
            <w:szCs w:val="16"/>
            <w:lang w:val="en-US"/>
          </w:rPr>
          <w:t>por</w:t>
        </w:r>
        <w:proofErr w:type="spellEnd"/>
        <w:r w:rsidRPr="00A63873">
          <w:rPr>
            <w:rStyle w:val="Hyperlink"/>
            <w:rFonts w:ascii="Cambria" w:eastAsia="Cambria" w:hAnsi="Cambria" w:cs="Cambria"/>
            <w:sz w:val="16"/>
            <w:szCs w:val="16"/>
            <w:lang w:val="en-US"/>
          </w:rPr>
          <w:t xml:space="preserve"> </w:t>
        </w:r>
        <w:proofErr w:type="spellStart"/>
        <w:r w:rsidRPr="00A63873">
          <w:rPr>
            <w:rStyle w:val="Hyperlink"/>
            <w:rFonts w:ascii="Cambria" w:eastAsia="Cambria" w:hAnsi="Cambria" w:cs="Cambria"/>
            <w:sz w:val="16"/>
            <w:szCs w:val="16"/>
            <w:lang w:val="en-US"/>
          </w:rPr>
          <w:t>violaciones</w:t>
        </w:r>
        <w:proofErr w:type="spellEnd"/>
        <w:r w:rsidRPr="00A63873">
          <w:rPr>
            <w:rStyle w:val="Hyperlink"/>
            <w:rFonts w:ascii="Cambria" w:eastAsia="Cambria" w:hAnsi="Cambria" w:cs="Cambria"/>
            <w:sz w:val="16"/>
            <w:szCs w:val="16"/>
            <w:lang w:val="en-US"/>
          </w:rPr>
          <w:t xml:space="preserve"> graves a derechos </w:t>
        </w:r>
        <w:proofErr w:type="spellStart"/>
        <w:r w:rsidRPr="00A63873">
          <w:rPr>
            <w:rStyle w:val="Hyperlink"/>
            <w:rFonts w:ascii="Cambria" w:eastAsia="Cambria" w:hAnsi="Cambria" w:cs="Cambria"/>
            <w:sz w:val="16"/>
            <w:szCs w:val="16"/>
            <w:lang w:val="en-US"/>
          </w:rPr>
          <w:t>humanos</w:t>
        </w:r>
        <w:proofErr w:type="spellEnd"/>
        <w:r w:rsidRPr="00A63873">
          <w:rPr>
            <w:rStyle w:val="Hyperlink"/>
            <w:rFonts w:ascii="Cambria" w:eastAsia="Cambria" w:hAnsi="Cambria" w:cs="Cambria"/>
            <w:sz w:val="16"/>
            <w:szCs w:val="16"/>
            <w:lang w:val="en-US"/>
          </w:rPr>
          <w:t xml:space="preserve"> </w:t>
        </w:r>
        <w:proofErr w:type="spellStart"/>
        <w:r w:rsidRPr="00A63873">
          <w:rPr>
            <w:rStyle w:val="Hyperlink"/>
            <w:rFonts w:ascii="Cambria" w:eastAsia="Cambria" w:hAnsi="Cambria" w:cs="Cambria"/>
            <w:sz w:val="16"/>
            <w:szCs w:val="16"/>
            <w:lang w:val="en-US"/>
          </w:rPr>
          <w:t>durante</w:t>
        </w:r>
        <w:proofErr w:type="spellEnd"/>
        <w:r w:rsidRPr="00A63873">
          <w:rPr>
            <w:rStyle w:val="Hyperlink"/>
            <w:rFonts w:ascii="Cambria" w:eastAsia="Cambria" w:hAnsi="Cambria" w:cs="Cambria"/>
            <w:sz w:val="16"/>
            <w:szCs w:val="16"/>
            <w:lang w:val="en-US"/>
          </w:rPr>
          <w:t xml:space="preserve"> Guerra </w:t>
        </w:r>
        <w:proofErr w:type="spellStart"/>
        <w:r w:rsidRPr="00A63873">
          <w:rPr>
            <w:rStyle w:val="Hyperlink"/>
            <w:rFonts w:ascii="Cambria" w:eastAsia="Cambria" w:hAnsi="Cambria" w:cs="Cambria"/>
            <w:sz w:val="16"/>
            <w:szCs w:val="16"/>
            <w:lang w:val="en-US"/>
          </w:rPr>
          <w:t>Sucia</w:t>
        </w:r>
        <w:proofErr w:type="spellEnd"/>
      </w:hyperlink>
      <w:r w:rsidRPr="00A63873">
        <w:rPr>
          <w:rFonts w:ascii="Cambria" w:eastAsia="Cambria" w:hAnsi="Cambria" w:cs="Cambria"/>
          <w:sz w:val="16"/>
          <w:szCs w:val="16"/>
          <w:lang w:val="en-US"/>
        </w:rPr>
        <w:t xml:space="preserve">, </w:t>
      </w:r>
      <w:r w:rsidR="00C926DA" w:rsidRPr="00A63873">
        <w:rPr>
          <w:rFonts w:ascii="Cambria" w:eastAsia="Cambria" w:hAnsi="Cambria" w:cs="Cambria"/>
          <w:sz w:val="16"/>
          <w:szCs w:val="16"/>
          <w:lang w:val="en-US"/>
        </w:rPr>
        <w:t>January 21,</w:t>
      </w:r>
      <w:r w:rsidRPr="00A63873">
        <w:rPr>
          <w:rFonts w:ascii="Cambria" w:eastAsia="Cambria" w:hAnsi="Cambria" w:cs="Cambria"/>
          <w:sz w:val="16"/>
          <w:szCs w:val="16"/>
          <w:lang w:val="en-US"/>
        </w:rPr>
        <w:t xml:space="preserve"> 2022.</w:t>
      </w:r>
    </w:p>
  </w:footnote>
  <w:footnote w:id="182">
    <w:p w14:paraId="5AC3A54D" w14:textId="344C5C63"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83">
    <w:p w14:paraId="4966B4D9" w14:textId="00786877" w:rsidR="00A06F2A" w:rsidRPr="00CC562A" w:rsidRDefault="00A06F2A" w:rsidP="007A58B5">
      <w:pPr>
        <w:spacing w:after="0" w:line="240" w:lineRule="auto"/>
        <w:ind w:firstLine="720"/>
        <w:jc w:val="both"/>
        <w:rPr>
          <w:rFonts w:ascii="Cambria" w:eastAsia="Arial Narrow" w:hAnsi="Cambria" w:cs="Arial Narrow"/>
          <w:sz w:val="16"/>
          <w:szCs w:val="16"/>
          <w:lang w:val="en-U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n-US"/>
        </w:rPr>
        <w:t xml:space="preserve"> </w:t>
      </w:r>
      <w:r w:rsidR="00001E47" w:rsidRPr="00CC562A">
        <w:rPr>
          <w:rFonts w:ascii="Cambria" w:eastAsia="Arial Narrow" w:hAnsi="Cambria" w:cs="Arial Narrow"/>
          <w:sz w:val="16"/>
          <w:szCs w:val="16"/>
          <w:lang w:val="en-US"/>
        </w:rPr>
        <w:t>Channel of the President of the Republic</w:t>
      </w:r>
      <w:r w:rsidR="00404284" w:rsidRPr="00CC562A">
        <w:rPr>
          <w:rFonts w:ascii="Cambria" w:eastAsia="Arial Narrow" w:hAnsi="Cambria" w:cs="Arial Narrow"/>
          <w:sz w:val="16"/>
          <w:szCs w:val="16"/>
          <w:lang w:val="en-US"/>
        </w:rPr>
        <w:t>,</w:t>
      </w:r>
      <w:r w:rsidRPr="00CC562A">
        <w:rPr>
          <w:rFonts w:ascii="Cambria" w:eastAsia="Arial Narrow" w:hAnsi="Cambria" w:cs="Arial Narrow"/>
          <w:sz w:val="16"/>
          <w:szCs w:val="16"/>
          <w:lang w:val="en-US"/>
        </w:rPr>
        <w:t xml:space="preserve"> </w:t>
      </w:r>
      <w:hyperlink r:id="rId58" w:history="1">
        <w:r w:rsidRPr="00CC562A">
          <w:rPr>
            <w:rStyle w:val="Hyperlink"/>
            <w:rFonts w:ascii="Cambria" w:eastAsia="Arial Narrow" w:hAnsi="Cambria" w:cs="Arial Narrow"/>
            <w:sz w:val="16"/>
            <w:szCs w:val="16"/>
            <w:lang w:val="en-US"/>
          </w:rPr>
          <w:t xml:space="preserve">Apertura de </w:t>
        </w:r>
        <w:proofErr w:type="spellStart"/>
        <w:r w:rsidRPr="00CC562A">
          <w:rPr>
            <w:rStyle w:val="Hyperlink"/>
            <w:rFonts w:ascii="Cambria" w:eastAsia="Arial Narrow" w:hAnsi="Cambria" w:cs="Arial Narrow"/>
            <w:sz w:val="16"/>
            <w:szCs w:val="16"/>
            <w:lang w:val="en-US"/>
          </w:rPr>
          <w:t>archivos</w:t>
        </w:r>
        <w:proofErr w:type="spellEnd"/>
        <w:r w:rsidRPr="00CC562A">
          <w:rPr>
            <w:rStyle w:val="Hyperlink"/>
            <w:rFonts w:ascii="Cambria" w:eastAsia="Arial Narrow" w:hAnsi="Cambria" w:cs="Arial Narrow"/>
            <w:sz w:val="16"/>
            <w:szCs w:val="16"/>
            <w:lang w:val="en-US"/>
          </w:rPr>
          <w:t xml:space="preserve"> </w:t>
        </w:r>
        <w:proofErr w:type="spellStart"/>
        <w:r w:rsidRPr="00CC562A">
          <w:rPr>
            <w:rStyle w:val="Hyperlink"/>
            <w:rFonts w:ascii="Cambria" w:eastAsia="Arial Narrow" w:hAnsi="Cambria" w:cs="Arial Narrow"/>
            <w:sz w:val="16"/>
            <w:szCs w:val="16"/>
            <w:lang w:val="en-US"/>
          </w:rPr>
          <w:t>militares</w:t>
        </w:r>
        <w:proofErr w:type="spellEnd"/>
        <w:r w:rsidRPr="00CC562A">
          <w:rPr>
            <w:rStyle w:val="Hyperlink"/>
            <w:rFonts w:ascii="Cambria" w:eastAsia="Arial Narrow" w:hAnsi="Cambria" w:cs="Arial Narrow"/>
            <w:sz w:val="16"/>
            <w:szCs w:val="16"/>
            <w:lang w:val="en-US"/>
          </w:rPr>
          <w:t xml:space="preserve"> a la </w:t>
        </w:r>
        <w:proofErr w:type="spellStart"/>
        <w:r w:rsidRPr="00CC562A">
          <w:rPr>
            <w:rStyle w:val="Hyperlink"/>
            <w:rFonts w:ascii="Cambria" w:eastAsia="Arial Narrow" w:hAnsi="Cambria" w:cs="Arial Narrow"/>
            <w:sz w:val="16"/>
            <w:szCs w:val="16"/>
            <w:lang w:val="en-US"/>
          </w:rPr>
          <w:t>Comisión</w:t>
        </w:r>
        <w:proofErr w:type="spellEnd"/>
        <w:r w:rsidRPr="00CC562A">
          <w:rPr>
            <w:rStyle w:val="Hyperlink"/>
            <w:rFonts w:ascii="Cambria" w:eastAsia="Arial Narrow" w:hAnsi="Cambria" w:cs="Arial Narrow"/>
            <w:sz w:val="16"/>
            <w:szCs w:val="16"/>
            <w:lang w:val="en-US"/>
          </w:rPr>
          <w:t xml:space="preserve"> de la </w:t>
        </w:r>
        <w:proofErr w:type="spellStart"/>
        <w:r w:rsidRPr="00CC562A">
          <w:rPr>
            <w:rStyle w:val="Hyperlink"/>
            <w:rFonts w:ascii="Cambria" w:eastAsia="Arial Narrow" w:hAnsi="Cambria" w:cs="Arial Narrow"/>
            <w:sz w:val="16"/>
            <w:szCs w:val="16"/>
            <w:lang w:val="en-US"/>
          </w:rPr>
          <w:t>Verdad</w:t>
        </w:r>
        <w:proofErr w:type="spellEnd"/>
        <w:r w:rsidRPr="00CC562A">
          <w:rPr>
            <w:rStyle w:val="Hyperlink"/>
            <w:rFonts w:ascii="Cambria" w:eastAsia="Arial Narrow" w:hAnsi="Cambria" w:cs="Arial Narrow"/>
            <w:sz w:val="16"/>
            <w:szCs w:val="16"/>
            <w:lang w:val="en-US"/>
          </w:rPr>
          <w:t xml:space="preserve"> y </w:t>
        </w:r>
        <w:proofErr w:type="spellStart"/>
        <w:r w:rsidRPr="00CC562A">
          <w:rPr>
            <w:rStyle w:val="Hyperlink"/>
            <w:rFonts w:ascii="Cambria" w:eastAsia="Arial Narrow" w:hAnsi="Cambria" w:cs="Arial Narrow"/>
            <w:sz w:val="16"/>
            <w:szCs w:val="16"/>
            <w:lang w:val="en-US"/>
          </w:rPr>
          <w:t>Esclarecimiento</w:t>
        </w:r>
        <w:proofErr w:type="spellEnd"/>
        <w:r w:rsidRPr="00CC562A">
          <w:rPr>
            <w:rStyle w:val="Hyperlink"/>
            <w:rFonts w:ascii="Cambria" w:eastAsia="Arial Narrow" w:hAnsi="Cambria" w:cs="Arial Narrow"/>
            <w:sz w:val="16"/>
            <w:szCs w:val="16"/>
            <w:lang w:val="en-US"/>
          </w:rPr>
          <w:t xml:space="preserve"> </w:t>
        </w:r>
        <w:proofErr w:type="spellStart"/>
        <w:r w:rsidRPr="00CC562A">
          <w:rPr>
            <w:rStyle w:val="Hyperlink"/>
            <w:rFonts w:ascii="Cambria" w:eastAsia="Arial Narrow" w:hAnsi="Cambria" w:cs="Arial Narrow"/>
            <w:sz w:val="16"/>
            <w:szCs w:val="16"/>
            <w:lang w:val="en-US"/>
          </w:rPr>
          <w:t>Histórico</w:t>
        </w:r>
        <w:proofErr w:type="spellEnd"/>
      </w:hyperlink>
      <w:r w:rsidR="00404284" w:rsidRPr="00CC562A">
        <w:rPr>
          <w:rFonts w:ascii="Cambria" w:eastAsia="Arial Narrow" w:hAnsi="Cambria" w:cs="Arial Narrow"/>
          <w:sz w:val="16"/>
          <w:szCs w:val="16"/>
          <w:lang w:val="en-US"/>
        </w:rPr>
        <w:t>,</w:t>
      </w:r>
      <w:r w:rsidRPr="00CC562A">
        <w:rPr>
          <w:rFonts w:ascii="Cambria" w:eastAsia="Arial Narrow" w:hAnsi="Cambria" w:cs="Arial Narrow"/>
          <w:sz w:val="16"/>
          <w:szCs w:val="16"/>
          <w:lang w:val="en-US"/>
        </w:rPr>
        <w:t xml:space="preserve"> </w:t>
      </w:r>
      <w:r w:rsidR="00001E47" w:rsidRPr="00CC562A">
        <w:rPr>
          <w:rFonts w:ascii="Cambria" w:eastAsia="Arial Narrow" w:hAnsi="Cambria" w:cs="Arial Narrow"/>
          <w:sz w:val="16"/>
          <w:szCs w:val="16"/>
          <w:lang w:val="en-US"/>
        </w:rPr>
        <w:t xml:space="preserve">June 22, </w:t>
      </w:r>
      <w:r w:rsidRPr="00CC562A">
        <w:rPr>
          <w:rFonts w:ascii="Cambria" w:eastAsia="Arial Narrow" w:hAnsi="Cambria" w:cs="Arial Narrow"/>
          <w:sz w:val="16"/>
          <w:szCs w:val="16"/>
          <w:lang w:val="en-US"/>
        </w:rPr>
        <w:t xml:space="preserve">2022. min. 37:58 </w:t>
      </w:r>
      <w:r w:rsidR="00001E47" w:rsidRPr="00CC562A">
        <w:rPr>
          <w:rFonts w:ascii="Cambria" w:eastAsia="Arial Narrow" w:hAnsi="Cambria" w:cs="Arial Narrow"/>
          <w:sz w:val="16"/>
          <w:szCs w:val="16"/>
          <w:lang w:val="en-US"/>
        </w:rPr>
        <w:t>and after</w:t>
      </w:r>
      <w:r w:rsidRPr="00CC562A">
        <w:rPr>
          <w:rFonts w:ascii="Cambria" w:eastAsia="Arial Narrow" w:hAnsi="Cambria" w:cs="Arial Narrow"/>
          <w:sz w:val="16"/>
          <w:szCs w:val="16"/>
          <w:lang w:val="en-US"/>
        </w:rPr>
        <w:t xml:space="preserve">. </w:t>
      </w:r>
      <w:sdt>
        <w:sdtPr>
          <w:rPr>
            <w:rFonts w:ascii="Cambria" w:hAnsi="Cambria"/>
            <w:color w:val="2B579A"/>
            <w:sz w:val="16"/>
            <w:szCs w:val="16"/>
            <w:shd w:val="clear" w:color="auto" w:fill="E6E6E6"/>
            <w:lang w:val="en-US"/>
          </w:rPr>
          <w:tag w:val="goog_rdk_436"/>
          <w:id w:val="1117249132"/>
          <w:showingPlcHdr/>
        </w:sdtPr>
        <w:sdtContent>
          <w:r w:rsidR="00404284" w:rsidRPr="00CC562A">
            <w:rPr>
              <w:rFonts w:ascii="Cambria" w:hAnsi="Cambria"/>
              <w:sz w:val="16"/>
              <w:szCs w:val="16"/>
              <w:lang w:val="en-US"/>
            </w:rPr>
            <w:t xml:space="preserve">     </w:t>
          </w:r>
        </w:sdtContent>
      </w:sdt>
    </w:p>
  </w:footnote>
  <w:footnote w:id="184">
    <w:p w14:paraId="0434C67F" w14:textId="16C05E28" w:rsidR="00A06F2A" w:rsidRPr="00CC562A" w:rsidRDefault="00A06F2A" w:rsidP="007A58B5">
      <w:pPr>
        <w:spacing w:after="0" w:line="240" w:lineRule="auto"/>
        <w:ind w:firstLine="720"/>
        <w:jc w:val="both"/>
        <w:rPr>
          <w:rFonts w:ascii="Cambria" w:eastAsia="Arial Narrow" w:hAnsi="Cambria" w:cs="Arial Narrow"/>
          <w:sz w:val="16"/>
          <w:szCs w:val="16"/>
          <w:lang w:val="en-U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w:t>
      </w:r>
      <w:r w:rsidR="00740ECF" w:rsidRPr="00CC562A">
        <w:rPr>
          <w:rFonts w:ascii="Cambria" w:eastAsia="Arial Narrow" w:hAnsi="Cambria" w:cs="Arial Narrow"/>
          <w:sz w:val="16"/>
          <w:szCs w:val="16"/>
          <w:lang w:val="es-ES"/>
        </w:rPr>
        <w:t>PRODH Center</w:t>
      </w:r>
      <w:r w:rsidR="00404284"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59" w:history="1">
        <w:r w:rsidRPr="00CC562A">
          <w:rPr>
            <w:rStyle w:val="Hyperlink"/>
            <w:rFonts w:ascii="Cambria" w:eastAsia="Arial Narrow" w:hAnsi="Cambria" w:cs="Arial Narrow"/>
            <w:sz w:val="16"/>
            <w:szCs w:val="16"/>
            <w:lang w:val="es-ES"/>
          </w:rPr>
          <w:t>Echeverría y la deuda con la “Guerra Sucia</w:t>
        </w:r>
      </w:hyperlink>
      <w:r w:rsidRPr="00CC562A">
        <w:rPr>
          <w:rFonts w:ascii="Cambria" w:eastAsia="Arial Narrow" w:hAnsi="Cambria" w:cs="Arial Narrow"/>
          <w:sz w:val="16"/>
          <w:szCs w:val="16"/>
          <w:lang w:val="es-ES"/>
        </w:rPr>
        <w:t xml:space="preserve">”. </w:t>
      </w:r>
      <w:sdt>
        <w:sdtPr>
          <w:rPr>
            <w:rFonts w:ascii="Cambria" w:hAnsi="Cambria"/>
            <w:color w:val="2B579A"/>
            <w:sz w:val="16"/>
            <w:szCs w:val="16"/>
            <w:shd w:val="clear" w:color="auto" w:fill="E6E6E6"/>
            <w:lang w:val="en-US"/>
          </w:rPr>
          <w:tag w:val="goog_rdk_412"/>
          <w:id w:val="-1490555672"/>
        </w:sdtPr>
        <w:sdtContent>
          <w:r w:rsidRPr="00CC562A">
            <w:rPr>
              <w:rFonts w:ascii="Cambria" w:eastAsia="Arial Narrow" w:hAnsi="Cambria" w:cs="Arial Narrow"/>
              <w:sz w:val="16"/>
              <w:szCs w:val="16"/>
              <w:lang w:val="en-US"/>
            </w:rPr>
            <w:t>Animal</w:t>
          </w:r>
          <w:r w:rsidRPr="00CC562A">
            <w:rPr>
              <w:rFonts w:ascii="Cambria" w:eastAsia="Arial Narrow" w:hAnsi="Cambria" w:cs="Arial Narrow"/>
              <w:sz w:val="16"/>
              <w:szCs w:val="16"/>
              <w:lang w:val="en-US"/>
            </w:rPr>
            <w:t xml:space="preserve"> Político</w:t>
          </w:r>
        </w:sdtContent>
      </w:sdt>
      <w:r w:rsidR="00404284" w:rsidRPr="00CC562A">
        <w:rPr>
          <w:rFonts w:ascii="Cambria" w:eastAsia="Arial Narrow" w:hAnsi="Cambria" w:cs="Arial Narrow"/>
          <w:sz w:val="16"/>
          <w:szCs w:val="16"/>
          <w:lang w:val="en-US"/>
        </w:rPr>
        <w:t>,</w:t>
      </w:r>
      <w:r w:rsidRPr="00CC562A">
        <w:rPr>
          <w:rFonts w:ascii="Cambria" w:eastAsia="Arial Narrow" w:hAnsi="Cambria" w:cs="Arial Narrow"/>
          <w:sz w:val="16"/>
          <w:szCs w:val="16"/>
          <w:lang w:val="en-US"/>
        </w:rPr>
        <w:t xml:space="preserve"> </w:t>
      </w:r>
      <w:r w:rsidR="00C926DA" w:rsidRPr="00CC562A">
        <w:rPr>
          <w:rFonts w:ascii="Cambria" w:eastAsia="Arial Narrow" w:hAnsi="Cambria" w:cs="Arial Narrow"/>
          <w:sz w:val="16"/>
          <w:szCs w:val="16"/>
          <w:lang w:val="en-US"/>
        </w:rPr>
        <w:t>July 2,</w:t>
      </w:r>
      <w:r w:rsidRPr="00CC562A">
        <w:rPr>
          <w:rFonts w:ascii="Cambria" w:eastAsia="Arial Narrow" w:hAnsi="Cambria" w:cs="Arial Narrow"/>
          <w:sz w:val="16"/>
          <w:szCs w:val="16"/>
          <w:lang w:val="en-US"/>
        </w:rPr>
        <w:t xml:space="preserve"> 2022. </w:t>
      </w:r>
      <w:sdt>
        <w:sdtPr>
          <w:rPr>
            <w:rFonts w:ascii="Cambria" w:hAnsi="Cambria"/>
            <w:color w:val="2B579A"/>
            <w:sz w:val="16"/>
            <w:szCs w:val="16"/>
            <w:shd w:val="clear" w:color="auto" w:fill="E6E6E6"/>
            <w:lang w:val="en-US"/>
          </w:rPr>
          <w:tag w:val="goog_rdk_416"/>
          <w:id w:val="-497649862"/>
          <w:showingPlcHdr/>
        </w:sdtPr>
        <w:sdtContent>
          <w:r w:rsidR="00404284" w:rsidRPr="00CC562A">
            <w:rPr>
              <w:rFonts w:ascii="Cambria" w:hAnsi="Cambria"/>
              <w:sz w:val="16"/>
              <w:szCs w:val="16"/>
              <w:lang w:val="en-US"/>
            </w:rPr>
            <w:t xml:space="preserve">     </w:t>
          </w:r>
        </w:sdtContent>
      </w:sdt>
    </w:p>
  </w:footnote>
  <w:footnote w:id="185">
    <w:p w14:paraId="207EE7B2" w14:textId="25E2DF2B" w:rsidR="009318E4" w:rsidRPr="00CC562A" w:rsidRDefault="009318E4"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CMDPDH. </w:t>
      </w:r>
      <w:r w:rsidR="00C926DA" w:rsidRPr="00CC562A">
        <w:rPr>
          <w:lang w:val="en-US"/>
        </w:rPr>
        <w:t>Follow-up on Compliance with Recommendations in the Report on the “Situation of Human Rights in Mexico,” October 20,</w:t>
      </w:r>
      <w:r w:rsidR="4D1A0B04" w:rsidRPr="00CC562A">
        <w:rPr>
          <w:lang w:val="en-US"/>
        </w:rPr>
        <w:t xml:space="preserve"> 2022.</w:t>
      </w:r>
    </w:p>
  </w:footnote>
  <w:footnote w:id="186">
    <w:p w14:paraId="701CAF28" w14:textId="5F1294DE" w:rsidR="009318E4" w:rsidRPr="00CC562A" w:rsidRDefault="009318E4"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xml:space="preserve">, </w:t>
      </w:r>
      <w:hyperlink r:id="rId60" w:history="1">
        <w:r w:rsidR="00C926DA" w:rsidRPr="00CC562A">
          <w:rPr>
            <w:rStyle w:val="Hyperlink"/>
            <w:lang w:val="en-US"/>
          </w:rPr>
          <w:t>The Right to Truth in the Americas</w:t>
        </w:r>
      </w:hyperlink>
      <w:r w:rsidR="4D1A0B04" w:rsidRPr="00CC562A">
        <w:rPr>
          <w:lang w:val="en-US"/>
        </w:rPr>
        <w:t xml:space="preserve">, </w:t>
      </w:r>
      <w:r w:rsidR="00C926DA" w:rsidRPr="00CC562A">
        <w:rPr>
          <w:lang w:val="en-US"/>
        </w:rPr>
        <w:t xml:space="preserve">August 13, </w:t>
      </w:r>
      <w:r w:rsidR="4D1A0B04" w:rsidRPr="00CC562A">
        <w:rPr>
          <w:lang w:val="en-US"/>
        </w:rPr>
        <w:t>2014.</w:t>
      </w:r>
    </w:p>
  </w:footnote>
  <w:footnote w:id="187">
    <w:p w14:paraId="1B80954B" w14:textId="20FD8F72" w:rsidR="008F650F" w:rsidRPr="00CC562A" w:rsidRDefault="008F650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88">
    <w:p w14:paraId="2DEA556D" w14:textId="0A72394E" w:rsidR="00BE66B0" w:rsidRPr="00CC562A" w:rsidRDefault="00BE66B0" w:rsidP="00BE66B0">
      <w:pPr>
        <w:pStyle w:val="FootnoteText"/>
        <w:ind w:firstLine="720"/>
        <w:rPr>
          <w:lang w:val="en-US"/>
        </w:rPr>
      </w:pPr>
      <w:r w:rsidRPr="00CC562A">
        <w:rPr>
          <w:rStyle w:val="FootnoteReference"/>
        </w:rPr>
        <w:footnoteRef/>
      </w:r>
      <w:r w:rsidRPr="00CC562A">
        <w:rPr>
          <w:lang w:val="en-US"/>
        </w:rPr>
        <w:t xml:space="preserve"> </w:t>
      </w:r>
      <w:r w:rsidR="00C74E6F" w:rsidRPr="00CC562A">
        <w:rPr>
          <w:lang w:val="en-US"/>
        </w:rPr>
        <w:t>State of Mexico, OAS Note</w:t>
      </w:r>
      <w:r w:rsidRPr="00CC562A">
        <w:rPr>
          <w:lang w:val="en-US"/>
        </w:rPr>
        <w:t xml:space="preserve"> 517 </w:t>
      </w:r>
      <w:r w:rsidR="00C74E6F" w:rsidRPr="00CC562A">
        <w:rPr>
          <w:lang w:val="en-US"/>
        </w:rPr>
        <w:t>of February 17,</w:t>
      </w:r>
      <w:r w:rsidRPr="00CC562A">
        <w:rPr>
          <w:lang w:val="en-US"/>
        </w:rPr>
        <w:t xml:space="preserve"> 2023. Observa</w:t>
      </w:r>
      <w:r w:rsidR="00C74E6F" w:rsidRPr="00CC562A">
        <w:rPr>
          <w:lang w:val="en-US"/>
        </w:rPr>
        <w:t>tions on the preliminary version of the report</w:t>
      </w:r>
      <w:r w:rsidRPr="00CC562A">
        <w:rPr>
          <w:lang w:val="en-US"/>
        </w:rPr>
        <w:t>.</w:t>
      </w:r>
    </w:p>
  </w:footnote>
  <w:footnote w:id="189">
    <w:p w14:paraId="6FAAD545" w14:textId="77E2C976" w:rsidR="00384B03" w:rsidRPr="00CC562A" w:rsidRDefault="00384B03"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9E09A3" w:rsidRPr="00CC562A">
        <w:rPr>
          <w:lang w:val="en-US"/>
        </w:rPr>
        <w:t>Follow-up on</w:t>
      </w:r>
      <w:r w:rsidR="00C926DA" w:rsidRPr="00CC562A">
        <w:rPr>
          <w:lang w:val="en-US"/>
        </w:rPr>
        <w:t xml:space="preserve"> C</w:t>
      </w:r>
      <w:r w:rsidR="009E09A3" w:rsidRPr="00CC562A">
        <w:rPr>
          <w:lang w:val="en-US"/>
        </w:rPr>
        <w:t xml:space="preserve">ompliance with </w:t>
      </w:r>
      <w:r w:rsidR="00C926DA" w:rsidRPr="00CC562A">
        <w:rPr>
          <w:lang w:val="en-US"/>
        </w:rPr>
        <w:t>R</w:t>
      </w:r>
      <w:r w:rsidR="009E09A3" w:rsidRPr="00CC562A">
        <w:rPr>
          <w:lang w:val="en-US"/>
        </w:rPr>
        <w:t xml:space="preserve">ecommendations in the </w:t>
      </w:r>
      <w:r w:rsidR="00C926DA" w:rsidRPr="00CC562A">
        <w:rPr>
          <w:lang w:val="en-US"/>
        </w:rPr>
        <w:t>R</w:t>
      </w:r>
      <w:r w:rsidR="009E09A3" w:rsidRPr="00CC562A">
        <w:rPr>
          <w:lang w:val="en-US"/>
        </w:rPr>
        <w:t>eport on the “Situation of Human Rights in Mexico</w:t>
      </w:r>
      <w:r w:rsidR="00D77397" w:rsidRPr="00CC562A">
        <w:rPr>
          <w:lang w:val="en-US"/>
        </w:rPr>
        <w:t>,” October</w:t>
      </w:r>
      <w:r w:rsidR="009E09A3" w:rsidRPr="00CC562A">
        <w:rPr>
          <w:lang w:val="en-US"/>
        </w:rPr>
        <w:t xml:space="preserve"> 21,</w:t>
      </w:r>
      <w:r w:rsidR="4D1A0B04" w:rsidRPr="00CC562A">
        <w:rPr>
          <w:lang w:val="en-US"/>
        </w:rPr>
        <w:t xml:space="preserve"> 2022, </w:t>
      </w:r>
      <w:r w:rsidR="009E09A3" w:rsidRPr="00CC562A">
        <w:rPr>
          <w:lang w:val="en-US"/>
        </w:rPr>
        <w:t>p.</w:t>
      </w:r>
      <w:r w:rsidR="4D1A0B04" w:rsidRPr="00CC562A">
        <w:rPr>
          <w:lang w:val="en-US"/>
        </w:rPr>
        <w:t xml:space="preserve"> 11.</w:t>
      </w:r>
    </w:p>
  </w:footnote>
  <w:footnote w:id="190">
    <w:p w14:paraId="7FF2E4BD" w14:textId="2B9B0887"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91">
    <w:p w14:paraId="1EAE37E9" w14:textId="3F7614A2" w:rsidR="000256A4" w:rsidRPr="00CC562A" w:rsidRDefault="000256A4" w:rsidP="00A0433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xml:space="preserve">, </w:t>
      </w:r>
      <w:hyperlink r:id="rId61" w:history="1">
        <w:r w:rsidR="00750392" w:rsidRPr="00CC562A">
          <w:rPr>
            <w:rStyle w:val="Hyperlink"/>
            <w:lang w:val="en-US"/>
          </w:rPr>
          <w:t>Annual Report</w:t>
        </w:r>
        <w:r w:rsidR="4D1A0B04" w:rsidRPr="00CC562A">
          <w:rPr>
            <w:rStyle w:val="Hyperlink"/>
            <w:lang w:val="en-US"/>
          </w:rPr>
          <w:t xml:space="preserve">, </w:t>
        </w:r>
        <w:r w:rsidR="00AD74ED" w:rsidRPr="00CC562A">
          <w:rPr>
            <w:rStyle w:val="Hyperlink"/>
            <w:lang w:val="en-US"/>
          </w:rPr>
          <w:t>Mexico</w:t>
        </w:r>
        <w:r w:rsidR="4D1A0B04" w:rsidRPr="00CC562A">
          <w:rPr>
            <w:rStyle w:val="Hyperlink"/>
            <w:lang w:val="en-US"/>
          </w:rPr>
          <w:t>, 2017,</w:t>
        </w:r>
      </w:hyperlink>
      <w:r w:rsidR="4D1A0B04" w:rsidRPr="00CC562A">
        <w:rPr>
          <w:lang w:val="en-US"/>
        </w:rPr>
        <w:t xml:space="preserve"> </w:t>
      </w:r>
      <w:r w:rsidR="00736A6B" w:rsidRPr="00CC562A">
        <w:rPr>
          <w:lang w:val="en-US"/>
        </w:rPr>
        <w:t>para.</w:t>
      </w:r>
      <w:r w:rsidR="4D1A0B04" w:rsidRPr="00CC562A">
        <w:rPr>
          <w:lang w:val="en-US"/>
        </w:rPr>
        <w:t xml:space="preserve"> 129.</w:t>
      </w:r>
    </w:p>
  </w:footnote>
  <w:footnote w:id="192">
    <w:p w14:paraId="57B56662" w14:textId="20CB281C" w:rsidR="000256A4" w:rsidRPr="00CC562A" w:rsidRDefault="000256A4" w:rsidP="00A0433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C926DA" w:rsidRPr="00CC562A">
        <w:rPr>
          <w:lang w:val="en-US"/>
        </w:rPr>
        <w:t>I/A Court H.R.</w:t>
      </w:r>
      <w:r w:rsidR="4D1A0B04" w:rsidRPr="00CC562A">
        <w:rPr>
          <w:lang w:val="en-US"/>
        </w:rPr>
        <w:t xml:space="preserve"> </w:t>
      </w:r>
      <w:r w:rsidR="4D1A0B04" w:rsidRPr="00CC562A">
        <w:rPr>
          <w:lang w:val="en-US"/>
        </w:rPr>
        <w:t>Cas</w:t>
      </w:r>
      <w:r w:rsidR="00C926DA" w:rsidRPr="00CC562A">
        <w:rPr>
          <w:lang w:val="en-US"/>
        </w:rPr>
        <w:t>e of</w:t>
      </w:r>
      <w:r w:rsidR="4D1A0B04" w:rsidRPr="00CC562A">
        <w:rPr>
          <w:lang w:val="en-US"/>
        </w:rPr>
        <w:t xml:space="preserve"> Radilla Pacheco </w:t>
      </w:r>
      <w:r w:rsidR="00C926DA" w:rsidRPr="00CC562A">
        <w:rPr>
          <w:lang w:val="en-US"/>
        </w:rPr>
        <w:t>v</w:t>
      </w:r>
      <w:r w:rsidR="4D1A0B04" w:rsidRPr="00CC562A">
        <w:rPr>
          <w:lang w:val="en-US"/>
        </w:rPr>
        <w:t>. M</w:t>
      </w:r>
      <w:r w:rsidR="00C926DA" w:rsidRPr="00CC562A">
        <w:rPr>
          <w:lang w:val="en-US"/>
        </w:rPr>
        <w:t>e</w:t>
      </w:r>
      <w:r w:rsidR="4D1A0B04" w:rsidRPr="00CC562A">
        <w:rPr>
          <w:lang w:val="en-US"/>
        </w:rPr>
        <w:t xml:space="preserve">xico. </w:t>
      </w:r>
      <w:r w:rsidR="00854292" w:rsidRPr="00CC562A">
        <w:rPr>
          <w:lang w:val="en-US"/>
        </w:rPr>
        <w:t>Monitoring Compliance with Judgment, Order of the Inter-American Court of Human Rights, June 24,</w:t>
      </w:r>
      <w:r w:rsidR="4D1A0B04" w:rsidRPr="00CC562A">
        <w:rPr>
          <w:lang w:val="en-US"/>
        </w:rPr>
        <w:t xml:space="preserve"> 2022, </w:t>
      </w:r>
      <w:r w:rsidR="00854292" w:rsidRPr="00CC562A">
        <w:rPr>
          <w:lang w:val="en-US"/>
        </w:rPr>
        <w:t>operative paragraph</w:t>
      </w:r>
      <w:r w:rsidR="4D1A0B04" w:rsidRPr="00CC562A">
        <w:rPr>
          <w:lang w:val="en-US"/>
        </w:rPr>
        <w:t xml:space="preserve"> 2.c); </w:t>
      </w:r>
      <w:r w:rsidR="00854292" w:rsidRPr="00CC562A">
        <w:rPr>
          <w:lang w:val="en-US"/>
        </w:rPr>
        <w:t>I/A Court H.R.</w:t>
      </w:r>
      <w:r w:rsidR="4D1A0B04" w:rsidRPr="00CC562A">
        <w:rPr>
          <w:lang w:val="en-US"/>
        </w:rPr>
        <w:t xml:space="preserve">, </w:t>
      </w:r>
      <w:r w:rsidR="00854292" w:rsidRPr="00CC562A">
        <w:rPr>
          <w:lang w:val="en-US"/>
        </w:rPr>
        <w:t>Monitoring Compliance with Judgment, Cases of</w:t>
      </w:r>
      <w:r w:rsidR="4D1A0B04" w:rsidRPr="00CC562A">
        <w:rPr>
          <w:lang w:val="en-US"/>
        </w:rPr>
        <w:t xml:space="preserve"> Radilla Pacheco, Fernández Ortega </w:t>
      </w:r>
      <w:r w:rsidR="00854292" w:rsidRPr="00CC562A">
        <w:rPr>
          <w:lang w:val="en-US"/>
        </w:rPr>
        <w:t>et al.</w:t>
      </w:r>
      <w:r w:rsidR="4D1A0B04" w:rsidRPr="00CC562A">
        <w:rPr>
          <w:lang w:val="en-US"/>
        </w:rPr>
        <w:t xml:space="preserve">, Rosendo Cantú </w:t>
      </w:r>
      <w:r w:rsidR="00854292" w:rsidRPr="00CC562A">
        <w:rPr>
          <w:lang w:val="en-US"/>
        </w:rPr>
        <w:t>et al. v. Mexico, April 17,</w:t>
      </w:r>
      <w:r w:rsidR="4D1A0B04" w:rsidRPr="00CC562A">
        <w:rPr>
          <w:lang w:val="en-US"/>
        </w:rPr>
        <w:t xml:space="preserve"> 2015, </w:t>
      </w:r>
      <w:r w:rsidR="00736A6B" w:rsidRPr="00CC562A">
        <w:rPr>
          <w:lang w:val="en-US"/>
        </w:rPr>
        <w:t>para.</w:t>
      </w:r>
      <w:r w:rsidR="4D1A0B04" w:rsidRPr="00CC562A">
        <w:rPr>
          <w:lang w:val="en-US"/>
        </w:rPr>
        <w:t xml:space="preserve"> 20; </w:t>
      </w:r>
      <w:r w:rsidR="00854292" w:rsidRPr="00CC562A">
        <w:rPr>
          <w:lang w:val="en-US"/>
        </w:rPr>
        <w:t>I/A Court H.R., Monitoring Compliance with Judgment, Case of</w:t>
      </w:r>
      <w:r w:rsidR="4D1A0B04" w:rsidRPr="00CC562A">
        <w:rPr>
          <w:lang w:val="en-US"/>
        </w:rPr>
        <w:t xml:space="preserve"> Cabrera García y Montiel Flores </w:t>
      </w:r>
      <w:r w:rsidR="00854292" w:rsidRPr="00CC562A">
        <w:rPr>
          <w:lang w:val="en-US"/>
        </w:rPr>
        <w:t>v. Mexico. June 24,</w:t>
      </w:r>
      <w:r w:rsidR="4D1A0B04" w:rsidRPr="00CC562A">
        <w:rPr>
          <w:lang w:val="en-US"/>
        </w:rPr>
        <w:t xml:space="preserve"> 2020, </w:t>
      </w:r>
      <w:r w:rsidR="00736A6B" w:rsidRPr="00CC562A">
        <w:rPr>
          <w:lang w:val="en-US"/>
        </w:rPr>
        <w:t>para.</w:t>
      </w:r>
      <w:r w:rsidR="4D1A0B04" w:rsidRPr="00CC562A">
        <w:rPr>
          <w:lang w:val="en-US"/>
        </w:rPr>
        <w:t xml:space="preserve"> 1.</w:t>
      </w:r>
    </w:p>
  </w:footnote>
  <w:footnote w:id="193">
    <w:p w14:paraId="77CDA812" w14:textId="0D0ED1A2" w:rsidR="00900719" w:rsidRPr="00CC562A" w:rsidRDefault="00900719" w:rsidP="00A0433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22E4F" w:rsidRPr="00CC562A">
        <w:rPr>
          <w:lang w:val="en-US"/>
        </w:rPr>
        <w:t>I/A Court H.R.</w:t>
      </w:r>
      <w:r w:rsidR="4D1A0B04" w:rsidRPr="00CC562A">
        <w:rPr>
          <w:lang w:val="en-US"/>
        </w:rPr>
        <w:t xml:space="preserve"> </w:t>
      </w:r>
      <w:r w:rsidR="00EE580B" w:rsidRPr="00CC562A">
        <w:rPr>
          <w:lang w:val="en-US"/>
        </w:rPr>
        <w:t xml:space="preserve">Monitoring </w:t>
      </w:r>
      <w:r w:rsidR="00533148" w:rsidRPr="00CC562A">
        <w:rPr>
          <w:lang w:val="en-US"/>
        </w:rPr>
        <w:t xml:space="preserve">Compliance with Judgment. </w:t>
      </w:r>
      <w:r w:rsidR="00533148" w:rsidRPr="00CC562A">
        <w:rPr>
          <w:lang w:val="es-ES"/>
        </w:rPr>
        <w:t>Cases of</w:t>
      </w:r>
      <w:r w:rsidR="4D1A0B04" w:rsidRPr="00CC562A">
        <w:rPr>
          <w:lang w:val="es-ES"/>
        </w:rPr>
        <w:t xml:space="preserve"> Radilla Pacheco, Fernández Ortega </w:t>
      </w:r>
      <w:r w:rsidR="00533148" w:rsidRPr="00CC562A">
        <w:rPr>
          <w:lang w:val="es-ES"/>
        </w:rPr>
        <w:t xml:space="preserve">et al., </w:t>
      </w:r>
      <w:r w:rsidR="4D1A0B04" w:rsidRPr="00CC562A">
        <w:rPr>
          <w:lang w:val="es-ES"/>
        </w:rPr>
        <w:t xml:space="preserve">Rosendo Cantú </w:t>
      </w:r>
      <w:r w:rsidR="00FF3CC7" w:rsidRPr="00CC562A">
        <w:rPr>
          <w:lang w:val="es-ES"/>
        </w:rPr>
        <w:t xml:space="preserve">et al. v. </w:t>
      </w:r>
      <w:r w:rsidR="00FF3CC7" w:rsidRPr="00CC562A">
        <w:rPr>
          <w:lang w:val="es-ES"/>
        </w:rPr>
        <w:t>Mexico, April 16,</w:t>
      </w:r>
      <w:r w:rsidR="4D1A0B04" w:rsidRPr="00CC562A">
        <w:rPr>
          <w:lang w:val="es-ES"/>
        </w:rPr>
        <w:t xml:space="preserve"> 2015, </w:t>
      </w:r>
      <w:r w:rsidR="00736A6B" w:rsidRPr="00CC562A">
        <w:rPr>
          <w:lang w:val="es-ES"/>
        </w:rPr>
        <w:t>para.</w:t>
      </w:r>
      <w:r w:rsidR="4D1A0B04" w:rsidRPr="00CC562A">
        <w:rPr>
          <w:lang w:val="es-ES"/>
        </w:rPr>
        <w:t xml:space="preserve"> </w:t>
      </w:r>
      <w:r w:rsidR="4D1A0B04" w:rsidRPr="00CC562A">
        <w:rPr>
          <w:lang w:val="en-US"/>
        </w:rPr>
        <w:t>22.</w:t>
      </w:r>
    </w:p>
  </w:footnote>
  <w:footnote w:id="194">
    <w:p w14:paraId="6BCB0DB0" w14:textId="06063BB9" w:rsidR="008F650F" w:rsidRPr="00CC562A" w:rsidRDefault="008F650F" w:rsidP="00A0433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195">
    <w:p w14:paraId="7885A97F" w14:textId="5A7EBBCB" w:rsidR="008F3BBA" w:rsidRPr="00CC562A" w:rsidRDefault="008F3BB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AA2930" w:rsidRPr="00CC562A">
        <w:rPr>
          <w:lang w:val="en-US"/>
        </w:rPr>
        <w:t>Judicial Guidelines on Conducting Criminal Hearings, Guides for Judicial Evaluation of Expert Testimony, Specialization in Justice for Adolescents, Degree for Secretaries of Judicial Bodies with jurisdiction in the</w:t>
      </w:r>
      <w:r w:rsidR="4D1A0B04" w:rsidRPr="00CC562A">
        <w:rPr>
          <w:rFonts w:eastAsia="Cambria" w:cs="Cambria"/>
          <w:lang w:val="en-US"/>
        </w:rPr>
        <w:t xml:space="preserve"> </w:t>
      </w:r>
      <w:r w:rsidR="00AA2930" w:rsidRPr="00CC562A">
        <w:rPr>
          <w:rFonts w:eastAsia="Cambria" w:cs="Cambria"/>
          <w:lang w:val="en-US"/>
        </w:rPr>
        <w:t>Adversarial Criminal Justice System, Course on the Istanbul Protocol and its Interaction with the Judicial Branch of the Federation, Dialogues on the Criminal Justice System with the United Kingdom and the Ongoing Training Program on Human Rights and the Criminal Process</w:t>
      </w:r>
      <w:r w:rsidR="4D1A0B04" w:rsidRPr="00CC562A">
        <w:rPr>
          <w:rFonts w:eastAsia="Cambria" w:cs="Cambria"/>
          <w:lang w:val="en-US"/>
        </w:rPr>
        <w:t xml:space="preserve">. </w:t>
      </w:r>
    </w:p>
  </w:footnote>
  <w:footnote w:id="196">
    <w:p w14:paraId="150DD0A2" w14:textId="683AF759" w:rsidR="008F3BBA" w:rsidRPr="00CC562A" w:rsidRDefault="008F3BBA" w:rsidP="007A58B5">
      <w:pPr>
        <w:pStyle w:val="FootnoteText"/>
        <w:spacing w:line="240" w:lineRule="auto"/>
        <w:jc w:val="both"/>
        <w:rPr>
          <w:lang w:val="en-US"/>
        </w:rPr>
      </w:pPr>
      <w:r w:rsidRPr="00CC562A">
        <w:rPr>
          <w:rStyle w:val="FootnoteReference"/>
          <w:lang w:val="en-US"/>
        </w:rPr>
        <w:footnoteRef/>
      </w:r>
      <w:r w:rsidR="4D1A0B04" w:rsidRPr="00CC562A">
        <w:rPr>
          <w:lang w:val="en-US"/>
        </w:rPr>
        <w:t xml:space="preserve"> </w:t>
      </w:r>
      <w:r w:rsidR="00AA2930" w:rsidRPr="00CC562A">
        <w:rPr>
          <w:lang w:val="en-US"/>
        </w:rPr>
        <w:t>Regarding “conventionality control,” it indicated that events are carried out in the context of the program “The Court’s Reasons,” which is developed by the</w:t>
      </w:r>
      <w:r w:rsidR="4D1A0B04" w:rsidRPr="00CC562A">
        <w:rPr>
          <w:rFonts w:eastAsia="Cambria" w:cs="Cambria"/>
          <w:lang w:val="en-US"/>
        </w:rPr>
        <w:t xml:space="preserve"> SCJN </w:t>
      </w:r>
      <w:r w:rsidR="005D2E21" w:rsidRPr="00CC562A">
        <w:rPr>
          <w:rFonts w:eastAsia="Cambria" w:cs="Cambria"/>
          <w:lang w:val="en-US"/>
        </w:rPr>
        <w:t xml:space="preserve">and encourages dialogue among the Supreme Court, the Judicial Branch (federal and local), academia, and the </w:t>
      </w:r>
      <w:proofErr w:type="gramStart"/>
      <w:r w:rsidR="005D2E21" w:rsidRPr="00CC562A">
        <w:rPr>
          <w:rFonts w:eastAsia="Cambria" w:cs="Cambria"/>
          <w:lang w:val="en-US"/>
        </w:rPr>
        <w:t>general public</w:t>
      </w:r>
      <w:proofErr w:type="gramEnd"/>
      <w:r w:rsidR="005D2E21" w:rsidRPr="00CC562A">
        <w:rPr>
          <w:rFonts w:eastAsia="Cambria" w:cs="Cambria"/>
          <w:lang w:val="en-US"/>
        </w:rPr>
        <w:t>. In addition, the program “Dialogue with the Inter-American Human Rights System” seeks to facilitate a comprehensive view of the Mexican State’s experience before the</w:t>
      </w:r>
      <w:r w:rsidR="00276638" w:rsidRPr="00CC562A">
        <w:rPr>
          <w:rFonts w:eastAsia="Cambria" w:cs="Cambria"/>
          <w:lang w:val="en-US"/>
        </w:rPr>
        <w:t xml:space="preserve"> IACHR</w:t>
      </w:r>
      <w:r w:rsidR="005D2E21" w:rsidRPr="00CC562A">
        <w:rPr>
          <w:rFonts w:eastAsia="Cambria" w:cs="Cambria"/>
          <w:lang w:val="en-US"/>
        </w:rPr>
        <w:t xml:space="preserve"> and the I/A Court H.R., </w:t>
      </w:r>
      <w:proofErr w:type="gramStart"/>
      <w:r w:rsidR="005D2E21" w:rsidRPr="00CC562A">
        <w:rPr>
          <w:rFonts w:eastAsia="Cambria" w:cs="Cambria"/>
          <w:lang w:val="en-US"/>
        </w:rPr>
        <w:t>in order to</w:t>
      </w:r>
      <w:proofErr w:type="gramEnd"/>
      <w:r w:rsidR="005D2E21" w:rsidRPr="00CC562A">
        <w:rPr>
          <w:rFonts w:eastAsia="Cambria" w:cs="Cambria"/>
          <w:lang w:val="en-US"/>
        </w:rPr>
        <w:t xml:space="preserve"> increase study and analysis regarding impacts a</w:t>
      </w:r>
      <w:r w:rsidR="00EE580B" w:rsidRPr="00CC562A">
        <w:rPr>
          <w:rFonts w:eastAsia="Cambria" w:cs="Cambria"/>
          <w:lang w:val="en-US"/>
        </w:rPr>
        <w:t>t</w:t>
      </w:r>
      <w:r w:rsidR="005D2E21" w:rsidRPr="00CC562A">
        <w:rPr>
          <w:rFonts w:eastAsia="Cambria" w:cs="Cambria"/>
          <w:lang w:val="en-US"/>
        </w:rPr>
        <w:t xml:space="preserve">s the national level as well as </w:t>
      </w:r>
      <w:r w:rsidR="00EE580B" w:rsidRPr="00CC562A">
        <w:rPr>
          <w:rFonts w:eastAsia="Cambria" w:cs="Cambria"/>
          <w:lang w:val="en-US"/>
        </w:rPr>
        <w:t xml:space="preserve">to </w:t>
      </w:r>
      <w:r w:rsidR="005D2E21" w:rsidRPr="00CC562A">
        <w:rPr>
          <w:rFonts w:eastAsia="Cambria" w:cs="Cambria"/>
          <w:lang w:val="en-US"/>
        </w:rPr>
        <w:t>disclose information found in the official document</w:t>
      </w:r>
      <w:r w:rsidR="00EE580B" w:rsidRPr="00CC562A">
        <w:rPr>
          <w:rFonts w:eastAsia="Cambria" w:cs="Cambria"/>
          <w:lang w:val="en-US"/>
        </w:rPr>
        <w:t>s</w:t>
      </w:r>
      <w:r w:rsidR="005D2E21" w:rsidRPr="00CC562A">
        <w:rPr>
          <w:rFonts w:eastAsia="Cambria" w:cs="Cambria"/>
          <w:lang w:val="en-US"/>
        </w:rPr>
        <w:t xml:space="preserve"> and r</w:t>
      </w:r>
      <w:r w:rsidR="00EE580B" w:rsidRPr="00CC562A">
        <w:rPr>
          <w:rFonts w:eastAsia="Cambria" w:cs="Cambria"/>
          <w:lang w:val="en-US"/>
        </w:rPr>
        <w:t>ulings</w:t>
      </w:r>
      <w:r w:rsidR="005D2E21" w:rsidRPr="00CC562A">
        <w:rPr>
          <w:rFonts w:eastAsia="Cambria" w:cs="Cambria"/>
          <w:lang w:val="en-US"/>
        </w:rPr>
        <w:t xml:space="preserve"> issued by those bodies</w:t>
      </w:r>
      <w:r w:rsidR="4D1A0B04" w:rsidRPr="00CC562A">
        <w:rPr>
          <w:rFonts w:eastAsia="Cambria" w:cs="Cambria"/>
          <w:lang w:val="en-US"/>
        </w:rPr>
        <w:t xml:space="preserve">. </w:t>
      </w:r>
    </w:p>
  </w:footnote>
  <w:footnote w:id="197">
    <w:p w14:paraId="35DF5BA6" w14:textId="23B58A56" w:rsidR="008F650F" w:rsidRPr="00CC562A" w:rsidRDefault="008F650F" w:rsidP="007A58B5">
      <w:pPr>
        <w:spacing w:after="0" w:line="240" w:lineRule="auto"/>
        <w:ind w:firstLine="720"/>
        <w:jc w:val="both"/>
        <w:rPr>
          <w:rFonts w:ascii="Cambria" w:eastAsia="Times New Roman" w:hAnsi="Cambria" w:cs="Times New Roman"/>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México Evalúa. </w:t>
      </w:r>
      <w:hyperlink r:id="rId62" w:history="1">
        <w:r w:rsidR="4D1A0B04" w:rsidRPr="00CC562A">
          <w:rPr>
            <w:rStyle w:val="Hyperlink"/>
            <w:rFonts w:ascii="Cambria" w:hAnsi="Cambria"/>
            <w:sz w:val="16"/>
            <w:szCs w:val="16"/>
            <w:lang w:val="es-ES"/>
          </w:rPr>
          <w:t>Seguimiento y evaluación del sistema de justicia penal en México</w:t>
        </w:r>
      </w:hyperlink>
      <w:r w:rsidR="4D1A0B04" w:rsidRPr="00CC562A">
        <w:rPr>
          <w:rFonts w:ascii="Cambria" w:hAnsi="Cambria"/>
          <w:sz w:val="16"/>
          <w:szCs w:val="16"/>
          <w:lang w:val="es-ES"/>
        </w:rPr>
        <w:t xml:space="preserve">, 2022. </w:t>
      </w:r>
    </w:p>
  </w:footnote>
  <w:footnote w:id="198">
    <w:p w14:paraId="40C23034" w14:textId="088C149A" w:rsidR="00BE66B0" w:rsidRPr="00CC562A" w:rsidRDefault="00BE66B0" w:rsidP="00BE66B0">
      <w:pPr>
        <w:pStyle w:val="FootnoteText"/>
        <w:ind w:firstLine="720"/>
        <w:rPr>
          <w:lang w:val="en-US"/>
        </w:rPr>
      </w:pPr>
      <w:r w:rsidRPr="00CC562A">
        <w:rPr>
          <w:rStyle w:val="FootnoteReference"/>
        </w:rPr>
        <w:footnoteRef/>
      </w:r>
      <w:r w:rsidRPr="00CC562A">
        <w:rPr>
          <w:lang w:val="en-US"/>
        </w:rPr>
        <w:t xml:space="preserve"> </w:t>
      </w:r>
      <w:r w:rsidR="00700401" w:rsidRPr="00CC562A">
        <w:rPr>
          <w:lang w:val="en-US"/>
        </w:rPr>
        <w:t xml:space="preserve">State </w:t>
      </w:r>
      <w:r w:rsidR="00A92391" w:rsidRPr="00CC562A">
        <w:rPr>
          <w:lang w:val="en-US"/>
        </w:rPr>
        <w:t>of Mexico</w:t>
      </w:r>
      <w:r w:rsidR="00700401" w:rsidRPr="00CC562A">
        <w:rPr>
          <w:lang w:val="en-US"/>
        </w:rPr>
        <w:t>, OAS Note</w:t>
      </w:r>
      <w:r w:rsidRPr="00CC562A">
        <w:rPr>
          <w:lang w:val="en-US"/>
        </w:rPr>
        <w:t xml:space="preserve"> 517 </w:t>
      </w:r>
      <w:r w:rsidR="00700401" w:rsidRPr="00CC562A">
        <w:rPr>
          <w:lang w:val="en-US"/>
        </w:rPr>
        <w:t>of February 17,</w:t>
      </w:r>
      <w:r w:rsidRPr="00CC562A">
        <w:rPr>
          <w:lang w:val="en-US"/>
        </w:rPr>
        <w:t xml:space="preserve"> 2023. Observa</w:t>
      </w:r>
      <w:r w:rsidR="00700401" w:rsidRPr="00CC562A">
        <w:rPr>
          <w:lang w:val="en-US"/>
        </w:rPr>
        <w:t>tions on the preliminary version of the report.</w:t>
      </w:r>
    </w:p>
    <w:p w14:paraId="74C00C30" w14:textId="77777777" w:rsidR="00BE66B0" w:rsidRPr="00CC562A" w:rsidRDefault="00BE66B0" w:rsidP="00BE66B0">
      <w:pPr>
        <w:pStyle w:val="FootnoteText"/>
        <w:rPr>
          <w:lang w:val="en-US"/>
        </w:rPr>
      </w:pPr>
    </w:p>
  </w:footnote>
  <w:footnote w:id="199">
    <w:p w14:paraId="6049155D" w14:textId="6414F39D" w:rsidR="00BE66B0" w:rsidRPr="00CC562A" w:rsidRDefault="00BE66B0" w:rsidP="00BE66B0">
      <w:pPr>
        <w:pStyle w:val="FootnoteText"/>
        <w:ind w:firstLine="720"/>
        <w:rPr>
          <w:lang w:val="en-US"/>
        </w:rPr>
      </w:pPr>
      <w:r w:rsidRPr="00CC562A">
        <w:rPr>
          <w:rStyle w:val="FootnoteReference"/>
        </w:rPr>
        <w:footnoteRef/>
      </w:r>
      <w:r w:rsidRPr="00CC562A">
        <w:rPr>
          <w:lang w:val="en-US"/>
        </w:rPr>
        <w:t xml:space="preserve"> </w:t>
      </w:r>
      <w:r w:rsidR="00700401" w:rsidRPr="00CC562A">
        <w:rPr>
          <w:lang w:val="en-US"/>
        </w:rPr>
        <w:t>State of Mexico, OAS Note</w:t>
      </w:r>
      <w:r w:rsidRPr="00CC562A">
        <w:rPr>
          <w:lang w:val="en-US"/>
        </w:rPr>
        <w:t xml:space="preserve"> 517 </w:t>
      </w:r>
      <w:r w:rsidR="00700401" w:rsidRPr="00CC562A">
        <w:rPr>
          <w:lang w:val="en-US"/>
        </w:rPr>
        <w:t>of February 17,</w:t>
      </w:r>
      <w:r w:rsidRPr="00CC562A">
        <w:rPr>
          <w:lang w:val="en-US"/>
        </w:rPr>
        <w:t xml:space="preserve"> 2023. Observa</w:t>
      </w:r>
      <w:r w:rsidR="00700401" w:rsidRPr="00CC562A">
        <w:rPr>
          <w:lang w:val="en-US"/>
        </w:rPr>
        <w:t>tions on the preliminary version of the report.</w:t>
      </w:r>
    </w:p>
  </w:footnote>
  <w:footnote w:id="200">
    <w:p w14:paraId="641C5292" w14:textId="2BBDB2B3" w:rsidR="2C684D3C" w:rsidRPr="00CC562A" w:rsidRDefault="2C684D3C"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00E24488" w:rsidRPr="00CC562A">
        <w:rPr>
          <w:rFonts w:ascii="Cambria" w:hAnsi="Cambria"/>
          <w:sz w:val="16"/>
          <w:szCs w:val="16"/>
        </w:rPr>
        <w:t xml:space="preserve"> </w:t>
      </w:r>
      <w:r w:rsidRPr="00CC562A">
        <w:rPr>
          <w:rFonts w:ascii="Cambria" w:hAnsi="Cambria"/>
          <w:sz w:val="16"/>
          <w:szCs w:val="16"/>
        </w:rPr>
        <w:t xml:space="preserve">Infobae, </w:t>
      </w:r>
      <w:hyperlink r:id="rId63">
        <w:r w:rsidRPr="00CC562A">
          <w:rPr>
            <w:rStyle w:val="Hyperlink"/>
            <w:rFonts w:ascii="Cambria" w:hAnsi="Cambria"/>
            <w:sz w:val="16"/>
            <w:szCs w:val="16"/>
          </w:rPr>
          <w:t xml:space="preserve">Tres mujeres trans fueron asesinadas en cuatro días y </w:t>
        </w:r>
        <w:r w:rsidRPr="00CC562A">
          <w:rPr>
            <w:rStyle w:val="Hyperlink"/>
            <w:rFonts w:ascii="Cambria" w:hAnsi="Cambria"/>
            <w:sz w:val="16"/>
            <w:szCs w:val="16"/>
          </w:rPr>
          <w:t>en diferentes ciudades</w:t>
        </w:r>
      </w:hyperlink>
      <w:r w:rsidRPr="00CC562A">
        <w:rPr>
          <w:rFonts w:ascii="Cambria" w:hAnsi="Cambria"/>
          <w:sz w:val="16"/>
          <w:szCs w:val="16"/>
        </w:rPr>
        <w:t xml:space="preserve">, </w:t>
      </w:r>
      <w:r w:rsidR="00EE580B" w:rsidRPr="00CC562A">
        <w:rPr>
          <w:rFonts w:ascii="Cambria" w:hAnsi="Cambria"/>
          <w:sz w:val="16"/>
          <w:szCs w:val="16"/>
        </w:rPr>
        <w:t>October 8,</w:t>
      </w:r>
      <w:r w:rsidRPr="00CC562A">
        <w:rPr>
          <w:rFonts w:ascii="Cambria" w:hAnsi="Cambria"/>
          <w:sz w:val="16"/>
          <w:szCs w:val="16"/>
        </w:rPr>
        <w:t xml:space="preserve"> 2022; Swissinfo, </w:t>
      </w:r>
      <w:hyperlink r:id="rId64">
        <w:r w:rsidRPr="00CC562A">
          <w:rPr>
            <w:rStyle w:val="Hyperlink"/>
            <w:rFonts w:ascii="Cambria" w:hAnsi="Cambria"/>
            <w:sz w:val="16"/>
            <w:szCs w:val="16"/>
          </w:rPr>
          <w:t>El presidente de México condena los crímenes de odio contra la comunidad LGBT</w:t>
        </w:r>
      </w:hyperlink>
      <w:r w:rsidRPr="00CC562A">
        <w:rPr>
          <w:rFonts w:ascii="Cambria" w:hAnsi="Cambria"/>
          <w:sz w:val="16"/>
          <w:szCs w:val="16"/>
        </w:rPr>
        <w:t xml:space="preserve">, </w:t>
      </w:r>
      <w:r w:rsidR="0041680E" w:rsidRPr="00CC562A">
        <w:rPr>
          <w:rFonts w:ascii="Cambria" w:hAnsi="Cambria"/>
          <w:sz w:val="16"/>
          <w:szCs w:val="16"/>
        </w:rPr>
        <w:t xml:space="preserve">November 22, </w:t>
      </w:r>
      <w:r w:rsidRPr="00CC562A">
        <w:rPr>
          <w:rFonts w:ascii="Cambria" w:hAnsi="Cambria"/>
          <w:sz w:val="16"/>
          <w:szCs w:val="16"/>
        </w:rPr>
        <w:t>2022</w:t>
      </w:r>
      <w:r w:rsidR="0041680E" w:rsidRPr="00CC562A">
        <w:rPr>
          <w:rFonts w:ascii="Cambria" w:hAnsi="Cambria"/>
          <w:sz w:val="16"/>
          <w:szCs w:val="16"/>
        </w:rPr>
        <w:t>.</w:t>
      </w:r>
    </w:p>
  </w:footnote>
  <w:footnote w:id="201">
    <w:p w14:paraId="488EB7F7" w14:textId="06B2D88F" w:rsidR="004D365F" w:rsidRPr="00CC562A" w:rsidRDefault="004D365F"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4E0B7E" w:rsidRPr="00CC562A">
        <w:rPr>
          <w:rFonts w:ascii="Cambria" w:hAnsi="Cambria"/>
          <w:sz w:val="16"/>
          <w:szCs w:val="16"/>
          <w:lang w:val="en-US"/>
        </w:rPr>
        <w:t>IACHR</w:t>
      </w:r>
      <w:r w:rsidR="4D1A0B04" w:rsidRPr="00CC562A">
        <w:rPr>
          <w:rFonts w:ascii="Cambria" w:hAnsi="Cambria"/>
          <w:sz w:val="16"/>
          <w:szCs w:val="16"/>
          <w:lang w:val="en-US"/>
        </w:rPr>
        <w:t>, V</w:t>
      </w:r>
      <w:r w:rsidR="00637247" w:rsidRPr="00CC562A">
        <w:rPr>
          <w:rFonts w:ascii="Cambria" w:hAnsi="Cambria"/>
          <w:sz w:val="16"/>
          <w:szCs w:val="16"/>
          <w:lang w:val="en-US"/>
        </w:rPr>
        <w:t xml:space="preserve">iolence against </w:t>
      </w:r>
      <w:r w:rsidR="4D1A0B04" w:rsidRPr="00CC562A">
        <w:rPr>
          <w:rFonts w:ascii="Cambria" w:hAnsi="Cambria"/>
          <w:sz w:val="16"/>
          <w:szCs w:val="16"/>
          <w:lang w:val="en-US"/>
        </w:rPr>
        <w:t>LGBTI</w:t>
      </w:r>
      <w:r w:rsidR="00637247" w:rsidRPr="00CC562A">
        <w:rPr>
          <w:rFonts w:ascii="Cambria" w:hAnsi="Cambria"/>
          <w:sz w:val="16"/>
          <w:szCs w:val="16"/>
          <w:lang w:val="en-US"/>
        </w:rPr>
        <w:t xml:space="preserve"> persons </w:t>
      </w:r>
      <w:r w:rsidR="00637247" w:rsidRPr="00CC562A">
        <w:rPr>
          <w:rFonts w:ascii="Cambria" w:hAnsi="Cambria"/>
          <w:sz w:val="16"/>
          <w:szCs w:val="16"/>
          <w:lang w:val="en-US"/>
        </w:rPr>
        <w:t>in the Americas</w:t>
      </w:r>
      <w:r w:rsidR="4D1A0B04" w:rsidRPr="00CC562A">
        <w:rPr>
          <w:rFonts w:ascii="Cambria" w:hAnsi="Cambria"/>
          <w:sz w:val="16"/>
          <w:szCs w:val="16"/>
          <w:lang w:val="en-US"/>
        </w:rPr>
        <w:t xml:space="preserve">, OEA/Ser.L/V/II. Rev.2.Doc. 36 (2015), </w:t>
      </w:r>
      <w:r w:rsidR="00D77397" w:rsidRPr="00CC562A">
        <w:rPr>
          <w:rFonts w:ascii="Cambria" w:hAnsi="Cambria"/>
          <w:sz w:val="16"/>
          <w:szCs w:val="16"/>
          <w:lang w:val="en-US"/>
        </w:rPr>
        <w:t>para.</w:t>
      </w:r>
      <w:r w:rsidR="4D1A0B04" w:rsidRPr="00CC562A">
        <w:rPr>
          <w:rFonts w:ascii="Cambria" w:hAnsi="Cambria"/>
          <w:sz w:val="16"/>
          <w:szCs w:val="16"/>
          <w:lang w:val="en-US"/>
        </w:rPr>
        <w:t xml:space="preserve"> 16. </w:t>
      </w:r>
    </w:p>
    <w:p w14:paraId="54F0C2AA" w14:textId="26345CC4" w:rsidR="004D365F" w:rsidRPr="00CC562A" w:rsidRDefault="004D365F" w:rsidP="007A58B5">
      <w:pPr>
        <w:pStyle w:val="FootnoteText"/>
        <w:spacing w:line="240" w:lineRule="auto"/>
        <w:ind w:firstLine="720"/>
        <w:jc w:val="both"/>
        <w:rPr>
          <w:lang w:val="en-US"/>
        </w:rPr>
      </w:pPr>
    </w:p>
  </w:footnote>
  <w:footnote w:id="202">
    <w:p w14:paraId="34848F84" w14:textId="7FD17BD6" w:rsidR="008779E9" w:rsidRPr="00CC562A" w:rsidRDefault="008779E9"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03">
    <w:p w14:paraId="6835BE29" w14:textId="48C41130" w:rsidR="00E529E8" w:rsidRPr="00CC562A" w:rsidRDefault="00E529E8" w:rsidP="00E529E8">
      <w:pPr>
        <w:pStyle w:val="FootnoteText"/>
        <w:ind w:firstLine="720"/>
        <w:rPr>
          <w:lang w:val="en-US"/>
        </w:rPr>
      </w:pPr>
      <w:r w:rsidRPr="00CC562A">
        <w:rPr>
          <w:rStyle w:val="FootnoteReference"/>
          <w:lang w:val="en-US"/>
        </w:rPr>
        <w:footnoteRef/>
      </w:r>
      <w:r w:rsidRPr="00CC562A">
        <w:rPr>
          <w:lang w:val="en-US"/>
        </w:rPr>
        <w:t xml:space="preserve"> </w:t>
      </w:r>
      <w:r w:rsidR="00533DEF" w:rsidRPr="00CC562A">
        <w:rPr>
          <w:lang w:val="en-US"/>
        </w:rPr>
        <w:t>State of Mexico, OAS Note</w:t>
      </w:r>
      <w:r w:rsidRPr="00CC562A">
        <w:rPr>
          <w:lang w:val="en-US"/>
        </w:rPr>
        <w:t xml:space="preserve"> 517 </w:t>
      </w:r>
      <w:r w:rsidR="00533DEF" w:rsidRPr="00CC562A">
        <w:rPr>
          <w:lang w:val="en-US"/>
        </w:rPr>
        <w:t>of February 17,</w:t>
      </w:r>
      <w:r w:rsidRPr="00CC562A">
        <w:rPr>
          <w:lang w:val="en-US"/>
        </w:rPr>
        <w:t xml:space="preserve"> 2023. Observa</w:t>
      </w:r>
      <w:r w:rsidR="00533DEF" w:rsidRPr="00CC562A">
        <w:rPr>
          <w:lang w:val="en-US"/>
        </w:rPr>
        <w:t>tions on the preliminary version of the report</w:t>
      </w:r>
      <w:r w:rsidRPr="00CC562A">
        <w:rPr>
          <w:lang w:val="en-US"/>
        </w:rPr>
        <w:t>.</w:t>
      </w:r>
    </w:p>
  </w:footnote>
  <w:footnote w:id="204">
    <w:p w14:paraId="5818BD1A" w14:textId="729F0D4C" w:rsidR="00540016" w:rsidRPr="00CC562A" w:rsidRDefault="00540016"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607AC2" w:rsidRPr="00CC562A">
        <w:rPr>
          <w:lang w:val="en-US"/>
        </w:rPr>
        <w:t>Progress report of the Mexican State on compliance with and follow-up to the recommendations of the IACHR. Chapter V, October 2022</w:t>
      </w:r>
      <w:r w:rsidR="00DF5149" w:rsidRPr="00CC562A">
        <w:rPr>
          <w:lang w:val="en-US"/>
        </w:rPr>
        <w:t xml:space="preserve"> </w:t>
      </w:r>
      <w:r w:rsidR="00637247" w:rsidRPr="00CC562A">
        <w:rPr>
          <w:lang w:val="en-US"/>
        </w:rPr>
        <w:t>through the Inter-American SIMORE</w:t>
      </w:r>
      <w:r w:rsidR="00736A6B" w:rsidRPr="00CC562A">
        <w:rPr>
          <w:lang w:val="en-US"/>
        </w:rPr>
        <w:t>.</w:t>
      </w:r>
    </w:p>
  </w:footnote>
  <w:footnote w:id="205">
    <w:p w14:paraId="0E439A75" w14:textId="4CE6F76F" w:rsidR="00E529E8" w:rsidRPr="00CC562A" w:rsidRDefault="00E529E8" w:rsidP="00E529E8">
      <w:pPr>
        <w:pStyle w:val="FootnoteText"/>
        <w:ind w:firstLine="720"/>
        <w:rPr>
          <w:lang w:val="en-US"/>
        </w:rPr>
      </w:pPr>
      <w:r w:rsidRPr="00CC562A">
        <w:rPr>
          <w:rStyle w:val="FootnoteReference"/>
          <w:lang w:val="en-US"/>
        </w:rPr>
        <w:footnoteRef/>
      </w:r>
      <w:r w:rsidRPr="00CC562A">
        <w:rPr>
          <w:lang w:val="en-US"/>
        </w:rPr>
        <w:t xml:space="preserve"> </w:t>
      </w:r>
      <w:r w:rsidR="007B5CB8" w:rsidRPr="00CC562A">
        <w:rPr>
          <w:lang w:val="en-US"/>
        </w:rPr>
        <w:t>State of Mexico, OAS Note 517 of February 17, 2023. Observations on the preliminary version of the report</w:t>
      </w:r>
      <w:r w:rsidRPr="00CC562A">
        <w:rPr>
          <w:lang w:val="en-US"/>
        </w:rPr>
        <w:t>.</w:t>
      </w:r>
    </w:p>
  </w:footnote>
  <w:footnote w:id="206">
    <w:p w14:paraId="52893B04" w14:textId="02296BDA" w:rsidR="00E529E8" w:rsidRPr="00CC562A" w:rsidRDefault="00E529E8" w:rsidP="00E529E8">
      <w:pPr>
        <w:pStyle w:val="FootnoteText"/>
        <w:ind w:firstLine="720"/>
        <w:rPr>
          <w:lang w:val="en-US"/>
        </w:rPr>
      </w:pPr>
      <w:r w:rsidRPr="00CC562A">
        <w:rPr>
          <w:rStyle w:val="FootnoteReference"/>
          <w:lang w:val="en-US"/>
        </w:rPr>
        <w:footnoteRef/>
      </w:r>
      <w:r w:rsidRPr="00CC562A">
        <w:rPr>
          <w:lang w:val="en-US"/>
        </w:rPr>
        <w:t xml:space="preserve"> </w:t>
      </w:r>
      <w:r w:rsidR="007B5CB8" w:rsidRPr="00CC562A">
        <w:rPr>
          <w:lang w:val="en-US"/>
        </w:rPr>
        <w:t>State of Mexico, OAS Note 517 of February 17, 2023. Observations on the preliminary version of the report</w:t>
      </w:r>
      <w:r w:rsidRPr="00CC562A">
        <w:rPr>
          <w:lang w:val="en-US"/>
        </w:rPr>
        <w:t>.</w:t>
      </w:r>
    </w:p>
  </w:footnote>
  <w:footnote w:id="207">
    <w:p w14:paraId="556E1529" w14:textId="6E2B9AAE" w:rsidR="00540016" w:rsidRPr="00CC562A" w:rsidRDefault="00540016"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DB6824" w:rsidRPr="00CC562A">
        <w:rPr>
          <w:lang w:val="en-US"/>
        </w:rPr>
        <w:t xml:space="preserve">Follow-up on </w:t>
      </w:r>
      <w:r w:rsidR="00EE580B" w:rsidRPr="00CC562A">
        <w:rPr>
          <w:lang w:val="en-US"/>
        </w:rPr>
        <w:t>C</w:t>
      </w:r>
      <w:r w:rsidR="00DB6824" w:rsidRPr="00CC562A">
        <w:rPr>
          <w:lang w:val="en-US"/>
        </w:rPr>
        <w:t xml:space="preserve">ompliance with </w:t>
      </w:r>
      <w:r w:rsidR="00EE580B" w:rsidRPr="00CC562A">
        <w:rPr>
          <w:lang w:val="en-US"/>
        </w:rPr>
        <w:t>R</w:t>
      </w:r>
      <w:r w:rsidR="00DB6824" w:rsidRPr="00CC562A">
        <w:rPr>
          <w:lang w:val="en-US"/>
        </w:rPr>
        <w:t>ecommendation</w:t>
      </w:r>
      <w:r w:rsidR="00EE580B" w:rsidRPr="00CC562A">
        <w:rPr>
          <w:lang w:val="en-US"/>
        </w:rPr>
        <w:t>s</w:t>
      </w:r>
      <w:r w:rsidR="00DB6824" w:rsidRPr="00CC562A">
        <w:rPr>
          <w:lang w:val="en-US"/>
        </w:rPr>
        <w:t xml:space="preserve"> in the </w:t>
      </w:r>
      <w:r w:rsidR="00EE580B" w:rsidRPr="00CC562A">
        <w:rPr>
          <w:lang w:val="en-US"/>
        </w:rPr>
        <w:t>R</w:t>
      </w:r>
      <w:r w:rsidR="00DB6824" w:rsidRPr="00CC562A">
        <w:rPr>
          <w:lang w:val="en-US"/>
        </w:rPr>
        <w:t>eport on the “Situation of Human Rights in Mexico</w:t>
      </w:r>
      <w:r w:rsidR="00C80FE5" w:rsidRPr="00CC562A">
        <w:rPr>
          <w:lang w:val="en-US"/>
        </w:rPr>
        <w:t>,” October</w:t>
      </w:r>
      <w:r w:rsidR="00DB6824" w:rsidRPr="00CC562A">
        <w:rPr>
          <w:lang w:val="en-US"/>
        </w:rPr>
        <w:t xml:space="preserve"> 21,</w:t>
      </w:r>
      <w:r w:rsidR="4D1A0B04" w:rsidRPr="00CC562A">
        <w:rPr>
          <w:lang w:val="en-US"/>
        </w:rPr>
        <w:t xml:space="preserve"> 2022, </w:t>
      </w:r>
      <w:r w:rsidR="009E09A3" w:rsidRPr="00CC562A">
        <w:rPr>
          <w:lang w:val="en-US"/>
        </w:rPr>
        <w:t>p.</w:t>
      </w:r>
      <w:r w:rsidR="4D1A0B04" w:rsidRPr="00CC562A">
        <w:rPr>
          <w:lang w:val="en-US"/>
        </w:rPr>
        <w:t xml:space="preserve"> 14.</w:t>
      </w:r>
    </w:p>
  </w:footnote>
  <w:footnote w:id="208">
    <w:p w14:paraId="6FD3BCCC" w14:textId="3D3143EA" w:rsidR="00C95C02" w:rsidRPr="00CC562A" w:rsidRDefault="00C95C02" w:rsidP="007A58B5">
      <w:pPr>
        <w:pStyle w:val="FootnoteText"/>
        <w:spacing w:line="240" w:lineRule="auto"/>
        <w:ind w:firstLine="720"/>
        <w:rPr>
          <w:lang w:val="es-ES"/>
        </w:rPr>
      </w:pPr>
      <w:r w:rsidRPr="00CC562A">
        <w:rPr>
          <w:rStyle w:val="FootnoteReference"/>
          <w:lang w:val="en-US"/>
        </w:rPr>
        <w:footnoteRef/>
      </w:r>
      <w:r w:rsidRPr="00CC562A">
        <w:rPr>
          <w:lang w:val="en-US"/>
        </w:rPr>
        <w:t xml:space="preserve"> </w:t>
      </w:r>
      <w:r w:rsidR="00DF5149" w:rsidRPr="00CC562A">
        <w:rPr>
          <w:lang w:val="en-US"/>
        </w:rPr>
        <w:t xml:space="preserve">Progress report of the Mexican State on compliance with and follow-up to the recommendations of the IACHR. </w:t>
      </w:r>
      <w:r w:rsidR="00DF5149" w:rsidRPr="00CC562A">
        <w:rPr>
          <w:lang w:val="es-ES"/>
        </w:rPr>
        <w:t>Chapter V, October 2022</w:t>
      </w:r>
      <w:r w:rsidRPr="00CC562A">
        <w:rPr>
          <w:lang w:val="es-ES"/>
        </w:rPr>
        <w:t xml:space="preserve"> </w:t>
      </w:r>
      <w:r w:rsidR="00736A6B" w:rsidRPr="00CC562A">
        <w:rPr>
          <w:lang w:val="es-ES"/>
        </w:rPr>
        <w:t>through the Inter-American SIMORE.</w:t>
      </w:r>
    </w:p>
  </w:footnote>
  <w:footnote w:id="209">
    <w:p w14:paraId="11502FBE" w14:textId="77777777" w:rsidR="00E529E8" w:rsidRPr="00A63873" w:rsidRDefault="00E529E8" w:rsidP="00A92391">
      <w:pPr>
        <w:pStyle w:val="NoSpacing"/>
        <w:ind w:firstLine="720"/>
        <w:jc w:val="both"/>
        <w:rPr>
          <w:rFonts w:ascii="Cambria" w:hAnsi="Cambria"/>
          <w:sz w:val="16"/>
          <w:szCs w:val="16"/>
          <w:lang w:val="en-US"/>
        </w:rPr>
      </w:pPr>
      <w:r w:rsidRPr="00CC562A">
        <w:rPr>
          <w:rStyle w:val="FootnoteReference"/>
          <w:rFonts w:ascii="Cambria" w:hAnsi="Cambria"/>
          <w:sz w:val="16"/>
          <w:szCs w:val="16"/>
        </w:rPr>
        <w:footnoteRef/>
      </w:r>
      <w:r w:rsidRPr="00CC562A">
        <w:rPr>
          <w:rFonts w:ascii="Cambria" w:hAnsi="Cambria"/>
          <w:sz w:val="16"/>
          <w:szCs w:val="16"/>
        </w:rPr>
        <w:t xml:space="preserve"> Informe de avance del Estado mexicano sobre el cumplimiento y seguimiento de las recomendaciones de la CIDH. </w:t>
      </w:r>
      <w:r w:rsidRPr="00A63873">
        <w:rPr>
          <w:rFonts w:ascii="Cambria" w:hAnsi="Cambria"/>
          <w:sz w:val="16"/>
          <w:szCs w:val="16"/>
          <w:lang w:val="en-US"/>
        </w:rPr>
        <w:t>Capítulo V, de octubre de 2022 a través del SIMORE Interamericano.</w:t>
      </w:r>
    </w:p>
  </w:footnote>
  <w:footnote w:id="210">
    <w:p w14:paraId="2369A9FB" w14:textId="7C026B49" w:rsidR="00E529E8" w:rsidRPr="00CC562A" w:rsidRDefault="00E529E8" w:rsidP="00A92391">
      <w:pPr>
        <w:pStyle w:val="FootnoteText"/>
        <w:ind w:firstLine="720"/>
        <w:rPr>
          <w:lang w:val="en-US"/>
        </w:rPr>
      </w:pPr>
      <w:r w:rsidRPr="00CC562A">
        <w:rPr>
          <w:rStyle w:val="FootnoteReference"/>
        </w:rPr>
        <w:footnoteRef/>
      </w:r>
      <w:r w:rsidRPr="00CC562A">
        <w:rPr>
          <w:lang w:val="en-US"/>
        </w:rPr>
        <w:t xml:space="preserve"> </w:t>
      </w:r>
      <w:r w:rsidR="009A4ED0" w:rsidRPr="00CC562A">
        <w:rPr>
          <w:lang w:val="en-US"/>
        </w:rPr>
        <w:t>State of Mexico, OAS Note</w:t>
      </w:r>
      <w:r w:rsidRPr="00CC562A">
        <w:rPr>
          <w:lang w:val="en-US"/>
        </w:rPr>
        <w:t xml:space="preserve"> 517 </w:t>
      </w:r>
      <w:r w:rsidR="009A4ED0" w:rsidRPr="00CC562A">
        <w:rPr>
          <w:lang w:val="en-US"/>
        </w:rPr>
        <w:t xml:space="preserve">of February 17, </w:t>
      </w:r>
      <w:r w:rsidRPr="00CC562A">
        <w:rPr>
          <w:lang w:val="en-US"/>
        </w:rPr>
        <w:t>2023. Obser</w:t>
      </w:r>
      <w:r w:rsidR="009A4ED0" w:rsidRPr="00CC562A">
        <w:rPr>
          <w:lang w:val="en-US"/>
        </w:rPr>
        <w:t>vations on the preliminary version of the report.</w:t>
      </w:r>
    </w:p>
  </w:footnote>
  <w:footnote w:id="211">
    <w:p w14:paraId="66BB1DE3" w14:textId="77777777" w:rsidR="00E529E8" w:rsidRPr="00CC562A" w:rsidRDefault="00E529E8" w:rsidP="00E529E8">
      <w:pPr>
        <w:pStyle w:val="FootnoteText"/>
        <w:spacing w:line="240" w:lineRule="auto"/>
        <w:ind w:firstLine="720"/>
        <w:rPr>
          <w:lang w:val="en-US"/>
        </w:rPr>
      </w:pPr>
      <w:r w:rsidRPr="00CC562A">
        <w:rPr>
          <w:rStyle w:val="FootnoteReference"/>
          <w:lang w:val="en-US"/>
        </w:rPr>
        <w:footnoteRef/>
      </w:r>
      <w:r w:rsidRPr="00CC562A">
        <w:rPr>
          <w:lang w:val="en-US"/>
        </w:rPr>
        <w:t xml:space="preserve"> Progress report of the Mexican State on compliance with and follow-up to the recommendations of the IACHR. Chapter V, October 2022 through the Inter-American SIMORE.</w:t>
      </w:r>
    </w:p>
  </w:footnote>
  <w:footnote w:id="212">
    <w:p w14:paraId="7D6EE7BD" w14:textId="7AA46A71" w:rsidR="00CE1328" w:rsidRPr="00A01222" w:rsidRDefault="00CE1328" w:rsidP="007A58B5">
      <w:pPr>
        <w:spacing w:after="0" w:line="240" w:lineRule="auto"/>
        <w:ind w:firstLine="720"/>
        <w:jc w:val="both"/>
        <w:rPr>
          <w:rFonts w:ascii="Cambria" w:eastAsia="Arial Narrow" w:hAnsi="Cambria" w:cs="Arial Narrow"/>
          <w:sz w:val="16"/>
          <w:szCs w:val="16"/>
          <w:lang w:val="en-US"/>
        </w:rPr>
      </w:pPr>
      <w:r w:rsidRPr="00CC562A">
        <w:rPr>
          <w:rFonts w:ascii="Cambria" w:hAnsi="Cambria"/>
          <w:sz w:val="16"/>
          <w:szCs w:val="16"/>
          <w:vertAlign w:val="superscript"/>
          <w:lang w:val="en-US"/>
        </w:rPr>
        <w:footnoteRef/>
      </w:r>
      <w:r w:rsidRPr="00A01222">
        <w:rPr>
          <w:rFonts w:ascii="Cambria" w:eastAsia="Arial Narrow" w:hAnsi="Cambria" w:cs="Arial Narrow"/>
          <w:sz w:val="16"/>
          <w:szCs w:val="16"/>
          <w:lang w:val="en-US"/>
        </w:rPr>
        <w:t xml:space="preserve"> </w:t>
      </w:r>
      <w:r w:rsidRPr="00A01222">
        <w:rPr>
          <w:rFonts w:ascii="Cambria" w:hAnsi="Cambria"/>
          <w:sz w:val="16"/>
          <w:szCs w:val="16"/>
          <w:lang w:val="en-US"/>
        </w:rPr>
        <w:t xml:space="preserve">Animal Político, </w:t>
      </w:r>
      <w:hyperlink r:id="rId65" w:history="1">
        <w:r w:rsidR="00752FED" w:rsidRPr="00A01222">
          <w:rPr>
            <w:rStyle w:val="Hyperlink"/>
            <w:rFonts w:ascii="Cambria" w:hAnsi="Cambria"/>
            <w:sz w:val="16"/>
            <w:szCs w:val="16"/>
            <w:lang w:val="en-US"/>
          </w:rPr>
          <w:t>The State</w:t>
        </w:r>
        <w:r w:rsidRPr="00A01222">
          <w:rPr>
            <w:rStyle w:val="Hyperlink"/>
            <w:rFonts w:ascii="Cambria" w:hAnsi="Cambria"/>
            <w:sz w:val="16"/>
            <w:szCs w:val="16"/>
            <w:lang w:val="en-US"/>
          </w:rPr>
          <w:t xml:space="preserve"> lo reconoce: persiste la tortura sexual</w:t>
        </w:r>
      </w:hyperlink>
      <w:r w:rsidRPr="00A01222">
        <w:rPr>
          <w:rFonts w:ascii="Cambria" w:hAnsi="Cambria"/>
          <w:sz w:val="16"/>
          <w:szCs w:val="16"/>
          <w:lang w:val="en-US"/>
        </w:rPr>
        <w:t xml:space="preserve">, </w:t>
      </w:r>
      <w:r w:rsidR="00EE580B" w:rsidRPr="00A01222">
        <w:rPr>
          <w:rFonts w:ascii="Cambria" w:hAnsi="Cambria"/>
          <w:sz w:val="16"/>
          <w:szCs w:val="16"/>
          <w:lang w:val="en-US"/>
        </w:rPr>
        <w:t>July 20,</w:t>
      </w:r>
      <w:r w:rsidRPr="00A01222">
        <w:rPr>
          <w:rFonts w:ascii="Cambria" w:hAnsi="Cambria"/>
          <w:sz w:val="16"/>
          <w:szCs w:val="16"/>
          <w:lang w:val="en-US"/>
        </w:rPr>
        <w:t xml:space="preserve"> 2022.</w:t>
      </w:r>
    </w:p>
  </w:footnote>
  <w:footnote w:id="213">
    <w:p w14:paraId="492641BA" w14:textId="6C098DC7" w:rsidR="00CA0705" w:rsidRPr="00CC562A" w:rsidRDefault="00CA0705" w:rsidP="007A58B5">
      <w:pPr>
        <w:pBdr>
          <w:top w:val="nil"/>
          <w:left w:val="nil"/>
          <w:bottom w:val="nil"/>
          <w:right w:val="nil"/>
          <w:between w:val="nil"/>
        </w:pBdr>
        <w:spacing w:after="0" w:line="240" w:lineRule="auto"/>
        <w:ind w:firstLine="720"/>
        <w:jc w:val="both"/>
        <w:rPr>
          <w:rFonts w:ascii="Cambria" w:hAnsi="Cambria"/>
          <w:color w:val="000000"/>
          <w:sz w:val="16"/>
          <w:szCs w:val="16"/>
          <w:lang w:val="es-ES"/>
        </w:rPr>
      </w:pPr>
      <w:r w:rsidRPr="00CC562A">
        <w:rPr>
          <w:rFonts w:ascii="Cambria" w:hAnsi="Cambria"/>
          <w:sz w:val="16"/>
          <w:szCs w:val="16"/>
          <w:vertAlign w:val="superscript"/>
          <w:lang w:val="en-US"/>
        </w:rPr>
        <w:footnoteRef/>
      </w:r>
      <w:r w:rsidRPr="00CC562A">
        <w:rPr>
          <w:rFonts w:ascii="Cambria" w:hAnsi="Cambria"/>
          <w:color w:val="000000"/>
          <w:sz w:val="16"/>
          <w:szCs w:val="16"/>
          <w:lang w:val="en-US"/>
        </w:rPr>
        <w:t xml:space="preserve"> </w:t>
      </w:r>
      <w:r w:rsidR="00740ECF" w:rsidRPr="00CC562A">
        <w:rPr>
          <w:rFonts w:ascii="Cambria" w:hAnsi="Cambria"/>
          <w:color w:val="000000"/>
          <w:sz w:val="16"/>
          <w:szCs w:val="16"/>
          <w:lang w:val="en-US"/>
        </w:rPr>
        <w:t>PRODH Center</w:t>
      </w:r>
      <w:r w:rsidRPr="00CC562A">
        <w:rPr>
          <w:rFonts w:ascii="Cambria" w:hAnsi="Cambria"/>
          <w:color w:val="000000"/>
          <w:sz w:val="16"/>
          <w:szCs w:val="16"/>
          <w:lang w:val="en-US"/>
        </w:rPr>
        <w:t xml:space="preserve"> </w:t>
      </w:r>
      <w:r w:rsidR="00EE580B" w:rsidRPr="00CC562A">
        <w:rPr>
          <w:rFonts w:ascii="Cambria" w:hAnsi="Cambria"/>
          <w:color w:val="000000"/>
          <w:sz w:val="16"/>
          <w:szCs w:val="16"/>
          <w:lang w:val="en-US"/>
        </w:rPr>
        <w:t>and</w:t>
      </w:r>
      <w:r w:rsidRPr="00CC562A">
        <w:rPr>
          <w:rFonts w:ascii="Cambria" w:hAnsi="Cambria"/>
          <w:color w:val="000000"/>
          <w:sz w:val="16"/>
          <w:szCs w:val="16"/>
          <w:lang w:val="en-US"/>
        </w:rPr>
        <w:t xml:space="preserve"> </w:t>
      </w:r>
      <w:r w:rsidRPr="00CC562A">
        <w:rPr>
          <w:rFonts w:ascii="Cambria" w:hAnsi="Cambria"/>
          <w:color w:val="000000"/>
          <w:sz w:val="16"/>
          <w:szCs w:val="16"/>
          <w:lang w:val="en-US"/>
        </w:rPr>
        <w:t xml:space="preserve">CEJIL, </w:t>
      </w:r>
      <w:hyperlink r:id="rId66" w:history="1">
        <w:r w:rsidRPr="00CC562A">
          <w:rPr>
            <w:rStyle w:val="Hyperlink"/>
            <w:rFonts w:ascii="Cambria" w:hAnsi="Cambria"/>
            <w:sz w:val="16"/>
            <w:szCs w:val="16"/>
            <w:lang w:val="en-US"/>
          </w:rPr>
          <w:t xml:space="preserve">Comunicado de prensa. </w:t>
        </w:r>
        <w:r w:rsidRPr="00CC562A">
          <w:rPr>
            <w:rStyle w:val="Hyperlink"/>
            <w:rFonts w:ascii="Cambria" w:hAnsi="Cambria"/>
            <w:sz w:val="16"/>
            <w:szCs w:val="16"/>
            <w:lang w:val="es-ES"/>
          </w:rPr>
          <w:t>Mujeres de Atenco exigen a Fiscalía de Edomex que acate sentencia y remita investigación del caso a instancias federales.</w:t>
        </w:r>
      </w:hyperlink>
      <w:r w:rsidRPr="00CC562A">
        <w:rPr>
          <w:rFonts w:ascii="Cambria" w:hAnsi="Cambria"/>
          <w:color w:val="000000"/>
          <w:sz w:val="16"/>
          <w:szCs w:val="16"/>
          <w:lang w:val="es-ES"/>
        </w:rPr>
        <w:t xml:space="preserve"> </w:t>
      </w:r>
      <w:r w:rsidR="00EE580B" w:rsidRPr="00CC562A">
        <w:rPr>
          <w:rFonts w:ascii="Cambria" w:hAnsi="Cambria"/>
          <w:color w:val="000000"/>
          <w:sz w:val="16"/>
          <w:szCs w:val="16"/>
          <w:lang w:val="es-ES"/>
        </w:rPr>
        <w:t>September 11,</w:t>
      </w:r>
      <w:r w:rsidRPr="00CC562A">
        <w:rPr>
          <w:rFonts w:ascii="Cambria" w:hAnsi="Cambria"/>
          <w:color w:val="000000"/>
          <w:sz w:val="16"/>
          <w:szCs w:val="16"/>
          <w:lang w:val="es-ES"/>
        </w:rPr>
        <w:t xml:space="preserve"> 2022. </w:t>
      </w:r>
    </w:p>
  </w:footnote>
  <w:footnote w:id="214">
    <w:p w14:paraId="565C508F" w14:textId="0FA5C531" w:rsidR="00CE1328" w:rsidRPr="00CC562A" w:rsidRDefault="00CE1328"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00740ECF" w:rsidRPr="00CC562A">
        <w:rPr>
          <w:rFonts w:ascii="Cambria" w:hAnsi="Cambria"/>
          <w:sz w:val="16"/>
          <w:szCs w:val="16"/>
          <w:lang w:val="es-ES"/>
        </w:rPr>
        <w:t>PRODH Center</w:t>
      </w:r>
      <w:hyperlink r:id="rId67" w:history="1">
        <w:r w:rsidR="4D1A0B04" w:rsidRPr="00CC562A">
          <w:rPr>
            <w:rStyle w:val="Hyperlink"/>
            <w:rFonts w:ascii="Cambria" w:hAnsi="Cambria"/>
            <w:sz w:val="16"/>
            <w:szCs w:val="16"/>
            <w:lang w:val="es-ES"/>
          </w:rPr>
          <w:t xml:space="preserve">,  Fiscalía </w:t>
        </w:r>
        <w:r w:rsidR="009F5F2C" w:rsidRPr="00CC562A">
          <w:rPr>
            <w:rStyle w:val="Hyperlink"/>
            <w:rFonts w:ascii="Cambria" w:hAnsi="Cambria"/>
            <w:sz w:val="16"/>
            <w:szCs w:val="16"/>
            <w:lang w:val="es-ES"/>
          </w:rPr>
          <w:t>del Estado</w:t>
        </w:r>
        <w:r w:rsidR="4D1A0B04" w:rsidRPr="00CC562A">
          <w:rPr>
            <w:rStyle w:val="Hyperlink"/>
            <w:rFonts w:ascii="Cambria" w:hAnsi="Cambria"/>
            <w:sz w:val="16"/>
            <w:szCs w:val="16"/>
            <w:lang w:val="es-ES"/>
          </w:rPr>
          <w:t xml:space="preserve"> de México deberá remitir a FGR la investigación del caso Mujeres de Atenco</w:t>
        </w:r>
      </w:hyperlink>
      <w:r w:rsidR="4D1A0B04" w:rsidRPr="00CC562A">
        <w:rPr>
          <w:rFonts w:ascii="Cambria" w:hAnsi="Cambria"/>
          <w:sz w:val="16"/>
          <w:szCs w:val="16"/>
          <w:lang w:val="es-ES"/>
        </w:rPr>
        <w:t xml:space="preserve">, </w:t>
      </w:r>
      <w:r w:rsidR="00EE580B" w:rsidRPr="00CC562A">
        <w:rPr>
          <w:rFonts w:ascii="Cambria" w:hAnsi="Cambria"/>
          <w:sz w:val="16"/>
          <w:szCs w:val="16"/>
          <w:lang w:val="es-ES"/>
        </w:rPr>
        <w:t>September 19,</w:t>
      </w:r>
      <w:r w:rsidR="4D1A0B04" w:rsidRPr="00CC562A">
        <w:rPr>
          <w:rFonts w:ascii="Cambria" w:hAnsi="Cambria"/>
          <w:sz w:val="16"/>
          <w:szCs w:val="16"/>
          <w:lang w:val="es-ES"/>
        </w:rPr>
        <w:t xml:space="preserve"> 2021. </w:t>
      </w:r>
    </w:p>
  </w:footnote>
  <w:footnote w:id="215">
    <w:p w14:paraId="79129362" w14:textId="2F5D3F72" w:rsidR="006D0B21" w:rsidRPr="00CC562A" w:rsidRDefault="006D0B21"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w:t>
      </w:r>
      <w:r w:rsidR="00740ECF" w:rsidRPr="00CC562A">
        <w:rPr>
          <w:rFonts w:ascii="Cambria" w:eastAsia="Arial Narrow" w:hAnsi="Cambria" w:cs="Arial Narrow"/>
          <w:sz w:val="16"/>
          <w:szCs w:val="16"/>
          <w:lang w:val="es-ES"/>
        </w:rPr>
        <w:t>PRODH Center</w:t>
      </w:r>
      <w:r w:rsidR="001F15A3"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68" w:history="1">
        <w:r w:rsidRPr="00CC562A">
          <w:rPr>
            <w:rStyle w:val="Hyperlink"/>
            <w:rFonts w:ascii="Cambria" w:eastAsia="Arial Narrow" w:hAnsi="Cambria" w:cs="Arial Narrow"/>
            <w:sz w:val="16"/>
            <w:szCs w:val="16"/>
            <w:lang w:val="es-ES"/>
          </w:rPr>
          <w:t>Reconoce SEGOB la existencia de Tortura Sexual como una práctica persistente contra mujeres</w:t>
        </w:r>
      </w:hyperlink>
      <w:r w:rsidR="001F15A3"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EE580B" w:rsidRPr="00CC562A">
        <w:rPr>
          <w:rFonts w:ascii="Cambria" w:eastAsia="Arial Narrow" w:hAnsi="Cambria" w:cs="Arial Narrow"/>
          <w:sz w:val="16"/>
          <w:szCs w:val="16"/>
          <w:lang w:val="es-ES"/>
        </w:rPr>
        <w:t>June 27,</w:t>
      </w:r>
      <w:r w:rsidRPr="00CC562A">
        <w:rPr>
          <w:rFonts w:ascii="Cambria" w:eastAsia="Arial Narrow" w:hAnsi="Cambria" w:cs="Arial Narrow"/>
          <w:sz w:val="16"/>
          <w:szCs w:val="16"/>
          <w:lang w:val="es-ES"/>
        </w:rPr>
        <w:t xml:space="preserve"> 2022</w:t>
      </w:r>
      <w:r w:rsidR="00CE1328" w:rsidRPr="00CC562A">
        <w:rPr>
          <w:rFonts w:ascii="Cambria" w:eastAsia="Arial Narrow" w:hAnsi="Cambria" w:cs="Arial Narrow"/>
          <w:sz w:val="16"/>
          <w:szCs w:val="16"/>
          <w:lang w:val="es-ES"/>
        </w:rPr>
        <w:t>.</w:t>
      </w:r>
    </w:p>
  </w:footnote>
  <w:footnote w:id="216">
    <w:p w14:paraId="76F0BD94" w14:textId="01E2AC6A" w:rsidR="00E529E8" w:rsidRPr="00CC562A" w:rsidRDefault="00E529E8" w:rsidP="00D41276">
      <w:pPr>
        <w:pStyle w:val="FootnoteText"/>
        <w:ind w:firstLine="720"/>
        <w:rPr>
          <w:lang w:val="en-US"/>
        </w:rPr>
      </w:pPr>
      <w:r w:rsidRPr="00CC562A">
        <w:rPr>
          <w:rStyle w:val="FootnoteReference"/>
        </w:rPr>
        <w:footnoteRef/>
      </w:r>
      <w:r w:rsidRPr="00CC562A">
        <w:rPr>
          <w:lang w:val="en-US"/>
        </w:rPr>
        <w:t xml:space="preserve"> </w:t>
      </w:r>
      <w:r w:rsidR="00030392" w:rsidRPr="00CC562A">
        <w:rPr>
          <w:lang w:val="en-US"/>
        </w:rPr>
        <w:t>State of Mexico, OAS Note</w:t>
      </w:r>
      <w:r w:rsidRPr="00CC562A">
        <w:rPr>
          <w:lang w:val="en-US"/>
        </w:rPr>
        <w:t xml:space="preserve"> 517 </w:t>
      </w:r>
      <w:r w:rsidR="00030392" w:rsidRPr="00CC562A">
        <w:rPr>
          <w:lang w:val="en-US"/>
        </w:rPr>
        <w:t>of February 17,</w:t>
      </w:r>
      <w:r w:rsidRPr="00CC562A">
        <w:rPr>
          <w:lang w:val="en-US"/>
        </w:rPr>
        <w:t xml:space="preserve"> 2023. Observa</w:t>
      </w:r>
      <w:r w:rsidR="00030392" w:rsidRPr="00CC562A">
        <w:rPr>
          <w:lang w:val="en-US"/>
        </w:rPr>
        <w:t xml:space="preserve">tions on the preliminary </w:t>
      </w:r>
      <w:r w:rsidR="000B2379" w:rsidRPr="00CC562A">
        <w:rPr>
          <w:lang w:val="en-US"/>
        </w:rPr>
        <w:t>version</w:t>
      </w:r>
      <w:r w:rsidR="00030392" w:rsidRPr="00CC562A">
        <w:rPr>
          <w:lang w:val="en-US"/>
        </w:rPr>
        <w:t xml:space="preserve"> of the report.</w:t>
      </w:r>
    </w:p>
  </w:footnote>
  <w:footnote w:id="217">
    <w:p w14:paraId="7818395B" w14:textId="172ADC8F" w:rsidR="007A6F11" w:rsidRPr="00CC562A" w:rsidRDefault="007A6F1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Gu</w:t>
      </w:r>
      <w:r w:rsidR="00391ADD" w:rsidRPr="00CC562A">
        <w:rPr>
          <w:lang w:val="en-US"/>
        </w:rPr>
        <w:t>ide to Constitutional and Conventional Standards for the Investigation of Violent Deaths of Women for Gender-based Reasons as well as the Protocol for Addressing Political Violence against Women and the Protocol fo</w:t>
      </w:r>
      <w:r w:rsidR="00230BFA" w:rsidRPr="00CC562A">
        <w:rPr>
          <w:lang w:val="en-US"/>
        </w:rPr>
        <w:t>r Prosecutorial, Forensic and Police Investigation with a Gender Perspective for the Crime of Femicide and the Protocol for Prosecutorial, Forensic, and Police Investigation with the Gender Perspective</w:t>
      </w:r>
    </w:p>
  </w:footnote>
  <w:footnote w:id="218">
    <w:p w14:paraId="144142EB" w14:textId="45101946"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19">
    <w:p w14:paraId="2B3219B5" w14:textId="65A42943" w:rsidR="00E529E8" w:rsidRPr="00CC562A" w:rsidRDefault="00E529E8" w:rsidP="00A92391">
      <w:pPr>
        <w:pStyle w:val="FootnoteText"/>
        <w:ind w:firstLine="720"/>
        <w:rPr>
          <w:lang w:val="en-US"/>
        </w:rPr>
      </w:pPr>
      <w:r w:rsidRPr="00CC562A">
        <w:rPr>
          <w:rStyle w:val="FootnoteReference"/>
        </w:rPr>
        <w:footnoteRef/>
      </w:r>
      <w:r w:rsidRPr="00CC562A">
        <w:rPr>
          <w:lang w:val="en-US"/>
        </w:rPr>
        <w:t xml:space="preserve"> </w:t>
      </w:r>
      <w:r w:rsidR="00BD3B87" w:rsidRPr="00CC562A">
        <w:rPr>
          <w:lang w:val="en-US"/>
        </w:rPr>
        <w:t>State of Mexico, OAS Note</w:t>
      </w:r>
      <w:r w:rsidRPr="00CC562A">
        <w:rPr>
          <w:lang w:val="en-US"/>
        </w:rPr>
        <w:t xml:space="preserve"> 517 </w:t>
      </w:r>
      <w:r w:rsidR="00BD3B87" w:rsidRPr="00CC562A">
        <w:rPr>
          <w:lang w:val="en-US"/>
        </w:rPr>
        <w:t>of February 17,</w:t>
      </w:r>
      <w:r w:rsidRPr="00CC562A">
        <w:rPr>
          <w:lang w:val="en-US"/>
        </w:rPr>
        <w:t xml:space="preserve"> 2023. Observa</w:t>
      </w:r>
      <w:r w:rsidR="00BD3B87" w:rsidRPr="00CC562A">
        <w:rPr>
          <w:lang w:val="en-US"/>
        </w:rPr>
        <w:t>tions on the preliminary version of the report</w:t>
      </w:r>
      <w:r w:rsidRPr="00CC562A">
        <w:rPr>
          <w:lang w:val="en-US"/>
        </w:rPr>
        <w:t>.</w:t>
      </w:r>
    </w:p>
  </w:footnote>
  <w:footnote w:id="220">
    <w:p w14:paraId="1272D028" w14:textId="5A83D8AA" w:rsidR="001E195F" w:rsidRPr="00CC562A" w:rsidRDefault="001E195F"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AR"/>
        </w:rPr>
        <w:t xml:space="preserve"> </w:t>
      </w:r>
      <w:r w:rsidR="004E0B7E" w:rsidRPr="00CC562A">
        <w:rPr>
          <w:rFonts w:ascii="Cambria" w:hAnsi="Cambria" w:cs="Calibri"/>
          <w:sz w:val="16"/>
          <w:szCs w:val="16"/>
          <w:lang w:val="es-AR"/>
        </w:rPr>
        <w:t>IACHR</w:t>
      </w:r>
      <w:r w:rsidR="4D1A0B04" w:rsidRPr="00CC562A">
        <w:rPr>
          <w:rFonts w:ascii="Cambria" w:hAnsi="Cambria" w:cs="Calibri"/>
          <w:sz w:val="16"/>
          <w:szCs w:val="16"/>
          <w:lang w:val="es-AR"/>
        </w:rPr>
        <w:t xml:space="preserve">, </w:t>
      </w:r>
      <w:hyperlink r:id="rId69" w:history="1">
        <w:r w:rsidR="4D1A0B04" w:rsidRPr="00CC562A">
          <w:rPr>
            <w:rStyle w:val="Hyperlink"/>
            <w:rFonts w:ascii="Cambria" w:hAnsi="Cambria" w:cs="Calibri"/>
            <w:sz w:val="16"/>
            <w:szCs w:val="16"/>
            <w:lang w:val="es-AR"/>
          </w:rPr>
          <w:t xml:space="preserve">Estándares y recomendaciones. </w:t>
        </w:r>
        <w:r w:rsidR="4D1A0B04" w:rsidRPr="00CC562A">
          <w:rPr>
            <w:rStyle w:val="Hyperlink"/>
            <w:rFonts w:ascii="Cambria" w:hAnsi="Cambria" w:cs="Calibri"/>
            <w:sz w:val="16"/>
            <w:szCs w:val="16"/>
            <w:lang w:val="es-ES"/>
          </w:rPr>
          <w:t>Violencia de género y discriminación contra mujeres, niñas y adolescentes</w:t>
        </w:r>
      </w:hyperlink>
      <w:r w:rsidR="4D1A0B04" w:rsidRPr="00CC562A">
        <w:rPr>
          <w:rFonts w:ascii="Cambria" w:hAnsi="Cambria" w:cs="Calibri"/>
          <w:sz w:val="16"/>
          <w:szCs w:val="16"/>
          <w:lang w:val="es-ES"/>
        </w:rPr>
        <w:t>, p</w:t>
      </w:r>
      <w:r w:rsidR="00D41842" w:rsidRPr="00CC562A">
        <w:rPr>
          <w:rFonts w:ascii="Cambria" w:hAnsi="Cambria" w:cs="Calibri"/>
          <w:sz w:val="16"/>
          <w:szCs w:val="16"/>
          <w:lang w:val="es-ES"/>
        </w:rPr>
        <w:t>ara</w:t>
      </w:r>
      <w:r w:rsidR="4D1A0B04" w:rsidRPr="00CC562A">
        <w:rPr>
          <w:rFonts w:ascii="Cambria" w:hAnsi="Cambria" w:cs="Calibri"/>
          <w:sz w:val="16"/>
          <w:szCs w:val="16"/>
          <w:lang w:val="es-ES"/>
        </w:rPr>
        <w:t xml:space="preserve">. </w:t>
      </w:r>
      <w:r w:rsidR="4D1A0B04" w:rsidRPr="00CC562A">
        <w:rPr>
          <w:rFonts w:ascii="Cambria" w:hAnsi="Cambria" w:cs="Calibri"/>
          <w:sz w:val="16"/>
          <w:szCs w:val="16"/>
          <w:lang w:val="en-US"/>
        </w:rPr>
        <w:t>53</w:t>
      </w:r>
      <w:r w:rsidR="00D41842" w:rsidRPr="00CC562A">
        <w:rPr>
          <w:rFonts w:ascii="Cambria" w:hAnsi="Cambria" w:cs="Calibri"/>
          <w:sz w:val="16"/>
          <w:szCs w:val="16"/>
          <w:lang w:val="en-US"/>
        </w:rPr>
        <w:t>-55</w:t>
      </w:r>
      <w:r w:rsidR="4D1A0B04" w:rsidRPr="00CC562A">
        <w:rPr>
          <w:rFonts w:ascii="Cambria" w:hAnsi="Cambria" w:cs="Calibri"/>
          <w:sz w:val="16"/>
          <w:szCs w:val="16"/>
          <w:lang w:val="en-US"/>
        </w:rPr>
        <w:t xml:space="preserve">. </w:t>
      </w:r>
    </w:p>
  </w:footnote>
  <w:footnote w:id="221">
    <w:p w14:paraId="06DC84E7" w14:textId="38F1F88B"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00173559" w:rsidRPr="00CC562A">
        <w:rPr>
          <w:lang w:val="en-US"/>
        </w:rPr>
        <w:t xml:space="preserve"> </w:t>
      </w:r>
      <w:r w:rsidR="00DF5149"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222">
    <w:p w14:paraId="1F0A8975" w14:textId="2816B4E4" w:rsidR="00E529E8" w:rsidRPr="00CC562A" w:rsidRDefault="00E529E8" w:rsidP="00E529E8">
      <w:pPr>
        <w:pStyle w:val="FootnoteText"/>
        <w:ind w:firstLine="720"/>
        <w:rPr>
          <w:lang w:val="en-US"/>
        </w:rPr>
      </w:pPr>
      <w:r w:rsidRPr="00CC562A">
        <w:rPr>
          <w:rStyle w:val="FootnoteReference"/>
        </w:rPr>
        <w:footnoteRef/>
      </w:r>
      <w:r w:rsidRPr="00CC562A">
        <w:rPr>
          <w:lang w:val="en-US"/>
        </w:rPr>
        <w:t xml:space="preserve"> </w:t>
      </w:r>
      <w:r w:rsidR="008822BE" w:rsidRPr="00CC562A">
        <w:rPr>
          <w:lang w:val="en-US"/>
        </w:rPr>
        <w:t>State of Mexico, OAS Note</w:t>
      </w:r>
      <w:r w:rsidRPr="00CC562A">
        <w:rPr>
          <w:lang w:val="en-US"/>
        </w:rPr>
        <w:t xml:space="preserve"> 517 </w:t>
      </w:r>
      <w:r w:rsidR="008822BE" w:rsidRPr="00CC562A">
        <w:rPr>
          <w:lang w:val="en-US"/>
        </w:rPr>
        <w:t>of February 17,</w:t>
      </w:r>
      <w:r w:rsidRPr="00CC562A">
        <w:rPr>
          <w:lang w:val="en-US"/>
        </w:rPr>
        <w:t xml:space="preserve"> 2023. Observ</w:t>
      </w:r>
      <w:r w:rsidR="008822BE" w:rsidRPr="00CC562A">
        <w:rPr>
          <w:lang w:val="en-US"/>
        </w:rPr>
        <w:t>ations on the preliminary version of the report.</w:t>
      </w:r>
    </w:p>
  </w:footnote>
  <w:footnote w:id="223">
    <w:p w14:paraId="7D35A1A0" w14:textId="54976CF2"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24">
    <w:p w14:paraId="01B27189" w14:textId="0D80C2C1" w:rsidR="00E529E8" w:rsidRPr="00CC562A" w:rsidRDefault="00E529E8" w:rsidP="00E529E8">
      <w:pPr>
        <w:pStyle w:val="FootnoteText"/>
        <w:ind w:firstLine="720"/>
        <w:rPr>
          <w:lang w:val="en-US"/>
        </w:rPr>
      </w:pPr>
      <w:r w:rsidRPr="00CC562A">
        <w:rPr>
          <w:rStyle w:val="FootnoteReference"/>
        </w:rPr>
        <w:footnoteRef/>
      </w:r>
      <w:r w:rsidRPr="00CC562A">
        <w:rPr>
          <w:lang w:val="en-US"/>
        </w:rPr>
        <w:t xml:space="preserve"> </w:t>
      </w:r>
      <w:r w:rsidR="00447811" w:rsidRPr="00CC562A">
        <w:rPr>
          <w:lang w:val="en-US"/>
        </w:rPr>
        <w:t>State of Mexico, OAS Note</w:t>
      </w:r>
      <w:r w:rsidRPr="00CC562A">
        <w:rPr>
          <w:lang w:val="en-US"/>
        </w:rPr>
        <w:t xml:space="preserve"> 517 </w:t>
      </w:r>
      <w:r w:rsidR="00447811" w:rsidRPr="00CC562A">
        <w:rPr>
          <w:lang w:val="en-US"/>
        </w:rPr>
        <w:t>of February 17,</w:t>
      </w:r>
      <w:r w:rsidRPr="00CC562A">
        <w:rPr>
          <w:lang w:val="en-US"/>
        </w:rPr>
        <w:t xml:space="preserve"> 2023. Observa</w:t>
      </w:r>
      <w:r w:rsidR="00447811" w:rsidRPr="00CC562A">
        <w:rPr>
          <w:lang w:val="en-US"/>
        </w:rPr>
        <w:t xml:space="preserve">tions on the </w:t>
      </w:r>
      <w:r w:rsidR="00470316" w:rsidRPr="00CC562A">
        <w:rPr>
          <w:lang w:val="en-US"/>
        </w:rPr>
        <w:t>preliminary</w:t>
      </w:r>
      <w:r w:rsidR="00447811" w:rsidRPr="00CC562A">
        <w:rPr>
          <w:lang w:val="en-US"/>
        </w:rPr>
        <w:t xml:space="preserve"> </w:t>
      </w:r>
      <w:r w:rsidR="00470316" w:rsidRPr="00CC562A">
        <w:rPr>
          <w:lang w:val="en-US"/>
        </w:rPr>
        <w:t>version</w:t>
      </w:r>
      <w:r w:rsidR="00447811" w:rsidRPr="00CC562A">
        <w:rPr>
          <w:lang w:val="en-US"/>
        </w:rPr>
        <w:t xml:space="preserve"> of the report.</w:t>
      </w:r>
    </w:p>
  </w:footnote>
  <w:footnote w:id="225">
    <w:p w14:paraId="35BA4B3E" w14:textId="20B283CB" w:rsidR="00E529E8" w:rsidRPr="00CC562A" w:rsidRDefault="00E529E8" w:rsidP="00E529E8">
      <w:pPr>
        <w:pStyle w:val="FootnoteText"/>
        <w:ind w:firstLine="720"/>
        <w:rPr>
          <w:lang w:val="en-US"/>
        </w:rPr>
      </w:pPr>
      <w:r w:rsidRPr="00CC562A">
        <w:rPr>
          <w:rStyle w:val="FootnoteReference"/>
          <w:lang w:val="en-US"/>
        </w:rPr>
        <w:footnoteRef/>
      </w:r>
      <w:r w:rsidRPr="00CC562A">
        <w:rPr>
          <w:lang w:val="en-US"/>
        </w:rPr>
        <w:t xml:space="preserve"> </w:t>
      </w:r>
      <w:r w:rsidR="00447811" w:rsidRPr="00CC562A">
        <w:rPr>
          <w:lang w:val="en-US"/>
        </w:rPr>
        <w:t xml:space="preserve">State of Mexico, OAS Note 517 of February 17, 2023. Observations on the </w:t>
      </w:r>
      <w:r w:rsidR="00470316" w:rsidRPr="00CC562A">
        <w:rPr>
          <w:lang w:val="en-US"/>
        </w:rPr>
        <w:t>preliminary</w:t>
      </w:r>
      <w:r w:rsidR="00447811" w:rsidRPr="00CC562A">
        <w:rPr>
          <w:lang w:val="en-US"/>
        </w:rPr>
        <w:t xml:space="preserve"> </w:t>
      </w:r>
      <w:r w:rsidR="00470316" w:rsidRPr="00CC562A">
        <w:rPr>
          <w:lang w:val="en-US"/>
        </w:rPr>
        <w:t>version</w:t>
      </w:r>
      <w:r w:rsidR="00447811" w:rsidRPr="00CC562A">
        <w:rPr>
          <w:lang w:val="en-US"/>
        </w:rPr>
        <w:t xml:space="preserve"> of the report</w:t>
      </w:r>
      <w:r w:rsidRPr="00CC562A">
        <w:rPr>
          <w:lang w:val="en-US"/>
        </w:rPr>
        <w:t>.</w:t>
      </w:r>
    </w:p>
  </w:footnote>
  <w:footnote w:id="226">
    <w:p w14:paraId="7D0EBA9A" w14:textId="77777777" w:rsidR="00DC5772" w:rsidRPr="00CC562A" w:rsidRDefault="00DC5772" w:rsidP="002B53AC">
      <w:pPr>
        <w:pStyle w:val="FootnoteText"/>
        <w:spacing w:line="240" w:lineRule="auto"/>
        <w:ind w:firstLine="720"/>
        <w:jc w:val="both"/>
      </w:pPr>
      <w:r w:rsidRPr="00CC562A">
        <w:rPr>
          <w:rStyle w:val="FootnoteReference"/>
        </w:rPr>
        <w:footnoteRef/>
      </w:r>
      <w:r w:rsidRPr="00CC562A">
        <w:t xml:space="preserve"> Informe de avance del Estado mexicano sobre el cumplimiento y seguimiento de las recomendaciones de la CIDH. Capítulo V, de octubre de 2022 a través del SIMORE Interamericano.</w:t>
      </w:r>
    </w:p>
  </w:footnote>
  <w:footnote w:id="227">
    <w:p w14:paraId="3C58C7A8" w14:textId="3E1ABD6F" w:rsidR="00E529E8" w:rsidRPr="00CC562A" w:rsidRDefault="00E529E8" w:rsidP="002B53AC">
      <w:pPr>
        <w:pStyle w:val="FootnoteText"/>
        <w:spacing w:line="240" w:lineRule="auto"/>
        <w:ind w:firstLine="720"/>
        <w:rPr>
          <w:lang w:val="en-US"/>
        </w:rPr>
      </w:pPr>
      <w:r w:rsidRPr="00CC562A">
        <w:rPr>
          <w:rStyle w:val="FootnoteReference"/>
        </w:rPr>
        <w:footnoteRef/>
      </w:r>
      <w:r w:rsidRPr="00A63873">
        <w:rPr>
          <w:lang w:val="es-AR"/>
        </w:rPr>
        <w:t xml:space="preserve"> </w:t>
      </w:r>
      <w:r w:rsidR="00355121" w:rsidRPr="00A63873">
        <w:rPr>
          <w:lang w:val="es-AR"/>
        </w:rPr>
        <w:t xml:space="preserve">State of Mexico. </w:t>
      </w:r>
      <w:r w:rsidR="00355121" w:rsidRPr="00CC562A">
        <w:rPr>
          <w:lang w:val="en-US"/>
        </w:rPr>
        <w:t>OAS Note</w:t>
      </w:r>
      <w:r w:rsidRPr="00CC562A">
        <w:rPr>
          <w:lang w:val="en-US"/>
        </w:rPr>
        <w:t xml:space="preserve"> 517 </w:t>
      </w:r>
      <w:r w:rsidR="00355121" w:rsidRPr="00CC562A">
        <w:rPr>
          <w:lang w:val="en-US"/>
        </w:rPr>
        <w:t>of February 17,</w:t>
      </w:r>
      <w:r w:rsidRPr="00CC562A">
        <w:rPr>
          <w:lang w:val="en-US"/>
        </w:rPr>
        <w:t xml:space="preserve"> 2023. Observa</w:t>
      </w:r>
      <w:r w:rsidR="00355121" w:rsidRPr="00CC562A">
        <w:rPr>
          <w:lang w:val="en-US"/>
        </w:rPr>
        <w:t>tions on the preliminary version of the report.</w:t>
      </w:r>
    </w:p>
  </w:footnote>
  <w:footnote w:id="228">
    <w:p w14:paraId="0A5B81B7" w14:textId="5BB56A00" w:rsidR="00DC5772" w:rsidRPr="00CC562A" w:rsidRDefault="00DC5772" w:rsidP="00DC5772">
      <w:pPr>
        <w:pStyle w:val="FootnoteText"/>
        <w:ind w:firstLine="720"/>
        <w:rPr>
          <w:lang w:val="en-US"/>
        </w:rPr>
      </w:pPr>
      <w:r w:rsidRPr="00CC562A">
        <w:rPr>
          <w:rStyle w:val="FootnoteReference"/>
        </w:rPr>
        <w:footnoteRef/>
      </w:r>
      <w:r w:rsidRPr="00CC562A">
        <w:rPr>
          <w:lang w:val="en-US"/>
        </w:rPr>
        <w:t xml:space="preserve"> </w:t>
      </w:r>
      <w:r w:rsidR="009F6836" w:rsidRPr="00CC562A">
        <w:rPr>
          <w:lang w:val="en-US"/>
        </w:rPr>
        <w:t>State of Mexico, OAS Note</w:t>
      </w:r>
      <w:r w:rsidRPr="00CC562A">
        <w:rPr>
          <w:lang w:val="en-US"/>
        </w:rPr>
        <w:t xml:space="preserve"> 517 </w:t>
      </w:r>
      <w:r w:rsidR="009F6836" w:rsidRPr="00CC562A">
        <w:rPr>
          <w:lang w:val="en-US"/>
        </w:rPr>
        <w:t>of February 17,</w:t>
      </w:r>
      <w:r w:rsidRPr="00CC562A">
        <w:rPr>
          <w:lang w:val="en-US"/>
        </w:rPr>
        <w:t xml:space="preserve"> 2023. Observ</w:t>
      </w:r>
      <w:r w:rsidR="009F6836" w:rsidRPr="00CC562A">
        <w:rPr>
          <w:lang w:val="en-US"/>
        </w:rPr>
        <w:t>ations on the preliminary version of the report</w:t>
      </w:r>
      <w:r w:rsidRPr="00CC562A">
        <w:rPr>
          <w:lang w:val="en-US"/>
        </w:rPr>
        <w:t>.</w:t>
      </w:r>
    </w:p>
  </w:footnote>
  <w:footnote w:id="229">
    <w:p w14:paraId="26D0B045" w14:textId="2353CA08"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30">
    <w:p w14:paraId="7778A921" w14:textId="1113E42B" w:rsidR="00DC5772" w:rsidRPr="00CC562A" w:rsidRDefault="00DC5772" w:rsidP="00DC5772">
      <w:pPr>
        <w:pStyle w:val="FootnoteText"/>
        <w:ind w:firstLine="720"/>
        <w:rPr>
          <w:lang w:val="en-US"/>
        </w:rPr>
      </w:pPr>
      <w:r w:rsidRPr="00CC562A">
        <w:rPr>
          <w:rStyle w:val="FootnoteReference"/>
        </w:rPr>
        <w:footnoteRef/>
      </w:r>
      <w:r w:rsidRPr="00CC562A">
        <w:rPr>
          <w:lang w:val="en-US"/>
        </w:rPr>
        <w:t xml:space="preserve"> </w:t>
      </w:r>
      <w:r w:rsidR="009F6836" w:rsidRPr="00CC562A">
        <w:rPr>
          <w:lang w:val="en-US"/>
        </w:rPr>
        <w:t>State of Mexico, OAS Note 517 of February 17, 2023. Observations on the preliminary version of the report</w:t>
      </w:r>
      <w:r w:rsidRPr="00CC562A">
        <w:rPr>
          <w:lang w:val="en-US"/>
        </w:rPr>
        <w:t>.</w:t>
      </w:r>
    </w:p>
  </w:footnote>
  <w:footnote w:id="231">
    <w:p w14:paraId="6024A346" w14:textId="50067474"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32">
    <w:p w14:paraId="3CDD3748" w14:textId="7EF83A33" w:rsidR="00DC5772" w:rsidRPr="00CC562A" w:rsidRDefault="00DC5772" w:rsidP="00DC5772">
      <w:pPr>
        <w:pStyle w:val="FootnoteText"/>
        <w:ind w:firstLine="720"/>
        <w:rPr>
          <w:lang w:val="en-US"/>
        </w:rPr>
      </w:pPr>
      <w:r w:rsidRPr="00CC562A">
        <w:rPr>
          <w:rStyle w:val="FootnoteReference"/>
          <w:lang w:val="en-US"/>
        </w:rPr>
        <w:footnoteRef/>
      </w:r>
      <w:r w:rsidRPr="00CC562A">
        <w:rPr>
          <w:lang w:val="en-US"/>
        </w:rPr>
        <w:t xml:space="preserve"> </w:t>
      </w:r>
      <w:r w:rsidR="0053433A" w:rsidRPr="00CC562A">
        <w:rPr>
          <w:lang w:val="en-US"/>
        </w:rPr>
        <w:t>State</w:t>
      </w:r>
      <w:r w:rsidRPr="00CC562A">
        <w:rPr>
          <w:lang w:val="en-US"/>
        </w:rPr>
        <w:t xml:space="preserve"> </w:t>
      </w:r>
      <w:r w:rsidR="0053433A" w:rsidRPr="00CC562A">
        <w:rPr>
          <w:lang w:val="en-US"/>
        </w:rPr>
        <w:t>of Mexico, OAS Note</w:t>
      </w:r>
      <w:r w:rsidRPr="00CC562A">
        <w:rPr>
          <w:lang w:val="en-US"/>
        </w:rPr>
        <w:t xml:space="preserve"> OEA 517 </w:t>
      </w:r>
      <w:r w:rsidR="0053433A" w:rsidRPr="00CC562A">
        <w:rPr>
          <w:lang w:val="en-US"/>
        </w:rPr>
        <w:t>of February 17,</w:t>
      </w:r>
      <w:r w:rsidRPr="00CC562A">
        <w:rPr>
          <w:lang w:val="en-US"/>
        </w:rPr>
        <w:t xml:space="preserve"> 2023. Observa</w:t>
      </w:r>
      <w:r w:rsidR="0053433A" w:rsidRPr="00CC562A">
        <w:rPr>
          <w:lang w:val="en-US"/>
        </w:rPr>
        <w:t xml:space="preserve">tions on the preliminary </w:t>
      </w:r>
      <w:r w:rsidR="00F54167" w:rsidRPr="00CC562A">
        <w:rPr>
          <w:lang w:val="en-US"/>
        </w:rPr>
        <w:t>version</w:t>
      </w:r>
      <w:r w:rsidR="0053433A" w:rsidRPr="00CC562A">
        <w:rPr>
          <w:lang w:val="en-US"/>
        </w:rPr>
        <w:t xml:space="preserve"> of the report.</w:t>
      </w:r>
    </w:p>
  </w:footnote>
  <w:footnote w:id="233">
    <w:p w14:paraId="464C0964" w14:textId="42F16F2F" w:rsidR="007301DA" w:rsidRPr="00CC562A" w:rsidRDefault="007301DA" w:rsidP="007A58B5">
      <w:pPr>
        <w:pStyle w:val="FootnoteText"/>
        <w:spacing w:line="240" w:lineRule="auto"/>
        <w:ind w:firstLine="720"/>
        <w:jc w:val="both"/>
        <w:rPr>
          <w:lang w:val="en-US"/>
        </w:rPr>
      </w:pPr>
      <w:r w:rsidRPr="00CC562A">
        <w:rPr>
          <w:rStyle w:val="FootnoteReference"/>
          <w:lang w:val="en-US"/>
        </w:rPr>
        <w:footnoteRef/>
      </w:r>
      <w:r w:rsidR="00E45331" w:rsidRPr="00CC562A">
        <w:rPr>
          <w:lang w:val="en-US"/>
        </w:rPr>
        <w:t>Article</w:t>
      </w:r>
      <w:r w:rsidR="4D1A0B04" w:rsidRPr="00CC562A">
        <w:rPr>
          <w:lang w:val="en-US"/>
        </w:rPr>
        <w:t xml:space="preserve"> 19. </w:t>
      </w:r>
      <w:r w:rsidR="00E45331" w:rsidRPr="00CC562A">
        <w:rPr>
          <w:lang w:val="en-US"/>
        </w:rPr>
        <w:t xml:space="preserve">Follow-up on </w:t>
      </w:r>
      <w:r w:rsidR="00230BFA" w:rsidRPr="00CC562A">
        <w:rPr>
          <w:lang w:val="en-US"/>
        </w:rPr>
        <w:t>C</w:t>
      </w:r>
      <w:r w:rsidR="00E45331" w:rsidRPr="00CC562A">
        <w:rPr>
          <w:lang w:val="en-US"/>
        </w:rPr>
        <w:t xml:space="preserve">ompliance with the </w:t>
      </w:r>
      <w:r w:rsidR="00230BFA" w:rsidRPr="00CC562A">
        <w:rPr>
          <w:lang w:val="en-US"/>
        </w:rPr>
        <w:t>R</w:t>
      </w:r>
      <w:r w:rsidR="00E45331" w:rsidRPr="00CC562A">
        <w:rPr>
          <w:lang w:val="en-US"/>
        </w:rPr>
        <w:t xml:space="preserve">ecommendations in the </w:t>
      </w:r>
      <w:r w:rsidR="00230BFA" w:rsidRPr="00CC562A">
        <w:rPr>
          <w:lang w:val="en-US"/>
        </w:rPr>
        <w:t>R</w:t>
      </w:r>
      <w:r w:rsidR="00E45331" w:rsidRPr="00CC562A">
        <w:rPr>
          <w:lang w:val="en-US"/>
        </w:rPr>
        <w:t>eport on the “Situation of Human Rights in Mexico,” October 17,</w:t>
      </w:r>
      <w:r w:rsidR="4D1A0B04" w:rsidRPr="00CC562A">
        <w:rPr>
          <w:lang w:val="en-US"/>
        </w:rPr>
        <w:t xml:space="preserve"> 2022.</w:t>
      </w:r>
    </w:p>
  </w:footnote>
  <w:footnote w:id="234">
    <w:p w14:paraId="53A354E8" w14:textId="0D8A92B0" w:rsidR="00204CAA" w:rsidRPr="00CC562A" w:rsidRDefault="00204CA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 xml:space="preserve">Progress report of the Mexican State on compliance with and follow-up to the recommendations of the IACHR. Chapter V, October 2022 </w:t>
      </w:r>
      <w:r w:rsidR="00E45331" w:rsidRPr="00CC562A">
        <w:rPr>
          <w:lang w:val="en-US"/>
        </w:rPr>
        <w:t>through the Inter-American SIMORE</w:t>
      </w:r>
      <w:r w:rsidR="00736A6B" w:rsidRPr="00CC562A">
        <w:rPr>
          <w:lang w:val="en-US"/>
        </w:rPr>
        <w:t>.</w:t>
      </w:r>
    </w:p>
  </w:footnote>
  <w:footnote w:id="235">
    <w:p w14:paraId="67B461C5" w14:textId="7535FD0B" w:rsidR="007301DA" w:rsidRPr="00CC562A" w:rsidRDefault="007301D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lang w:val="en-US"/>
        </w:rPr>
        <w:t>Go</w:t>
      </w:r>
      <w:r w:rsidR="00230BFA" w:rsidRPr="00CC562A">
        <w:rPr>
          <w:lang w:val="en-US"/>
        </w:rPr>
        <w:t>vernment of Mexico</w:t>
      </w:r>
      <w:r w:rsidR="4D1A0B04" w:rsidRPr="00CC562A">
        <w:rPr>
          <w:lang w:val="en-US"/>
        </w:rPr>
        <w:t xml:space="preserve">, </w:t>
      </w:r>
      <w:hyperlink r:id="rId70" w:history="1">
        <w:r w:rsidR="4D1A0B04" w:rsidRPr="00CC562A">
          <w:rPr>
            <w:rStyle w:val="Hyperlink"/>
            <w:lang w:val="en-US"/>
          </w:rPr>
          <w:t>Acciones de implementación en el sector ambiental</w:t>
        </w:r>
      </w:hyperlink>
      <w:r w:rsidR="4D1A0B04" w:rsidRPr="00CC562A">
        <w:rPr>
          <w:lang w:val="en-US"/>
        </w:rPr>
        <w:t xml:space="preserve">, </w:t>
      </w:r>
      <w:r w:rsidR="00230BFA" w:rsidRPr="00CC562A">
        <w:rPr>
          <w:lang w:val="en-US"/>
        </w:rPr>
        <w:t xml:space="preserve">November 4, </w:t>
      </w:r>
      <w:r w:rsidR="4D1A0B04" w:rsidRPr="00CC562A">
        <w:rPr>
          <w:lang w:val="en-US"/>
        </w:rPr>
        <w:t>2021.</w:t>
      </w:r>
    </w:p>
  </w:footnote>
  <w:footnote w:id="236">
    <w:p w14:paraId="46224A5D" w14:textId="22837F82" w:rsidR="00946551" w:rsidRPr="00CC562A" w:rsidRDefault="00946551"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n-US"/>
        </w:rPr>
        <w:t xml:space="preserve"> </w:t>
      </w:r>
      <w:r w:rsidR="00DF5149" w:rsidRPr="00CC562A">
        <w:rPr>
          <w:lang w:val="en-US"/>
        </w:rPr>
        <w:t xml:space="preserve">Progress report of the Mexican State on compliance with and follow-up to the recommendations of the IACHR. </w:t>
      </w:r>
      <w:r w:rsidR="00DF5149" w:rsidRPr="00CC562A">
        <w:rPr>
          <w:lang w:val="es-ES"/>
        </w:rPr>
        <w:t>Chapter V, October 2022</w:t>
      </w:r>
      <w:r w:rsidR="4D1A0B04" w:rsidRPr="00CC562A">
        <w:rPr>
          <w:lang w:val="es-ES"/>
        </w:rPr>
        <w:t xml:space="preserve"> </w:t>
      </w:r>
      <w:r w:rsidR="00736A6B" w:rsidRPr="00CC562A">
        <w:rPr>
          <w:lang w:val="es-ES"/>
        </w:rPr>
        <w:t>through the Inter-American SIMORE.</w:t>
      </w:r>
    </w:p>
  </w:footnote>
  <w:footnote w:id="237">
    <w:p w14:paraId="5BFBD59E" w14:textId="66092606" w:rsidR="00796A33" w:rsidRPr="00CC562A" w:rsidRDefault="00796A33"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Nexos</w:t>
      </w:r>
      <w:hyperlink r:id="rId71" w:history="1">
        <w:r w:rsidR="4D1A0B04" w:rsidRPr="00CC562A">
          <w:rPr>
            <w:rStyle w:val="Hyperlink"/>
            <w:lang w:val="es-ES"/>
          </w:rPr>
          <w:t>, ¿En qué quedó la prisión preventiva oficiosa en México?</w:t>
        </w:r>
      </w:hyperlink>
      <w:r w:rsidR="4D1A0B04" w:rsidRPr="00CC562A">
        <w:rPr>
          <w:lang w:val="es-ES"/>
        </w:rPr>
        <w:t xml:space="preserve">, L. </w:t>
      </w:r>
      <w:r w:rsidR="4D1A0B04" w:rsidRPr="00CC562A">
        <w:rPr>
          <w:lang w:val="es-ES"/>
        </w:rPr>
        <w:t xml:space="preserve">Tapia, </w:t>
      </w:r>
      <w:r w:rsidR="00022627" w:rsidRPr="00CC562A">
        <w:rPr>
          <w:lang w:val="es-ES"/>
        </w:rPr>
        <w:t xml:space="preserve">November 28, </w:t>
      </w:r>
      <w:r w:rsidR="4D1A0B04" w:rsidRPr="00CC562A">
        <w:rPr>
          <w:lang w:val="es-ES"/>
        </w:rPr>
        <w:t xml:space="preserve">2022. </w:t>
      </w:r>
    </w:p>
  </w:footnote>
  <w:footnote w:id="238">
    <w:p w14:paraId="2B07F2F0" w14:textId="055AA79C" w:rsidR="47CD22F8" w:rsidRPr="00CC562A" w:rsidRDefault="47CD22F8" w:rsidP="007A58B5">
      <w:pPr>
        <w:spacing w:line="240" w:lineRule="auto"/>
        <w:ind w:firstLine="720"/>
        <w:jc w:val="both"/>
        <w:rPr>
          <w:rFonts w:ascii="Cambria" w:eastAsia="Cambria" w:hAnsi="Cambria" w:cs="Cambria"/>
          <w:color w:val="000000" w:themeColor="text1"/>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vertAlign w:val="superscript"/>
          <w:lang w:val="en-US"/>
        </w:rPr>
        <w:t xml:space="preserve"> </w:t>
      </w:r>
      <w:r w:rsidRPr="00CC562A">
        <w:rPr>
          <w:rFonts w:ascii="Cambria" w:eastAsia="Cambria" w:hAnsi="Cambria" w:cs="Cambria"/>
          <w:color w:val="000000" w:themeColor="text1"/>
          <w:sz w:val="16"/>
          <w:szCs w:val="16"/>
          <w:lang w:val="en-US"/>
        </w:rPr>
        <w:t xml:space="preserve">ASILEGAL, </w:t>
      </w:r>
      <w:r w:rsidR="00230BFA" w:rsidRPr="00CC562A">
        <w:rPr>
          <w:rFonts w:ascii="Cambria" w:eastAsia="Cambria" w:hAnsi="Cambria" w:cs="Cambria"/>
          <w:color w:val="000000" w:themeColor="text1"/>
          <w:sz w:val="16"/>
          <w:szCs w:val="16"/>
          <w:lang w:val="en-US"/>
        </w:rPr>
        <w:t xml:space="preserve">Submission of Data for the 2022 Annual Report on Follow-up of Recommendations to Mexico, November 7, </w:t>
      </w:r>
      <w:r w:rsidRPr="00CC562A">
        <w:rPr>
          <w:rFonts w:ascii="Cambria" w:eastAsia="Cambria" w:hAnsi="Cambria" w:cs="Cambria"/>
          <w:color w:val="000000" w:themeColor="text1"/>
          <w:sz w:val="16"/>
          <w:szCs w:val="16"/>
          <w:lang w:val="en-US"/>
        </w:rPr>
        <w:t xml:space="preserve">2022, </w:t>
      </w:r>
      <w:r w:rsidR="00276638" w:rsidRPr="00CC562A">
        <w:rPr>
          <w:rFonts w:ascii="Cambria" w:eastAsia="Cambria" w:hAnsi="Cambria" w:cs="Cambria"/>
          <w:color w:val="000000" w:themeColor="text1"/>
          <w:sz w:val="16"/>
          <w:szCs w:val="16"/>
          <w:lang w:val="en-US"/>
        </w:rPr>
        <w:t>IACHR</w:t>
      </w:r>
      <w:r w:rsidR="00230BFA" w:rsidRPr="00CC562A">
        <w:rPr>
          <w:rFonts w:ascii="Cambria" w:eastAsia="Cambria" w:hAnsi="Cambria" w:cs="Cambria"/>
          <w:color w:val="000000" w:themeColor="text1"/>
          <w:sz w:val="16"/>
          <w:szCs w:val="16"/>
          <w:lang w:val="en-US"/>
        </w:rPr>
        <w:t xml:space="preserve"> </w:t>
      </w:r>
      <w:r w:rsidR="00C80FE5" w:rsidRPr="00CC562A">
        <w:rPr>
          <w:rFonts w:ascii="Cambria" w:eastAsia="Cambria" w:hAnsi="Cambria" w:cs="Cambria"/>
          <w:color w:val="000000" w:themeColor="text1"/>
          <w:sz w:val="16"/>
          <w:szCs w:val="16"/>
          <w:lang w:val="en-US"/>
        </w:rPr>
        <w:t>File, p.</w:t>
      </w:r>
      <w:r w:rsidRPr="00CC562A">
        <w:rPr>
          <w:rFonts w:ascii="Cambria" w:eastAsia="Cambria" w:hAnsi="Cambria" w:cs="Cambria"/>
          <w:color w:val="000000" w:themeColor="text1"/>
          <w:sz w:val="16"/>
          <w:szCs w:val="16"/>
          <w:lang w:val="en-US"/>
        </w:rPr>
        <w:t xml:space="preserve"> 7.</w:t>
      </w:r>
    </w:p>
  </w:footnote>
  <w:footnote w:id="239">
    <w:p w14:paraId="27A2ADB3" w14:textId="02BC48E8" w:rsidR="47CD22F8" w:rsidRPr="00CC562A" w:rsidRDefault="47CD22F8"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hyperlink r:id="rId72" w:history="1">
        <w:r w:rsidR="003854A4" w:rsidRPr="00CC562A">
          <w:rPr>
            <w:rStyle w:val="Hyperlink"/>
            <w:rFonts w:ascii="Cambria" w:eastAsia="Cambria" w:hAnsi="Cambria" w:cs="Cambria"/>
            <w:sz w:val="16"/>
            <w:szCs w:val="16"/>
            <w:lang w:val="en-US"/>
          </w:rPr>
          <w:t xml:space="preserve">Report on Measures Aimed at Reducing the Use of Pretrial Detention </w:t>
        </w:r>
        <w:r w:rsidR="003854A4" w:rsidRPr="00CC562A">
          <w:rPr>
            <w:rStyle w:val="Hyperlink"/>
            <w:rFonts w:ascii="Cambria" w:eastAsia="Cambria" w:hAnsi="Cambria" w:cs="Cambria"/>
            <w:sz w:val="16"/>
            <w:szCs w:val="16"/>
            <w:lang w:val="en-US"/>
          </w:rPr>
          <w:t>in the Americas</w:t>
        </w:r>
      </w:hyperlink>
      <w:r w:rsidR="003854A4" w:rsidRPr="00CC562A">
        <w:rPr>
          <w:rStyle w:val="Hyperlink"/>
          <w:rFonts w:ascii="Cambria" w:eastAsia="Cambria" w:hAnsi="Cambria" w:cs="Cambria"/>
          <w:sz w:val="16"/>
          <w:szCs w:val="16"/>
          <w:lang w:val="en-US"/>
        </w:rPr>
        <w:t xml:space="preserve"> </w:t>
      </w:r>
      <w:r w:rsidRPr="00CC562A">
        <w:rPr>
          <w:rFonts w:ascii="Cambria" w:hAnsi="Cambria"/>
          <w:sz w:val="16"/>
          <w:szCs w:val="16"/>
          <w:lang w:val="en-US"/>
        </w:rPr>
        <w:t xml:space="preserve">OEA/Ser.L/V/II.163. Doc. 105, </w:t>
      </w:r>
      <w:r w:rsidR="00230BFA" w:rsidRPr="00CC562A">
        <w:rPr>
          <w:rFonts w:ascii="Cambria" w:hAnsi="Cambria"/>
          <w:sz w:val="16"/>
          <w:szCs w:val="16"/>
          <w:lang w:val="en-US"/>
        </w:rPr>
        <w:t xml:space="preserve">July 3, </w:t>
      </w:r>
      <w:r w:rsidRPr="00CC562A">
        <w:rPr>
          <w:rFonts w:ascii="Cambria" w:hAnsi="Cambria"/>
          <w:sz w:val="16"/>
          <w:szCs w:val="16"/>
          <w:lang w:val="en-US"/>
        </w:rPr>
        <w:t xml:space="preserve">2017, </w:t>
      </w:r>
      <w:r w:rsidR="00736A6B" w:rsidRPr="00CC562A">
        <w:rPr>
          <w:rFonts w:ascii="Cambria" w:hAnsi="Cambria"/>
          <w:sz w:val="16"/>
          <w:szCs w:val="16"/>
          <w:lang w:val="en-US"/>
        </w:rPr>
        <w:t>para.</w:t>
      </w:r>
      <w:r w:rsidRPr="00CC562A">
        <w:rPr>
          <w:rFonts w:ascii="Cambria" w:hAnsi="Cambria"/>
          <w:sz w:val="16"/>
          <w:szCs w:val="16"/>
          <w:lang w:val="en-US"/>
        </w:rPr>
        <w:t xml:space="preserve"> 231. </w:t>
      </w:r>
      <w:r w:rsidR="00230BFA" w:rsidRPr="00CC562A">
        <w:rPr>
          <w:rFonts w:ascii="Cambria" w:hAnsi="Cambria"/>
          <w:sz w:val="16"/>
          <w:szCs w:val="16"/>
          <w:lang w:val="en-US"/>
        </w:rPr>
        <w:t>Recommendation</w:t>
      </w:r>
      <w:r w:rsidRPr="00CC562A">
        <w:rPr>
          <w:rFonts w:ascii="Cambria" w:hAnsi="Cambria"/>
          <w:sz w:val="16"/>
          <w:szCs w:val="16"/>
          <w:lang w:val="en-US"/>
        </w:rPr>
        <w:t xml:space="preserve"> A “</w:t>
      </w:r>
      <w:r w:rsidR="00230BFA" w:rsidRPr="00CC562A">
        <w:rPr>
          <w:rFonts w:ascii="Cambria" w:hAnsi="Cambria"/>
          <w:sz w:val="16"/>
          <w:szCs w:val="16"/>
          <w:lang w:val="en-US"/>
        </w:rPr>
        <w:t>General measures related to State policies,</w:t>
      </w:r>
      <w:r w:rsidRPr="00CC562A">
        <w:rPr>
          <w:rFonts w:ascii="Cambria" w:hAnsi="Cambria"/>
          <w:sz w:val="16"/>
          <w:szCs w:val="16"/>
          <w:lang w:val="en-US"/>
        </w:rPr>
        <w:t>”</w:t>
      </w:r>
      <w:r w:rsidR="00230BFA" w:rsidRPr="00CC562A">
        <w:rPr>
          <w:rFonts w:ascii="Cambria" w:hAnsi="Cambria"/>
          <w:sz w:val="16"/>
          <w:szCs w:val="16"/>
          <w:lang w:val="en-US"/>
        </w:rPr>
        <w:t xml:space="preserve"> </w:t>
      </w:r>
      <w:r w:rsidR="00736A6B" w:rsidRPr="00CC562A">
        <w:rPr>
          <w:rFonts w:ascii="Cambria" w:hAnsi="Cambria"/>
          <w:sz w:val="16"/>
          <w:szCs w:val="16"/>
          <w:lang w:val="en-US"/>
        </w:rPr>
        <w:t>para.</w:t>
      </w:r>
      <w:r w:rsidRPr="00CC562A">
        <w:rPr>
          <w:rFonts w:ascii="Cambria" w:hAnsi="Cambria"/>
          <w:sz w:val="16"/>
          <w:szCs w:val="16"/>
          <w:lang w:val="en-US"/>
        </w:rPr>
        <w:t xml:space="preserve"> 1.</w:t>
      </w:r>
    </w:p>
  </w:footnote>
  <w:footnote w:id="240">
    <w:p w14:paraId="08EDE22D" w14:textId="18AA3484" w:rsidR="00F5261F" w:rsidRPr="00CC562A" w:rsidRDefault="00F5261F"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4E0B7E" w:rsidRPr="00CC562A">
        <w:rPr>
          <w:rFonts w:ascii="Cambria" w:hAnsi="Cambria"/>
          <w:sz w:val="16"/>
          <w:szCs w:val="16"/>
          <w:lang w:val="en-US"/>
        </w:rPr>
        <w:t>IACHR</w:t>
      </w:r>
      <w:r w:rsidR="4D1A0B04" w:rsidRPr="00CC562A">
        <w:rPr>
          <w:rFonts w:ascii="Cambria" w:hAnsi="Cambria"/>
          <w:sz w:val="16"/>
          <w:szCs w:val="16"/>
          <w:lang w:val="en-US"/>
        </w:rPr>
        <w:t>, “</w:t>
      </w:r>
      <w:hyperlink r:id="rId73" w:history="1">
        <w:r w:rsidR="003854A4" w:rsidRPr="00CC562A">
          <w:rPr>
            <w:rStyle w:val="Hyperlink"/>
            <w:rFonts w:ascii="Cambria" w:hAnsi="Cambria"/>
            <w:sz w:val="16"/>
            <w:szCs w:val="16"/>
            <w:lang w:val="en-US"/>
          </w:rPr>
          <w:t xml:space="preserve">Report on Measures Aimed at Reducing the Use of Pretrial Detention </w:t>
        </w:r>
        <w:r w:rsidR="003854A4" w:rsidRPr="00CC562A">
          <w:rPr>
            <w:rStyle w:val="Hyperlink"/>
            <w:rFonts w:ascii="Cambria" w:hAnsi="Cambria"/>
            <w:sz w:val="16"/>
            <w:szCs w:val="16"/>
            <w:lang w:val="en-US"/>
          </w:rPr>
          <w:t>in the Americas,</w:t>
        </w:r>
        <w:r w:rsidR="003854A4" w:rsidRPr="00CC562A">
          <w:rPr>
            <w:rStyle w:val="Hyperlink"/>
            <w:rFonts w:ascii="Cambria" w:hAnsi="Cambria"/>
            <w:sz w:val="16"/>
            <w:szCs w:val="16"/>
            <w:u w:val="none"/>
            <w:lang w:val="en-US"/>
          </w:rPr>
          <w:t xml:space="preserve">” </w:t>
        </w:r>
      </w:hyperlink>
      <w:r w:rsidR="4D1A0B04" w:rsidRPr="00CC562A">
        <w:rPr>
          <w:rFonts w:ascii="Cambria" w:hAnsi="Cambria"/>
          <w:sz w:val="16"/>
          <w:szCs w:val="16"/>
          <w:lang w:val="en-US"/>
        </w:rPr>
        <w:t xml:space="preserve"> OEA/Ser.L/V/II.163. Doc. 105, </w:t>
      </w:r>
      <w:r w:rsidR="00230BFA" w:rsidRPr="00CC562A">
        <w:rPr>
          <w:rFonts w:ascii="Cambria" w:hAnsi="Cambria"/>
          <w:sz w:val="16"/>
          <w:szCs w:val="16"/>
          <w:lang w:val="en-US"/>
        </w:rPr>
        <w:t xml:space="preserve">July 3, </w:t>
      </w:r>
      <w:r w:rsidR="4D1A0B04" w:rsidRPr="00CC562A">
        <w:rPr>
          <w:rFonts w:ascii="Cambria" w:hAnsi="Cambria"/>
          <w:sz w:val="16"/>
          <w:szCs w:val="16"/>
          <w:lang w:val="en-US"/>
        </w:rPr>
        <w:t xml:space="preserve">2017, </w:t>
      </w:r>
      <w:r w:rsidR="00750392" w:rsidRPr="00CC562A">
        <w:rPr>
          <w:rFonts w:ascii="Cambria" w:hAnsi="Cambria"/>
          <w:sz w:val="16"/>
          <w:szCs w:val="16"/>
          <w:lang w:val="en-US"/>
        </w:rPr>
        <w:t>para.</w:t>
      </w:r>
      <w:r w:rsidR="4D1A0B04" w:rsidRPr="00CC562A">
        <w:rPr>
          <w:rFonts w:ascii="Cambria" w:hAnsi="Cambria"/>
          <w:sz w:val="16"/>
          <w:szCs w:val="16"/>
          <w:lang w:val="en-US"/>
        </w:rPr>
        <w:t xml:space="preserve"> 91; </w:t>
      </w:r>
      <w:r w:rsidR="004E0B7E" w:rsidRPr="00CC562A">
        <w:rPr>
          <w:rFonts w:ascii="Cambria" w:hAnsi="Cambria"/>
          <w:sz w:val="16"/>
          <w:szCs w:val="16"/>
          <w:lang w:val="en-US"/>
        </w:rPr>
        <w:t>IACHR</w:t>
      </w:r>
      <w:r w:rsidR="4D1A0B04" w:rsidRPr="00CC562A">
        <w:rPr>
          <w:rFonts w:ascii="Cambria" w:hAnsi="Cambria"/>
          <w:sz w:val="16"/>
          <w:szCs w:val="16"/>
          <w:lang w:val="en-US"/>
        </w:rPr>
        <w:t>, “</w:t>
      </w:r>
      <w:hyperlink r:id="rId74" w:history="1">
        <w:r w:rsidR="003854A4" w:rsidRPr="00CC562A">
          <w:rPr>
            <w:rStyle w:val="Hyperlink"/>
            <w:rFonts w:ascii="Cambria" w:hAnsi="Cambria"/>
            <w:sz w:val="16"/>
            <w:szCs w:val="16"/>
            <w:lang w:val="en-US"/>
          </w:rPr>
          <w:t>Report  on the Use of Pretrial Detention in the Americas,”</w:t>
        </w:r>
      </w:hyperlink>
      <w:r w:rsidR="4D1A0B04" w:rsidRPr="00CC562A">
        <w:rPr>
          <w:rFonts w:ascii="Cambria" w:hAnsi="Cambria"/>
          <w:sz w:val="16"/>
          <w:szCs w:val="16"/>
          <w:lang w:val="en-US"/>
        </w:rPr>
        <w:t xml:space="preserve"> OEA/Ser.L/V/II., Doc. 46/13, </w:t>
      </w:r>
      <w:r w:rsidR="00230BFA" w:rsidRPr="00CC562A">
        <w:rPr>
          <w:rFonts w:ascii="Cambria" w:hAnsi="Cambria"/>
          <w:sz w:val="16"/>
          <w:szCs w:val="16"/>
          <w:lang w:val="en-US"/>
        </w:rPr>
        <w:t xml:space="preserve">December 30, </w:t>
      </w:r>
      <w:r w:rsidR="4D1A0B04" w:rsidRPr="00CC562A">
        <w:rPr>
          <w:rFonts w:ascii="Cambria" w:hAnsi="Cambria"/>
          <w:sz w:val="16"/>
          <w:szCs w:val="16"/>
          <w:lang w:val="en-US"/>
        </w:rPr>
        <w:t xml:space="preserve">2013, </w:t>
      </w:r>
      <w:r w:rsidR="00750392" w:rsidRPr="00CC562A">
        <w:rPr>
          <w:rFonts w:ascii="Cambria" w:hAnsi="Cambria"/>
          <w:sz w:val="16"/>
          <w:szCs w:val="16"/>
          <w:lang w:val="en-US"/>
        </w:rPr>
        <w:t>para.</w:t>
      </w:r>
      <w:r w:rsidR="4D1A0B04" w:rsidRPr="00CC562A">
        <w:rPr>
          <w:rFonts w:ascii="Cambria" w:hAnsi="Cambria"/>
          <w:sz w:val="16"/>
          <w:szCs w:val="16"/>
          <w:lang w:val="en-US"/>
        </w:rPr>
        <w:t xml:space="preserve"> 151; </w:t>
      </w:r>
      <w:r w:rsidR="004E0B7E" w:rsidRPr="00CC562A">
        <w:rPr>
          <w:rFonts w:ascii="Cambria" w:hAnsi="Cambria"/>
          <w:sz w:val="16"/>
          <w:szCs w:val="16"/>
          <w:lang w:val="en-US"/>
        </w:rPr>
        <w:t>IACHR</w:t>
      </w:r>
      <w:r w:rsidR="4D1A0B04" w:rsidRPr="00CC562A">
        <w:rPr>
          <w:rFonts w:ascii="Cambria" w:hAnsi="Cambria"/>
          <w:sz w:val="16"/>
          <w:szCs w:val="16"/>
          <w:lang w:val="en-US"/>
        </w:rPr>
        <w:t xml:space="preserve">, </w:t>
      </w:r>
      <w:r w:rsidR="00230BFA" w:rsidRPr="00CC562A">
        <w:rPr>
          <w:rFonts w:ascii="Cambria" w:hAnsi="Cambria"/>
          <w:sz w:val="16"/>
          <w:szCs w:val="16"/>
          <w:lang w:val="en-US"/>
        </w:rPr>
        <w:t>Report on the Merits</w:t>
      </w:r>
      <w:r w:rsidR="4D1A0B04" w:rsidRPr="00CC562A">
        <w:rPr>
          <w:rFonts w:ascii="Cambria" w:hAnsi="Cambria"/>
          <w:sz w:val="16"/>
          <w:szCs w:val="16"/>
          <w:lang w:val="en-US"/>
        </w:rPr>
        <w:t xml:space="preserve"> No. 86/09, Cas</w:t>
      </w:r>
      <w:r w:rsidR="00230BFA" w:rsidRPr="00CC562A">
        <w:rPr>
          <w:rFonts w:ascii="Cambria" w:hAnsi="Cambria"/>
          <w:sz w:val="16"/>
          <w:szCs w:val="16"/>
          <w:lang w:val="en-US"/>
        </w:rPr>
        <w:t>e</w:t>
      </w:r>
      <w:r w:rsidR="4D1A0B04" w:rsidRPr="00CC562A">
        <w:rPr>
          <w:rFonts w:ascii="Cambria" w:hAnsi="Cambria"/>
          <w:sz w:val="16"/>
          <w:szCs w:val="16"/>
          <w:lang w:val="en-US"/>
        </w:rPr>
        <w:t xml:space="preserve"> 12.553. </w:t>
      </w:r>
      <w:r w:rsidR="00230BFA" w:rsidRPr="00CC562A">
        <w:rPr>
          <w:rFonts w:ascii="Cambria" w:hAnsi="Cambria"/>
          <w:sz w:val="16"/>
          <w:szCs w:val="16"/>
          <w:lang w:val="en-US"/>
        </w:rPr>
        <w:t>Merits</w:t>
      </w:r>
      <w:r w:rsidR="4D1A0B04" w:rsidRPr="00CC562A">
        <w:rPr>
          <w:rFonts w:ascii="Cambria" w:hAnsi="Cambria"/>
          <w:sz w:val="16"/>
          <w:szCs w:val="16"/>
          <w:lang w:val="en-US"/>
        </w:rPr>
        <w:t xml:space="preserve">. Jorge, José </w:t>
      </w:r>
      <w:r w:rsidR="00230BFA" w:rsidRPr="00CC562A">
        <w:rPr>
          <w:rFonts w:ascii="Cambria" w:hAnsi="Cambria"/>
          <w:sz w:val="16"/>
          <w:szCs w:val="16"/>
          <w:lang w:val="en-US"/>
        </w:rPr>
        <w:t>and</w:t>
      </w:r>
      <w:r w:rsidR="4D1A0B04" w:rsidRPr="00CC562A">
        <w:rPr>
          <w:rFonts w:ascii="Cambria" w:hAnsi="Cambria"/>
          <w:sz w:val="16"/>
          <w:szCs w:val="16"/>
          <w:lang w:val="en-US"/>
        </w:rPr>
        <w:t xml:space="preserve"> Dante Peirano Basso. Uruguay. </w:t>
      </w:r>
      <w:r w:rsidR="00230BFA" w:rsidRPr="00CC562A">
        <w:rPr>
          <w:rFonts w:ascii="Cambria" w:hAnsi="Cambria"/>
          <w:sz w:val="16"/>
          <w:szCs w:val="16"/>
          <w:lang w:val="en-US"/>
        </w:rPr>
        <w:t xml:space="preserve">August </w:t>
      </w:r>
      <w:r w:rsidR="4D1A0B04" w:rsidRPr="00CC562A">
        <w:rPr>
          <w:rFonts w:ascii="Cambria" w:hAnsi="Cambria"/>
          <w:sz w:val="16"/>
          <w:szCs w:val="16"/>
          <w:lang w:val="en-US"/>
        </w:rPr>
        <w:t>6</w:t>
      </w:r>
      <w:r w:rsidR="003854A4" w:rsidRPr="00CC562A">
        <w:rPr>
          <w:rFonts w:ascii="Cambria" w:hAnsi="Cambria"/>
          <w:sz w:val="16"/>
          <w:szCs w:val="16"/>
          <w:lang w:val="en-US"/>
        </w:rPr>
        <w:t>,</w:t>
      </w:r>
      <w:r w:rsidR="4D1A0B04" w:rsidRPr="00CC562A">
        <w:rPr>
          <w:rFonts w:ascii="Cambria" w:hAnsi="Cambria"/>
          <w:sz w:val="16"/>
          <w:szCs w:val="16"/>
          <w:lang w:val="en-US"/>
        </w:rPr>
        <w:t xml:space="preserve"> 2009, </w:t>
      </w:r>
      <w:r w:rsidR="00736A6B" w:rsidRPr="00CC562A">
        <w:rPr>
          <w:rFonts w:ascii="Cambria" w:hAnsi="Cambria"/>
          <w:sz w:val="16"/>
          <w:szCs w:val="16"/>
          <w:lang w:val="en-US"/>
        </w:rPr>
        <w:t>para.</w:t>
      </w:r>
      <w:r w:rsidR="4D1A0B04" w:rsidRPr="00CC562A">
        <w:rPr>
          <w:rFonts w:ascii="Cambria" w:hAnsi="Cambria"/>
          <w:sz w:val="16"/>
          <w:szCs w:val="16"/>
          <w:lang w:val="en-US"/>
        </w:rPr>
        <w:t xml:space="preserve"> 141. </w:t>
      </w:r>
    </w:p>
  </w:footnote>
  <w:footnote w:id="241">
    <w:p w14:paraId="2D50F0E3" w14:textId="2B5480E7" w:rsidR="00D2243D" w:rsidRPr="00CC562A" w:rsidRDefault="00D2243D"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lang w:val="en-US"/>
        </w:rPr>
        <w:t>IACHR</w:t>
      </w:r>
      <w:r w:rsidR="4D1A0B04" w:rsidRPr="00CC562A">
        <w:rPr>
          <w:lang w:val="en-US"/>
        </w:rPr>
        <w:t>, “</w:t>
      </w:r>
      <w:hyperlink r:id="rId75" w:history="1">
        <w:r w:rsidR="003854A4" w:rsidRPr="00CC562A">
          <w:rPr>
            <w:rStyle w:val="Hyperlink"/>
            <w:lang w:val="en-US"/>
          </w:rPr>
          <w:t xml:space="preserve">Report on the Use of Pretrial Detention </w:t>
        </w:r>
        <w:r w:rsidR="003854A4" w:rsidRPr="00CC562A">
          <w:rPr>
            <w:rStyle w:val="Hyperlink"/>
            <w:lang w:val="en-US"/>
          </w:rPr>
          <w:t>in the Americas,</w:t>
        </w:r>
        <w:r w:rsidR="4D1A0B04" w:rsidRPr="00CC562A">
          <w:rPr>
            <w:rStyle w:val="Hyperlink"/>
            <w:lang w:val="en-US"/>
          </w:rPr>
          <w:t>”</w:t>
        </w:r>
      </w:hyperlink>
      <w:r w:rsidR="003854A4" w:rsidRPr="00CC562A">
        <w:rPr>
          <w:rStyle w:val="Hyperlink"/>
          <w:u w:val="none"/>
          <w:lang w:val="en-US"/>
        </w:rPr>
        <w:t xml:space="preserve"> </w:t>
      </w:r>
      <w:r w:rsidR="4D1A0B04" w:rsidRPr="00CC562A">
        <w:rPr>
          <w:lang w:val="en-US"/>
        </w:rPr>
        <w:t xml:space="preserve">OEA/Ser.L/V/II., Doc. 46/13, </w:t>
      </w:r>
      <w:r w:rsidR="003854A4" w:rsidRPr="00CC562A">
        <w:rPr>
          <w:lang w:val="en-US"/>
        </w:rPr>
        <w:t xml:space="preserve">December </w:t>
      </w:r>
      <w:r w:rsidR="4D1A0B04" w:rsidRPr="00CC562A">
        <w:rPr>
          <w:lang w:val="en-US"/>
        </w:rPr>
        <w:t>30</w:t>
      </w:r>
      <w:r w:rsidR="003854A4" w:rsidRPr="00CC562A">
        <w:rPr>
          <w:lang w:val="en-US"/>
        </w:rPr>
        <w:t>,</w:t>
      </w:r>
      <w:r w:rsidR="4D1A0B04" w:rsidRPr="00CC562A">
        <w:rPr>
          <w:lang w:val="en-US"/>
        </w:rPr>
        <w:t xml:space="preserve"> 2013, </w:t>
      </w:r>
      <w:r w:rsidR="00750392" w:rsidRPr="00CC562A">
        <w:rPr>
          <w:lang w:val="en-US"/>
        </w:rPr>
        <w:t>para.</w:t>
      </w:r>
      <w:r w:rsidR="4D1A0B04" w:rsidRPr="00CC562A">
        <w:rPr>
          <w:lang w:val="en-US"/>
        </w:rPr>
        <w:t xml:space="preserve"> 151; </w:t>
      </w:r>
      <w:r w:rsidR="004E0B7E" w:rsidRPr="00CC562A">
        <w:rPr>
          <w:lang w:val="en-US"/>
        </w:rPr>
        <w:t>IACHR</w:t>
      </w:r>
      <w:r w:rsidR="4D1A0B04" w:rsidRPr="00CC562A">
        <w:rPr>
          <w:lang w:val="en-US"/>
        </w:rPr>
        <w:t xml:space="preserve">, </w:t>
      </w:r>
      <w:r w:rsidR="003854A4" w:rsidRPr="00CC562A">
        <w:rPr>
          <w:lang w:val="en-US"/>
        </w:rPr>
        <w:t>Report on the Merits</w:t>
      </w:r>
      <w:r w:rsidR="4D1A0B04" w:rsidRPr="00CC562A">
        <w:rPr>
          <w:lang w:val="en-US"/>
        </w:rPr>
        <w:t xml:space="preserve"> No. 86/09, Cas</w:t>
      </w:r>
      <w:r w:rsidR="003854A4" w:rsidRPr="00CC562A">
        <w:rPr>
          <w:lang w:val="en-US"/>
        </w:rPr>
        <w:t>e</w:t>
      </w:r>
      <w:r w:rsidR="4D1A0B04" w:rsidRPr="00CC562A">
        <w:rPr>
          <w:lang w:val="en-US"/>
        </w:rPr>
        <w:t xml:space="preserve"> 12.553. </w:t>
      </w:r>
      <w:r w:rsidR="003854A4" w:rsidRPr="00CC562A">
        <w:rPr>
          <w:lang w:val="en-US"/>
        </w:rPr>
        <w:t>Merits</w:t>
      </w:r>
      <w:r w:rsidR="4D1A0B04" w:rsidRPr="00CC562A">
        <w:rPr>
          <w:lang w:val="en-US"/>
        </w:rPr>
        <w:t xml:space="preserve">. Jorge, José </w:t>
      </w:r>
      <w:r w:rsidR="003854A4" w:rsidRPr="00CC562A">
        <w:rPr>
          <w:lang w:val="en-US"/>
        </w:rPr>
        <w:t>and</w:t>
      </w:r>
      <w:r w:rsidR="4D1A0B04" w:rsidRPr="00CC562A">
        <w:rPr>
          <w:lang w:val="en-US"/>
        </w:rPr>
        <w:t xml:space="preserve"> Dante Peirano Basso. Uruguay. </w:t>
      </w:r>
      <w:r w:rsidR="003854A4" w:rsidRPr="00CC562A">
        <w:rPr>
          <w:lang w:val="en-US"/>
        </w:rPr>
        <w:t>August 6,</w:t>
      </w:r>
      <w:r w:rsidR="4D1A0B04" w:rsidRPr="00CC562A">
        <w:rPr>
          <w:lang w:val="en-US"/>
        </w:rPr>
        <w:t xml:space="preserve"> 2009, </w:t>
      </w:r>
      <w:r w:rsidR="00736A6B" w:rsidRPr="00CC562A">
        <w:rPr>
          <w:lang w:val="en-US"/>
        </w:rPr>
        <w:t>para.</w:t>
      </w:r>
      <w:r w:rsidR="4D1A0B04" w:rsidRPr="00CC562A">
        <w:rPr>
          <w:lang w:val="en-US"/>
        </w:rPr>
        <w:t xml:space="preserve"> 137.</w:t>
      </w:r>
    </w:p>
  </w:footnote>
  <w:footnote w:id="242">
    <w:p w14:paraId="398C27A7" w14:textId="30FAFB06" w:rsidR="00946551" w:rsidRPr="00CC562A" w:rsidRDefault="009465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43">
    <w:p w14:paraId="7E26E1B0" w14:textId="061CC60F" w:rsidR="47CD22F8" w:rsidRPr="00CC562A" w:rsidRDefault="47CD22F8"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vertAlign w:val="superscript"/>
          <w:lang w:val="en-US"/>
        </w:rPr>
        <w:t xml:space="preserve"> </w:t>
      </w:r>
      <w:r w:rsidRPr="00CC562A">
        <w:rPr>
          <w:rFonts w:ascii="Cambria" w:hAnsi="Cambria"/>
          <w:sz w:val="16"/>
          <w:szCs w:val="16"/>
          <w:lang w:val="en-US"/>
        </w:rPr>
        <w:t xml:space="preserve">ASILEGAL, </w:t>
      </w:r>
      <w:r w:rsidR="00230BFA" w:rsidRPr="00CC562A">
        <w:rPr>
          <w:rFonts w:ascii="Cambria" w:hAnsi="Cambria"/>
          <w:sz w:val="16"/>
          <w:szCs w:val="16"/>
          <w:lang w:val="en-US"/>
        </w:rPr>
        <w:t xml:space="preserve">Submission of Data for the 2022 </w:t>
      </w:r>
      <w:r w:rsidR="00750392" w:rsidRPr="00CC562A">
        <w:rPr>
          <w:rFonts w:ascii="Cambria" w:hAnsi="Cambria"/>
          <w:sz w:val="16"/>
          <w:szCs w:val="16"/>
          <w:lang w:val="en-US"/>
        </w:rPr>
        <w:t>Annual Report</w:t>
      </w:r>
      <w:r w:rsidR="00230BFA" w:rsidRPr="00CC562A">
        <w:rPr>
          <w:rFonts w:ascii="Cambria" w:hAnsi="Cambria"/>
          <w:sz w:val="16"/>
          <w:szCs w:val="16"/>
          <w:lang w:val="en-US"/>
        </w:rPr>
        <w:t xml:space="preserve"> on Follow-up of Recommendations to Mexico, November 7, </w:t>
      </w:r>
      <w:r w:rsidRPr="00CC562A">
        <w:rPr>
          <w:rFonts w:ascii="Cambria" w:hAnsi="Cambria"/>
          <w:sz w:val="16"/>
          <w:szCs w:val="16"/>
          <w:lang w:val="en-US"/>
        </w:rPr>
        <w:t xml:space="preserve">2022, </w:t>
      </w:r>
      <w:r w:rsidR="00276638" w:rsidRPr="00CC562A">
        <w:rPr>
          <w:rFonts w:ascii="Cambria" w:hAnsi="Cambria"/>
          <w:sz w:val="16"/>
          <w:szCs w:val="16"/>
          <w:lang w:val="en-US"/>
        </w:rPr>
        <w:t>IACHR</w:t>
      </w:r>
      <w:r w:rsidR="00230BFA" w:rsidRPr="00CC562A">
        <w:rPr>
          <w:rFonts w:ascii="Cambria" w:hAnsi="Cambria"/>
          <w:sz w:val="16"/>
          <w:szCs w:val="16"/>
          <w:lang w:val="en-US"/>
        </w:rPr>
        <w:t xml:space="preserve"> file</w:t>
      </w:r>
      <w:r w:rsidRPr="00CC562A">
        <w:rPr>
          <w:rFonts w:ascii="Cambria" w:hAnsi="Cambria"/>
          <w:sz w:val="16"/>
          <w:szCs w:val="16"/>
          <w:lang w:val="en-US"/>
        </w:rPr>
        <w:t xml:space="preserve"> p. 10.  </w:t>
      </w:r>
    </w:p>
  </w:footnote>
  <w:footnote w:id="244">
    <w:p w14:paraId="7D4C2865" w14:textId="352F736C" w:rsidR="47CD22F8" w:rsidRPr="00CC562A" w:rsidRDefault="47CD22F8"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003854A4" w:rsidRPr="00CC562A">
        <w:rPr>
          <w:rFonts w:ascii="Cambria" w:hAnsi="Cambria"/>
          <w:sz w:val="16"/>
          <w:szCs w:val="16"/>
          <w:vertAlign w:val="superscript"/>
          <w:lang w:val="en-US"/>
        </w:rPr>
        <w:t xml:space="preserve"> </w:t>
      </w:r>
      <w:r w:rsidRPr="00CC562A">
        <w:rPr>
          <w:rFonts w:ascii="Cambria" w:hAnsi="Cambria"/>
          <w:sz w:val="16"/>
          <w:szCs w:val="16"/>
          <w:vertAlign w:val="superscript"/>
          <w:lang w:val="en-US"/>
        </w:rPr>
        <w:t xml:space="preserve"> </w:t>
      </w:r>
      <w:r w:rsidR="00474826" w:rsidRPr="00CC562A">
        <w:rPr>
          <w:rFonts w:ascii="Cambria" w:hAnsi="Cambria"/>
          <w:sz w:val="16"/>
          <w:szCs w:val="16"/>
          <w:lang w:val="en-US"/>
        </w:rPr>
        <w:t>Under-Secretariat of the Prison System, Government of Mexico City, Release</w:t>
      </w:r>
      <w:r w:rsidRPr="00CC562A">
        <w:rPr>
          <w:rFonts w:ascii="Cambria" w:hAnsi="Cambria"/>
          <w:sz w:val="16"/>
          <w:szCs w:val="16"/>
          <w:lang w:val="en-US"/>
        </w:rPr>
        <w:t xml:space="preserve"> No. 1848/2022 - </w:t>
      </w:r>
      <w:hyperlink r:id="rId76" w:history="1">
        <w:hyperlink w:history="1">
          <w:r w:rsidRPr="00CC562A">
            <w:rPr>
              <w:rFonts w:ascii="Cambria" w:hAnsi="Cambria"/>
              <w:sz w:val="16"/>
              <w:szCs w:val="16"/>
              <w:lang w:val="en-US"/>
            </w:rPr>
            <w:t xml:space="preserve">SSC </w:t>
          </w:r>
          <w:r w:rsidR="00474826" w:rsidRPr="00CC562A">
            <w:rPr>
              <w:rFonts w:ascii="Cambria" w:hAnsi="Cambria"/>
              <w:sz w:val="16"/>
              <w:szCs w:val="16"/>
              <w:lang w:val="en-US"/>
            </w:rPr>
            <w:t>and</w:t>
          </w:r>
          <w:r w:rsidRPr="00CC562A">
            <w:rPr>
              <w:rFonts w:ascii="Cambria" w:hAnsi="Cambria"/>
              <w:sz w:val="16"/>
              <w:szCs w:val="16"/>
              <w:lang w:val="en-US"/>
            </w:rPr>
            <w:t xml:space="preserve"> SEDECO </w:t>
          </w:r>
          <w:r w:rsidR="00474826" w:rsidRPr="00CC562A">
            <w:rPr>
              <w:rFonts w:ascii="Cambria" w:hAnsi="Cambria"/>
              <w:sz w:val="16"/>
              <w:szCs w:val="16"/>
              <w:lang w:val="en-US"/>
            </w:rPr>
            <w:t>sign agreement to strengthen training and prison labor, July 19,</w:t>
          </w:r>
        </w:hyperlink>
      </w:hyperlink>
      <w:r w:rsidRPr="00CC562A">
        <w:rPr>
          <w:rFonts w:ascii="Cambria" w:hAnsi="Cambria"/>
          <w:sz w:val="16"/>
          <w:szCs w:val="16"/>
          <w:lang w:val="en-US"/>
        </w:rPr>
        <w:t xml:space="preserve"> 2022.  </w:t>
      </w:r>
    </w:p>
  </w:footnote>
  <w:footnote w:id="245">
    <w:p w14:paraId="2A3D1673" w14:textId="7FFDB5C9" w:rsidR="004270C2" w:rsidRPr="00CC562A" w:rsidRDefault="004270C2" w:rsidP="007A58B5">
      <w:pPr>
        <w:pStyle w:val="NormalWeb"/>
        <w:shd w:val="clear" w:color="auto" w:fill="FFFFFF"/>
        <w:spacing w:beforeAutospacing="0" w:after="0" w:afterAutospacing="0" w:line="240" w:lineRule="auto"/>
        <w:ind w:firstLine="720"/>
        <w:jc w:val="both"/>
        <w:rPr>
          <w:rFonts w:ascii="Cambria" w:hAnsi="Cambria"/>
          <w:color w:val="000000" w:themeColor="text1"/>
          <w:sz w:val="16"/>
          <w:szCs w:val="16"/>
          <w:lang w:val="en-US" w:eastAsia="en-US"/>
        </w:rPr>
      </w:pPr>
      <w:r w:rsidRPr="00CC562A">
        <w:rPr>
          <w:rStyle w:val="FootnoteReference"/>
          <w:rFonts w:ascii="Cambria" w:hAnsi="Cambria"/>
          <w:color w:val="000000" w:themeColor="text1"/>
          <w:sz w:val="16"/>
          <w:szCs w:val="16"/>
          <w:lang w:val="en-US"/>
        </w:rPr>
        <w:footnoteRef/>
      </w:r>
      <w:r w:rsidR="4D1A0B04" w:rsidRPr="00CC562A">
        <w:rPr>
          <w:rFonts w:ascii="Cambria" w:hAnsi="Cambria"/>
          <w:color w:val="000000" w:themeColor="text1"/>
          <w:sz w:val="16"/>
          <w:szCs w:val="16"/>
          <w:lang w:val="en-US"/>
        </w:rPr>
        <w:t xml:space="preserve"> </w:t>
      </w:r>
      <w:r w:rsidR="00C80FE5" w:rsidRPr="00CC562A">
        <w:rPr>
          <w:rFonts w:ascii="Cambria" w:hAnsi="Cambria"/>
          <w:color w:val="000000" w:themeColor="text1"/>
          <w:sz w:val="16"/>
          <w:szCs w:val="16"/>
          <w:lang w:val="en-US"/>
        </w:rPr>
        <w:t>The</w:t>
      </w:r>
      <w:r w:rsidR="4D1A0B04" w:rsidRPr="00CC562A">
        <w:rPr>
          <w:rFonts w:ascii="Cambria" w:hAnsi="Cambria"/>
          <w:color w:val="000000" w:themeColor="text1"/>
          <w:sz w:val="16"/>
          <w:szCs w:val="16"/>
          <w:lang w:val="en-US"/>
        </w:rPr>
        <w:t xml:space="preserve"> CNDH eval</w:t>
      </w:r>
      <w:r w:rsidR="00474826" w:rsidRPr="00CC562A">
        <w:rPr>
          <w:rFonts w:ascii="Cambria" w:hAnsi="Cambria"/>
          <w:color w:val="000000" w:themeColor="text1"/>
          <w:sz w:val="16"/>
          <w:szCs w:val="16"/>
          <w:lang w:val="en-US"/>
        </w:rPr>
        <w:t>uates</w:t>
      </w:r>
      <w:r w:rsidR="4D1A0B04" w:rsidRPr="00CC562A">
        <w:rPr>
          <w:rFonts w:ascii="Cambria" w:hAnsi="Cambria"/>
          <w:color w:val="000000" w:themeColor="text1"/>
          <w:sz w:val="16"/>
          <w:szCs w:val="16"/>
          <w:lang w:val="en-US"/>
        </w:rPr>
        <w:t xml:space="preserve"> 512 sub</w:t>
      </w:r>
      <w:r w:rsidR="00474826" w:rsidRPr="00CC562A">
        <w:rPr>
          <w:rFonts w:ascii="Cambria" w:hAnsi="Cambria"/>
          <w:color w:val="000000" w:themeColor="text1"/>
          <w:sz w:val="16"/>
          <w:szCs w:val="16"/>
          <w:lang w:val="en-US"/>
        </w:rPr>
        <w:t xml:space="preserve">-indicators and </w:t>
      </w:r>
      <w:r w:rsidR="4D1A0B04" w:rsidRPr="00CC562A">
        <w:rPr>
          <w:rFonts w:ascii="Cambria" w:hAnsi="Cambria"/>
          <w:color w:val="000000" w:themeColor="text1"/>
          <w:sz w:val="16"/>
          <w:szCs w:val="16"/>
          <w:lang w:val="en-US"/>
        </w:rPr>
        <w:t>263 indic</w:t>
      </w:r>
      <w:r w:rsidR="00474826" w:rsidRPr="00CC562A">
        <w:rPr>
          <w:rFonts w:ascii="Cambria" w:hAnsi="Cambria"/>
          <w:color w:val="000000" w:themeColor="text1"/>
          <w:sz w:val="16"/>
          <w:szCs w:val="16"/>
          <w:lang w:val="en-US"/>
        </w:rPr>
        <w:t>ators, which are grouped in</w:t>
      </w:r>
      <w:r w:rsidR="4D1A0B04" w:rsidRPr="00CC562A">
        <w:rPr>
          <w:rFonts w:ascii="Cambria" w:hAnsi="Cambria"/>
          <w:color w:val="000000" w:themeColor="text1"/>
          <w:sz w:val="16"/>
          <w:szCs w:val="16"/>
          <w:lang w:val="en-US"/>
        </w:rPr>
        <w:t xml:space="preserve"> 39 t</w:t>
      </w:r>
      <w:r w:rsidR="00474826" w:rsidRPr="00CC562A">
        <w:rPr>
          <w:rFonts w:ascii="Cambria" w:hAnsi="Cambria"/>
          <w:color w:val="000000" w:themeColor="text1"/>
          <w:sz w:val="16"/>
          <w:szCs w:val="16"/>
          <w:lang w:val="en-US"/>
        </w:rPr>
        <w:t>opics, divided into the five areas mentioned above</w:t>
      </w:r>
      <w:r w:rsidR="4D1A0B04" w:rsidRPr="00CC562A">
        <w:rPr>
          <w:rFonts w:ascii="Cambria" w:hAnsi="Cambria"/>
          <w:color w:val="000000" w:themeColor="text1"/>
          <w:sz w:val="16"/>
          <w:szCs w:val="16"/>
          <w:lang w:val="en-US"/>
        </w:rPr>
        <w:t xml:space="preserve"> (CNDH, 2016 B, p. 14). </w:t>
      </w:r>
      <w:r w:rsidR="00474826" w:rsidRPr="00CC562A">
        <w:rPr>
          <w:rFonts w:ascii="Cambria" w:hAnsi="Cambria"/>
          <w:color w:val="000000" w:themeColor="text1"/>
          <w:sz w:val="16"/>
          <w:szCs w:val="16"/>
          <w:lang w:val="en-US"/>
        </w:rPr>
        <w:t xml:space="preserve">Three instruments are used for this: interviews with prison center officials, interviews </w:t>
      </w:r>
      <w:r w:rsidR="00C80FE5" w:rsidRPr="00CC562A">
        <w:rPr>
          <w:rFonts w:ascii="Cambria" w:hAnsi="Cambria"/>
          <w:color w:val="000000" w:themeColor="text1"/>
          <w:sz w:val="16"/>
          <w:szCs w:val="16"/>
          <w:lang w:val="en-US"/>
        </w:rPr>
        <w:t>with inmates</w:t>
      </w:r>
      <w:r w:rsidR="00474826" w:rsidRPr="00CC562A">
        <w:rPr>
          <w:rFonts w:ascii="Cambria" w:hAnsi="Cambria"/>
          <w:color w:val="000000" w:themeColor="text1"/>
          <w:sz w:val="16"/>
          <w:szCs w:val="16"/>
          <w:lang w:val="en-US"/>
        </w:rPr>
        <w:t>, and the visitor’s observations and evaluations</w:t>
      </w:r>
      <w:r w:rsidR="4D1A0B04" w:rsidRPr="00CC562A">
        <w:rPr>
          <w:rFonts w:ascii="Cambria" w:hAnsi="Cambria"/>
          <w:color w:val="000000" w:themeColor="text1"/>
          <w:sz w:val="16"/>
          <w:szCs w:val="16"/>
          <w:lang w:val="en-US"/>
        </w:rPr>
        <w:t xml:space="preserve"> (CNDH, 2016 B, pp. 19-20). </w:t>
      </w:r>
    </w:p>
  </w:footnote>
  <w:footnote w:id="246">
    <w:p w14:paraId="3879C157" w14:textId="313B80C3" w:rsidR="00946551" w:rsidRPr="00CC562A" w:rsidRDefault="00946551" w:rsidP="007A58B5">
      <w:pPr>
        <w:pStyle w:val="FootnoteText"/>
        <w:spacing w:line="240" w:lineRule="auto"/>
        <w:ind w:firstLine="720"/>
        <w:jc w:val="both"/>
        <w:rPr>
          <w:lang w:val="es-ES"/>
        </w:rPr>
      </w:pPr>
      <w:r w:rsidRPr="00CC562A">
        <w:rPr>
          <w:rStyle w:val="FootnoteReference"/>
          <w:color w:val="000000" w:themeColor="text1"/>
          <w:lang w:val="en-US"/>
        </w:rPr>
        <w:footnoteRef/>
      </w:r>
      <w:r w:rsidR="4D1A0B04" w:rsidRPr="00CC562A">
        <w:rPr>
          <w:color w:val="000000" w:themeColor="text1"/>
          <w:lang w:val="en-US"/>
        </w:rPr>
        <w:t xml:space="preserve"> </w:t>
      </w:r>
      <w:r w:rsidR="00DF5149" w:rsidRPr="00CC562A">
        <w:rPr>
          <w:lang w:val="en-US"/>
        </w:rPr>
        <w:t xml:space="preserve">Progress report of the Mexican State on compliance with and follow-up to the recommendations of the IACHR. </w:t>
      </w:r>
      <w:r w:rsidR="00DF5149" w:rsidRPr="00CC562A">
        <w:rPr>
          <w:lang w:val="es-ES"/>
        </w:rPr>
        <w:t>Chapter V, October 2022</w:t>
      </w:r>
      <w:r w:rsidR="4D1A0B04" w:rsidRPr="00CC562A">
        <w:rPr>
          <w:color w:val="000000" w:themeColor="text1"/>
          <w:lang w:val="es-ES"/>
        </w:rPr>
        <w:t xml:space="preserve"> </w:t>
      </w:r>
      <w:r w:rsidR="00736A6B" w:rsidRPr="00CC562A">
        <w:rPr>
          <w:color w:val="000000" w:themeColor="text1"/>
          <w:lang w:val="es-ES"/>
        </w:rPr>
        <w:t>through the Inter-American SIMORE.</w:t>
      </w:r>
    </w:p>
  </w:footnote>
  <w:footnote w:id="247">
    <w:p w14:paraId="122FFAAE" w14:textId="05D11399" w:rsidR="47CD22F8" w:rsidRPr="00CC562A" w:rsidRDefault="47CD22F8" w:rsidP="00A92391">
      <w:pPr>
        <w:pStyle w:val="NoSpacing"/>
        <w:ind w:firstLine="720"/>
        <w:rPr>
          <w:rFonts w:ascii="Cambria" w:hAnsi="Cambria"/>
          <w:sz w:val="16"/>
          <w:szCs w:val="16"/>
        </w:rPr>
      </w:pPr>
      <w:r w:rsidRPr="00CC562A">
        <w:rPr>
          <w:rFonts w:ascii="Cambria" w:hAnsi="Cambria"/>
          <w:sz w:val="16"/>
          <w:szCs w:val="16"/>
          <w:vertAlign w:val="superscript"/>
        </w:rPr>
        <w:footnoteRef/>
      </w:r>
      <w:r w:rsidRPr="00CC562A">
        <w:rPr>
          <w:rFonts w:ascii="Cambria" w:hAnsi="Cambria"/>
          <w:sz w:val="16"/>
          <w:szCs w:val="16"/>
        </w:rPr>
        <w:t xml:space="preserve"> </w:t>
      </w:r>
      <w:r w:rsidR="004E0B7E" w:rsidRPr="00CC562A">
        <w:rPr>
          <w:rFonts w:ascii="Cambria" w:hAnsi="Cambria"/>
          <w:sz w:val="16"/>
          <w:szCs w:val="16"/>
        </w:rPr>
        <w:t>IACHR</w:t>
      </w:r>
      <w:r w:rsidRPr="00CC562A">
        <w:rPr>
          <w:rFonts w:ascii="Cambria" w:hAnsi="Cambria"/>
          <w:sz w:val="16"/>
          <w:szCs w:val="16"/>
        </w:rPr>
        <w:t xml:space="preserve"> </w:t>
      </w:r>
      <w:r w:rsidR="006067DF" w:rsidRPr="00CC562A">
        <w:rPr>
          <w:rFonts w:ascii="Cambria" w:hAnsi="Cambria"/>
          <w:sz w:val="16"/>
          <w:szCs w:val="16"/>
        </w:rPr>
        <w:t>–</w:t>
      </w:r>
      <w:r w:rsidRPr="00CC562A">
        <w:rPr>
          <w:rFonts w:ascii="Cambria" w:hAnsi="Cambria"/>
          <w:sz w:val="16"/>
          <w:szCs w:val="16"/>
        </w:rPr>
        <w:t xml:space="preserve"> </w:t>
      </w:r>
      <w:r w:rsidR="006067DF" w:rsidRPr="00CC562A">
        <w:rPr>
          <w:rFonts w:ascii="Cambria" w:hAnsi="Cambria"/>
          <w:sz w:val="16"/>
          <w:szCs w:val="16"/>
        </w:rPr>
        <w:t xml:space="preserve">Inter-American </w:t>
      </w:r>
      <w:r w:rsidRPr="00CC562A">
        <w:rPr>
          <w:rFonts w:ascii="Cambria" w:hAnsi="Cambria"/>
          <w:sz w:val="16"/>
          <w:szCs w:val="16"/>
        </w:rPr>
        <w:t xml:space="preserve">SIMORE, </w:t>
      </w:r>
      <w:hyperlink r:id="rId77" w:history="1">
        <w:r w:rsidRPr="00CC562A">
          <w:rPr>
            <w:rStyle w:val="Hyperlink"/>
            <w:rFonts w:ascii="Cambria" w:hAnsi="Cambria"/>
            <w:sz w:val="16"/>
            <w:szCs w:val="16"/>
          </w:rPr>
          <w:t>Informe de Seguimiento d</w:t>
        </w:r>
        <w:r w:rsidR="006067DF" w:rsidRPr="00CC562A">
          <w:rPr>
            <w:rStyle w:val="Hyperlink"/>
            <w:rFonts w:ascii="Cambria" w:hAnsi="Cambria"/>
            <w:sz w:val="16"/>
            <w:szCs w:val="16"/>
          </w:rPr>
          <w:t xml:space="preserve">el Estado </w:t>
        </w:r>
        <w:r w:rsidRPr="00CC562A">
          <w:rPr>
            <w:rStyle w:val="Hyperlink"/>
            <w:rFonts w:ascii="Cambria" w:hAnsi="Cambria"/>
            <w:sz w:val="16"/>
            <w:szCs w:val="16"/>
          </w:rPr>
          <w:t xml:space="preserve">de México </w:t>
        </w:r>
        <w:r w:rsidRPr="00CC562A">
          <w:rPr>
            <w:rStyle w:val="Hyperlink"/>
            <w:rFonts w:ascii="Cambria" w:hAnsi="Cambria"/>
            <w:sz w:val="16"/>
            <w:szCs w:val="16"/>
          </w:rPr>
          <w:t xml:space="preserve">– Recomendación </w:t>
        </w:r>
      </w:hyperlink>
      <w:r w:rsidRPr="00CC562A">
        <w:rPr>
          <w:rFonts w:ascii="Cambria" w:hAnsi="Cambria"/>
          <w:sz w:val="16"/>
          <w:szCs w:val="16"/>
        </w:rPr>
        <w:t xml:space="preserve">53, </w:t>
      </w:r>
      <w:r w:rsidR="006067DF" w:rsidRPr="00CC562A">
        <w:rPr>
          <w:rFonts w:ascii="Cambria" w:hAnsi="Cambria"/>
          <w:sz w:val="16"/>
          <w:szCs w:val="16"/>
        </w:rPr>
        <w:t xml:space="preserve">October 4, </w:t>
      </w:r>
      <w:r w:rsidRPr="00CC562A">
        <w:rPr>
          <w:rFonts w:ascii="Cambria" w:hAnsi="Cambria"/>
          <w:sz w:val="16"/>
          <w:szCs w:val="16"/>
        </w:rPr>
        <w:t xml:space="preserve">2022.  </w:t>
      </w:r>
    </w:p>
  </w:footnote>
  <w:footnote w:id="248">
    <w:p w14:paraId="2A5ED343" w14:textId="6B13F417" w:rsidR="47CD22F8" w:rsidRPr="00CC562A" w:rsidRDefault="47CD22F8" w:rsidP="007A58B5">
      <w:pPr>
        <w:pStyle w:val="NoSpacing"/>
        <w:ind w:firstLine="720"/>
        <w:jc w:val="both"/>
        <w:rPr>
          <w:rFonts w:ascii="Cambria" w:hAnsi="Cambria"/>
          <w:color w:val="000000" w:themeColor="text1"/>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w:t>
      </w:r>
      <w:r w:rsidR="006067DF" w:rsidRPr="00CC562A">
        <w:rPr>
          <w:rFonts w:ascii="Cambria" w:hAnsi="Cambria"/>
          <w:sz w:val="16"/>
          <w:szCs w:val="16"/>
        </w:rPr>
        <w:t>National Human Rights Commission, Government of Mexico</w:t>
      </w:r>
      <w:r w:rsidRPr="00CC562A">
        <w:rPr>
          <w:rFonts w:ascii="Cambria" w:hAnsi="Cambria"/>
          <w:color w:val="000000" w:themeColor="text1"/>
          <w:sz w:val="16"/>
          <w:szCs w:val="16"/>
        </w:rPr>
        <w:t xml:space="preserve">, </w:t>
      </w:r>
      <w:hyperlink r:id="rId78" w:history="1">
        <w:r w:rsidRPr="00CC562A">
          <w:rPr>
            <w:rStyle w:val="Hyperlink"/>
            <w:rFonts w:ascii="Cambria" w:eastAsia="Cambria" w:hAnsi="Cambria" w:cs="Cambria"/>
            <w:sz w:val="16"/>
            <w:szCs w:val="16"/>
          </w:rPr>
          <w:t>Diagnóstico Nacional de Supervisión Penitenciaria 2021</w:t>
        </w:r>
      </w:hyperlink>
      <w:r w:rsidRPr="00CC562A">
        <w:rPr>
          <w:rFonts w:ascii="Cambria" w:hAnsi="Cambria"/>
          <w:color w:val="000000" w:themeColor="text1"/>
          <w:sz w:val="16"/>
          <w:szCs w:val="16"/>
        </w:rPr>
        <w:t>, 2022, p. 625.</w:t>
      </w:r>
    </w:p>
  </w:footnote>
  <w:footnote w:id="249">
    <w:p w14:paraId="507A633F" w14:textId="4EE57198" w:rsidR="47CD22F8" w:rsidRPr="00CC562A" w:rsidRDefault="47CD22F8" w:rsidP="007A58B5">
      <w:pPr>
        <w:pStyle w:val="NoSpacing"/>
        <w:ind w:firstLine="720"/>
        <w:jc w:val="both"/>
        <w:rPr>
          <w:rFonts w:ascii="Cambria" w:hAnsi="Cambria"/>
          <w:color w:val="000000" w:themeColor="text1"/>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w:t>
      </w:r>
      <w:r w:rsidRPr="00CC562A">
        <w:rPr>
          <w:rFonts w:ascii="Cambria" w:hAnsi="Cambria"/>
          <w:color w:val="000000" w:themeColor="text1"/>
          <w:sz w:val="16"/>
          <w:szCs w:val="16"/>
        </w:rPr>
        <w:t xml:space="preserve">INEGI, </w:t>
      </w:r>
      <w:hyperlink r:id="rId79" w:history="1">
        <w:r w:rsidRPr="00CC562A">
          <w:rPr>
            <w:rStyle w:val="Hyperlink"/>
            <w:rFonts w:ascii="Cambria" w:eastAsia="Cambria" w:hAnsi="Cambria" w:cs="Cambria"/>
            <w:sz w:val="16"/>
            <w:szCs w:val="16"/>
          </w:rPr>
          <w:t xml:space="preserve">Encuesta Nacional de Población Privada de la </w:t>
        </w:r>
        <w:r w:rsidRPr="00CC562A">
          <w:rPr>
            <w:rStyle w:val="Hyperlink"/>
            <w:rFonts w:ascii="Cambria" w:eastAsia="Cambria" w:hAnsi="Cambria" w:cs="Cambria"/>
            <w:sz w:val="16"/>
            <w:szCs w:val="16"/>
          </w:rPr>
          <w:t>Libertad ENPOL 2021</w:t>
        </w:r>
      </w:hyperlink>
      <w:r w:rsidRPr="00CC562A">
        <w:rPr>
          <w:rFonts w:ascii="Cambria" w:hAnsi="Cambria"/>
          <w:color w:val="000000" w:themeColor="text1"/>
          <w:sz w:val="16"/>
          <w:szCs w:val="16"/>
        </w:rPr>
        <w:t>, D</w:t>
      </w:r>
      <w:r w:rsidR="006067DF" w:rsidRPr="00CC562A">
        <w:rPr>
          <w:rFonts w:ascii="Cambria" w:hAnsi="Cambria"/>
          <w:color w:val="000000" w:themeColor="text1"/>
          <w:sz w:val="16"/>
          <w:szCs w:val="16"/>
        </w:rPr>
        <w:t>ecember</w:t>
      </w:r>
      <w:r w:rsidRPr="00CC562A">
        <w:rPr>
          <w:rFonts w:ascii="Cambria" w:hAnsi="Cambria"/>
          <w:color w:val="000000" w:themeColor="text1"/>
          <w:sz w:val="16"/>
          <w:szCs w:val="16"/>
        </w:rPr>
        <w:t xml:space="preserve"> 2021, p. 139.</w:t>
      </w:r>
    </w:p>
  </w:footnote>
  <w:footnote w:id="250">
    <w:p w14:paraId="6FDF93A2" w14:textId="087434E1" w:rsidR="00DC5772" w:rsidRPr="00CC562A" w:rsidRDefault="00DC5772" w:rsidP="00DC5772">
      <w:pPr>
        <w:pStyle w:val="FootnoteText"/>
        <w:ind w:firstLine="720"/>
        <w:rPr>
          <w:lang w:val="en-US"/>
        </w:rPr>
      </w:pPr>
      <w:r w:rsidRPr="00CC562A">
        <w:rPr>
          <w:rStyle w:val="FootnoteReference"/>
        </w:rPr>
        <w:footnoteRef/>
      </w:r>
      <w:r w:rsidRPr="00CC562A">
        <w:rPr>
          <w:lang w:val="en-US"/>
        </w:rPr>
        <w:t xml:space="preserve"> </w:t>
      </w:r>
      <w:r w:rsidR="00F54167" w:rsidRPr="00CC562A">
        <w:rPr>
          <w:lang w:val="en-US"/>
        </w:rPr>
        <w:t>State of Mexico, OAS Note</w:t>
      </w:r>
      <w:r w:rsidRPr="00CC562A">
        <w:rPr>
          <w:lang w:val="en-US"/>
        </w:rPr>
        <w:t xml:space="preserve"> 517 </w:t>
      </w:r>
      <w:r w:rsidR="00F54167" w:rsidRPr="00CC562A">
        <w:rPr>
          <w:lang w:val="en-US"/>
        </w:rPr>
        <w:t>of February 17,</w:t>
      </w:r>
      <w:r w:rsidRPr="00CC562A">
        <w:rPr>
          <w:lang w:val="en-US"/>
        </w:rPr>
        <w:t xml:space="preserve"> 2023. Observa</w:t>
      </w:r>
      <w:r w:rsidR="00F54167" w:rsidRPr="00CC562A">
        <w:rPr>
          <w:lang w:val="en-US"/>
        </w:rPr>
        <w:t xml:space="preserve">tions on the preliminary </w:t>
      </w:r>
      <w:r w:rsidR="001F4003" w:rsidRPr="00CC562A">
        <w:rPr>
          <w:lang w:val="en-US"/>
        </w:rPr>
        <w:t>version</w:t>
      </w:r>
      <w:r w:rsidR="00F54167" w:rsidRPr="00CC562A">
        <w:rPr>
          <w:lang w:val="en-US"/>
        </w:rPr>
        <w:t xml:space="preserve"> of the report.</w:t>
      </w:r>
    </w:p>
  </w:footnote>
  <w:footnote w:id="251">
    <w:p w14:paraId="4D4AB88A" w14:textId="21833D81" w:rsidR="47CD22F8" w:rsidRPr="00CC562A" w:rsidRDefault="47CD22F8"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vertAlign w:val="superscript"/>
        </w:rPr>
        <w:t xml:space="preserve"> </w:t>
      </w:r>
      <w:r w:rsidRPr="00CC562A">
        <w:rPr>
          <w:rFonts w:ascii="Cambria" w:hAnsi="Cambria"/>
          <w:sz w:val="16"/>
          <w:szCs w:val="16"/>
        </w:rPr>
        <w:t>Secretar</w:t>
      </w:r>
      <w:r w:rsidR="006067DF" w:rsidRPr="00CC562A">
        <w:rPr>
          <w:rFonts w:ascii="Cambria" w:hAnsi="Cambria"/>
          <w:sz w:val="16"/>
          <w:szCs w:val="16"/>
        </w:rPr>
        <w:t>iat of Security and Citizen Protection, Mexico</w:t>
      </w:r>
      <w:r w:rsidRPr="00CC562A">
        <w:rPr>
          <w:rFonts w:ascii="Cambria" w:hAnsi="Cambria"/>
          <w:sz w:val="16"/>
          <w:szCs w:val="16"/>
        </w:rPr>
        <w:t>,</w:t>
      </w:r>
      <w:hyperlink r:id="rId80" w:history="1">
        <w:r w:rsidRPr="00CC562A">
          <w:rPr>
            <w:rStyle w:val="Hyperlink"/>
            <w:rFonts w:ascii="Cambria" w:eastAsia="Cambria" w:hAnsi="Cambria" w:cs="Cambria"/>
            <w:sz w:val="16"/>
            <w:szCs w:val="16"/>
          </w:rPr>
          <w:t xml:space="preserve"> </w:t>
        </w:r>
      </w:hyperlink>
      <w:hyperlink r:id="rId81" w:history="1">
        <w:r w:rsidRPr="00CC562A">
          <w:rPr>
            <w:rStyle w:val="Hyperlink"/>
            <w:rFonts w:ascii="Cambria" w:eastAsia="Cambria" w:hAnsi="Cambria" w:cs="Cambria"/>
            <w:sz w:val="16"/>
            <w:szCs w:val="16"/>
          </w:rPr>
          <w:t>Cuaderno mensual de información estadística penitenciaria nacional</w:t>
        </w:r>
      </w:hyperlink>
      <w:r w:rsidRPr="00CC562A">
        <w:rPr>
          <w:rFonts w:ascii="Cambria" w:hAnsi="Cambria"/>
          <w:sz w:val="16"/>
          <w:szCs w:val="16"/>
        </w:rPr>
        <w:t>, A</w:t>
      </w:r>
      <w:r w:rsidR="006067DF" w:rsidRPr="00CC562A">
        <w:rPr>
          <w:rFonts w:ascii="Cambria" w:hAnsi="Cambria"/>
          <w:sz w:val="16"/>
          <w:szCs w:val="16"/>
        </w:rPr>
        <w:t>ugust</w:t>
      </w:r>
      <w:r w:rsidRPr="00CC562A">
        <w:rPr>
          <w:rFonts w:ascii="Cambria" w:hAnsi="Cambria"/>
          <w:sz w:val="16"/>
          <w:szCs w:val="16"/>
        </w:rPr>
        <w:t xml:space="preserve"> 2022, p. 3.  </w:t>
      </w:r>
    </w:p>
  </w:footnote>
  <w:footnote w:id="252">
    <w:p w14:paraId="17FE6970" w14:textId="274C8BF8" w:rsidR="47CD22F8" w:rsidRPr="00CC562A" w:rsidRDefault="47CD22F8" w:rsidP="007A58B5">
      <w:pPr>
        <w:pStyle w:val="NoSpacing"/>
        <w:ind w:firstLine="720"/>
        <w:jc w:val="both"/>
        <w:rPr>
          <w:rFonts w:ascii="Cambria" w:hAnsi="Cambria"/>
          <w:color w:val="0000FF"/>
          <w:sz w:val="16"/>
          <w:szCs w:val="16"/>
          <w:u w:val="single"/>
        </w:rPr>
      </w:pPr>
      <w:r w:rsidRPr="00CC562A">
        <w:rPr>
          <w:rFonts w:ascii="Cambria" w:hAnsi="Cambria"/>
          <w:sz w:val="16"/>
          <w:szCs w:val="16"/>
          <w:vertAlign w:val="superscript"/>
          <w:lang w:val="en-US"/>
        </w:rPr>
        <w:footnoteRef/>
      </w:r>
      <w:r w:rsidRPr="00CC562A">
        <w:rPr>
          <w:rFonts w:ascii="Cambria" w:hAnsi="Cambria"/>
          <w:sz w:val="16"/>
          <w:szCs w:val="16"/>
        </w:rPr>
        <w:t xml:space="preserve"> </w:t>
      </w:r>
      <w:r w:rsidRPr="00CC562A">
        <w:rPr>
          <w:rFonts w:ascii="Cambria" w:hAnsi="Cambria"/>
          <w:color w:val="0000FF"/>
          <w:sz w:val="16"/>
          <w:szCs w:val="16"/>
          <w:u w:val="single"/>
        </w:rPr>
        <w:t xml:space="preserve">Secretaría de Gobernación, Gobierno de México, </w:t>
      </w:r>
      <w:hyperlink r:id="rId82" w:history="1">
        <w:r w:rsidRPr="00CC562A">
          <w:rPr>
            <w:rStyle w:val="Hyperlink"/>
            <w:rFonts w:ascii="Cambria" w:eastAsia="Cambria" w:hAnsi="Cambria" w:cs="Cambria"/>
            <w:sz w:val="16"/>
            <w:szCs w:val="16"/>
          </w:rPr>
          <w:t>Diagnóstico Nacional sobre Tortura Sexual Cometida contra Mujeres Privadas de Libertad en México</w:t>
        </w:r>
      </w:hyperlink>
      <w:r w:rsidRPr="00CC562A">
        <w:rPr>
          <w:rFonts w:ascii="Cambria" w:hAnsi="Cambria"/>
          <w:color w:val="0000FF"/>
          <w:sz w:val="16"/>
          <w:szCs w:val="16"/>
          <w:u w:val="single"/>
        </w:rPr>
        <w:t xml:space="preserve">, 27 de junio de 2022, p. 8.  </w:t>
      </w:r>
    </w:p>
  </w:footnote>
  <w:footnote w:id="253">
    <w:p w14:paraId="0DAB7501" w14:textId="34DE970F" w:rsidR="00832B79" w:rsidRPr="00CC562A" w:rsidRDefault="00832B79"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004E0B7E" w:rsidRPr="00CC562A">
        <w:rPr>
          <w:lang w:val="es-ES"/>
        </w:rPr>
        <w:t>IACHR</w:t>
      </w:r>
      <w:r w:rsidR="4D1A0B04" w:rsidRPr="00CC562A">
        <w:rPr>
          <w:lang w:val="es-ES"/>
        </w:rPr>
        <w:t xml:space="preserve">, </w:t>
      </w:r>
      <w:hyperlink r:id="rId83" w:history="1">
        <w:r w:rsidR="00750392" w:rsidRPr="00CC562A">
          <w:rPr>
            <w:rStyle w:val="Hyperlink"/>
            <w:rFonts w:cs="Times New Roman"/>
            <w:lang w:val="es-ES"/>
          </w:rPr>
          <w:t>Annual Report</w:t>
        </w:r>
        <w:r w:rsidR="4D1A0B04" w:rsidRPr="00CC562A">
          <w:rPr>
            <w:rStyle w:val="Hyperlink"/>
            <w:rFonts w:cs="Times New Roman"/>
            <w:lang w:val="es-ES"/>
          </w:rPr>
          <w:t xml:space="preserve">. </w:t>
        </w:r>
        <w:r w:rsidR="00474826" w:rsidRPr="00CC562A">
          <w:rPr>
            <w:rStyle w:val="Hyperlink"/>
            <w:rFonts w:cs="Times New Roman"/>
            <w:lang w:val="es-ES"/>
          </w:rPr>
          <w:t>Chapter</w:t>
        </w:r>
        <w:r w:rsidR="4D1A0B04" w:rsidRPr="00CC562A">
          <w:rPr>
            <w:rStyle w:val="Hyperlink"/>
            <w:rFonts w:cs="Times New Roman"/>
            <w:lang w:val="es-ES"/>
          </w:rPr>
          <w:t xml:space="preserve"> V</w:t>
        </w:r>
      </w:hyperlink>
      <w:r w:rsidR="4D1A0B04" w:rsidRPr="00CC562A">
        <w:rPr>
          <w:rFonts w:cs="Times New Roman"/>
          <w:lang w:val="es-ES"/>
        </w:rPr>
        <w:t>, M</w:t>
      </w:r>
      <w:r w:rsidR="006067DF" w:rsidRPr="00CC562A">
        <w:rPr>
          <w:rFonts w:cs="Times New Roman"/>
          <w:lang w:val="es-ES"/>
        </w:rPr>
        <w:t>exico</w:t>
      </w:r>
      <w:r w:rsidR="4D1A0B04" w:rsidRPr="00CC562A">
        <w:rPr>
          <w:rFonts w:cs="Times New Roman"/>
          <w:lang w:val="es-ES"/>
        </w:rPr>
        <w:t>, 2021</w:t>
      </w:r>
      <w:r w:rsidR="4D1A0B04" w:rsidRPr="00CC562A">
        <w:rPr>
          <w:lang w:val="es-ES"/>
        </w:rPr>
        <w:t xml:space="preserve">, </w:t>
      </w:r>
      <w:r w:rsidR="00736A6B" w:rsidRPr="00CC562A">
        <w:rPr>
          <w:lang w:val="es-ES"/>
        </w:rPr>
        <w:t>para.</w:t>
      </w:r>
      <w:r w:rsidR="4D1A0B04" w:rsidRPr="00CC562A">
        <w:rPr>
          <w:lang w:val="es-ES"/>
        </w:rPr>
        <w:t xml:space="preserve"> 241.</w:t>
      </w:r>
    </w:p>
  </w:footnote>
  <w:footnote w:id="254">
    <w:p w14:paraId="76A728BC" w14:textId="7D4CB9FB" w:rsidR="002A0B26" w:rsidRPr="00CC562A" w:rsidRDefault="002A0B26"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4D1A0B04" w:rsidRPr="00CC562A">
        <w:rPr>
          <w:rFonts w:ascii="Cambria" w:hAnsi="Cambria"/>
          <w:sz w:val="16"/>
          <w:szCs w:val="16"/>
          <w:lang w:val="es-ES"/>
        </w:rPr>
        <w:t xml:space="preserve">CNDH, </w:t>
      </w:r>
      <w:hyperlink r:id="rId84" w:history="1">
        <w:r w:rsidR="4D1A0B04" w:rsidRPr="00CC562A">
          <w:rPr>
            <w:rStyle w:val="Hyperlink"/>
            <w:rFonts w:ascii="Cambria" w:hAnsi="Cambria"/>
            <w:sz w:val="16"/>
            <w:szCs w:val="16"/>
            <w:lang w:val="es-ES"/>
          </w:rPr>
          <w:t>Diagnóstico Nacional de Supervisión Penitenciaria</w:t>
        </w:r>
      </w:hyperlink>
      <w:r w:rsidR="4D1A0B04" w:rsidRPr="00CC562A">
        <w:rPr>
          <w:rFonts w:ascii="Cambria" w:hAnsi="Cambria"/>
          <w:sz w:val="16"/>
          <w:szCs w:val="16"/>
          <w:lang w:val="es-ES"/>
        </w:rPr>
        <w:t xml:space="preserve">, </w:t>
      </w:r>
      <w:r w:rsidR="006067DF" w:rsidRPr="00CC562A">
        <w:rPr>
          <w:rFonts w:ascii="Cambria" w:hAnsi="Cambria"/>
          <w:sz w:val="16"/>
          <w:szCs w:val="16"/>
          <w:lang w:val="es-ES"/>
        </w:rPr>
        <w:t>September</w:t>
      </w:r>
      <w:r w:rsidR="4D1A0B04" w:rsidRPr="00CC562A">
        <w:rPr>
          <w:rFonts w:ascii="Cambria" w:hAnsi="Cambria"/>
          <w:sz w:val="16"/>
          <w:szCs w:val="16"/>
          <w:lang w:val="es-ES"/>
        </w:rPr>
        <w:t xml:space="preserve"> 2021, </w:t>
      </w:r>
      <w:r w:rsidR="004E0B7E" w:rsidRPr="00CC562A">
        <w:rPr>
          <w:rFonts w:ascii="Cambria" w:hAnsi="Cambria"/>
          <w:sz w:val="16"/>
          <w:szCs w:val="16"/>
          <w:lang w:val="es-ES"/>
        </w:rPr>
        <w:t>pp.</w:t>
      </w:r>
      <w:r w:rsidR="4D1A0B04" w:rsidRPr="00CC562A">
        <w:rPr>
          <w:rFonts w:ascii="Cambria" w:hAnsi="Cambria"/>
          <w:sz w:val="16"/>
          <w:szCs w:val="16"/>
          <w:lang w:val="es-ES"/>
        </w:rPr>
        <w:t xml:space="preserve"> 104 </w:t>
      </w:r>
      <w:r w:rsidR="006067DF" w:rsidRPr="00CC562A">
        <w:rPr>
          <w:rFonts w:ascii="Cambria" w:hAnsi="Cambria"/>
          <w:sz w:val="16"/>
          <w:szCs w:val="16"/>
          <w:lang w:val="es-ES"/>
        </w:rPr>
        <w:t>and</w:t>
      </w:r>
      <w:r w:rsidR="4D1A0B04" w:rsidRPr="00CC562A">
        <w:rPr>
          <w:rFonts w:ascii="Cambria" w:hAnsi="Cambria"/>
          <w:sz w:val="16"/>
          <w:szCs w:val="16"/>
          <w:lang w:val="es-ES"/>
        </w:rPr>
        <w:t xml:space="preserve"> 294-295. </w:t>
      </w:r>
    </w:p>
  </w:footnote>
  <w:footnote w:id="255">
    <w:p w14:paraId="5ED9E6D4" w14:textId="2959F9E2" w:rsidR="002A0B26" w:rsidRPr="00CC562A" w:rsidRDefault="002A0B26"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4D1A0B04" w:rsidRPr="00CC562A">
        <w:rPr>
          <w:rFonts w:ascii="Cambria" w:hAnsi="Cambria"/>
          <w:sz w:val="16"/>
          <w:szCs w:val="16"/>
          <w:lang w:val="es-ES"/>
        </w:rPr>
        <w:t xml:space="preserve">CNDH, </w:t>
      </w:r>
      <w:hyperlink r:id="rId85" w:history="1">
        <w:r w:rsidR="4D1A0B04" w:rsidRPr="00CC562A">
          <w:rPr>
            <w:rStyle w:val="Hyperlink"/>
            <w:rFonts w:ascii="Cambria" w:hAnsi="Cambria"/>
            <w:sz w:val="16"/>
            <w:szCs w:val="16"/>
            <w:lang w:val="es-ES"/>
          </w:rPr>
          <w:t>Diagnóstico Nacional de Supervisión Penitenciaria,</w:t>
        </w:r>
      </w:hyperlink>
      <w:r w:rsidR="4D1A0B04" w:rsidRPr="00CC562A">
        <w:rPr>
          <w:rFonts w:ascii="Cambria" w:hAnsi="Cambria"/>
          <w:sz w:val="16"/>
          <w:szCs w:val="16"/>
          <w:lang w:val="es-ES"/>
        </w:rPr>
        <w:t xml:space="preserve"> </w:t>
      </w:r>
      <w:r w:rsidR="006067DF" w:rsidRPr="00CC562A">
        <w:rPr>
          <w:rFonts w:ascii="Cambria" w:hAnsi="Cambria"/>
          <w:sz w:val="16"/>
          <w:szCs w:val="16"/>
          <w:lang w:val="es-ES"/>
        </w:rPr>
        <w:t xml:space="preserve">September </w:t>
      </w:r>
      <w:r w:rsidR="4D1A0B04" w:rsidRPr="00CC562A">
        <w:rPr>
          <w:rFonts w:ascii="Cambria" w:hAnsi="Cambria"/>
          <w:sz w:val="16"/>
          <w:szCs w:val="16"/>
          <w:lang w:val="es-ES"/>
        </w:rPr>
        <w:t xml:space="preserve">2021, </w:t>
      </w:r>
      <w:r w:rsidR="004E0B7E" w:rsidRPr="00CC562A">
        <w:rPr>
          <w:rFonts w:ascii="Cambria" w:hAnsi="Cambria"/>
          <w:sz w:val="16"/>
          <w:szCs w:val="16"/>
          <w:lang w:val="es-ES"/>
        </w:rPr>
        <w:t>pp.</w:t>
      </w:r>
      <w:r w:rsidR="4D1A0B04" w:rsidRPr="00CC562A">
        <w:rPr>
          <w:rFonts w:ascii="Cambria" w:hAnsi="Cambria"/>
          <w:sz w:val="16"/>
          <w:szCs w:val="16"/>
          <w:lang w:val="es-ES"/>
        </w:rPr>
        <w:t xml:space="preserve"> 104 </w:t>
      </w:r>
      <w:r w:rsidR="006067DF" w:rsidRPr="00CC562A">
        <w:rPr>
          <w:rFonts w:ascii="Cambria" w:hAnsi="Cambria"/>
          <w:sz w:val="16"/>
          <w:szCs w:val="16"/>
          <w:lang w:val="es-ES"/>
        </w:rPr>
        <w:t>and</w:t>
      </w:r>
      <w:r w:rsidR="4D1A0B04" w:rsidRPr="00CC562A">
        <w:rPr>
          <w:rFonts w:ascii="Cambria" w:hAnsi="Cambria"/>
          <w:sz w:val="16"/>
          <w:szCs w:val="16"/>
          <w:lang w:val="es-ES"/>
        </w:rPr>
        <w:t xml:space="preserve"> 294-295; </w:t>
      </w:r>
      <w:r w:rsidR="006067DF" w:rsidRPr="00CC562A">
        <w:rPr>
          <w:rFonts w:ascii="Cambria" w:hAnsi="Cambria"/>
          <w:sz w:val="16"/>
          <w:szCs w:val="16"/>
          <w:lang w:val="es-ES"/>
        </w:rPr>
        <w:t>and</w:t>
      </w:r>
      <w:r w:rsidR="4D1A0B04" w:rsidRPr="00CC562A">
        <w:rPr>
          <w:rFonts w:ascii="Cambria" w:hAnsi="Cambria"/>
          <w:sz w:val="16"/>
          <w:szCs w:val="16"/>
          <w:lang w:val="es-ES"/>
        </w:rPr>
        <w:t xml:space="preserve"> AsiLegal, </w:t>
      </w:r>
      <w:hyperlink r:id="rId86" w:history="1">
        <w:r w:rsidR="4D1A0B04" w:rsidRPr="00CC562A">
          <w:rPr>
            <w:rStyle w:val="Hyperlink"/>
            <w:rFonts w:ascii="Cambria" w:hAnsi="Cambria"/>
            <w:sz w:val="16"/>
            <w:szCs w:val="16"/>
            <w:lang w:val="es-ES"/>
          </w:rPr>
          <w:t>Maternidad tras las rejas: una realidad de miles de mujeres en el sistema penitenciario mexicano</w:t>
        </w:r>
      </w:hyperlink>
      <w:r w:rsidR="4D1A0B04" w:rsidRPr="00CC562A">
        <w:rPr>
          <w:rFonts w:ascii="Cambria" w:hAnsi="Cambria"/>
          <w:sz w:val="16"/>
          <w:szCs w:val="16"/>
          <w:lang w:val="es-ES"/>
        </w:rPr>
        <w:t xml:space="preserve">, </w:t>
      </w:r>
      <w:r w:rsidR="006067DF" w:rsidRPr="00CC562A">
        <w:rPr>
          <w:rFonts w:ascii="Cambria" w:hAnsi="Cambria"/>
          <w:sz w:val="16"/>
          <w:szCs w:val="16"/>
          <w:lang w:val="es-ES"/>
        </w:rPr>
        <w:t xml:space="preserve">May 9, </w:t>
      </w:r>
      <w:r w:rsidR="4D1A0B04" w:rsidRPr="00CC562A">
        <w:rPr>
          <w:rFonts w:ascii="Cambria" w:hAnsi="Cambria"/>
          <w:sz w:val="16"/>
          <w:szCs w:val="16"/>
          <w:lang w:val="es-ES"/>
        </w:rPr>
        <w:t xml:space="preserve">2021. </w:t>
      </w:r>
    </w:p>
  </w:footnote>
  <w:footnote w:id="256">
    <w:p w14:paraId="0983AC56" w14:textId="12C7AE04" w:rsidR="002A0B26" w:rsidRPr="00CC562A" w:rsidRDefault="002A0B26"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4D1A0B04" w:rsidRPr="00CC562A">
        <w:rPr>
          <w:rFonts w:ascii="Cambria" w:hAnsi="Cambria"/>
          <w:sz w:val="16"/>
          <w:szCs w:val="16"/>
          <w:lang w:val="es-ES"/>
        </w:rPr>
        <w:t xml:space="preserve">CNDH, </w:t>
      </w:r>
      <w:hyperlink r:id="rId87" w:history="1">
        <w:r w:rsidR="4D1A0B04" w:rsidRPr="00CC562A">
          <w:rPr>
            <w:rStyle w:val="Hyperlink"/>
            <w:rFonts w:ascii="Cambria" w:hAnsi="Cambria"/>
            <w:sz w:val="16"/>
            <w:szCs w:val="16"/>
            <w:lang w:val="es-ES"/>
          </w:rPr>
          <w:t>Diagnóstico Nacional de Supervisión Penitenciaria</w:t>
        </w:r>
      </w:hyperlink>
      <w:r w:rsidR="4D1A0B04" w:rsidRPr="00CC562A">
        <w:rPr>
          <w:rFonts w:ascii="Cambria" w:hAnsi="Cambria"/>
          <w:sz w:val="16"/>
          <w:szCs w:val="16"/>
          <w:lang w:val="es-ES"/>
        </w:rPr>
        <w:t xml:space="preserve">, May 2021, </w:t>
      </w:r>
      <w:r w:rsidR="009E09A3" w:rsidRPr="00CC562A">
        <w:rPr>
          <w:rFonts w:ascii="Cambria" w:hAnsi="Cambria"/>
          <w:sz w:val="16"/>
          <w:szCs w:val="16"/>
          <w:lang w:val="es-ES"/>
        </w:rPr>
        <w:t>p.</w:t>
      </w:r>
      <w:r w:rsidR="4D1A0B04" w:rsidRPr="00CC562A">
        <w:rPr>
          <w:rFonts w:ascii="Cambria" w:hAnsi="Cambria"/>
          <w:sz w:val="16"/>
          <w:szCs w:val="16"/>
          <w:lang w:val="es-ES"/>
        </w:rPr>
        <w:t xml:space="preserve"> 104. </w:t>
      </w:r>
    </w:p>
  </w:footnote>
  <w:footnote w:id="257">
    <w:p w14:paraId="77462AD3" w14:textId="63E3FDA2" w:rsidR="002A0B26" w:rsidRPr="00CC562A" w:rsidRDefault="002A0B26" w:rsidP="007A58B5">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4D1A0B04" w:rsidRPr="00CC562A">
        <w:rPr>
          <w:rFonts w:ascii="Cambria" w:hAnsi="Cambria"/>
          <w:sz w:val="16"/>
          <w:szCs w:val="16"/>
          <w:lang w:val="es-ES"/>
        </w:rPr>
        <w:t xml:space="preserve">CNDH, </w:t>
      </w:r>
      <w:hyperlink r:id="rId88" w:history="1">
        <w:r w:rsidR="4D1A0B04" w:rsidRPr="00CC562A">
          <w:rPr>
            <w:rStyle w:val="Hyperlink"/>
            <w:rFonts w:ascii="Cambria" w:hAnsi="Cambria"/>
            <w:sz w:val="16"/>
            <w:szCs w:val="16"/>
            <w:lang w:val="es-ES"/>
          </w:rPr>
          <w:t>Diagnóstico Nacional de Supervisión Penitenciaria,</w:t>
        </w:r>
      </w:hyperlink>
      <w:r w:rsidR="4D1A0B04" w:rsidRPr="00CC562A">
        <w:rPr>
          <w:rFonts w:ascii="Cambria" w:hAnsi="Cambria"/>
          <w:sz w:val="16"/>
          <w:szCs w:val="16"/>
          <w:lang w:val="es-ES"/>
        </w:rPr>
        <w:t xml:space="preserve"> May 2021, </w:t>
      </w:r>
      <w:r w:rsidR="004E0B7E" w:rsidRPr="00CC562A">
        <w:rPr>
          <w:rFonts w:ascii="Cambria" w:hAnsi="Cambria"/>
          <w:sz w:val="16"/>
          <w:szCs w:val="16"/>
          <w:lang w:val="es-ES"/>
        </w:rPr>
        <w:t>pp.</w:t>
      </w:r>
      <w:r w:rsidR="4D1A0B04" w:rsidRPr="00CC562A">
        <w:rPr>
          <w:rFonts w:ascii="Cambria" w:hAnsi="Cambria"/>
          <w:sz w:val="16"/>
          <w:szCs w:val="16"/>
          <w:lang w:val="es-ES"/>
        </w:rPr>
        <w:t xml:space="preserve"> 294-295. </w:t>
      </w:r>
    </w:p>
  </w:footnote>
  <w:footnote w:id="258">
    <w:p w14:paraId="303DD01F" w14:textId="751FBD05" w:rsidR="002A0B26" w:rsidRPr="00CC562A" w:rsidRDefault="002A0B26" w:rsidP="00A92391">
      <w:pPr>
        <w:pStyle w:val="NormalWeb"/>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4D1A0B04" w:rsidRPr="00CC562A">
        <w:rPr>
          <w:rFonts w:ascii="Cambria" w:hAnsi="Cambria"/>
          <w:sz w:val="16"/>
          <w:szCs w:val="16"/>
          <w:lang w:val="es-ES"/>
        </w:rPr>
        <w:t>CNDH, Recom</w:t>
      </w:r>
      <w:r w:rsidR="006067DF" w:rsidRPr="00CC562A">
        <w:rPr>
          <w:rFonts w:ascii="Cambria" w:hAnsi="Cambria"/>
          <w:sz w:val="16"/>
          <w:szCs w:val="16"/>
          <w:lang w:val="es-ES"/>
        </w:rPr>
        <w:t xml:space="preserve">mendation </w:t>
      </w:r>
      <w:r w:rsidR="4D1A0B04" w:rsidRPr="00CC562A">
        <w:rPr>
          <w:rFonts w:ascii="Cambria" w:hAnsi="Cambria"/>
          <w:sz w:val="16"/>
          <w:szCs w:val="16"/>
          <w:lang w:val="es-ES"/>
        </w:rPr>
        <w:t xml:space="preserve">No. 35/2021, </w:t>
      </w:r>
      <w:r w:rsidR="006067DF" w:rsidRPr="00CC562A">
        <w:rPr>
          <w:rFonts w:ascii="Cambria" w:hAnsi="Cambria"/>
          <w:sz w:val="16"/>
          <w:szCs w:val="16"/>
          <w:lang w:val="es-ES"/>
        </w:rPr>
        <w:t xml:space="preserve">August 31, </w:t>
      </w:r>
      <w:r w:rsidR="4D1A0B04" w:rsidRPr="00CC562A">
        <w:rPr>
          <w:rFonts w:ascii="Cambria" w:hAnsi="Cambria"/>
          <w:sz w:val="16"/>
          <w:szCs w:val="16"/>
          <w:lang w:val="es-ES"/>
        </w:rPr>
        <w:t xml:space="preserve">2021. </w:t>
      </w:r>
    </w:p>
  </w:footnote>
  <w:footnote w:id="259">
    <w:p w14:paraId="5162FB71" w14:textId="4E0355D9" w:rsidR="47CD22F8" w:rsidRPr="00CC562A" w:rsidRDefault="47CD22F8" w:rsidP="007A58B5">
      <w:pPr>
        <w:pStyle w:val="NoSpacing"/>
        <w:ind w:firstLine="720"/>
        <w:jc w:val="both"/>
        <w:rPr>
          <w:rFonts w:ascii="Cambria" w:hAnsi="Cambria"/>
          <w:color w:val="000000" w:themeColor="text1"/>
          <w:sz w:val="16"/>
          <w:szCs w:val="16"/>
        </w:rPr>
      </w:pPr>
      <w:r w:rsidRPr="00CC562A">
        <w:rPr>
          <w:rFonts w:ascii="Cambria" w:hAnsi="Cambria"/>
          <w:sz w:val="16"/>
          <w:szCs w:val="16"/>
          <w:vertAlign w:val="superscript"/>
          <w:lang w:val="en-US"/>
        </w:rPr>
        <w:footnoteRef/>
      </w:r>
      <w:r w:rsidRPr="00CC562A">
        <w:rPr>
          <w:rFonts w:ascii="Cambria" w:hAnsi="Cambria"/>
          <w:sz w:val="16"/>
          <w:szCs w:val="16"/>
          <w:vertAlign w:val="superscript"/>
        </w:rPr>
        <w:t xml:space="preserve"> </w:t>
      </w:r>
      <w:r w:rsidR="004E0B7E" w:rsidRPr="00CC562A">
        <w:rPr>
          <w:rFonts w:ascii="Cambria" w:hAnsi="Cambria"/>
          <w:color w:val="000000" w:themeColor="text1"/>
          <w:sz w:val="16"/>
          <w:szCs w:val="16"/>
        </w:rPr>
        <w:t>IACHR</w:t>
      </w:r>
      <w:r w:rsidRPr="00CC562A">
        <w:rPr>
          <w:rFonts w:ascii="Cambria" w:hAnsi="Cambria"/>
          <w:color w:val="000000" w:themeColor="text1"/>
          <w:sz w:val="16"/>
          <w:szCs w:val="16"/>
        </w:rPr>
        <w:t xml:space="preserve"> - </w:t>
      </w:r>
      <w:r w:rsidR="00474826" w:rsidRPr="00CC562A">
        <w:rPr>
          <w:rFonts w:ascii="Cambria" w:eastAsia="Cambria" w:hAnsi="Cambria" w:cs="Cambria"/>
          <w:color w:val="000000" w:themeColor="text1"/>
          <w:sz w:val="16"/>
          <w:szCs w:val="16"/>
        </w:rPr>
        <w:t>Inter-American SIMORE</w:t>
      </w:r>
      <w:r w:rsidRPr="00CC562A">
        <w:rPr>
          <w:rFonts w:ascii="Cambria" w:hAnsi="Cambria"/>
          <w:color w:val="000000" w:themeColor="text1"/>
          <w:sz w:val="16"/>
          <w:szCs w:val="16"/>
        </w:rPr>
        <w:t xml:space="preserve">, </w:t>
      </w:r>
      <w:hyperlink r:id="rId89" w:history="1">
        <w:r w:rsidRPr="00CC562A">
          <w:rPr>
            <w:rStyle w:val="Hyperlink"/>
            <w:rFonts w:ascii="Cambria" w:eastAsia="Cambria" w:hAnsi="Cambria" w:cs="Cambria"/>
            <w:sz w:val="16"/>
            <w:szCs w:val="16"/>
          </w:rPr>
          <w:t xml:space="preserve">Informe de Seguimiento </w:t>
        </w:r>
        <w:r w:rsidR="009F5F2C" w:rsidRPr="00CC562A">
          <w:rPr>
            <w:rStyle w:val="Hyperlink"/>
            <w:rFonts w:ascii="Cambria" w:eastAsia="Cambria" w:hAnsi="Cambria" w:cs="Cambria"/>
            <w:sz w:val="16"/>
            <w:szCs w:val="16"/>
          </w:rPr>
          <w:t>del Estado</w:t>
        </w:r>
        <w:r w:rsidRPr="00CC562A">
          <w:rPr>
            <w:rStyle w:val="Hyperlink"/>
            <w:rFonts w:ascii="Cambria" w:eastAsia="Cambria" w:hAnsi="Cambria" w:cs="Cambria"/>
            <w:sz w:val="16"/>
            <w:szCs w:val="16"/>
          </w:rPr>
          <w:t xml:space="preserve"> de México </w:t>
        </w:r>
        <w:r w:rsidRPr="00CC562A">
          <w:rPr>
            <w:rStyle w:val="Hyperlink"/>
            <w:rFonts w:ascii="Cambria" w:eastAsia="Cambria" w:hAnsi="Cambria" w:cs="Cambria"/>
            <w:sz w:val="16"/>
            <w:szCs w:val="16"/>
          </w:rPr>
          <w:t xml:space="preserve">– Recomendación </w:t>
        </w:r>
      </w:hyperlink>
      <w:r w:rsidRPr="00CC562A">
        <w:rPr>
          <w:rFonts w:ascii="Cambria" w:hAnsi="Cambria"/>
          <w:color w:val="0000FF"/>
          <w:sz w:val="16"/>
          <w:szCs w:val="16"/>
          <w:u w:val="single"/>
        </w:rPr>
        <w:t>54</w:t>
      </w:r>
      <w:r w:rsidRPr="00CC562A">
        <w:rPr>
          <w:rFonts w:ascii="Cambria" w:hAnsi="Cambria"/>
          <w:color w:val="000000" w:themeColor="text1"/>
          <w:sz w:val="16"/>
          <w:szCs w:val="16"/>
        </w:rPr>
        <w:t xml:space="preserve">, </w:t>
      </w:r>
      <w:r w:rsidR="00474826" w:rsidRPr="00CC562A">
        <w:rPr>
          <w:rFonts w:ascii="Cambria" w:hAnsi="Cambria"/>
          <w:color w:val="000000" w:themeColor="text1"/>
          <w:sz w:val="16"/>
          <w:szCs w:val="16"/>
        </w:rPr>
        <w:t xml:space="preserve">October </w:t>
      </w:r>
      <w:r w:rsidRPr="00CC562A">
        <w:rPr>
          <w:rFonts w:ascii="Cambria" w:hAnsi="Cambria"/>
          <w:color w:val="000000" w:themeColor="text1"/>
          <w:sz w:val="16"/>
          <w:szCs w:val="16"/>
        </w:rPr>
        <w:t>24</w:t>
      </w:r>
      <w:r w:rsidR="00474826" w:rsidRPr="00CC562A">
        <w:rPr>
          <w:rFonts w:ascii="Cambria" w:hAnsi="Cambria"/>
          <w:color w:val="000000" w:themeColor="text1"/>
          <w:sz w:val="16"/>
          <w:szCs w:val="16"/>
        </w:rPr>
        <w:t>,</w:t>
      </w:r>
      <w:r w:rsidRPr="00CC562A">
        <w:rPr>
          <w:rFonts w:ascii="Cambria" w:hAnsi="Cambria"/>
          <w:color w:val="000000" w:themeColor="text1"/>
          <w:sz w:val="16"/>
          <w:szCs w:val="16"/>
        </w:rPr>
        <w:t xml:space="preserve"> 2022.  </w:t>
      </w:r>
    </w:p>
  </w:footnote>
  <w:footnote w:id="260">
    <w:p w14:paraId="08E852F2" w14:textId="5B1956F2" w:rsidR="47CD22F8" w:rsidRPr="00CC562A" w:rsidRDefault="47CD22F8" w:rsidP="007A58B5">
      <w:pPr>
        <w:pStyle w:val="NoSpacing"/>
        <w:ind w:firstLine="720"/>
        <w:jc w:val="both"/>
        <w:rPr>
          <w:rFonts w:ascii="Cambria" w:hAnsi="Cambria"/>
          <w:color w:val="000000" w:themeColor="text1"/>
          <w:sz w:val="16"/>
          <w:szCs w:val="16"/>
        </w:rPr>
      </w:pPr>
      <w:r w:rsidRPr="00CC562A">
        <w:rPr>
          <w:rFonts w:ascii="Cambria" w:hAnsi="Cambria"/>
          <w:sz w:val="16"/>
          <w:szCs w:val="16"/>
          <w:vertAlign w:val="superscript"/>
          <w:lang w:val="en-US"/>
        </w:rPr>
        <w:footnoteRef/>
      </w:r>
      <w:r w:rsidRPr="00CC562A">
        <w:rPr>
          <w:rFonts w:ascii="Cambria" w:hAnsi="Cambria"/>
          <w:sz w:val="16"/>
          <w:szCs w:val="16"/>
          <w:vertAlign w:val="superscript"/>
        </w:rPr>
        <w:t xml:space="preserve"> </w:t>
      </w:r>
      <w:r w:rsidR="004E0B7E" w:rsidRPr="00CC562A">
        <w:rPr>
          <w:rFonts w:ascii="Cambria" w:hAnsi="Cambria"/>
          <w:color w:val="000000" w:themeColor="text1"/>
          <w:sz w:val="16"/>
          <w:szCs w:val="16"/>
        </w:rPr>
        <w:t>IACHR</w:t>
      </w:r>
      <w:r w:rsidRPr="00CC562A">
        <w:rPr>
          <w:rFonts w:ascii="Cambria" w:hAnsi="Cambria"/>
          <w:color w:val="000000" w:themeColor="text1"/>
          <w:sz w:val="16"/>
          <w:szCs w:val="16"/>
        </w:rPr>
        <w:t xml:space="preserve"> - </w:t>
      </w:r>
      <w:r w:rsidR="00474826" w:rsidRPr="00CC562A">
        <w:rPr>
          <w:rFonts w:ascii="Cambria" w:eastAsia="Cambria" w:hAnsi="Cambria" w:cs="Cambria"/>
          <w:color w:val="000000" w:themeColor="text1"/>
          <w:sz w:val="16"/>
          <w:szCs w:val="16"/>
        </w:rPr>
        <w:t>Inter-American SIMORE</w:t>
      </w:r>
      <w:r w:rsidRPr="00CC562A">
        <w:rPr>
          <w:rFonts w:ascii="Cambria" w:hAnsi="Cambria"/>
          <w:color w:val="000000" w:themeColor="text1"/>
          <w:sz w:val="16"/>
          <w:szCs w:val="16"/>
        </w:rPr>
        <w:t xml:space="preserve">, </w:t>
      </w:r>
      <w:hyperlink r:id="rId90" w:history="1">
        <w:r w:rsidRPr="00CC562A">
          <w:rPr>
            <w:rStyle w:val="Hyperlink"/>
            <w:rFonts w:ascii="Cambria" w:eastAsia="Cambria" w:hAnsi="Cambria" w:cs="Cambria"/>
            <w:sz w:val="16"/>
            <w:szCs w:val="16"/>
          </w:rPr>
          <w:t xml:space="preserve">Informe de Seguimiento </w:t>
        </w:r>
        <w:r w:rsidR="009F5F2C" w:rsidRPr="00CC562A">
          <w:rPr>
            <w:rStyle w:val="Hyperlink"/>
            <w:rFonts w:ascii="Cambria" w:eastAsia="Cambria" w:hAnsi="Cambria" w:cs="Cambria"/>
            <w:sz w:val="16"/>
            <w:szCs w:val="16"/>
          </w:rPr>
          <w:t>del Estado</w:t>
        </w:r>
        <w:r w:rsidRPr="00CC562A">
          <w:rPr>
            <w:rStyle w:val="Hyperlink"/>
            <w:rFonts w:ascii="Cambria" w:eastAsia="Cambria" w:hAnsi="Cambria" w:cs="Cambria"/>
            <w:sz w:val="16"/>
            <w:szCs w:val="16"/>
          </w:rPr>
          <w:t xml:space="preserve"> de México </w:t>
        </w:r>
        <w:r w:rsidRPr="00CC562A">
          <w:rPr>
            <w:rStyle w:val="Hyperlink"/>
            <w:rFonts w:ascii="Cambria" w:eastAsia="Cambria" w:hAnsi="Cambria" w:cs="Cambria"/>
            <w:sz w:val="16"/>
            <w:szCs w:val="16"/>
          </w:rPr>
          <w:t xml:space="preserve">– Recomendación </w:t>
        </w:r>
      </w:hyperlink>
      <w:r w:rsidRPr="00CC562A">
        <w:rPr>
          <w:rFonts w:ascii="Cambria" w:hAnsi="Cambria"/>
          <w:color w:val="0000FF"/>
          <w:sz w:val="16"/>
          <w:szCs w:val="16"/>
          <w:u w:val="single"/>
        </w:rPr>
        <w:t>54</w:t>
      </w:r>
      <w:r w:rsidRPr="00CC562A">
        <w:rPr>
          <w:rFonts w:ascii="Cambria" w:hAnsi="Cambria"/>
          <w:color w:val="000000" w:themeColor="text1"/>
          <w:sz w:val="16"/>
          <w:szCs w:val="16"/>
        </w:rPr>
        <w:t xml:space="preserve">, </w:t>
      </w:r>
      <w:r w:rsidR="00474826" w:rsidRPr="00CC562A">
        <w:rPr>
          <w:rFonts w:ascii="Cambria" w:hAnsi="Cambria"/>
          <w:color w:val="000000" w:themeColor="text1"/>
          <w:sz w:val="16"/>
          <w:szCs w:val="16"/>
        </w:rPr>
        <w:t xml:space="preserve">October 24, </w:t>
      </w:r>
      <w:r w:rsidRPr="00CC562A">
        <w:rPr>
          <w:rFonts w:ascii="Cambria" w:hAnsi="Cambria"/>
          <w:color w:val="000000" w:themeColor="text1"/>
          <w:sz w:val="16"/>
          <w:szCs w:val="16"/>
        </w:rPr>
        <w:t xml:space="preserve">2022.  </w:t>
      </w:r>
    </w:p>
  </w:footnote>
  <w:footnote w:id="261">
    <w:p w14:paraId="2760363C" w14:textId="2B33527A" w:rsidR="47CD22F8" w:rsidRPr="00CC562A" w:rsidRDefault="47CD22F8" w:rsidP="007A58B5">
      <w:pPr>
        <w:pStyle w:val="NoSpacing"/>
        <w:ind w:firstLine="720"/>
        <w:jc w:val="both"/>
        <w:rPr>
          <w:rFonts w:ascii="Cambria" w:hAnsi="Cambria"/>
          <w:color w:val="000000" w:themeColor="text1"/>
          <w:sz w:val="16"/>
          <w:szCs w:val="16"/>
        </w:rPr>
      </w:pPr>
      <w:r w:rsidRPr="00CC562A">
        <w:rPr>
          <w:rFonts w:ascii="Cambria" w:hAnsi="Cambria"/>
          <w:sz w:val="16"/>
          <w:szCs w:val="16"/>
          <w:vertAlign w:val="superscript"/>
          <w:lang w:val="en-US"/>
        </w:rPr>
        <w:footnoteRef/>
      </w:r>
      <w:r w:rsidRPr="00CC562A">
        <w:rPr>
          <w:rFonts w:ascii="Cambria" w:hAnsi="Cambria"/>
          <w:sz w:val="16"/>
          <w:szCs w:val="16"/>
          <w:vertAlign w:val="superscript"/>
        </w:rPr>
        <w:t xml:space="preserve"> </w:t>
      </w:r>
      <w:r w:rsidR="004E0B7E" w:rsidRPr="00CC562A">
        <w:rPr>
          <w:rFonts w:ascii="Cambria" w:hAnsi="Cambria"/>
          <w:color w:val="000000" w:themeColor="text1"/>
          <w:sz w:val="16"/>
          <w:szCs w:val="16"/>
        </w:rPr>
        <w:t>IACHR</w:t>
      </w:r>
      <w:r w:rsidRPr="00CC562A">
        <w:rPr>
          <w:rFonts w:ascii="Cambria" w:hAnsi="Cambria"/>
          <w:color w:val="000000" w:themeColor="text1"/>
          <w:sz w:val="16"/>
          <w:szCs w:val="16"/>
        </w:rPr>
        <w:t xml:space="preserve"> - </w:t>
      </w:r>
      <w:r w:rsidR="00474826" w:rsidRPr="00CC562A">
        <w:rPr>
          <w:rFonts w:ascii="Cambria" w:eastAsia="Cambria" w:hAnsi="Cambria" w:cs="Cambria"/>
          <w:color w:val="000000" w:themeColor="text1"/>
          <w:sz w:val="16"/>
          <w:szCs w:val="16"/>
        </w:rPr>
        <w:t>Inter-American SIMORE</w:t>
      </w:r>
      <w:r w:rsidRPr="00CC562A">
        <w:rPr>
          <w:rFonts w:ascii="Cambria" w:hAnsi="Cambria"/>
          <w:color w:val="000000" w:themeColor="text1"/>
          <w:sz w:val="16"/>
          <w:szCs w:val="16"/>
        </w:rPr>
        <w:t xml:space="preserve">, </w:t>
      </w:r>
      <w:hyperlink r:id="rId91" w:history="1">
        <w:r w:rsidRPr="00CC562A">
          <w:rPr>
            <w:rStyle w:val="Hyperlink"/>
            <w:rFonts w:ascii="Cambria" w:eastAsia="Cambria" w:hAnsi="Cambria" w:cs="Cambria"/>
            <w:sz w:val="16"/>
            <w:szCs w:val="16"/>
          </w:rPr>
          <w:t xml:space="preserve">Informe de Seguimiento </w:t>
        </w:r>
        <w:r w:rsidR="009F5F2C" w:rsidRPr="00CC562A">
          <w:rPr>
            <w:rStyle w:val="Hyperlink"/>
            <w:rFonts w:ascii="Cambria" w:eastAsia="Cambria" w:hAnsi="Cambria" w:cs="Cambria"/>
            <w:sz w:val="16"/>
            <w:szCs w:val="16"/>
          </w:rPr>
          <w:t>del Estado</w:t>
        </w:r>
        <w:r w:rsidRPr="00CC562A">
          <w:rPr>
            <w:rStyle w:val="Hyperlink"/>
            <w:rFonts w:ascii="Cambria" w:eastAsia="Cambria" w:hAnsi="Cambria" w:cs="Cambria"/>
            <w:sz w:val="16"/>
            <w:szCs w:val="16"/>
          </w:rPr>
          <w:t xml:space="preserve"> de México </w:t>
        </w:r>
        <w:r w:rsidRPr="00CC562A">
          <w:rPr>
            <w:rStyle w:val="Hyperlink"/>
            <w:rFonts w:ascii="Cambria" w:eastAsia="Cambria" w:hAnsi="Cambria" w:cs="Cambria"/>
            <w:sz w:val="16"/>
            <w:szCs w:val="16"/>
          </w:rPr>
          <w:t xml:space="preserve">– Recomendación </w:t>
        </w:r>
      </w:hyperlink>
      <w:r w:rsidRPr="00CC562A">
        <w:rPr>
          <w:rFonts w:ascii="Cambria" w:hAnsi="Cambria"/>
          <w:color w:val="0000FF"/>
          <w:sz w:val="16"/>
          <w:szCs w:val="16"/>
          <w:u w:val="single"/>
        </w:rPr>
        <w:t>54</w:t>
      </w:r>
      <w:r w:rsidRPr="00CC562A">
        <w:rPr>
          <w:rFonts w:ascii="Cambria" w:hAnsi="Cambria"/>
          <w:color w:val="000000" w:themeColor="text1"/>
          <w:sz w:val="16"/>
          <w:szCs w:val="16"/>
        </w:rPr>
        <w:t xml:space="preserve">, </w:t>
      </w:r>
      <w:r w:rsidR="00474826" w:rsidRPr="00CC562A">
        <w:rPr>
          <w:rFonts w:ascii="Cambria" w:hAnsi="Cambria"/>
          <w:color w:val="000000" w:themeColor="text1"/>
          <w:sz w:val="16"/>
          <w:szCs w:val="16"/>
        </w:rPr>
        <w:t xml:space="preserve">October 24, </w:t>
      </w:r>
      <w:r w:rsidRPr="00CC562A">
        <w:rPr>
          <w:rFonts w:ascii="Cambria" w:hAnsi="Cambria"/>
          <w:color w:val="000000" w:themeColor="text1"/>
          <w:sz w:val="16"/>
          <w:szCs w:val="16"/>
        </w:rPr>
        <w:t xml:space="preserve">2022.  </w:t>
      </w:r>
    </w:p>
  </w:footnote>
  <w:footnote w:id="262">
    <w:p w14:paraId="42EA7CC7" w14:textId="465C6B29" w:rsidR="47CD22F8" w:rsidRPr="00CC562A" w:rsidRDefault="47CD22F8" w:rsidP="007A58B5">
      <w:pPr>
        <w:pStyle w:val="NoSpacing"/>
        <w:ind w:firstLine="720"/>
        <w:jc w:val="both"/>
        <w:rPr>
          <w:rFonts w:ascii="Cambria" w:hAnsi="Cambria"/>
          <w:color w:val="000000" w:themeColor="text1"/>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w:t>
      </w:r>
      <w:r w:rsidRPr="00CC562A">
        <w:rPr>
          <w:rFonts w:ascii="Cambria" w:hAnsi="Cambria"/>
          <w:color w:val="000000" w:themeColor="text1"/>
          <w:sz w:val="16"/>
          <w:szCs w:val="16"/>
        </w:rPr>
        <w:t>Secreta</w:t>
      </w:r>
      <w:r w:rsidR="00D26B8F" w:rsidRPr="00CC562A">
        <w:rPr>
          <w:rFonts w:ascii="Cambria" w:hAnsi="Cambria"/>
          <w:color w:val="000000" w:themeColor="text1"/>
          <w:sz w:val="16"/>
          <w:szCs w:val="16"/>
        </w:rPr>
        <w:t>riat of Security and Citizen Protection, Mexico</w:t>
      </w:r>
      <w:r w:rsidRPr="00CC562A">
        <w:rPr>
          <w:rFonts w:ascii="Cambria" w:hAnsi="Cambria"/>
          <w:color w:val="000000" w:themeColor="text1"/>
          <w:sz w:val="16"/>
          <w:szCs w:val="16"/>
        </w:rPr>
        <w:t>,</w:t>
      </w:r>
      <w:hyperlink r:id="rId92" w:history="1">
        <w:r w:rsidRPr="00CC562A">
          <w:rPr>
            <w:rStyle w:val="Hyperlink"/>
            <w:rFonts w:ascii="Cambria" w:eastAsia="Cambria" w:hAnsi="Cambria" w:cs="Cambria"/>
            <w:sz w:val="16"/>
            <w:szCs w:val="16"/>
          </w:rPr>
          <w:t xml:space="preserve"> </w:t>
        </w:r>
      </w:hyperlink>
      <w:hyperlink r:id="rId93" w:history="1">
        <w:r w:rsidRPr="00CC562A">
          <w:rPr>
            <w:rStyle w:val="Hyperlink"/>
            <w:rFonts w:ascii="Cambria" w:eastAsia="Cambria" w:hAnsi="Cambria" w:cs="Cambria"/>
            <w:sz w:val="16"/>
            <w:szCs w:val="16"/>
          </w:rPr>
          <w:t>Cuaderno mensual de información estadística penitenciaria nacional</w:t>
        </w:r>
      </w:hyperlink>
      <w:r w:rsidRPr="00CC562A">
        <w:rPr>
          <w:rFonts w:ascii="Cambria" w:hAnsi="Cambria"/>
          <w:color w:val="000000" w:themeColor="text1"/>
          <w:sz w:val="16"/>
          <w:szCs w:val="16"/>
        </w:rPr>
        <w:t xml:space="preserve">, </w:t>
      </w:r>
      <w:r w:rsidR="00D26B8F" w:rsidRPr="00CC562A">
        <w:rPr>
          <w:rFonts w:ascii="Cambria" w:hAnsi="Cambria"/>
          <w:color w:val="000000" w:themeColor="text1"/>
          <w:sz w:val="16"/>
          <w:szCs w:val="16"/>
        </w:rPr>
        <w:t xml:space="preserve">August </w:t>
      </w:r>
      <w:r w:rsidRPr="00CC562A">
        <w:rPr>
          <w:rFonts w:ascii="Cambria" w:hAnsi="Cambria"/>
          <w:color w:val="000000" w:themeColor="text1"/>
          <w:sz w:val="16"/>
          <w:szCs w:val="16"/>
        </w:rPr>
        <w:t xml:space="preserve">2022, p. 4.  </w:t>
      </w:r>
    </w:p>
  </w:footnote>
  <w:footnote w:id="263">
    <w:p w14:paraId="11CDF0F2" w14:textId="76FD709C" w:rsidR="47CD22F8" w:rsidRPr="00CC562A" w:rsidRDefault="47CD22F8"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D26B8F" w:rsidRPr="00CC562A">
        <w:rPr>
          <w:rFonts w:ascii="Cambria" w:hAnsi="Cambria"/>
          <w:sz w:val="16"/>
          <w:szCs w:val="16"/>
          <w:lang w:val="en-US"/>
        </w:rPr>
        <w:t>Justice System Support Unit</w:t>
      </w:r>
      <w:r w:rsidRPr="00CC562A">
        <w:rPr>
          <w:rFonts w:ascii="Cambria" w:hAnsi="Cambria"/>
          <w:sz w:val="16"/>
          <w:szCs w:val="16"/>
          <w:lang w:val="en-US"/>
        </w:rPr>
        <w:t xml:space="preserve"> </w:t>
      </w:r>
      <w:r w:rsidR="00D26B8F" w:rsidRPr="00CC562A">
        <w:rPr>
          <w:rFonts w:ascii="Cambria" w:hAnsi="Cambria"/>
          <w:sz w:val="16"/>
          <w:szCs w:val="16"/>
          <w:lang w:val="en-US"/>
        </w:rPr>
        <w:t>–</w:t>
      </w:r>
      <w:r w:rsidRPr="00CC562A">
        <w:rPr>
          <w:rFonts w:ascii="Cambria" w:hAnsi="Cambria"/>
          <w:sz w:val="16"/>
          <w:szCs w:val="16"/>
          <w:lang w:val="en-US"/>
        </w:rPr>
        <w:t xml:space="preserve"> </w:t>
      </w:r>
      <w:r w:rsidR="00D26B8F" w:rsidRPr="00CC562A">
        <w:rPr>
          <w:rFonts w:ascii="Cambria" w:hAnsi="Cambria"/>
          <w:sz w:val="16"/>
          <w:szCs w:val="16"/>
          <w:lang w:val="en-US"/>
        </w:rPr>
        <w:t xml:space="preserve">Technical Secretariat of the Amnesty Commission, </w:t>
      </w:r>
      <w:r w:rsidR="00D26B8F" w:rsidRPr="00CC562A">
        <w:rPr>
          <w:rFonts w:ascii="Cambria" w:hAnsi="Cambria"/>
          <w:sz w:val="16"/>
          <w:szCs w:val="16"/>
          <w:lang w:val="en-US"/>
        </w:rPr>
        <w:t>Government of Mexico</w:t>
      </w:r>
      <w:r w:rsidRPr="00CC562A">
        <w:rPr>
          <w:rFonts w:ascii="Cambria" w:hAnsi="Cambria"/>
          <w:sz w:val="16"/>
          <w:szCs w:val="16"/>
          <w:lang w:val="en-US"/>
        </w:rPr>
        <w:t xml:space="preserve">, </w:t>
      </w:r>
      <w:hyperlink r:id="rId94" w:history="1">
        <w:r w:rsidRPr="00CC562A">
          <w:rPr>
            <w:rStyle w:val="Hyperlink"/>
            <w:rFonts w:ascii="Cambria" w:eastAsia="Cambria" w:hAnsi="Cambria" w:cs="Cambria"/>
            <w:sz w:val="16"/>
            <w:szCs w:val="16"/>
            <w:lang w:val="en-US"/>
          </w:rPr>
          <w:t>Beneficio de Amnistía</w:t>
        </w:r>
      </w:hyperlink>
      <w:r w:rsidRPr="00CC562A">
        <w:rPr>
          <w:rFonts w:ascii="Cambria" w:hAnsi="Cambria"/>
          <w:sz w:val="16"/>
          <w:szCs w:val="16"/>
          <w:lang w:val="en-US"/>
        </w:rPr>
        <w:t xml:space="preserve">, </w:t>
      </w:r>
      <w:r w:rsidR="00D26B8F" w:rsidRPr="00CC562A">
        <w:rPr>
          <w:rFonts w:ascii="Cambria" w:hAnsi="Cambria"/>
          <w:sz w:val="16"/>
          <w:szCs w:val="16"/>
          <w:lang w:val="en-US"/>
        </w:rPr>
        <w:t>November 28,</w:t>
      </w:r>
      <w:r w:rsidRPr="00CC562A">
        <w:rPr>
          <w:rFonts w:ascii="Cambria" w:hAnsi="Cambria"/>
          <w:sz w:val="16"/>
          <w:szCs w:val="16"/>
          <w:lang w:val="en-US"/>
        </w:rPr>
        <w:t xml:space="preserve"> 2022.</w:t>
      </w:r>
    </w:p>
  </w:footnote>
  <w:footnote w:id="264">
    <w:p w14:paraId="02BA3FDD" w14:textId="0EAFF8F7" w:rsidR="0020257A" w:rsidRPr="00CC562A" w:rsidRDefault="0020257A" w:rsidP="007A58B5">
      <w:pPr>
        <w:pStyle w:val="NoSpacing"/>
        <w:ind w:firstLine="720"/>
        <w:jc w:val="both"/>
        <w:rPr>
          <w:rFonts w:ascii="Cambria" w:hAnsi="Cambria"/>
          <w:sz w:val="16"/>
          <w:szCs w:val="16"/>
        </w:rPr>
      </w:pPr>
      <w:r w:rsidRPr="00CC562A">
        <w:rPr>
          <w:rStyle w:val="FootnoteReference"/>
          <w:rFonts w:ascii="Cambria" w:hAnsi="Cambria"/>
          <w:sz w:val="16"/>
          <w:szCs w:val="16"/>
          <w:lang w:val="en-US"/>
        </w:rPr>
        <w:footnoteRef/>
      </w:r>
      <w:r w:rsidR="4D1A0B04" w:rsidRPr="00CC562A">
        <w:rPr>
          <w:rFonts w:ascii="Cambria" w:hAnsi="Cambria"/>
          <w:sz w:val="16"/>
          <w:szCs w:val="16"/>
        </w:rPr>
        <w:t xml:space="preserve"> SEGOB, </w:t>
      </w:r>
      <w:hyperlink r:id="rId95" w:history="1">
        <w:r w:rsidR="4D1A0B04" w:rsidRPr="00CC562A">
          <w:rPr>
            <w:rStyle w:val="Hyperlink"/>
            <w:rFonts w:ascii="Cambria" w:hAnsi="Cambria"/>
            <w:sz w:val="16"/>
            <w:szCs w:val="16"/>
          </w:rPr>
          <w:t>Cuaderno Mensual de Información Penitenciaria</w:t>
        </w:r>
      </w:hyperlink>
      <w:r w:rsidR="4D1A0B04" w:rsidRPr="00CC562A">
        <w:rPr>
          <w:rFonts w:ascii="Cambria" w:hAnsi="Cambria"/>
          <w:sz w:val="16"/>
          <w:szCs w:val="16"/>
        </w:rPr>
        <w:t>, 2022.</w:t>
      </w:r>
    </w:p>
  </w:footnote>
  <w:footnote w:id="265">
    <w:p w14:paraId="22D53B83" w14:textId="4D36302D" w:rsidR="00C95C02" w:rsidRPr="00CC562A" w:rsidRDefault="00C95C02" w:rsidP="007A58B5">
      <w:pPr>
        <w:pStyle w:val="FootnoteText"/>
        <w:spacing w:line="240" w:lineRule="auto"/>
        <w:ind w:firstLine="720"/>
        <w:rPr>
          <w:lang w:val="en-US"/>
        </w:rPr>
      </w:pPr>
      <w:r w:rsidRPr="00CC562A">
        <w:rPr>
          <w:rStyle w:val="FootnoteReference"/>
          <w:lang w:val="en-US"/>
        </w:rPr>
        <w:footnoteRef/>
      </w:r>
      <w:r w:rsidRPr="00CC562A">
        <w:rPr>
          <w:lang w:val="en-US"/>
        </w:rPr>
        <w:t xml:space="preserve"> </w:t>
      </w:r>
      <w:r w:rsidR="00DF5149" w:rsidRPr="00CC562A">
        <w:rPr>
          <w:lang w:val="en-US"/>
        </w:rPr>
        <w:t>Progress report of the Mexican State on compliance with and follow-up to the recommendations of the IACHR. Chapter V, October 2022</w:t>
      </w:r>
      <w:r w:rsidRPr="00CC562A">
        <w:rPr>
          <w:lang w:val="en-US"/>
        </w:rPr>
        <w:t xml:space="preserve"> </w:t>
      </w:r>
      <w:r w:rsidR="00736A6B" w:rsidRPr="00CC562A">
        <w:rPr>
          <w:lang w:val="en-US"/>
        </w:rPr>
        <w:t>through the Inter-American SIMORE.</w:t>
      </w:r>
    </w:p>
  </w:footnote>
  <w:footnote w:id="266">
    <w:p w14:paraId="70D30297" w14:textId="213E9A48" w:rsidR="00D701CC" w:rsidRPr="00CC562A" w:rsidRDefault="00D701CC"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26B8F" w:rsidRPr="00CC562A">
        <w:rPr>
          <w:color w:val="000000"/>
          <w:shd w:val="clear" w:color="auto" w:fill="FFFFFF"/>
          <w:lang w:val="en-US"/>
        </w:rPr>
        <w:t>Report of the Mexican State.</w:t>
      </w:r>
      <w:r w:rsidR="4D1A0B04" w:rsidRPr="00A63873">
        <w:rPr>
          <w:color w:val="000000"/>
          <w:shd w:val="clear" w:color="auto" w:fill="FFFFFF"/>
          <w:lang w:val="en-US"/>
        </w:rPr>
        <w:t xml:space="preserve"> </w:t>
      </w:r>
      <w:r w:rsidR="00D26B8F" w:rsidRPr="00A63873">
        <w:rPr>
          <w:color w:val="000000"/>
          <w:shd w:val="clear" w:color="auto" w:fill="FFFFFF"/>
          <w:lang w:val="en-US"/>
        </w:rPr>
        <w:t>Chapter</w:t>
      </w:r>
      <w:r w:rsidR="4D1A0B04" w:rsidRPr="00A63873">
        <w:rPr>
          <w:color w:val="000000"/>
          <w:shd w:val="clear" w:color="auto" w:fill="FFFFFF"/>
          <w:lang w:val="en-US"/>
        </w:rPr>
        <w:t xml:space="preserve"> IV. </w:t>
      </w:r>
      <w:r w:rsidR="00D26B8F" w:rsidRPr="00A63873">
        <w:rPr>
          <w:color w:val="000000"/>
          <w:shd w:val="clear" w:color="auto" w:fill="FFFFFF"/>
          <w:lang w:val="en-US"/>
        </w:rPr>
        <w:t xml:space="preserve">November 18, </w:t>
      </w:r>
      <w:r w:rsidR="4D1A0B04" w:rsidRPr="00A63873">
        <w:rPr>
          <w:color w:val="000000"/>
          <w:shd w:val="clear" w:color="auto" w:fill="FFFFFF"/>
          <w:lang w:val="en-US"/>
        </w:rPr>
        <w:t xml:space="preserve">2022, </w:t>
      </w:r>
      <w:r w:rsidR="00D26B8F" w:rsidRPr="00A63873">
        <w:rPr>
          <w:color w:val="000000"/>
          <w:shd w:val="clear" w:color="auto" w:fill="FFFFFF"/>
          <w:lang w:val="en-US"/>
        </w:rPr>
        <w:t>paras</w:t>
      </w:r>
      <w:r w:rsidR="4D1A0B04" w:rsidRPr="00A63873">
        <w:rPr>
          <w:color w:val="000000"/>
          <w:shd w:val="clear" w:color="auto" w:fill="FFFFFF"/>
          <w:lang w:val="en-US"/>
        </w:rPr>
        <w:t xml:space="preserve">. </w:t>
      </w:r>
      <w:r w:rsidR="4D1A0B04" w:rsidRPr="00CC562A">
        <w:rPr>
          <w:color w:val="000000"/>
          <w:shd w:val="clear" w:color="auto" w:fill="FFFFFF"/>
          <w:lang w:val="en-US"/>
        </w:rPr>
        <w:t>165-166.</w:t>
      </w:r>
    </w:p>
  </w:footnote>
  <w:footnote w:id="267">
    <w:p w14:paraId="0864FD51" w14:textId="4B19E6F8"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68">
    <w:p w14:paraId="6457FE20" w14:textId="631E3F75" w:rsidR="00F34952" w:rsidRPr="00CC562A" w:rsidRDefault="00F34952"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4E0B7E" w:rsidRPr="00CC562A">
        <w:rPr>
          <w:rFonts w:cs="Times New Roman"/>
          <w:lang w:val="en-US"/>
        </w:rPr>
        <w:t>IACHR</w:t>
      </w:r>
      <w:r w:rsidR="4D1A0B04" w:rsidRPr="00CC562A">
        <w:rPr>
          <w:rFonts w:cs="Times New Roman"/>
          <w:lang w:val="en-US"/>
        </w:rPr>
        <w:t xml:space="preserve">, </w:t>
      </w:r>
      <w:hyperlink r:id="rId96" w:history="1">
        <w:r w:rsidR="00C3669B" w:rsidRPr="00CC562A">
          <w:rPr>
            <w:rStyle w:val="Hyperlink"/>
            <w:rFonts w:cs="Times New Roman"/>
            <w:lang w:val="en-US"/>
          </w:rPr>
          <w:t>Annual Report, Chapter</w:t>
        </w:r>
        <w:r w:rsidR="4D1A0B04" w:rsidRPr="00CC562A">
          <w:rPr>
            <w:rStyle w:val="Hyperlink"/>
            <w:rFonts w:cs="Times New Roman"/>
            <w:lang w:val="en-US"/>
          </w:rPr>
          <w:t xml:space="preserve"> V</w:t>
        </w:r>
      </w:hyperlink>
      <w:r w:rsidR="4D1A0B04" w:rsidRPr="00CC562A">
        <w:rPr>
          <w:rFonts w:cs="Times New Roman"/>
          <w:lang w:val="en-US"/>
        </w:rPr>
        <w:t>, Me</w:t>
      </w:r>
      <w:r w:rsidR="00C3669B" w:rsidRPr="00CC562A">
        <w:rPr>
          <w:rFonts w:cs="Times New Roman"/>
          <w:lang w:val="en-US"/>
        </w:rPr>
        <w:t>x</w:t>
      </w:r>
      <w:r w:rsidR="4D1A0B04" w:rsidRPr="00CC562A">
        <w:rPr>
          <w:rFonts w:cs="Times New Roman"/>
          <w:lang w:val="en-US"/>
        </w:rPr>
        <w:t xml:space="preserve">ico, 2020, </w:t>
      </w:r>
      <w:r w:rsidR="00736A6B" w:rsidRPr="00CC562A">
        <w:rPr>
          <w:rFonts w:cs="Times New Roman"/>
          <w:lang w:val="en-US"/>
        </w:rPr>
        <w:t>para.</w:t>
      </w:r>
      <w:r w:rsidR="4D1A0B04" w:rsidRPr="00CC562A">
        <w:rPr>
          <w:rFonts w:cs="Times New Roman"/>
          <w:lang w:val="en-US"/>
        </w:rPr>
        <w:t xml:space="preserve"> 276.</w:t>
      </w:r>
    </w:p>
  </w:footnote>
  <w:footnote w:id="269">
    <w:p w14:paraId="56461DE3" w14:textId="360E74F9" w:rsidR="00865D51" w:rsidRPr="00CC562A" w:rsidRDefault="00865D5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76322D" w:rsidRPr="00CC562A">
        <w:rPr>
          <w:lang w:val="en-US"/>
        </w:rPr>
        <w:t xml:space="preserve">Follow-up on </w:t>
      </w:r>
      <w:r w:rsidR="00D26B8F" w:rsidRPr="00CC562A">
        <w:rPr>
          <w:lang w:val="en-US"/>
        </w:rPr>
        <w:t>C</w:t>
      </w:r>
      <w:r w:rsidR="0076322D" w:rsidRPr="00CC562A">
        <w:rPr>
          <w:lang w:val="en-US"/>
        </w:rPr>
        <w:t xml:space="preserve">ompliance with </w:t>
      </w:r>
      <w:r w:rsidR="00D26B8F" w:rsidRPr="00CC562A">
        <w:rPr>
          <w:lang w:val="en-US"/>
        </w:rPr>
        <w:t>R</w:t>
      </w:r>
      <w:r w:rsidR="0076322D" w:rsidRPr="00CC562A">
        <w:rPr>
          <w:lang w:val="en-US"/>
        </w:rPr>
        <w:t xml:space="preserve">ecommendations in the </w:t>
      </w:r>
      <w:r w:rsidR="00D26B8F" w:rsidRPr="00CC562A">
        <w:rPr>
          <w:lang w:val="en-US"/>
        </w:rPr>
        <w:t>R</w:t>
      </w:r>
      <w:r w:rsidR="0076322D" w:rsidRPr="00CC562A">
        <w:rPr>
          <w:lang w:val="en-US"/>
        </w:rPr>
        <w:t>eport on the “Situation of Human Rights in Mexico</w:t>
      </w:r>
      <w:r w:rsidR="00C80FE5" w:rsidRPr="00CC562A">
        <w:rPr>
          <w:lang w:val="en-US"/>
        </w:rPr>
        <w:t>,” October</w:t>
      </w:r>
      <w:r w:rsidR="0076322D" w:rsidRPr="00CC562A">
        <w:rPr>
          <w:lang w:val="en-US"/>
        </w:rPr>
        <w:t xml:space="preserve"> 21,</w:t>
      </w:r>
      <w:r w:rsidR="4D1A0B04" w:rsidRPr="00CC562A">
        <w:rPr>
          <w:lang w:val="en-US"/>
        </w:rPr>
        <w:t xml:space="preserve"> 2022, </w:t>
      </w:r>
      <w:r w:rsidR="009E09A3" w:rsidRPr="00CC562A">
        <w:rPr>
          <w:lang w:val="en-US"/>
        </w:rPr>
        <w:t>p.</w:t>
      </w:r>
      <w:r w:rsidR="4D1A0B04" w:rsidRPr="00CC562A">
        <w:rPr>
          <w:lang w:val="en-US"/>
        </w:rPr>
        <w:t xml:space="preserve"> 19.</w:t>
      </w:r>
    </w:p>
  </w:footnote>
  <w:footnote w:id="270">
    <w:p w14:paraId="6B725378" w14:textId="5F687309" w:rsidR="005D39BF" w:rsidRPr="00A63873" w:rsidRDefault="005D39BF"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A63873">
        <w:rPr>
          <w:rFonts w:ascii="Cambria" w:hAnsi="Cambria"/>
          <w:sz w:val="16"/>
          <w:szCs w:val="16"/>
          <w:lang w:val="en-US"/>
        </w:rPr>
        <w:t xml:space="preserve"> </w:t>
      </w:r>
      <w:hyperlink r:id="rId97" w:history="1">
        <w:r w:rsidR="00821E4B" w:rsidRPr="00A63873">
          <w:rPr>
            <w:rStyle w:val="Hyperlink"/>
            <w:rFonts w:ascii="Cambria" w:hAnsi="Cambria"/>
            <w:sz w:val="16"/>
            <w:szCs w:val="16"/>
            <w:lang w:val="en-US"/>
          </w:rPr>
          <w:t>Informe de actividades de la Guardia Nacional 2021</w:t>
        </w:r>
      </w:hyperlink>
      <w:r w:rsidR="00821E4B" w:rsidRPr="00A63873">
        <w:rPr>
          <w:rFonts w:ascii="Cambria" w:hAnsi="Cambria"/>
          <w:sz w:val="16"/>
          <w:szCs w:val="16"/>
          <w:lang w:val="en-US"/>
        </w:rPr>
        <w:t xml:space="preserve">, </w:t>
      </w:r>
      <w:r w:rsidR="004E0B7E" w:rsidRPr="00A63873">
        <w:rPr>
          <w:rFonts w:ascii="Cambria" w:hAnsi="Cambria"/>
          <w:sz w:val="16"/>
          <w:szCs w:val="16"/>
          <w:lang w:val="en-US"/>
        </w:rPr>
        <w:t>pp.</w:t>
      </w:r>
      <w:r w:rsidRPr="00A63873">
        <w:rPr>
          <w:rFonts w:ascii="Cambria" w:hAnsi="Cambria"/>
          <w:sz w:val="16"/>
          <w:szCs w:val="16"/>
          <w:lang w:val="en-US"/>
        </w:rPr>
        <w:t xml:space="preserve"> 43-44. </w:t>
      </w:r>
    </w:p>
  </w:footnote>
  <w:footnote w:id="271">
    <w:p w14:paraId="1BF90F8B" w14:textId="7823BCCF" w:rsidR="005D39BF" w:rsidRPr="00A63873" w:rsidRDefault="005D39BF"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A63873">
        <w:rPr>
          <w:rFonts w:ascii="Cambria" w:hAnsi="Cambria"/>
          <w:sz w:val="16"/>
          <w:szCs w:val="16"/>
          <w:lang w:val="en-US"/>
        </w:rPr>
        <w:t xml:space="preserve"> </w:t>
      </w:r>
      <w:hyperlink r:id="rId98" w:history="1">
        <w:r w:rsidR="00821E4B" w:rsidRPr="00A63873">
          <w:rPr>
            <w:rStyle w:val="Hyperlink"/>
            <w:rFonts w:ascii="Cambria" w:hAnsi="Cambria"/>
            <w:sz w:val="16"/>
            <w:szCs w:val="16"/>
            <w:lang w:val="en-US"/>
          </w:rPr>
          <w:t>Informe de actividades de la Guardia Nacional 2021</w:t>
        </w:r>
      </w:hyperlink>
      <w:r w:rsidR="00821E4B" w:rsidRPr="00A63873">
        <w:rPr>
          <w:rFonts w:ascii="Cambria" w:hAnsi="Cambria"/>
          <w:sz w:val="16"/>
          <w:szCs w:val="16"/>
          <w:lang w:val="en-US"/>
        </w:rPr>
        <w:t xml:space="preserve">, </w:t>
      </w:r>
      <w:r w:rsidR="009E09A3" w:rsidRPr="00A63873">
        <w:rPr>
          <w:rFonts w:ascii="Cambria" w:hAnsi="Cambria"/>
          <w:sz w:val="16"/>
          <w:szCs w:val="16"/>
          <w:lang w:val="en-US"/>
        </w:rPr>
        <w:t>p.</w:t>
      </w:r>
      <w:r w:rsidRPr="00A63873">
        <w:rPr>
          <w:rFonts w:ascii="Cambria" w:hAnsi="Cambria"/>
          <w:sz w:val="16"/>
          <w:szCs w:val="16"/>
          <w:lang w:val="en-US"/>
        </w:rPr>
        <w:t xml:space="preserve"> 38. </w:t>
      </w:r>
    </w:p>
  </w:footnote>
  <w:footnote w:id="272">
    <w:p w14:paraId="3CD5FF2B" w14:textId="7DD50106" w:rsidR="005D39BF" w:rsidRPr="00A63873" w:rsidRDefault="005D39BF"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A63873">
        <w:rPr>
          <w:rFonts w:ascii="Cambria" w:hAnsi="Cambria"/>
          <w:sz w:val="16"/>
          <w:szCs w:val="16"/>
          <w:lang w:val="en-US"/>
        </w:rPr>
        <w:t xml:space="preserve"> </w:t>
      </w:r>
      <w:hyperlink r:id="rId99" w:history="1">
        <w:r w:rsidR="00821E4B" w:rsidRPr="00A63873">
          <w:rPr>
            <w:rStyle w:val="Hyperlink"/>
            <w:rFonts w:ascii="Cambria" w:hAnsi="Cambria"/>
            <w:sz w:val="16"/>
            <w:szCs w:val="16"/>
            <w:lang w:val="en-US"/>
          </w:rPr>
          <w:t>Informe de actividades de la Guardia Nacional 2021</w:t>
        </w:r>
      </w:hyperlink>
      <w:r w:rsidR="00821E4B" w:rsidRPr="00A63873">
        <w:rPr>
          <w:rFonts w:ascii="Cambria" w:hAnsi="Cambria"/>
          <w:sz w:val="16"/>
          <w:szCs w:val="16"/>
          <w:lang w:val="en-US"/>
        </w:rPr>
        <w:t xml:space="preserve">, </w:t>
      </w:r>
      <w:r w:rsidR="009E09A3" w:rsidRPr="00A63873">
        <w:rPr>
          <w:rFonts w:ascii="Cambria" w:hAnsi="Cambria"/>
          <w:sz w:val="16"/>
          <w:szCs w:val="16"/>
          <w:lang w:val="en-US"/>
        </w:rPr>
        <w:t>p.</w:t>
      </w:r>
      <w:r w:rsidRPr="00A63873">
        <w:rPr>
          <w:rFonts w:ascii="Cambria" w:hAnsi="Cambria"/>
          <w:sz w:val="16"/>
          <w:szCs w:val="16"/>
          <w:lang w:val="en-US"/>
        </w:rPr>
        <w:t xml:space="preserve"> 45</w:t>
      </w:r>
      <w:r w:rsidR="00394599" w:rsidRPr="00A63873">
        <w:rPr>
          <w:rFonts w:ascii="Cambria" w:hAnsi="Cambria"/>
          <w:sz w:val="16"/>
          <w:szCs w:val="16"/>
          <w:lang w:val="en-US"/>
        </w:rPr>
        <w:t>.</w:t>
      </w:r>
    </w:p>
  </w:footnote>
  <w:footnote w:id="273">
    <w:p w14:paraId="39111111" w14:textId="59466822" w:rsidR="005D39BF" w:rsidRPr="00CC562A" w:rsidRDefault="005D39BF"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La Jornada</w:t>
      </w:r>
      <w:r w:rsidR="00821E4B" w:rsidRPr="00CC562A">
        <w:rPr>
          <w:rFonts w:ascii="Cambria" w:hAnsi="Cambria"/>
          <w:sz w:val="16"/>
          <w:szCs w:val="16"/>
          <w:lang w:val="es-ES"/>
        </w:rPr>
        <w:t>,</w:t>
      </w:r>
      <w:r w:rsidRPr="00CC562A">
        <w:rPr>
          <w:rFonts w:ascii="Cambria" w:hAnsi="Cambria"/>
          <w:sz w:val="16"/>
          <w:szCs w:val="16"/>
          <w:lang w:val="es-ES"/>
        </w:rPr>
        <w:t xml:space="preserve"> </w:t>
      </w:r>
      <w:hyperlink r:id="rId100" w:history="1">
        <w:r w:rsidRPr="00CC562A">
          <w:rPr>
            <w:rStyle w:val="Hyperlink"/>
            <w:rFonts w:ascii="Cambria" w:hAnsi="Cambria"/>
            <w:sz w:val="16"/>
            <w:szCs w:val="16"/>
            <w:lang w:val="es-ES"/>
          </w:rPr>
          <w:t>Llegan militares a Nuevo Laredo para reforzar seguridad en la frontera</w:t>
        </w:r>
      </w:hyperlink>
      <w:r w:rsidR="00821E4B" w:rsidRPr="00CC562A">
        <w:rPr>
          <w:rFonts w:ascii="Cambria" w:hAnsi="Cambria"/>
          <w:sz w:val="16"/>
          <w:szCs w:val="16"/>
          <w:lang w:val="es-ES"/>
        </w:rPr>
        <w:t>,</w:t>
      </w:r>
      <w:r w:rsidRPr="00CC562A">
        <w:rPr>
          <w:rFonts w:ascii="Cambria" w:hAnsi="Cambria"/>
          <w:sz w:val="16"/>
          <w:szCs w:val="16"/>
          <w:lang w:val="es-ES"/>
        </w:rPr>
        <w:t xml:space="preserve"> 18 de marzo de 2022. </w:t>
      </w:r>
    </w:p>
  </w:footnote>
  <w:footnote w:id="274">
    <w:p w14:paraId="5EC883BA" w14:textId="6AF66C43" w:rsidR="005D39BF" w:rsidRPr="00CC562A" w:rsidRDefault="005D39BF"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w:t>
      </w:r>
      <w:r w:rsidRPr="00CC562A">
        <w:rPr>
          <w:rFonts w:ascii="Cambria" w:hAnsi="Cambria"/>
          <w:sz w:val="16"/>
          <w:szCs w:val="16"/>
          <w:lang w:val="es-ES"/>
        </w:rPr>
        <w:t>Animal Político</w:t>
      </w:r>
      <w:r w:rsidR="00821E4B" w:rsidRPr="00CC562A">
        <w:rPr>
          <w:rFonts w:ascii="Cambria" w:hAnsi="Cambria"/>
          <w:sz w:val="16"/>
          <w:szCs w:val="16"/>
          <w:lang w:val="es-ES"/>
        </w:rPr>
        <w:t>,</w:t>
      </w:r>
      <w:r w:rsidRPr="00CC562A">
        <w:rPr>
          <w:rFonts w:ascii="Cambria" w:hAnsi="Cambria"/>
          <w:sz w:val="16"/>
          <w:szCs w:val="16"/>
          <w:lang w:val="es-ES"/>
        </w:rPr>
        <w:t xml:space="preserve"> </w:t>
      </w:r>
      <w:hyperlink r:id="rId101" w:history="1">
        <w:r w:rsidRPr="00CC562A">
          <w:rPr>
            <w:rStyle w:val="Hyperlink"/>
            <w:rFonts w:ascii="Cambria" w:hAnsi="Cambria"/>
            <w:sz w:val="16"/>
            <w:szCs w:val="16"/>
            <w:lang w:val="es-ES"/>
          </w:rPr>
          <w:t>Sedena Leaks: Gobierno destina 7 veces más soldados a detener migrantes que a combatir huachicol</w:t>
        </w:r>
      </w:hyperlink>
      <w:r w:rsidR="00821E4B" w:rsidRPr="00CC562A">
        <w:rPr>
          <w:rFonts w:ascii="Cambria" w:hAnsi="Cambria"/>
          <w:sz w:val="16"/>
          <w:szCs w:val="16"/>
          <w:lang w:val="es-ES"/>
        </w:rPr>
        <w:t>,</w:t>
      </w:r>
      <w:r w:rsidRPr="00CC562A">
        <w:rPr>
          <w:rFonts w:ascii="Cambria" w:hAnsi="Cambria"/>
          <w:sz w:val="16"/>
          <w:szCs w:val="16"/>
          <w:lang w:val="es-ES"/>
        </w:rPr>
        <w:t xml:space="preserve"> </w:t>
      </w:r>
      <w:r w:rsidR="00D26B8F" w:rsidRPr="00CC562A">
        <w:rPr>
          <w:rFonts w:ascii="Cambria" w:hAnsi="Cambria"/>
          <w:sz w:val="16"/>
          <w:szCs w:val="16"/>
          <w:lang w:val="es-ES"/>
        </w:rPr>
        <w:t xml:space="preserve">October 13, </w:t>
      </w:r>
      <w:r w:rsidRPr="00CC562A">
        <w:rPr>
          <w:rFonts w:ascii="Cambria" w:hAnsi="Cambria"/>
          <w:sz w:val="16"/>
          <w:szCs w:val="16"/>
          <w:lang w:val="es-ES"/>
        </w:rPr>
        <w:t xml:space="preserve">2022. </w:t>
      </w:r>
    </w:p>
  </w:footnote>
  <w:footnote w:id="275">
    <w:p w14:paraId="4D726C82" w14:textId="4D12EF3E" w:rsidR="005D39BF" w:rsidRPr="00CC562A" w:rsidRDefault="005D39BF"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SEDENA</w:t>
      </w:r>
      <w:r w:rsidR="00394599" w:rsidRPr="00CC562A">
        <w:rPr>
          <w:rFonts w:ascii="Cambria" w:hAnsi="Cambria"/>
          <w:sz w:val="16"/>
          <w:szCs w:val="16"/>
          <w:lang w:val="es-ES"/>
        </w:rPr>
        <w:t>,</w:t>
      </w:r>
      <w:r w:rsidRPr="00CC562A">
        <w:rPr>
          <w:rFonts w:ascii="Cambria" w:hAnsi="Cambria"/>
          <w:sz w:val="16"/>
          <w:szCs w:val="16"/>
          <w:lang w:val="es-ES"/>
        </w:rPr>
        <w:t xml:space="preserve"> </w:t>
      </w:r>
      <w:hyperlink r:id="rId102" w:history="1">
        <w:r w:rsidRPr="00CC562A">
          <w:rPr>
            <w:rStyle w:val="Hyperlink"/>
            <w:rFonts w:ascii="Cambria" w:hAnsi="Cambria"/>
            <w:sz w:val="16"/>
            <w:szCs w:val="16"/>
            <w:lang w:val="es-ES"/>
          </w:rPr>
          <w:t>4° Informe de labores 2021-2022, 1 de septiembre de 2022</w:t>
        </w:r>
      </w:hyperlink>
      <w:r w:rsidRPr="00CC562A">
        <w:rPr>
          <w:rFonts w:ascii="Cambria" w:hAnsi="Cambria"/>
          <w:sz w:val="16"/>
          <w:szCs w:val="16"/>
          <w:lang w:val="es-ES"/>
        </w:rPr>
        <w:t xml:space="preserve">, </w:t>
      </w:r>
      <w:r w:rsidR="009E09A3" w:rsidRPr="00CC562A">
        <w:rPr>
          <w:rFonts w:ascii="Cambria" w:hAnsi="Cambria"/>
          <w:sz w:val="16"/>
          <w:szCs w:val="16"/>
          <w:lang w:val="es-ES"/>
        </w:rPr>
        <w:t>p.</w:t>
      </w:r>
      <w:r w:rsidRPr="00CC562A">
        <w:rPr>
          <w:rFonts w:ascii="Cambria" w:hAnsi="Cambria"/>
          <w:sz w:val="16"/>
          <w:szCs w:val="16"/>
          <w:lang w:val="es-ES"/>
        </w:rPr>
        <w:t xml:space="preserve"> 175. </w:t>
      </w:r>
    </w:p>
  </w:footnote>
  <w:footnote w:id="276">
    <w:p w14:paraId="39B98D52" w14:textId="093C0E91" w:rsidR="005D39BF" w:rsidRPr="00CC562A" w:rsidRDefault="005D39BF"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Pr="00CC562A">
        <w:rPr>
          <w:rFonts w:ascii="Cambria" w:hAnsi="Cambria"/>
          <w:sz w:val="16"/>
          <w:szCs w:val="16"/>
          <w:lang w:val="es-ES"/>
        </w:rPr>
        <w:t xml:space="preserve"> SEMAR</w:t>
      </w:r>
      <w:r w:rsidR="00394599" w:rsidRPr="00CC562A">
        <w:rPr>
          <w:rFonts w:ascii="Cambria" w:hAnsi="Cambria"/>
          <w:sz w:val="16"/>
          <w:szCs w:val="16"/>
          <w:lang w:val="es-ES"/>
        </w:rPr>
        <w:t>,</w:t>
      </w:r>
      <w:r w:rsidRPr="00CC562A">
        <w:rPr>
          <w:rFonts w:ascii="Cambria" w:hAnsi="Cambria"/>
          <w:sz w:val="16"/>
          <w:szCs w:val="16"/>
          <w:lang w:val="es-ES"/>
        </w:rPr>
        <w:t xml:space="preserve"> </w:t>
      </w:r>
      <w:hyperlink r:id="rId103" w:history="1">
        <w:r w:rsidRPr="00CC562A">
          <w:rPr>
            <w:rStyle w:val="Hyperlink"/>
            <w:rFonts w:ascii="Cambria" w:hAnsi="Cambria"/>
            <w:sz w:val="16"/>
            <w:szCs w:val="16"/>
            <w:lang w:val="es-ES"/>
          </w:rPr>
          <w:t>4° Informe de labores 2021-2022, 1 de septiembre de 2022</w:t>
        </w:r>
      </w:hyperlink>
      <w:r w:rsidRPr="00CC562A">
        <w:rPr>
          <w:rFonts w:ascii="Cambria" w:hAnsi="Cambria"/>
          <w:sz w:val="16"/>
          <w:szCs w:val="16"/>
          <w:lang w:val="es-ES"/>
        </w:rPr>
        <w:t xml:space="preserve">, </w:t>
      </w:r>
      <w:r w:rsidR="009E09A3" w:rsidRPr="00CC562A">
        <w:rPr>
          <w:rFonts w:ascii="Cambria" w:hAnsi="Cambria"/>
          <w:sz w:val="16"/>
          <w:szCs w:val="16"/>
          <w:lang w:val="es-ES"/>
        </w:rPr>
        <w:t>p.</w:t>
      </w:r>
      <w:r w:rsidRPr="00CC562A">
        <w:rPr>
          <w:rFonts w:ascii="Cambria" w:hAnsi="Cambria"/>
          <w:sz w:val="16"/>
          <w:szCs w:val="16"/>
          <w:lang w:val="es-ES"/>
        </w:rPr>
        <w:t xml:space="preserve"> 28. </w:t>
      </w:r>
    </w:p>
  </w:footnote>
  <w:footnote w:id="277">
    <w:p w14:paraId="1E6F5151" w14:textId="18CA6A60" w:rsidR="005D39BF" w:rsidRPr="00CC562A" w:rsidRDefault="005D39BF" w:rsidP="007A58B5">
      <w:pPr>
        <w:spacing w:after="0" w:line="240" w:lineRule="auto"/>
        <w:ind w:firstLine="720"/>
        <w:jc w:val="both"/>
        <w:rPr>
          <w:rFonts w:ascii="Cambria" w:hAnsi="Cambria"/>
          <w:sz w:val="16"/>
          <w:szCs w:val="16"/>
          <w:lang w:val="es-ES"/>
        </w:rPr>
      </w:pPr>
      <w:r w:rsidRPr="00CC562A">
        <w:rPr>
          <w:rFonts w:ascii="Cambria" w:hAnsi="Cambria"/>
          <w:sz w:val="16"/>
          <w:szCs w:val="16"/>
          <w:vertAlign w:val="superscript"/>
          <w:lang w:val="en-US"/>
        </w:rPr>
        <w:footnoteRef/>
      </w:r>
      <w:r w:rsidR="002F39B3">
        <w:rPr>
          <w:rFonts w:ascii="Cambria" w:hAnsi="Cambria"/>
          <w:sz w:val="16"/>
          <w:szCs w:val="16"/>
          <w:lang w:val="es-ES"/>
        </w:rPr>
        <w:t xml:space="preserve"> </w:t>
      </w:r>
      <w:r w:rsidRPr="00CC562A">
        <w:rPr>
          <w:rFonts w:ascii="Cambria" w:hAnsi="Cambria"/>
          <w:sz w:val="16"/>
          <w:szCs w:val="16"/>
          <w:lang w:val="es-ES"/>
        </w:rPr>
        <w:t>Proceso</w:t>
      </w:r>
      <w:r w:rsidR="00394599" w:rsidRPr="00CC562A">
        <w:rPr>
          <w:rFonts w:ascii="Cambria" w:hAnsi="Cambria"/>
          <w:sz w:val="16"/>
          <w:szCs w:val="16"/>
          <w:lang w:val="es-ES"/>
        </w:rPr>
        <w:t>,</w:t>
      </w:r>
      <w:r w:rsidRPr="00CC562A">
        <w:rPr>
          <w:rFonts w:ascii="Cambria" w:hAnsi="Cambria"/>
          <w:sz w:val="16"/>
          <w:szCs w:val="16"/>
          <w:lang w:val="es-ES"/>
        </w:rPr>
        <w:t xml:space="preserve"> </w:t>
      </w:r>
      <w:hyperlink r:id="rId104" w:history="1">
        <w:r w:rsidRPr="00CC562A">
          <w:rPr>
            <w:rStyle w:val="Hyperlink"/>
            <w:rFonts w:ascii="Cambria" w:hAnsi="Cambria"/>
            <w:sz w:val="16"/>
            <w:szCs w:val="16"/>
            <w:lang w:val="es-ES"/>
          </w:rPr>
          <w:t xml:space="preserve">México rompe récord en detención de migrantes: El control de la migración </w:t>
        </w:r>
        <w:r w:rsidRPr="00CC562A">
          <w:rPr>
            <w:rStyle w:val="Hyperlink"/>
            <w:rFonts w:ascii="Cambria" w:hAnsi="Cambria"/>
            <w:sz w:val="16"/>
            <w:szCs w:val="16"/>
            <w:lang w:val="es-ES"/>
          </w:rPr>
          <w:t>también se militariza</w:t>
        </w:r>
      </w:hyperlink>
      <w:r w:rsidR="00394599" w:rsidRPr="00CC562A">
        <w:rPr>
          <w:rFonts w:ascii="Cambria" w:hAnsi="Cambria"/>
          <w:sz w:val="16"/>
          <w:szCs w:val="16"/>
          <w:lang w:val="es-ES"/>
        </w:rPr>
        <w:t>,</w:t>
      </w:r>
      <w:r w:rsidRPr="00CC562A">
        <w:rPr>
          <w:rFonts w:ascii="Cambria" w:hAnsi="Cambria"/>
          <w:sz w:val="16"/>
          <w:szCs w:val="16"/>
          <w:lang w:val="es-ES"/>
        </w:rPr>
        <w:t xml:space="preserve"> </w:t>
      </w:r>
      <w:r w:rsidR="00D26B8F" w:rsidRPr="00CC562A">
        <w:rPr>
          <w:rFonts w:ascii="Cambria" w:hAnsi="Cambria"/>
          <w:sz w:val="16"/>
          <w:szCs w:val="16"/>
          <w:lang w:val="es-ES"/>
        </w:rPr>
        <w:t xml:space="preserve">October 5, </w:t>
      </w:r>
      <w:r w:rsidRPr="00CC562A">
        <w:rPr>
          <w:rFonts w:ascii="Cambria" w:hAnsi="Cambria"/>
          <w:sz w:val="16"/>
          <w:szCs w:val="16"/>
          <w:lang w:val="es-ES"/>
        </w:rPr>
        <w:t xml:space="preserve">2022. </w:t>
      </w:r>
    </w:p>
  </w:footnote>
  <w:footnote w:id="278">
    <w:p w14:paraId="0829046E" w14:textId="046D6222"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BD3B35" w:rsidRPr="00CC562A">
        <w:rPr>
          <w:lang w:val="en-US"/>
        </w:rPr>
        <w:t>Reporters without Borders</w:t>
      </w:r>
      <w:r w:rsidR="4D1A0B04" w:rsidRPr="00CC562A">
        <w:rPr>
          <w:lang w:val="en-US"/>
        </w:rPr>
        <w:t xml:space="preserve">, </w:t>
      </w:r>
      <w:r w:rsidR="00D26B8F" w:rsidRPr="00CC562A">
        <w:rPr>
          <w:lang w:val="en-US"/>
        </w:rPr>
        <w:t>Follow-up on Compliance with Recommendations in the Report on the “Human Rights Situation in Mexico,” October 20,</w:t>
      </w:r>
      <w:r w:rsidR="4D1A0B04" w:rsidRPr="00CC562A">
        <w:rPr>
          <w:rFonts w:eastAsia="Cambria" w:cs="Cambria"/>
          <w:color w:val="000000"/>
          <w:lang w:val="en-US"/>
        </w:rPr>
        <w:t xml:space="preserve"> 2022.</w:t>
      </w:r>
    </w:p>
  </w:footnote>
  <w:footnote w:id="279">
    <w:p w14:paraId="283BE240" w14:textId="2E56A51C" w:rsidR="00AA3D84" w:rsidRPr="00CC562A" w:rsidRDefault="00AA3D84"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D26B8F" w:rsidRPr="00CC562A">
        <w:rPr>
          <w:rFonts w:eastAsia="Cambria" w:cs="Cambria"/>
          <w:color w:val="000000"/>
          <w:lang w:val="en-US"/>
        </w:rPr>
        <w:t>Follow-up on Compliance with Recommendations in the Report on the “Situation of Human Rights in Mexico,” October 20,</w:t>
      </w:r>
      <w:r w:rsidR="4D1A0B04" w:rsidRPr="00CC562A">
        <w:rPr>
          <w:rFonts w:eastAsia="Cambria" w:cs="Cambria"/>
          <w:color w:val="000000"/>
          <w:lang w:val="en-US"/>
        </w:rPr>
        <w:t xml:space="preserve"> 2022, </w:t>
      </w:r>
      <w:r w:rsidR="004E0B7E" w:rsidRPr="00CC562A">
        <w:rPr>
          <w:rFonts w:eastAsia="Cambria" w:cs="Cambria"/>
          <w:color w:val="000000"/>
          <w:lang w:val="en-US"/>
        </w:rPr>
        <w:t>pp.</w:t>
      </w:r>
      <w:r w:rsidR="4D1A0B04" w:rsidRPr="00CC562A">
        <w:rPr>
          <w:rFonts w:eastAsia="Cambria" w:cs="Cambria"/>
          <w:color w:val="000000"/>
          <w:lang w:val="en-US"/>
        </w:rPr>
        <w:t xml:space="preserve"> 25-32.</w:t>
      </w:r>
    </w:p>
  </w:footnote>
  <w:footnote w:id="280">
    <w:p w14:paraId="452E439B" w14:textId="4B8FE660"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D26B8F" w:rsidRPr="00CC562A">
        <w:rPr>
          <w:rFonts w:eastAsia="Cambria" w:cs="Cambria"/>
          <w:color w:val="000000"/>
          <w:lang w:val="en-US"/>
        </w:rPr>
        <w:t>Follow-up on Compliance with Recommendations in the Report on the “Situation of Human Rights in Mexico,” October 20,</w:t>
      </w:r>
      <w:r w:rsidR="4D1A0B04" w:rsidRPr="00CC562A">
        <w:rPr>
          <w:rFonts w:eastAsia="Cambria" w:cs="Cambria"/>
          <w:color w:val="000000"/>
          <w:lang w:val="en-US"/>
        </w:rPr>
        <w:t xml:space="preserve"> 2022, </w:t>
      </w:r>
      <w:r w:rsidR="004E0B7E" w:rsidRPr="00CC562A">
        <w:rPr>
          <w:rFonts w:eastAsia="Cambria" w:cs="Cambria"/>
          <w:color w:val="000000"/>
          <w:lang w:val="en-US"/>
        </w:rPr>
        <w:t>pp.</w:t>
      </w:r>
      <w:r w:rsidR="4D1A0B04" w:rsidRPr="00CC562A">
        <w:rPr>
          <w:rFonts w:eastAsia="Cambria" w:cs="Cambria"/>
          <w:color w:val="000000"/>
          <w:lang w:val="en-US"/>
        </w:rPr>
        <w:t xml:space="preserve"> 25-32.</w:t>
      </w:r>
    </w:p>
  </w:footnote>
  <w:footnote w:id="281">
    <w:p w14:paraId="22A5C9E8" w14:textId="40F602B8"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002F39B3">
        <w:rPr>
          <w:rFonts w:eastAsia="Cambria" w:cs="Cambria"/>
          <w:color w:val="000000"/>
          <w:lang w:val="en-US"/>
        </w:rPr>
        <w:t xml:space="preserve"> </w:t>
      </w:r>
      <w:r w:rsidR="4D1A0B04" w:rsidRPr="00CC562A">
        <w:rPr>
          <w:rFonts w:eastAsia="Cambria" w:cs="Cambria"/>
          <w:color w:val="000000"/>
          <w:lang w:val="en-US"/>
        </w:rPr>
        <w:t xml:space="preserve">CMDPDH. </w:t>
      </w:r>
      <w:r w:rsidR="00380977" w:rsidRPr="00CC562A">
        <w:rPr>
          <w:rFonts w:eastAsia="Cambria" w:cs="Cambria"/>
          <w:color w:val="000000"/>
          <w:lang w:val="en-US"/>
        </w:rPr>
        <w:t xml:space="preserve">Follow-up of </w:t>
      </w:r>
      <w:r w:rsidR="00D26B8F" w:rsidRPr="00CC562A">
        <w:rPr>
          <w:rFonts w:eastAsia="Cambria" w:cs="Cambria"/>
          <w:color w:val="000000"/>
          <w:lang w:val="en-US"/>
        </w:rPr>
        <w:t>C</w:t>
      </w:r>
      <w:r w:rsidR="00380977" w:rsidRPr="00CC562A">
        <w:rPr>
          <w:rFonts w:eastAsia="Cambria" w:cs="Cambria"/>
          <w:color w:val="000000"/>
          <w:lang w:val="en-US"/>
        </w:rPr>
        <w:t xml:space="preserve">ompliance with </w:t>
      </w:r>
      <w:r w:rsidR="00D26B8F" w:rsidRPr="00CC562A">
        <w:rPr>
          <w:rFonts w:eastAsia="Cambria" w:cs="Cambria"/>
          <w:color w:val="000000"/>
          <w:lang w:val="en-US"/>
        </w:rPr>
        <w:t>R</w:t>
      </w:r>
      <w:r w:rsidR="00380977" w:rsidRPr="00CC562A">
        <w:rPr>
          <w:rFonts w:eastAsia="Cambria" w:cs="Cambria"/>
          <w:color w:val="000000"/>
          <w:lang w:val="en-US"/>
        </w:rPr>
        <w:t xml:space="preserve">ecommendations in the </w:t>
      </w:r>
      <w:r w:rsidR="00D26B8F" w:rsidRPr="00CC562A">
        <w:rPr>
          <w:rFonts w:eastAsia="Cambria" w:cs="Cambria"/>
          <w:color w:val="000000"/>
          <w:lang w:val="en-US"/>
        </w:rPr>
        <w:t>Re</w:t>
      </w:r>
      <w:r w:rsidR="00380977" w:rsidRPr="00CC562A">
        <w:rPr>
          <w:rFonts w:eastAsia="Cambria" w:cs="Cambria"/>
          <w:color w:val="000000"/>
          <w:lang w:val="en-US"/>
        </w:rPr>
        <w:t xml:space="preserve">port on the “Situation of Human Rights in Mexico,” </w:t>
      </w:r>
      <w:r w:rsidR="00D26B8F" w:rsidRPr="00CC562A">
        <w:rPr>
          <w:rFonts w:eastAsia="Cambria" w:cs="Cambria"/>
          <w:color w:val="000000"/>
          <w:lang w:val="en-US"/>
        </w:rPr>
        <w:t>October</w:t>
      </w:r>
      <w:r w:rsidR="00380977" w:rsidRPr="00CC562A">
        <w:rPr>
          <w:rFonts w:eastAsia="Cambria" w:cs="Cambria"/>
          <w:color w:val="000000"/>
          <w:lang w:val="en-US"/>
        </w:rPr>
        <w:t xml:space="preserve"> 20,</w:t>
      </w:r>
      <w:r w:rsidR="4D1A0B04" w:rsidRPr="00CC562A">
        <w:rPr>
          <w:rFonts w:eastAsia="Cambria" w:cs="Cambria"/>
          <w:color w:val="000000"/>
          <w:lang w:val="en-US"/>
        </w:rPr>
        <w:t xml:space="preserve"> 2022, </w:t>
      </w:r>
      <w:r w:rsidR="004E0B7E" w:rsidRPr="00CC562A">
        <w:rPr>
          <w:rFonts w:eastAsia="Cambria" w:cs="Cambria"/>
          <w:color w:val="000000"/>
          <w:lang w:val="en-US"/>
        </w:rPr>
        <w:t>pp.</w:t>
      </w:r>
      <w:r w:rsidR="4D1A0B04" w:rsidRPr="00CC562A">
        <w:rPr>
          <w:rFonts w:eastAsia="Cambria" w:cs="Cambria"/>
          <w:color w:val="000000"/>
          <w:lang w:val="en-US"/>
        </w:rPr>
        <w:t xml:space="preserve"> 25-32.</w:t>
      </w:r>
    </w:p>
  </w:footnote>
  <w:footnote w:id="282">
    <w:p w14:paraId="78351250" w14:textId="251E25EB"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380977" w:rsidRPr="00CC562A">
        <w:rPr>
          <w:rFonts w:eastAsia="Cambria" w:cs="Cambria"/>
          <w:color w:val="000000"/>
          <w:lang w:val="en-US"/>
        </w:rPr>
        <w:t xml:space="preserve">Follow-up of </w:t>
      </w:r>
      <w:r w:rsidR="00D26B8F" w:rsidRPr="00CC562A">
        <w:rPr>
          <w:rFonts w:eastAsia="Cambria" w:cs="Cambria"/>
          <w:color w:val="000000"/>
          <w:lang w:val="en-US"/>
        </w:rPr>
        <w:t>C</w:t>
      </w:r>
      <w:r w:rsidR="00380977" w:rsidRPr="00CC562A">
        <w:rPr>
          <w:rFonts w:eastAsia="Cambria" w:cs="Cambria"/>
          <w:color w:val="000000"/>
          <w:lang w:val="en-US"/>
        </w:rPr>
        <w:t xml:space="preserve">ompliance with </w:t>
      </w:r>
      <w:r w:rsidR="00D26B8F" w:rsidRPr="00CC562A">
        <w:rPr>
          <w:rFonts w:eastAsia="Cambria" w:cs="Cambria"/>
          <w:color w:val="000000"/>
          <w:lang w:val="en-US"/>
        </w:rPr>
        <w:t>Re</w:t>
      </w:r>
      <w:r w:rsidR="00380977" w:rsidRPr="00CC562A">
        <w:rPr>
          <w:rFonts w:eastAsia="Cambria" w:cs="Cambria"/>
          <w:color w:val="000000"/>
          <w:lang w:val="en-US"/>
        </w:rPr>
        <w:t xml:space="preserve">commendations in the </w:t>
      </w:r>
      <w:r w:rsidR="00D26B8F" w:rsidRPr="00CC562A">
        <w:rPr>
          <w:rFonts w:eastAsia="Cambria" w:cs="Cambria"/>
          <w:color w:val="000000"/>
          <w:lang w:val="en-US"/>
        </w:rPr>
        <w:t>Re</w:t>
      </w:r>
      <w:r w:rsidR="00380977" w:rsidRPr="00CC562A">
        <w:rPr>
          <w:rFonts w:eastAsia="Cambria" w:cs="Cambria"/>
          <w:color w:val="000000"/>
          <w:lang w:val="en-US"/>
        </w:rPr>
        <w:t>port on the “Situation of Human Rights in Mexico,” October 20, 2022, pp. 25-32</w:t>
      </w:r>
      <w:r w:rsidR="4D1A0B04" w:rsidRPr="00CC562A">
        <w:rPr>
          <w:rFonts w:eastAsia="Cambria" w:cs="Cambria"/>
          <w:color w:val="000000"/>
          <w:lang w:val="en-US"/>
        </w:rPr>
        <w:t>.</w:t>
      </w:r>
    </w:p>
  </w:footnote>
  <w:footnote w:id="283">
    <w:p w14:paraId="2E0BB4B0" w14:textId="71577F7D" w:rsidR="00DC5772" w:rsidRPr="00CC562A" w:rsidRDefault="00DC5772" w:rsidP="00DC5772">
      <w:pPr>
        <w:pStyle w:val="FootnoteText"/>
        <w:ind w:firstLine="720"/>
        <w:rPr>
          <w:lang w:val="en-US"/>
        </w:rPr>
      </w:pPr>
      <w:r w:rsidRPr="00CC562A">
        <w:rPr>
          <w:rStyle w:val="FootnoteReference"/>
        </w:rPr>
        <w:footnoteRef/>
      </w:r>
      <w:r w:rsidR="00627DF5" w:rsidRPr="00CC562A">
        <w:rPr>
          <w:rFonts w:eastAsia="Cambria" w:cs="Cambria"/>
          <w:color w:val="000000"/>
          <w:lang w:val="en-US"/>
        </w:rPr>
        <w:t>CMDPDH. Follow-up on Compliance with Recommendations in the Report on the “Situation of Human Rights in Mexico,” October 20, 2022.</w:t>
      </w:r>
    </w:p>
  </w:footnote>
  <w:footnote w:id="284">
    <w:p w14:paraId="10301FEA" w14:textId="38D32F4D" w:rsidR="00DC5772" w:rsidRPr="00CC562A" w:rsidRDefault="00DC5772" w:rsidP="00DC5772">
      <w:pPr>
        <w:pStyle w:val="FootnoteText"/>
        <w:ind w:firstLine="720"/>
        <w:rPr>
          <w:lang w:val="en-US"/>
        </w:rPr>
      </w:pPr>
      <w:r w:rsidRPr="00CC562A">
        <w:rPr>
          <w:rStyle w:val="FootnoteReference"/>
          <w:lang w:val="en-US"/>
        </w:rPr>
        <w:footnoteRef/>
      </w:r>
      <w:r w:rsidR="002F39B3">
        <w:rPr>
          <w:lang w:val="en-US"/>
        </w:rPr>
        <w:t xml:space="preserve"> </w:t>
      </w:r>
      <w:r w:rsidR="00784857" w:rsidRPr="00CC562A">
        <w:rPr>
          <w:lang w:val="en-US"/>
        </w:rPr>
        <w:t>State of Mexico, OAS Note</w:t>
      </w:r>
      <w:r w:rsidRPr="00CC562A">
        <w:rPr>
          <w:lang w:val="en-US"/>
        </w:rPr>
        <w:t xml:space="preserve"> 517 </w:t>
      </w:r>
      <w:r w:rsidR="00784857" w:rsidRPr="00CC562A">
        <w:rPr>
          <w:lang w:val="en-US"/>
        </w:rPr>
        <w:t>of February 17,</w:t>
      </w:r>
      <w:r w:rsidRPr="00CC562A">
        <w:rPr>
          <w:lang w:val="en-US"/>
        </w:rPr>
        <w:t xml:space="preserve"> 2023. Observa</w:t>
      </w:r>
      <w:r w:rsidR="00784857" w:rsidRPr="00CC562A">
        <w:rPr>
          <w:lang w:val="en-US"/>
        </w:rPr>
        <w:t xml:space="preserve">tions on the preliminary </w:t>
      </w:r>
      <w:r w:rsidR="00627DF5" w:rsidRPr="00CC562A">
        <w:rPr>
          <w:lang w:val="en-US"/>
        </w:rPr>
        <w:t>version</w:t>
      </w:r>
      <w:r w:rsidR="00784857" w:rsidRPr="00CC562A">
        <w:rPr>
          <w:lang w:val="en-US"/>
        </w:rPr>
        <w:t xml:space="preserve"> of the report.</w:t>
      </w:r>
    </w:p>
  </w:footnote>
  <w:footnote w:id="285">
    <w:p w14:paraId="303A7223" w14:textId="35E22D70" w:rsidR="00DC5772" w:rsidRPr="00A63873" w:rsidRDefault="00DC5772" w:rsidP="00DC5772">
      <w:pPr>
        <w:pStyle w:val="FootnoteText"/>
        <w:spacing w:after="120" w:line="240" w:lineRule="auto"/>
        <w:ind w:firstLine="720"/>
        <w:jc w:val="both"/>
        <w:rPr>
          <w:lang w:val="en-US"/>
        </w:rPr>
      </w:pPr>
      <w:r w:rsidRPr="00CC562A">
        <w:rPr>
          <w:rStyle w:val="FootnoteReference"/>
        </w:rPr>
        <w:footnoteRef/>
      </w:r>
      <w:r w:rsidR="002F39B3">
        <w:t xml:space="preserve"> </w:t>
      </w:r>
      <w:r w:rsidRPr="00CC562A">
        <w:t xml:space="preserve">Informe de avance del Estado mexicano sobre el cumplimiento y seguimiento de las recomendaciones de la CIDH. </w:t>
      </w:r>
      <w:r w:rsidRPr="00A63873">
        <w:rPr>
          <w:lang w:val="en-US"/>
        </w:rPr>
        <w:t>Capítulo V, de octubre de 2022 a través del SIMORE Interamericano.</w:t>
      </w:r>
    </w:p>
  </w:footnote>
  <w:footnote w:id="286">
    <w:p w14:paraId="4D3985ED" w14:textId="3AEB517D" w:rsidR="00DC5772" w:rsidRPr="00CC562A" w:rsidRDefault="00DC5772" w:rsidP="00DC5772">
      <w:pPr>
        <w:pStyle w:val="FootnoteText"/>
        <w:ind w:firstLine="720"/>
        <w:rPr>
          <w:lang w:val="en-US"/>
        </w:rPr>
      </w:pPr>
      <w:r w:rsidRPr="00CC562A">
        <w:rPr>
          <w:rStyle w:val="FootnoteReference"/>
        </w:rPr>
        <w:footnoteRef/>
      </w:r>
      <w:r w:rsidRPr="00CC562A">
        <w:rPr>
          <w:lang w:val="en-US"/>
        </w:rPr>
        <w:t xml:space="preserve"> </w:t>
      </w:r>
      <w:r w:rsidR="000C2374" w:rsidRPr="00CC562A">
        <w:rPr>
          <w:lang w:val="en-US"/>
        </w:rPr>
        <w:t>State of Mexico, OAS Note</w:t>
      </w:r>
      <w:r w:rsidRPr="00CC562A">
        <w:rPr>
          <w:lang w:val="en-US"/>
        </w:rPr>
        <w:t xml:space="preserve"> 517 </w:t>
      </w:r>
      <w:r w:rsidR="000C2374" w:rsidRPr="00CC562A">
        <w:rPr>
          <w:lang w:val="en-US"/>
        </w:rPr>
        <w:t>of February 17,</w:t>
      </w:r>
      <w:r w:rsidRPr="00CC562A">
        <w:rPr>
          <w:lang w:val="en-US"/>
        </w:rPr>
        <w:t xml:space="preserve"> 2023. Observa</w:t>
      </w:r>
      <w:r w:rsidR="000C2374" w:rsidRPr="00CC562A">
        <w:rPr>
          <w:lang w:val="en-US"/>
        </w:rPr>
        <w:t>tions on the preliminary version of the report.</w:t>
      </w:r>
    </w:p>
  </w:footnote>
  <w:footnote w:id="287">
    <w:p w14:paraId="65316444" w14:textId="0925462A"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002F39B3">
        <w:rPr>
          <w:lang w:val="en-US"/>
        </w:rPr>
        <w:t xml:space="preserve"> </w:t>
      </w:r>
      <w:r w:rsidR="00DF5149"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88">
    <w:p w14:paraId="36307765" w14:textId="713914DC"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002F39B3">
        <w:rPr>
          <w:lang w:val="en-US"/>
        </w:rPr>
        <w:t xml:space="preserve"> </w:t>
      </w:r>
      <w:r w:rsidR="00ED5DC3" w:rsidRPr="00CC562A">
        <w:rPr>
          <w:lang w:val="en-US"/>
        </w:rPr>
        <w:t xml:space="preserve">Progress report of the Mexican State on compliance with and follow-up to the recommendations of the IACHR. Chapter V, October 2022 </w:t>
      </w:r>
      <w:r w:rsidR="00736A6B" w:rsidRPr="00CC562A">
        <w:rPr>
          <w:lang w:val="en-US"/>
        </w:rPr>
        <w:t>through the Inter-American SIMORE.</w:t>
      </w:r>
    </w:p>
  </w:footnote>
  <w:footnote w:id="289">
    <w:p w14:paraId="3F938AEE" w14:textId="6DF64575" w:rsidR="00AA4A64" w:rsidRPr="00CC562A" w:rsidRDefault="00AA4A64"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290">
    <w:p w14:paraId="7868EC1E" w14:textId="7308277F" w:rsidR="00AA4A64" w:rsidRPr="00CC562A" w:rsidRDefault="00AA4A64" w:rsidP="007A58B5">
      <w:pPr>
        <w:pStyle w:val="NormalWeb"/>
        <w:spacing w:beforeAutospacing="0" w:after="0" w:afterAutospacing="0" w:line="240" w:lineRule="auto"/>
        <w:ind w:firstLine="720"/>
        <w:jc w:val="both"/>
        <w:rPr>
          <w:rFonts w:ascii="Cambria" w:hAnsi="Cambria"/>
          <w:sz w:val="16"/>
          <w:szCs w:val="16"/>
          <w:lang w:val="en-U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n-US"/>
        </w:rPr>
        <w:t xml:space="preserve"> </w:t>
      </w:r>
      <w:r w:rsidR="004E0B7E" w:rsidRPr="00CC562A">
        <w:rPr>
          <w:rFonts w:ascii="Cambria" w:hAnsi="Cambria"/>
          <w:sz w:val="16"/>
          <w:szCs w:val="16"/>
          <w:lang w:val="en-US"/>
        </w:rPr>
        <w:t>IACHR</w:t>
      </w:r>
      <w:r w:rsidR="4D1A0B04" w:rsidRPr="00CC562A">
        <w:rPr>
          <w:rFonts w:ascii="Cambria" w:hAnsi="Cambria"/>
          <w:sz w:val="16"/>
          <w:szCs w:val="16"/>
          <w:lang w:val="en-US"/>
        </w:rPr>
        <w:t xml:space="preserve">, </w:t>
      </w:r>
      <w:r w:rsidR="00620121" w:rsidRPr="00CC562A">
        <w:rPr>
          <w:rFonts w:ascii="Cambria" w:hAnsi="Cambria"/>
          <w:sz w:val="16"/>
          <w:szCs w:val="16"/>
          <w:lang w:val="en-US"/>
        </w:rPr>
        <w:t>Press release</w:t>
      </w:r>
      <w:r w:rsidR="4D1A0B04" w:rsidRPr="00CC562A">
        <w:rPr>
          <w:rFonts w:ascii="Cambria" w:hAnsi="Cambria"/>
          <w:sz w:val="16"/>
          <w:szCs w:val="16"/>
          <w:lang w:val="en-US"/>
        </w:rPr>
        <w:t xml:space="preserve"> 100/19 - </w:t>
      </w:r>
      <w:hyperlink r:id="rId105" w:history="1">
        <w:r w:rsidR="004E0B7E" w:rsidRPr="00CC562A">
          <w:rPr>
            <w:rStyle w:val="Hyperlink"/>
            <w:rFonts w:ascii="Cambria" w:hAnsi="Cambria"/>
            <w:sz w:val="16"/>
            <w:szCs w:val="16"/>
            <w:lang w:val="en-US"/>
          </w:rPr>
          <w:t>IACHR</w:t>
        </w:r>
        <w:r w:rsidR="4D1A0B04" w:rsidRPr="00CC562A">
          <w:rPr>
            <w:rStyle w:val="Hyperlink"/>
            <w:rFonts w:ascii="Cambria" w:hAnsi="Cambria"/>
            <w:sz w:val="16"/>
            <w:szCs w:val="16"/>
            <w:lang w:val="en-US"/>
          </w:rPr>
          <w:t xml:space="preserve"> </w:t>
        </w:r>
        <w:r w:rsidR="004A251D" w:rsidRPr="00CC562A">
          <w:rPr>
            <w:rStyle w:val="Hyperlink"/>
            <w:rFonts w:ascii="Cambria" w:hAnsi="Cambria"/>
            <w:sz w:val="16"/>
            <w:szCs w:val="16"/>
            <w:lang w:val="en-US"/>
          </w:rPr>
          <w:t>and the UN Special Rapporteur on the Human  Rights of Internally Displaced Persons Welcome the Decision for the protection of internally displaced persons in Mexico</w:t>
        </w:r>
      </w:hyperlink>
      <w:r w:rsidR="4D1A0B04" w:rsidRPr="00CC562A">
        <w:rPr>
          <w:rFonts w:ascii="Cambria" w:hAnsi="Cambria"/>
          <w:sz w:val="16"/>
          <w:szCs w:val="16"/>
          <w:lang w:val="en-US"/>
        </w:rPr>
        <w:t xml:space="preserve">, Washington, D.C., </w:t>
      </w:r>
      <w:r w:rsidR="00620121" w:rsidRPr="00CC562A">
        <w:rPr>
          <w:rFonts w:ascii="Cambria" w:hAnsi="Cambria"/>
          <w:sz w:val="16"/>
          <w:szCs w:val="16"/>
          <w:lang w:val="en-US"/>
        </w:rPr>
        <w:t xml:space="preserve">April 17, </w:t>
      </w:r>
      <w:r w:rsidR="4D1A0B04" w:rsidRPr="00CC562A">
        <w:rPr>
          <w:rFonts w:ascii="Cambria" w:hAnsi="Cambria"/>
          <w:sz w:val="16"/>
          <w:szCs w:val="16"/>
          <w:lang w:val="en-US"/>
        </w:rPr>
        <w:t xml:space="preserve">2019. </w:t>
      </w:r>
    </w:p>
  </w:footnote>
  <w:footnote w:id="291">
    <w:p w14:paraId="1B21A38C" w14:textId="547DF4D2" w:rsidR="00070D01" w:rsidRPr="00CC562A" w:rsidRDefault="00070D01" w:rsidP="007A58B5">
      <w:pPr>
        <w:pStyle w:val="FootnoteText"/>
        <w:spacing w:line="240" w:lineRule="auto"/>
        <w:ind w:firstLine="720"/>
        <w:jc w:val="both"/>
        <w:rPr>
          <w:lang w:val="es-ES"/>
        </w:rPr>
      </w:pPr>
      <w:r w:rsidRPr="00CC562A">
        <w:rPr>
          <w:rStyle w:val="FootnoteReference"/>
          <w:lang w:val="en-US"/>
        </w:rPr>
        <w:footnoteRef/>
      </w:r>
      <w:r w:rsidR="002F39B3">
        <w:rPr>
          <w:lang w:val="en-US"/>
        </w:rPr>
        <w:t xml:space="preserve"> </w:t>
      </w:r>
      <w:r w:rsidR="00ED5DC3" w:rsidRPr="00CC562A">
        <w:rPr>
          <w:lang w:val="en-US"/>
        </w:rPr>
        <w:t xml:space="preserve">Progress report of the Mexican State on compliance with and follow-up to the recommendations of the IACHR. </w:t>
      </w:r>
      <w:r w:rsidR="00ED5DC3" w:rsidRPr="00CC562A">
        <w:rPr>
          <w:lang w:val="es-ES"/>
        </w:rPr>
        <w:t>Chapter V, October 2022</w:t>
      </w:r>
      <w:r w:rsidR="4D1A0B04" w:rsidRPr="00CC562A">
        <w:rPr>
          <w:lang w:val="es-ES"/>
        </w:rPr>
        <w:t xml:space="preserve"> </w:t>
      </w:r>
      <w:r w:rsidR="00736A6B" w:rsidRPr="00CC562A">
        <w:rPr>
          <w:lang w:val="es-ES"/>
        </w:rPr>
        <w:t>through the Inter-American SIMORE.</w:t>
      </w:r>
    </w:p>
  </w:footnote>
  <w:footnote w:id="292">
    <w:p w14:paraId="7A47A013" w14:textId="77777777" w:rsidR="00E35BEB" w:rsidRPr="00CC562A" w:rsidRDefault="00E35BEB" w:rsidP="007A58B5">
      <w:pPr>
        <w:pStyle w:val="NormalWeb"/>
        <w:spacing w:beforeAutospacing="0" w:after="0" w:afterAutospacing="0" w:line="240" w:lineRule="auto"/>
        <w:ind w:firstLine="720"/>
        <w:jc w:val="both"/>
        <w:rPr>
          <w:rFonts w:ascii="Cambria" w:hAnsi="Cambria"/>
          <w:sz w:val="16"/>
          <w:szCs w:val="16"/>
          <w:lang w:val="es-E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4D1A0B04" w:rsidRPr="00CC562A">
        <w:rPr>
          <w:rFonts w:ascii="Cambria" w:hAnsi="Cambria" w:cs="Calibri"/>
          <w:sz w:val="16"/>
          <w:szCs w:val="16"/>
          <w:lang w:val="es-ES"/>
        </w:rPr>
        <w:t xml:space="preserve">SEGOB. </w:t>
      </w:r>
      <w:hyperlink r:id="rId106" w:history="1">
        <w:r w:rsidR="4D1A0B04" w:rsidRPr="00CC562A">
          <w:rPr>
            <w:rStyle w:val="Hyperlink"/>
            <w:rFonts w:ascii="Cambria" w:hAnsi="Cambria" w:cs="Calibri"/>
            <w:sz w:val="16"/>
            <w:szCs w:val="16"/>
            <w:lang w:val="es-ES"/>
          </w:rPr>
          <w:t>Inicia Gobernación diálogos rumbo a una nueva ley general para personas defensoras de derechos humanos y periodistas</w:t>
        </w:r>
      </w:hyperlink>
      <w:r w:rsidR="4D1A0B04" w:rsidRPr="00CC562A">
        <w:rPr>
          <w:rFonts w:ascii="Cambria" w:hAnsi="Cambria" w:cs="Calibri"/>
          <w:sz w:val="16"/>
          <w:szCs w:val="16"/>
          <w:lang w:val="es-ES"/>
        </w:rPr>
        <w:t>, 2021.</w:t>
      </w:r>
      <w:r w:rsidR="4D1A0B04" w:rsidRPr="00CC562A">
        <w:rPr>
          <w:rFonts w:ascii="Cambria" w:hAnsi="Cambria" w:cs="Calibri"/>
          <w:color w:val="0F54CC"/>
          <w:sz w:val="16"/>
          <w:szCs w:val="16"/>
          <w:lang w:val="es-ES"/>
        </w:rPr>
        <w:t xml:space="preserve"> </w:t>
      </w:r>
    </w:p>
  </w:footnote>
  <w:footnote w:id="293">
    <w:p w14:paraId="093390B8" w14:textId="76628BBE"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D26B8F" w:rsidRPr="00CC562A">
        <w:rPr>
          <w:rFonts w:eastAsia="Cambria" w:cs="Cambria"/>
          <w:color w:val="000000"/>
          <w:lang w:val="en-US"/>
        </w:rPr>
        <w:t>Follow-up on Compliance with Recommendations in the Report on the “Human Rights Situation in Mexico,” October 20,</w:t>
      </w:r>
      <w:r w:rsidR="4D1A0B04" w:rsidRPr="00CC562A">
        <w:rPr>
          <w:rFonts w:eastAsia="Cambria" w:cs="Cambria"/>
          <w:color w:val="000000"/>
          <w:lang w:val="en-US"/>
        </w:rPr>
        <w:t xml:space="preserve"> 2022.</w:t>
      </w:r>
    </w:p>
  </w:footnote>
  <w:footnote w:id="294">
    <w:p w14:paraId="27964935" w14:textId="6A93F70B" w:rsidR="00E00A07" w:rsidRPr="00CC562A" w:rsidRDefault="00E00A07"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Latinus, </w:t>
      </w:r>
      <w:hyperlink r:id="rId107" w:history="1">
        <w:r w:rsidR="4D1A0B04" w:rsidRPr="00CC562A">
          <w:rPr>
            <w:rStyle w:val="Hyperlink"/>
            <w:lang w:val="es-ES"/>
          </w:rPr>
          <w:t>ASF documenta fallas en la operación del Mecanismo de Protección de Defensores de DDHH y Periodistas</w:t>
        </w:r>
      </w:hyperlink>
      <w:r w:rsidR="4D1A0B04" w:rsidRPr="00CC562A">
        <w:rPr>
          <w:lang w:val="es-ES"/>
        </w:rPr>
        <w:t xml:space="preserve">, </w:t>
      </w:r>
      <w:r w:rsidR="00D26B8F" w:rsidRPr="00CC562A">
        <w:rPr>
          <w:lang w:val="es-ES"/>
        </w:rPr>
        <w:t xml:space="preserve">February 21, </w:t>
      </w:r>
      <w:r w:rsidR="4D1A0B04" w:rsidRPr="00CC562A">
        <w:rPr>
          <w:lang w:val="es-ES"/>
        </w:rPr>
        <w:t>2022.</w:t>
      </w:r>
    </w:p>
  </w:footnote>
  <w:footnote w:id="295">
    <w:p w14:paraId="6B43D626" w14:textId="519FF2A1" w:rsidR="00CC23F9" w:rsidRPr="00CC562A" w:rsidRDefault="00CC23F9"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004E0B7E" w:rsidRPr="00CC562A">
        <w:rPr>
          <w:lang w:val="es-ES"/>
        </w:rPr>
        <w:t>IACHR</w:t>
      </w:r>
      <w:r w:rsidR="4D1A0B04" w:rsidRPr="00CC562A">
        <w:rPr>
          <w:lang w:val="es-ES"/>
        </w:rPr>
        <w:t xml:space="preserve">, </w:t>
      </w:r>
      <w:r w:rsidR="00652299" w:rsidRPr="00CC562A">
        <w:rPr>
          <w:lang w:val="es-ES"/>
        </w:rPr>
        <w:t xml:space="preserve">Press Release </w:t>
      </w:r>
      <w:r w:rsidR="4D1A0B04" w:rsidRPr="00CC562A">
        <w:rPr>
          <w:lang w:val="es-ES"/>
        </w:rPr>
        <w:t xml:space="preserve">No. 244/22, </w:t>
      </w:r>
      <w:hyperlink r:id="rId108" w:history="1">
        <w:r w:rsidR="004E0B7E" w:rsidRPr="00CC562A">
          <w:rPr>
            <w:rStyle w:val="Hyperlink"/>
            <w:lang w:val="es-ES"/>
          </w:rPr>
          <w:t>IACHR</w:t>
        </w:r>
        <w:r w:rsidR="4D1A0B04" w:rsidRPr="00CC562A">
          <w:rPr>
            <w:rStyle w:val="Hyperlink"/>
            <w:lang w:val="es-ES"/>
          </w:rPr>
          <w:t>: El segundo cuatrimestre de 2022 registra la persistencia de la violencia contra personas defensoras</w:t>
        </w:r>
      </w:hyperlink>
      <w:r w:rsidR="4D1A0B04" w:rsidRPr="00CC562A">
        <w:rPr>
          <w:lang w:val="es-ES"/>
        </w:rPr>
        <w:t>,</w:t>
      </w:r>
      <w:r w:rsidR="00652299" w:rsidRPr="00CC562A">
        <w:rPr>
          <w:lang w:val="es-ES"/>
        </w:rPr>
        <w:t xml:space="preserve"> November 2, </w:t>
      </w:r>
      <w:r w:rsidR="4D1A0B04" w:rsidRPr="00CC562A">
        <w:rPr>
          <w:lang w:val="es-ES"/>
        </w:rPr>
        <w:t xml:space="preserve">2022; </w:t>
      </w:r>
      <w:r w:rsidR="004E0B7E" w:rsidRPr="00CC562A">
        <w:rPr>
          <w:lang w:val="es-ES"/>
        </w:rPr>
        <w:t>IACHR</w:t>
      </w:r>
      <w:r w:rsidR="4D1A0B04" w:rsidRPr="00CC562A">
        <w:rPr>
          <w:lang w:val="es-ES"/>
        </w:rPr>
        <w:t xml:space="preserve">,  </w:t>
      </w:r>
      <w:r w:rsidR="00652299" w:rsidRPr="00CC562A">
        <w:rPr>
          <w:lang w:val="es-ES"/>
        </w:rPr>
        <w:t xml:space="preserve">Press Release </w:t>
      </w:r>
      <w:r w:rsidR="4D1A0B04" w:rsidRPr="00CC562A">
        <w:rPr>
          <w:lang w:val="es-ES"/>
        </w:rPr>
        <w:t xml:space="preserve">No. 114/22, </w:t>
      </w:r>
      <w:hyperlink r:id="rId109" w:history="1">
        <w:r w:rsidR="004E0B7E" w:rsidRPr="00CC562A">
          <w:rPr>
            <w:rStyle w:val="Hyperlink"/>
            <w:lang w:val="es-ES"/>
          </w:rPr>
          <w:t>IACHR</w:t>
        </w:r>
        <w:r w:rsidR="4D1A0B04" w:rsidRPr="00CC562A">
          <w:rPr>
            <w:rStyle w:val="Hyperlink"/>
            <w:lang w:val="es-ES"/>
          </w:rPr>
          <w:t>: elevada violencia contra personas defensoras en el primer cuatrimestre de 2022 urge que los Estados protejan la vida y labor</w:t>
        </w:r>
      </w:hyperlink>
      <w:r w:rsidR="4D1A0B04" w:rsidRPr="00CC562A">
        <w:rPr>
          <w:lang w:val="es-ES"/>
        </w:rPr>
        <w:t xml:space="preserve">, </w:t>
      </w:r>
      <w:r w:rsidR="00652299" w:rsidRPr="00CC562A">
        <w:rPr>
          <w:lang w:val="es-ES"/>
        </w:rPr>
        <w:t xml:space="preserve">May 25, </w:t>
      </w:r>
      <w:r w:rsidR="4D1A0B04" w:rsidRPr="00CC562A">
        <w:rPr>
          <w:lang w:val="es-ES"/>
        </w:rPr>
        <w:t>2022.</w:t>
      </w:r>
    </w:p>
  </w:footnote>
  <w:footnote w:id="296">
    <w:p w14:paraId="45BE02BC" w14:textId="1DD658D3"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4D1A0B04" w:rsidRPr="00CC562A">
        <w:rPr>
          <w:rFonts w:eastAsia="Cambria" w:cs="Cambria"/>
          <w:color w:val="000000"/>
          <w:lang w:val="en-US"/>
        </w:rPr>
        <w:t xml:space="preserve">CMDPDH. </w:t>
      </w:r>
      <w:r w:rsidR="005155C8" w:rsidRPr="00CC562A">
        <w:rPr>
          <w:rFonts w:eastAsia="Cambria" w:cs="Cambria"/>
          <w:color w:val="000000"/>
          <w:lang w:val="en-US"/>
        </w:rPr>
        <w:t>Follow-up on Compliance with Recommendations in the Report on the “Human Rights Situations in Mexico,” October 20,</w:t>
      </w:r>
      <w:r w:rsidR="4D1A0B04" w:rsidRPr="00CC562A">
        <w:rPr>
          <w:rFonts w:eastAsia="Cambria" w:cs="Cambria"/>
          <w:color w:val="000000"/>
          <w:lang w:val="en-US"/>
        </w:rPr>
        <w:t xml:space="preserve"> 2022, </w:t>
      </w:r>
      <w:r w:rsidR="004E0B7E" w:rsidRPr="00CC562A">
        <w:rPr>
          <w:rFonts w:eastAsia="Cambria" w:cs="Cambria"/>
          <w:color w:val="000000"/>
          <w:lang w:val="en-US"/>
        </w:rPr>
        <w:t>pp.</w:t>
      </w:r>
      <w:r w:rsidR="4D1A0B04" w:rsidRPr="00CC562A">
        <w:rPr>
          <w:rFonts w:eastAsia="Cambria" w:cs="Cambria"/>
          <w:color w:val="000000"/>
          <w:lang w:val="en-US"/>
        </w:rPr>
        <w:t xml:space="preserve"> 25-32.</w:t>
      </w:r>
    </w:p>
  </w:footnote>
  <w:footnote w:id="297">
    <w:p w14:paraId="78A5ECAA" w14:textId="7B2F76F7" w:rsidR="003F097F" w:rsidRPr="00CC562A" w:rsidRDefault="003F097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BA2BF5" w:rsidRPr="00CC562A">
        <w:rPr>
          <w:lang w:val="en-US"/>
        </w:rPr>
        <w:t>Article</w:t>
      </w:r>
      <w:r w:rsidR="4D1A0B04" w:rsidRPr="00CC562A">
        <w:rPr>
          <w:lang w:val="en-US"/>
        </w:rPr>
        <w:t xml:space="preserve"> 19. </w:t>
      </w:r>
      <w:r w:rsidR="005155C8" w:rsidRPr="00CC562A">
        <w:rPr>
          <w:lang w:val="en-US"/>
        </w:rPr>
        <w:t>Follow-up on Compliance with Recommendations in the Report on the “Situation of Human Rights in Mexico,” October 17,</w:t>
      </w:r>
      <w:r w:rsidR="4D1A0B04" w:rsidRPr="00CC562A">
        <w:rPr>
          <w:lang w:val="en-US"/>
        </w:rPr>
        <w:t xml:space="preserve"> 2022.</w:t>
      </w:r>
    </w:p>
  </w:footnote>
  <w:footnote w:id="298">
    <w:p w14:paraId="215B7A00" w14:textId="59BBDF16" w:rsidR="00AA3D84" w:rsidRPr="00CC562A" w:rsidRDefault="00AA3D84" w:rsidP="007A58B5">
      <w:pPr>
        <w:pStyle w:val="NormalWeb"/>
        <w:spacing w:beforeAutospacing="0" w:after="0" w:afterAutospacing="0" w:line="240" w:lineRule="auto"/>
        <w:ind w:firstLine="720"/>
        <w:jc w:val="both"/>
        <w:rPr>
          <w:rFonts w:ascii="Cambria" w:hAnsi="Cambria"/>
          <w:sz w:val="16"/>
          <w:szCs w:val="16"/>
          <w:lang w:val="es-E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004E0B7E" w:rsidRPr="00CC562A">
        <w:rPr>
          <w:rFonts w:ascii="Cambria" w:hAnsi="Cambria"/>
          <w:sz w:val="16"/>
          <w:szCs w:val="16"/>
          <w:lang w:val="es-ES"/>
        </w:rPr>
        <w:t>IACHR</w:t>
      </w:r>
      <w:r w:rsidR="4D1A0B04" w:rsidRPr="00CC562A">
        <w:rPr>
          <w:rFonts w:ascii="Cambria" w:hAnsi="Cambria"/>
          <w:sz w:val="16"/>
          <w:szCs w:val="16"/>
          <w:lang w:val="es-ES"/>
        </w:rPr>
        <w:t xml:space="preserve">, </w:t>
      </w:r>
      <w:r w:rsidR="4D1A0B04" w:rsidRPr="00CC562A">
        <w:rPr>
          <w:rFonts w:ascii="Cambria" w:hAnsi="Cambria" w:cs="Calibri"/>
          <w:sz w:val="16"/>
          <w:szCs w:val="16"/>
          <w:lang w:val="es-ES"/>
        </w:rPr>
        <w:t>180</w:t>
      </w:r>
      <w:r w:rsidR="00652299" w:rsidRPr="00CC562A">
        <w:rPr>
          <w:rFonts w:ascii="Cambria" w:hAnsi="Cambria" w:cs="Calibri"/>
          <w:sz w:val="16"/>
          <w:szCs w:val="16"/>
          <w:vertAlign w:val="superscript"/>
          <w:lang w:val="es-ES"/>
        </w:rPr>
        <w:t>th</w:t>
      </w:r>
      <w:r w:rsidR="00652299" w:rsidRPr="00CC562A">
        <w:rPr>
          <w:rFonts w:ascii="Cambria" w:hAnsi="Cambria" w:cs="Calibri"/>
          <w:sz w:val="16"/>
          <w:szCs w:val="16"/>
          <w:lang w:val="es-ES"/>
        </w:rPr>
        <w:t xml:space="preserve"> period of sessions</w:t>
      </w:r>
      <w:r w:rsidR="4D1A0B04" w:rsidRPr="00CC562A">
        <w:rPr>
          <w:rFonts w:ascii="Cambria" w:hAnsi="Cambria" w:cs="Calibri"/>
          <w:sz w:val="16"/>
          <w:szCs w:val="16"/>
          <w:lang w:val="es-ES"/>
        </w:rPr>
        <w:t xml:space="preserve"> “</w:t>
      </w:r>
      <w:hyperlink r:id="rId110" w:history="1">
        <w:r w:rsidR="4D1A0B04" w:rsidRPr="00CC562A">
          <w:rPr>
            <w:rStyle w:val="Hyperlink"/>
            <w:rFonts w:ascii="Cambria" w:hAnsi="Cambria" w:cs="Calibri"/>
            <w:sz w:val="16"/>
            <w:szCs w:val="16"/>
            <w:lang w:val="es-ES"/>
          </w:rPr>
          <w:t>Estigmatización y ataques contra la prensa, personas defensoras de derechos humanos y organizaciones</w:t>
        </w:r>
      </w:hyperlink>
      <w:r w:rsidR="4D1A0B04" w:rsidRPr="00CC562A">
        <w:rPr>
          <w:rFonts w:ascii="Cambria" w:hAnsi="Cambria" w:cs="Calibri"/>
          <w:sz w:val="16"/>
          <w:szCs w:val="16"/>
          <w:lang w:val="es-ES"/>
        </w:rPr>
        <w:t xml:space="preserve">”. </w:t>
      </w:r>
    </w:p>
  </w:footnote>
  <w:footnote w:id="299">
    <w:p w14:paraId="547D8A41" w14:textId="1DF77B3D" w:rsidR="00C95C02" w:rsidRPr="00CC562A" w:rsidRDefault="00C95C02" w:rsidP="007A58B5">
      <w:pPr>
        <w:pStyle w:val="FootnoteText"/>
        <w:spacing w:line="240" w:lineRule="auto"/>
        <w:ind w:firstLine="720"/>
        <w:rPr>
          <w:lang w:val="en-US"/>
        </w:rPr>
      </w:pPr>
      <w:r w:rsidRPr="00CC562A">
        <w:rPr>
          <w:rStyle w:val="FootnoteReference"/>
          <w:lang w:val="en-US"/>
        </w:rPr>
        <w:footnoteRef/>
      </w:r>
      <w:r w:rsidRPr="00CC562A">
        <w:rPr>
          <w:lang w:val="en-US"/>
        </w:rPr>
        <w:t xml:space="preserve"> </w:t>
      </w:r>
      <w:r w:rsidR="000406B4" w:rsidRPr="00CC562A">
        <w:rPr>
          <w:lang w:val="en-US"/>
        </w:rPr>
        <w:t>Reporters without Borders</w:t>
      </w:r>
      <w:r w:rsidRPr="00CC562A">
        <w:rPr>
          <w:lang w:val="en-US"/>
        </w:rPr>
        <w:t xml:space="preserve">, </w:t>
      </w:r>
      <w:r w:rsidR="005155C8" w:rsidRPr="00CC562A">
        <w:rPr>
          <w:rFonts w:eastAsia="Cambria" w:cs="Cambria"/>
          <w:color w:val="000000"/>
          <w:lang w:val="en-US"/>
        </w:rPr>
        <w:t>Follow-up on Compliance with Recommendations in the Report on the “Human Rights Situation in Mexico,” October 20,</w:t>
      </w:r>
      <w:r w:rsidRPr="00CC562A">
        <w:rPr>
          <w:rFonts w:eastAsia="Cambria" w:cs="Cambria"/>
          <w:color w:val="000000"/>
          <w:lang w:val="en-US"/>
        </w:rPr>
        <w:t xml:space="preserve"> 2022.</w:t>
      </w:r>
    </w:p>
  </w:footnote>
  <w:footnote w:id="300">
    <w:p w14:paraId="358FFC6A" w14:textId="011B60DE" w:rsidR="00865E5C" w:rsidRPr="00CC562A" w:rsidRDefault="00865E5C"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Forbes, </w:t>
      </w:r>
      <w:hyperlink r:id="rId111" w:history="1">
        <w:r w:rsidR="4D1A0B04" w:rsidRPr="00CC562A">
          <w:rPr>
            <w:rStyle w:val="Hyperlink"/>
            <w:lang w:val="es-ES"/>
          </w:rPr>
          <w:t>México reconoce impunidad en 90% de agresiones contra periodistas y defensores</w:t>
        </w:r>
      </w:hyperlink>
      <w:r w:rsidR="4D1A0B04" w:rsidRPr="00CC562A">
        <w:rPr>
          <w:lang w:val="es-ES"/>
        </w:rPr>
        <w:t xml:space="preserve">, 18 de enero de 2022; La Jornada, </w:t>
      </w:r>
      <w:hyperlink r:id="rId112" w:history="1">
        <w:r w:rsidR="4D1A0B04" w:rsidRPr="00CC562A">
          <w:rPr>
            <w:rStyle w:val="Hyperlink"/>
            <w:lang w:val="es-ES"/>
          </w:rPr>
          <w:t xml:space="preserve">Reportan impunidad en 90% de atentados a </w:t>
        </w:r>
        <w:r w:rsidR="4D1A0B04" w:rsidRPr="00CC562A">
          <w:rPr>
            <w:rStyle w:val="Hyperlink"/>
            <w:lang w:val="es-ES"/>
          </w:rPr>
          <w:t>periodistas y activistas</w:t>
        </w:r>
      </w:hyperlink>
      <w:r w:rsidR="4D1A0B04" w:rsidRPr="00CC562A">
        <w:rPr>
          <w:lang w:val="es-ES"/>
        </w:rPr>
        <w:t xml:space="preserve">, </w:t>
      </w:r>
      <w:r w:rsidR="005155C8" w:rsidRPr="00CC562A">
        <w:rPr>
          <w:lang w:val="es-ES"/>
        </w:rPr>
        <w:t>January 27,</w:t>
      </w:r>
      <w:r w:rsidR="4D1A0B04" w:rsidRPr="00CC562A">
        <w:rPr>
          <w:lang w:val="es-ES"/>
        </w:rPr>
        <w:t xml:space="preserve"> 2022. </w:t>
      </w:r>
    </w:p>
  </w:footnote>
  <w:footnote w:id="301">
    <w:p w14:paraId="0534A2F5" w14:textId="2BC1543A" w:rsidR="006A3ECA" w:rsidRPr="00CC562A" w:rsidRDefault="006A3EC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582BF7" w:rsidRPr="00CC562A">
        <w:rPr>
          <w:lang w:val="en-US"/>
        </w:rPr>
        <w:t>Request to the State for information pursuant to Article</w:t>
      </w:r>
      <w:r w:rsidR="4D1A0B04" w:rsidRPr="00CC562A">
        <w:rPr>
          <w:lang w:val="en-US"/>
        </w:rPr>
        <w:t xml:space="preserve"> 41 </w:t>
      </w:r>
      <w:r w:rsidR="00582BF7" w:rsidRPr="00CC562A">
        <w:rPr>
          <w:lang w:val="en-US"/>
        </w:rPr>
        <w:t xml:space="preserve">of the Inter-American Convention on Human Rights, May 2, </w:t>
      </w:r>
      <w:r w:rsidR="4D1A0B04" w:rsidRPr="00CC562A">
        <w:rPr>
          <w:lang w:val="en-US"/>
        </w:rPr>
        <w:t>2022.</w:t>
      </w:r>
    </w:p>
  </w:footnote>
  <w:footnote w:id="302">
    <w:p w14:paraId="4F5C38B8" w14:textId="74ADCE51" w:rsidR="006A3ECA" w:rsidRPr="00CC562A" w:rsidRDefault="006A3EC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582BF7" w:rsidRPr="00CC562A">
        <w:rPr>
          <w:lang w:val="en-US"/>
        </w:rPr>
        <w:t xml:space="preserve">Mexican State response the request for information from the Inter-American Commission on Human Rights pursuant to Article 41 of the American Convention of Human Rights regarding the criminalization of the indigenous defender </w:t>
      </w:r>
      <w:r w:rsidR="4D1A0B04" w:rsidRPr="00CC562A">
        <w:rPr>
          <w:lang w:val="en-US"/>
        </w:rPr>
        <w:t xml:space="preserve">Kenia Hernández </w:t>
      </w:r>
      <w:r w:rsidR="00582BF7" w:rsidRPr="00CC562A">
        <w:rPr>
          <w:lang w:val="en-US"/>
        </w:rPr>
        <w:t xml:space="preserve">in Mexico, May 2, </w:t>
      </w:r>
      <w:r w:rsidR="4D1A0B04" w:rsidRPr="00CC562A">
        <w:rPr>
          <w:lang w:val="en-US"/>
        </w:rPr>
        <w:t xml:space="preserve">2022, </w:t>
      </w:r>
      <w:r w:rsidR="00582BF7" w:rsidRPr="00CC562A">
        <w:rPr>
          <w:lang w:val="en-US"/>
        </w:rPr>
        <w:t xml:space="preserve">in </w:t>
      </w:r>
      <w:r w:rsidR="00276638" w:rsidRPr="00CC562A">
        <w:rPr>
          <w:lang w:val="en-US"/>
        </w:rPr>
        <w:t>IACHR</w:t>
      </w:r>
      <w:r w:rsidR="00582BF7" w:rsidRPr="00CC562A">
        <w:rPr>
          <w:lang w:val="en-US"/>
        </w:rPr>
        <w:t xml:space="preserve"> file.</w:t>
      </w:r>
    </w:p>
  </w:footnote>
  <w:footnote w:id="303">
    <w:p w14:paraId="1FF8BFA8" w14:textId="74C0643C" w:rsidR="006A3ECA" w:rsidRPr="00CC562A" w:rsidRDefault="006A3EC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582BF7" w:rsidRPr="00CC562A">
        <w:rPr>
          <w:lang w:val="en-US"/>
        </w:rPr>
        <w:t xml:space="preserve">Request to the State for information pursuant to </w:t>
      </w:r>
      <w:r w:rsidR="00BA2BF5" w:rsidRPr="00CC562A">
        <w:rPr>
          <w:lang w:val="en-US"/>
        </w:rPr>
        <w:t>Article</w:t>
      </w:r>
      <w:r w:rsidR="4D1A0B04" w:rsidRPr="00CC562A">
        <w:rPr>
          <w:lang w:val="en-US"/>
        </w:rPr>
        <w:t xml:space="preserve"> 41 </w:t>
      </w:r>
      <w:r w:rsidR="00582BF7" w:rsidRPr="00CC562A">
        <w:rPr>
          <w:lang w:val="en-US"/>
        </w:rPr>
        <w:t>of the American Convention on Human Rights, April 8,</w:t>
      </w:r>
      <w:r w:rsidR="4D1A0B04" w:rsidRPr="00CC562A">
        <w:rPr>
          <w:lang w:val="en-US"/>
        </w:rPr>
        <w:t xml:space="preserve"> 2022.</w:t>
      </w:r>
    </w:p>
  </w:footnote>
  <w:footnote w:id="304">
    <w:p w14:paraId="24DD4BE7" w14:textId="7A5EEBE5" w:rsidR="006A3ECA" w:rsidRPr="00CC562A" w:rsidRDefault="006A3ECA"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582BF7" w:rsidRPr="00CC562A">
        <w:rPr>
          <w:lang w:val="en-US"/>
        </w:rPr>
        <w:t xml:space="preserve">Mexican State response to the request for information from the Inter-American Commission on Human Rights pursuant to </w:t>
      </w:r>
      <w:r w:rsidR="00BA2BF5" w:rsidRPr="00CC562A">
        <w:rPr>
          <w:lang w:val="en-US"/>
        </w:rPr>
        <w:t>Article</w:t>
      </w:r>
      <w:r w:rsidR="4D1A0B04" w:rsidRPr="00CC562A">
        <w:rPr>
          <w:lang w:val="en-US"/>
        </w:rPr>
        <w:t xml:space="preserve"> 41</w:t>
      </w:r>
      <w:r w:rsidR="00582BF7" w:rsidRPr="00CC562A">
        <w:rPr>
          <w:lang w:val="en-US"/>
        </w:rPr>
        <w:t xml:space="preserve"> of the American Convention on Human Rights regarding the situation of the human rights defenders and journalisms involved in the case of the “clandestine graves of </w:t>
      </w:r>
      <w:r w:rsidR="4D1A0B04" w:rsidRPr="00CC562A">
        <w:rPr>
          <w:lang w:val="en-US"/>
        </w:rPr>
        <w:t xml:space="preserve">San Fernando” </w:t>
      </w:r>
      <w:r w:rsidR="00582BF7" w:rsidRPr="00CC562A">
        <w:rPr>
          <w:lang w:val="en-US"/>
        </w:rPr>
        <w:t>in Mexico, April 19</w:t>
      </w:r>
      <w:r w:rsidR="00C80FE5" w:rsidRPr="00CC562A">
        <w:rPr>
          <w:lang w:val="en-US"/>
        </w:rPr>
        <w:t>, 2022</w:t>
      </w:r>
      <w:r w:rsidR="4D1A0B04" w:rsidRPr="00CC562A">
        <w:rPr>
          <w:lang w:val="en-US"/>
        </w:rPr>
        <w:t xml:space="preserve">, </w:t>
      </w:r>
      <w:r w:rsidR="00582BF7" w:rsidRPr="00CC562A">
        <w:rPr>
          <w:lang w:val="en-US"/>
        </w:rPr>
        <w:t xml:space="preserve">in </w:t>
      </w:r>
      <w:r w:rsidR="00276638" w:rsidRPr="00CC562A">
        <w:rPr>
          <w:lang w:val="en-US"/>
        </w:rPr>
        <w:t>IACHR</w:t>
      </w:r>
      <w:r w:rsidR="00582BF7" w:rsidRPr="00CC562A">
        <w:rPr>
          <w:lang w:val="en-US"/>
        </w:rPr>
        <w:t xml:space="preserve"> file</w:t>
      </w:r>
      <w:r w:rsidR="4D1A0B04" w:rsidRPr="00CC562A">
        <w:rPr>
          <w:lang w:val="en-US"/>
        </w:rPr>
        <w:t xml:space="preserve">. </w:t>
      </w:r>
    </w:p>
  </w:footnote>
  <w:footnote w:id="305">
    <w:p w14:paraId="73363D43" w14:textId="71AAA33D" w:rsidR="008A4D49" w:rsidRPr="00CC562A" w:rsidRDefault="008A4D49" w:rsidP="007A58B5">
      <w:pPr>
        <w:spacing w:after="0" w:line="240" w:lineRule="auto"/>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582BF7" w:rsidRPr="00CC562A">
        <w:rPr>
          <w:rFonts w:ascii="Cambria" w:hAnsi="Cambria"/>
          <w:sz w:val="16"/>
          <w:szCs w:val="16"/>
          <w:lang w:val="en-US"/>
        </w:rPr>
        <w:t xml:space="preserve">The IACHR assigned the preparation of this section to its </w:t>
      </w:r>
      <w:r w:rsidR="00ED23C2" w:rsidRPr="00CC562A">
        <w:rPr>
          <w:rFonts w:ascii="Cambria" w:hAnsi="Cambria"/>
          <w:sz w:val="16"/>
          <w:szCs w:val="16"/>
          <w:lang w:val="en-US"/>
        </w:rPr>
        <w:t xml:space="preserve">Office of the </w:t>
      </w:r>
      <w:r w:rsidR="00582BF7" w:rsidRPr="00CC562A">
        <w:rPr>
          <w:rFonts w:ascii="Cambria" w:hAnsi="Cambria"/>
          <w:sz w:val="16"/>
          <w:szCs w:val="16"/>
          <w:lang w:val="en-US"/>
        </w:rPr>
        <w:t xml:space="preserve">Special </w:t>
      </w:r>
      <w:r w:rsidR="00ED23C2" w:rsidRPr="00CC562A">
        <w:rPr>
          <w:rFonts w:ascii="Cambria" w:hAnsi="Cambria"/>
          <w:sz w:val="16"/>
          <w:szCs w:val="16"/>
          <w:lang w:val="en-US"/>
        </w:rPr>
        <w:t>Rapporteur</w:t>
      </w:r>
      <w:r w:rsidR="00582BF7" w:rsidRPr="00CC562A">
        <w:rPr>
          <w:rFonts w:ascii="Cambria" w:hAnsi="Cambria"/>
          <w:sz w:val="16"/>
          <w:szCs w:val="16"/>
          <w:lang w:val="en-US"/>
        </w:rPr>
        <w:t xml:space="preserve"> for Freedom of Expression.</w:t>
      </w:r>
    </w:p>
  </w:footnote>
  <w:footnote w:id="306">
    <w:p w14:paraId="415027CA" w14:textId="6D0068B7" w:rsidR="001C268F" w:rsidRPr="00CC562A" w:rsidRDefault="001C268F"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07">
    <w:p w14:paraId="5B7C980B" w14:textId="19DA8C71" w:rsidR="00DC5772" w:rsidRPr="00CC562A" w:rsidRDefault="00DC5772" w:rsidP="00DC5772">
      <w:pPr>
        <w:pStyle w:val="FootnoteText"/>
        <w:ind w:firstLine="720"/>
        <w:rPr>
          <w:lang w:val="en-US"/>
        </w:rPr>
      </w:pPr>
      <w:r w:rsidRPr="00CC562A">
        <w:rPr>
          <w:rStyle w:val="FootnoteReference"/>
        </w:rPr>
        <w:footnoteRef/>
      </w:r>
      <w:r w:rsidRPr="00CC562A">
        <w:rPr>
          <w:lang w:val="en-US"/>
        </w:rPr>
        <w:t xml:space="preserve"> </w:t>
      </w:r>
      <w:r w:rsidR="004A2297" w:rsidRPr="00CC562A">
        <w:rPr>
          <w:lang w:val="en-US"/>
        </w:rPr>
        <w:t>State of Mexico, OAS Note</w:t>
      </w:r>
      <w:r w:rsidRPr="00CC562A">
        <w:rPr>
          <w:lang w:val="en-US"/>
        </w:rPr>
        <w:t xml:space="preserve"> 517 </w:t>
      </w:r>
      <w:r w:rsidR="004A2297" w:rsidRPr="00CC562A">
        <w:rPr>
          <w:lang w:val="en-US"/>
        </w:rPr>
        <w:t>of February 17,</w:t>
      </w:r>
      <w:r w:rsidRPr="00CC562A">
        <w:rPr>
          <w:lang w:val="en-US"/>
        </w:rPr>
        <w:t xml:space="preserve"> 2023. Observa</w:t>
      </w:r>
      <w:r w:rsidR="004A2297" w:rsidRPr="00CC562A">
        <w:rPr>
          <w:lang w:val="en-US"/>
        </w:rPr>
        <w:t xml:space="preserve">tions on the preliminary </w:t>
      </w:r>
      <w:r w:rsidR="00390F03" w:rsidRPr="00CC562A">
        <w:rPr>
          <w:lang w:val="en-US"/>
        </w:rPr>
        <w:t>version</w:t>
      </w:r>
      <w:r w:rsidR="004A2297" w:rsidRPr="00CC562A">
        <w:rPr>
          <w:lang w:val="en-US"/>
        </w:rPr>
        <w:t xml:space="preserve"> of the report.</w:t>
      </w:r>
    </w:p>
  </w:footnote>
  <w:footnote w:id="308">
    <w:p w14:paraId="4FBD5853" w14:textId="43A4E316" w:rsidR="00291670" w:rsidRPr="00CC562A" w:rsidRDefault="00291670" w:rsidP="007A58B5">
      <w:pPr>
        <w:spacing w:after="0" w:line="240" w:lineRule="auto"/>
        <w:ind w:firstLine="720"/>
        <w:jc w:val="both"/>
        <w:rPr>
          <w:rFonts w:ascii="Cambria" w:eastAsia="Times New Roman" w:hAnsi="Cambria" w:cs="Times New Roman"/>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00BA2BF5" w:rsidRPr="00CC562A">
        <w:rPr>
          <w:rFonts w:ascii="Cambria" w:hAnsi="Cambria"/>
          <w:sz w:val="16"/>
          <w:szCs w:val="16"/>
          <w:lang w:val="es-ES"/>
        </w:rPr>
        <w:t>Article</w:t>
      </w:r>
      <w:r w:rsidR="4D1A0B04" w:rsidRPr="00CC562A">
        <w:rPr>
          <w:rFonts w:ascii="Cambria" w:hAnsi="Cambria"/>
          <w:sz w:val="16"/>
          <w:szCs w:val="16"/>
          <w:lang w:val="es-ES"/>
        </w:rPr>
        <w:t xml:space="preserve"> 19, </w:t>
      </w:r>
      <w:hyperlink r:id="rId113" w:history="1">
        <w:r w:rsidR="4D1A0B04" w:rsidRPr="00CC562A">
          <w:rPr>
            <w:rStyle w:val="Hyperlink"/>
            <w:rFonts w:ascii="Cambria" w:hAnsi="Cambria"/>
            <w:sz w:val="16"/>
            <w:szCs w:val="16"/>
            <w:lang w:val="es-ES"/>
          </w:rPr>
          <w:t>Periodistas asesinados en México 2020-2022</w:t>
        </w:r>
      </w:hyperlink>
      <w:r w:rsidR="4D1A0B04" w:rsidRPr="00CC562A">
        <w:rPr>
          <w:rFonts w:ascii="Cambria" w:hAnsi="Cambria"/>
          <w:sz w:val="16"/>
          <w:szCs w:val="16"/>
          <w:lang w:val="es-ES"/>
        </w:rPr>
        <w:t xml:space="preserve">, 2022. </w:t>
      </w:r>
    </w:p>
  </w:footnote>
  <w:footnote w:id="309">
    <w:p w14:paraId="7C8023C1" w14:textId="7E29E681" w:rsidR="00291670" w:rsidRPr="00CC562A" w:rsidRDefault="00291670" w:rsidP="007A58B5">
      <w:pPr>
        <w:spacing w:after="0" w:line="240" w:lineRule="auto"/>
        <w:ind w:firstLine="720"/>
        <w:jc w:val="both"/>
        <w:rPr>
          <w:rFonts w:ascii="Cambria" w:eastAsia="Times New Roman" w:hAnsi="Cambria" w:cs="Times New Roman"/>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w:t>
      </w:r>
      <w:r w:rsidR="00BA2BF5" w:rsidRPr="00CC562A">
        <w:rPr>
          <w:rFonts w:ascii="Cambria" w:hAnsi="Cambria"/>
          <w:sz w:val="16"/>
          <w:szCs w:val="16"/>
          <w:lang w:val="es-ES"/>
        </w:rPr>
        <w:t>Article</w:t>
      </w:r>
      <w:r w:rsidR="4D1A0B04" w:rsidRPr="00CC562A">
        <w:rPr>
          <w:rFonts w:ascii="Cambria" w:hAnsi="Cambria"/>
          <w:sz w:val="16"/>
          <w:szCs w:val="16"/>
          <w:lang w:val="es-ES"/>
        </w:rPr>
        <w:t xml:space="preserve"> 19, </w:t>
      </w:r>
      <w:hyperlink r:id="rId114" w:history="1">
        <w:r w:rsidR="4D1A0B04" w:rsidRPr="00CC562A">
          <w:rPr>
            <w:rStyle w:val="Hyperlink"/>
            <w:rFonts w:ascii="Cambria" w:hAnsi="Cambria"/>
            <w:sz w:val="16"/>
            <w:szCs w:val="16"/>
            <w:lang w:val="es-ES"/>
          </w:rPr>
          <w:t xml:space="preserve">Leyes del silencio: Acoso judicial contra la libertad de </w:t>
        </w:r>
        <w:r w:rsidR="00C80FE5" w:rsidRPr="00CC562A">
          <w:rPr>
            <w:rStyle w:val="Hyperlink"/>
            <w:rFonts w:ascii="Cambria" w:hAnsi="Cambria"/>
            <w:sz w:val="16"/>
            <w:szCs w:val="16"/>
            <w:lang w:val="es-ES"/>
          </w:rPr>
          <w:t>expresión</w:t>
        </w:r>
        <w:r w:rsidR="4D1A0B04" w:rsidRPr="00CC562A">
          <w:rPr>
            <w:rStyle w:val="Hyperlink"/>
            <w:rFonts w:ascii="Cambria" w:hAnsi="Cambria"/>
            <w:sz w:val="16"/>
            <w:szCs w:val="16"/>
            <w:lang w:val="es-ES"/>
          </w:rPr>
          <w:t xml:space="preserve"> en México y Colombia</w:t>
        </w:r>
      </w:hyperlink>
      <w:r w:rsidR="4D1A0B04" w:rsidRPr="00CC562A">
        <w:rPr>
          <w:rFonts w:ascii="Cambria" w:hAnsi="Cambria"/>
          <w:sz w:val="16"/>
          <w:szCs w:val="16"/>
          <w:lang w:val="es-ES"/>
        </w:rPr>
        <w:t xml:space="preserve">, 2021. </w:t>
      </w:r>
    </w:p>
  </w:footnote>
  <w:footnote w:id="310">
    <w:p w14:paraId="1B183815" w14:textId="5DC10920" w:rsidR="007B0FC1" w:rsidRPr="00CC562A" w:rsidRDefault="007B0FC1"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s-ES"/>
        </w:rPr>
        <w:t xml:space="preserve"> </w:t>
      </w:r>
      <w:r w:rsidR="00BA2BF5" w:rsidRPr="00CC562A">
        <w:rPr>
          <w:lang w:val="es-ES"/>
        </w:rPr>
        <w:t>Article</w:t>
      </w:r>
      <w:r w:rsidR="4D1A0B04" w:rsidRPr="00CC562A">
        <w:rPr>
          <w:lang w:val="es-ES"/>
        </w:rPr>
        <w:t xml:space="preserve"> 19, </w:t>
      </w:r>
      <w:hyperlink r:id="rId115" w:history="1">
        <w:r w:rsidR="4D1A0B04" w:rsidRPr="00CC562A">
          <w:rPr>
            <w:rStyle w:val="Hyperlink"/>
            <w:lang w:val="es-ES"/>
          </w:rPr>
          <w:t>Comunicado en respuesta a la SEDENA</w:t>
        </w:r>
      </w:hyperlink>
      <w:r w:rsidR="4D1A0B04" w:rsidRPr="00CC562A">
        <w:rPr>
          <w:lang w:val="es-ES"/>
        </w:rPr>
        <w:t xml:space="preserve">, </w:t>
      </w:r>
      <w:r w:rsidR="00BA2BF5" w:rsidRPr="00CC562A">
        <w:rPr>
          <w:lang w:val="es-ES"/>
        </w:rPr>
        <w:t xml:space="preserve">October 5, </w:t>
      </w:r>
      <w:r w:rsidR="4D1A0B04" w:rsidRPr="00CC562A">
        <w:rPr>
          <w:lang w:val="es-ES"/>
        </w:rPr>
        <w:t>2022.</w:t>
      </w:r>
    </w:p>
  </w:footnote>
  <w:footnote w:id="311">
    <w:p w14:paraId="7C29CAE3" w14:textId="0775F2C9"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Latinus</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116" w:history="1">
        <w:r w:rsidRPr="00CC562A">
          <w:rPr>
            <w:rStyle w:val="Hyperlink"/>
            <w:rFonts w:ascii="Cambria" w:eastAsia="Arial Narrow" w:hAnsi="Cambria" w:cs="Arial Narrow"/>
            <w:sz w:val="16"/>
            <w:szCs w:val="16"/>
            <w:lang w:val="es-ES"/>
          </w:rPr>
          <w:t>Loret Capítulo 96</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BA2BF5" w:rsidRPr="00CC562A">
        <w:rPr>
          <w:rFonts w:ascii="Cambria" w:eastAsia="Arial Narrow" w:hAnsi="Cambria" w:cs="Arial Narrow"/>
          <w:sz w:val="16"/>
          <w:szCs w:val="16"/>
          <w:lang w:val="es-ES"/>
        </w:rPr>
        <w:t>September 29,</w:t>
      </w:r>
      <w:r w:rsidRPr="00CC562A">
        <w:rPr>
          <w:rFonts w:ascii="Cambria" w:eastAsia="Arial Narrow" w:hAnsi="Cambria" w:cs="Arial Narrow"/>
          <w:sz w:val="16"/>
          <w:szCs w:val="16"/>
          <w:lang w:val="es-ES"/>
        </w:rPr>
        <w:t xml:space="preserve"> 2022. </w:t>
      </w:r>
    </w:p>
  </w:footnote>
  <w:footnote w:id="312">
    <w:p w14:paraId="6A596B76" w14:textId="598008CB"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Equ</w:t>
      </w:r>
      <w:r w:rsidR="00BA2BF5" w:rsidRPr="00CC562A">
        <w:rPr>
          <w:rFonts w:ascii="Cambria" w:eastAsia="Arial Narrow" w:hAnsi="Cambria" w:cs="Arial Narrow"/>
          <w:sz w:val="16"/>
          <w:szCs w:val="16"/>
          <w:lang w:val="es-ES"/>
        </w:rPr>
        <w:t>al, for example, to 39 million pages of documents or a million and a half photographs</w:t>
      </w:r>
      <w:r w:rsidR="00394599" w:rsidRPr="00CC562A">
        <w:rPr>
          <w:rFonts w:ascii="Cambria" w:eastAsia="Arial Narrow" w:hAnsi="Cambria" w:cs="Arial Narrow"/>
          <w:sz w:val="16"/>
          <w:szCs w:val="16"/>
          <w:lang w:val="es-ES"/>
        </w:rPr>
        <w:t xml:space="preserve">; </w:t>
      </w:r>
      <w:r w:rsidRPr="00CC562A">
        <w:rPr>
          <w:rFonts w:ascii="Cambria" w:eastAsia="Arial Narrow" w:hAnsi="Cambria" w:cs="Arial Narrow"/>
          <w:sz w:val="16"/>
          <w:szCs w:val="16"/>
          <w:lang w:val="es-ES"/>
        </w:rPr>
        <w:t>El Financiero</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117" w:history="1">
        <w:r w:rsidRPr="00CC562A">
          <w:rPr>
            <w:rStyle w:val="Hyperlink"/>
            <w:rFonts w:ascii="Cambria" w:eastAsia="Arial Narrow" w:hAnsi="Cambria" w:cs="Arial Narrow"/>
            <w:sz w:val="16"/>
            <w:szCs w:val="16"/>
            <w:lang w:val="es-ES"/>
          </w:rPr>
          <w:t>Hackeo a la Sedena: ¿Qué tanto cabe en los 6 terabytes filtrados?</w:t>
        </w:r>
      </w:hyperlink>
      <w:r w:rsidR="00394599" w:rsidRPr="00CC562A">
        <w:rPr>
          <w:rFonts w:ascii="Cambria" w:eastAsia="Arial Narrow" w:hAnsi="Cambria" w:cs="Arial Narrow"/>
          <w:sz w:val="16"/>
          <w:szCs w:val="16"/>
          <w:lang w:val="es-ES"/>
        </w:rPr>
        <w:t xml:space="preserve">, </w:t>
      </w:r>
      <w:r w:rsidR="00BA2BF5" w:rsidRPr="00CC562A">
        <w:rPr>
          <w:rFonts w:ascii="Cambria" w:eastAsia="Arial Narrow" w:hAnsi="Cambria" w:cs="Arial Narrow"/>
          <w:sz w:val="16"/>
          <w:szCs w:val="16"/>
          <w:lang w:val="es-ES"/>
        </w:rPr>
        <w:t xml:space="preserve">October </w:t>
      </w:r>
      <w:r w:rsidRPr="00CC562A">
        <w:rPr>
          <w:rFonts w:ascii="Cambria" w:eastAsia="Arial Narrow" w:hAnsi="Cambria" w:cs="Arial Narrow"/>
          <w:sz w:val="16"/>
          <w:szCs w:val="16"/>
          <w:lang w:val="es-ES"/>
        </w:rPr>
        <w:t>2</w:t>
      </w:r>
      <w:r w:rsidR="00BA2BF5"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2022. </w:t>
      </w:r>
    </w:p>
  </w:footnote>
  <w:footnote w:id="313">
    <w:p w14:paraId="037C7798" w14:textId="7B1E4757"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Animal Político</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w:history="1">
        <w:r w:rsidRPr="00C31201">
          <w:rPr>
            <w:rFonts w:ascii="Cambria" w:eastAsia="Calibri" w:hAnsi="Cambria"/>
            <w:color w:val="1155CC"/>
            <w:sz w:val="16"/>
            <w:szCs w:val="16"/>
            <w:u w:val="single"/>
          </w:rPr>
          <w:t>Hackean al Ejército: Latinus revela documentos sobre seguridad, contratos y salud de AMLO</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D3783F" w:rsidRPr="00CC562A">
        <w:rPr>
          <w:rFonts w:ascii="Cambria" w:eastAsia="Arial Narrow" w:hAnsi="Cambria" w:cs="Arial Narrow"/>
          <w:sz w:val="16"/>
          <w:szCs w:val="16"/>
          <w:lang w:val="es-ES"/>
        </w:rPr>
        <w:t>September 9,</w:t>
      </w:r>
      <w:r w:rsidRPr="00CC562A">
        <w:rPr>
          <w:rFonts w:ascii="Cambria" w:eastAsia="Arial Narrow" w:hAnsi="Cambria" w:cs="Arial Narrow"/>
          <w:sz w:val="16"/>
          <w:szCs w:val="16"/>
          <w:lang w:val="es-ES"/>
        </w:rPr>
        <w:t xml:space="preserve"> 2022; Latinus</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118" w:history="1">
        <w:r w:rsidRPr="00C31201">
          <w:rPr>
            <w:rFonts w:ascii="Cambria" w:eastAsia="Calibri" w:hAnsi="Cambria"/>
            <w:color w:val="1155CC"/>
            <w:sz w:val="16"/>
            <w:szCs w:val="16"/>
            <w:u w:val="single"/>
          </w:rPr>
          <w:t>Los hackers “Guacamaya” reivindican el ciberataque a la Sedena: buscan evidenciar el excesivo poder de los militares y su corrupción</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D3783F" w:rsidRPr="00CC562A">
        <w:rPr>
          <w:rFonts w:ascii="Cambria" w:eastAsia="Arial Narrow" w:hAnsi="Cambria" w:cs="Arial Narrow"/>
          <w:sz w:val="16"/>
          <w:szCs w:val="16"/>
          <w:lang w:val="es-ES"/>
        </w:rPr>
        <w:t>September 30,</w:t>
      </w:r>
      <w:r w:rsidRPr="00CC562A">
        <w:rPr>
          <w:rFonts w:ascii="Cambria" w:eastAsia="Arial Narrow" w:hAnsi="Cambria" w:cs="Arial Narrow"/>
          <w:sz w:val="16"/>
          <w:szCs w:val="16"/>
          <w:lang w:val="es-ES"/>
        </w:rPr>
        <w:t xml:space="preserve"> 2022. </w:t>
      </w:r>
    </w:p>
  </w:footnote>
  <w:footnote w:id="314">
    <w:p w14:paraId="5904C102" w14:textId="33FD69F0"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La Lista</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119" w:history="1">
        <w:r w:rsidRPr="001325CC">
          <w:rPr>
            <w:rFonts w:ascii="Cambria" w:eastAsia="Calibri" w:hAnsi="Cambria"/>
            <w:color w:val="1155CC"/>
            <w:sz w:val="16"/>
            <w:szCs w:val="16"/>
            <w:u w:val="single"/>
          </w:rPr>
          <w:t>Guacamayaleaks | El Ejército vigila las acciones de feministas, activistas y universidades</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D3783F" w:rsidRPr="00CC562A">
        <w:rPr>
          <w:rFonts w:ascii="Cambria" w:eastAsia="Arial Narrow" w:hAnsi="Cambria" w:cs="Arial Narrow"/>
          <w:sz w:val="16"/>
          <w:szCs w:val="16"/>
          <w:lang w:val="es-ES"/>
        </w:rPr>
        <w:t xml:space="preserve">October 4, </w:t>
      </w:r>
      <w:r w:rsidRPr="00CC562A">
        <w:rPr>
          <w:rFonts w:ascii="Cambria" w:eastAsia="Arial Narrow" w:hAnsi="Cambria" w:cs="Arial Narrow"/>
          <w:sz w:val="16"/>
          <w:szCs w:val="16"/>
          <w:lang w:val="es-ES"/>
        </w:rPr>
        <w:t xml:space="preserve">2022. </w:t>
      </w:r>
    </w:p>
  </w:footnote>
  <w:footnote w:id="315">
    <w:p w14:paraId="266D4BCF" w14:textId="5143B1DC"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Norte Digital</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120" w:history="1">
        <w:r w:rsidRPr="001325CC">
          <w:rPr>
            <w:rFonts w:ascii="Cambria" w:eastAsia="Calibri" w:hAnsi="Cambria"/>
            <w:color w:val="1155CC"/>
            <w:sz w:val="16"/>
            <w:szCs w:val="16"/>
            <w:u w:val="single"/>
          </w:rPr>
          <w:t xml:space="preserve">Ejército ubica a 15 grupos feministas </w:t>
        </w:r>
        <w:r w:rsidRPr="001325CC">
          <w:rPr>
            <w:rFonts w:ascii="Cambria" w:eastAsia="Calibri" w:hAnsi="Cambria"/>
            <w:color w:val="1155CC"/>
            <w:sz w:val="16"/>
            <w:szCs w:val="16"/>
            <w:u w:val="single"/>
          </w:rPr>
          <w:t>y hasta a Mon Laferte: Guacamaya leaks</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Publi</w:t>
      </w:r>
      <w:r w:rsidR="00D3783F" w:rsidRPr="00CC562A">
        <w:rPr>
          <w:rFonts w:ascii="Cambria" w:eastAsia="Arial Narrow" w:hAnsi="Cambria" w:cs="Arial Narrow"/>
          <w:sz w:val="16"/>
          <w:szCs w:val="16"/>
          <w:lang w:val="es-ES"/>
        </w:rPr>
        <w:t xml:space="preserve">shed on October 4, </w:t>
      </w:r>
      <w:r w:rsidRPr="00CC562A">
        <w:rPr>
          <w:rFonts w:ascii="Cambria" w:eastAsia="Arial Narrow" w:hAnsi="Cambria" w:cs="Arial Narrow"/>
          <w:sz w:val="16"/>
          <w:szCs w:val="16"/>
          <w:lang w:val="es-ES"/>
        </w:rPr>
        <w:t>2022. Consult</w:t>
      </w:r>
      <w:r w:rsidR="00D3783F" w:rsidRPr="00CC562A">
        <w:rPr>
          <w:rFonts w:ascii="Cambria" w:eastAsia="Arial Narrow" w:hAnsi="Cambria" w:cs="Arial Narrow"/>
          <w:sz w:val="16"/>
          <w:szCs w:val="16"/>
          <w:lang w:val="es-ES"/>
        </w:rPr>
        <w:t xml:space="preserve">ed on October 17, </w:t>
      </w:r>
      <w:r w:rsidRPr="00CC562A">
        <w:rPr>
          <w:rFonts w:ascii="Cambria" w:eastAsia="Arial Narrow" w:hAnsi="Cambria" w:cs="Arial Narrow"/>
          <w:sz w:val="16"/>
          <w:szCs w:val="16"/>
          <w:lang w:val="es-ES"/>
        </w:rPr>
        <w:t xml:space="preserve">2022; Publimetro. </w:t>
      </w:r>
      <w:hyperlink r:id="rId121" w:history="1">
        <w:r w:rsidRPr="001325CC">
          <w:rPr>
            <w:rFonts w:ascii="Cambria" w:eastAsia="Calibri" w:hAnsi="Cambria"/>
            <w:color w:val="1155CC"/>
            <w:sz w:val="16"/>
            <w:szCs w:val="16"/>
            <w:u w:val="single"/>
          </w:rPr>
          <w:t>Ejército sigue actividades del EZLN, feministas y organizaciones sociales como ”amenazas”</w:t>
        </w:r>
      </w:hyperlink>
      <w:r w:rsidR="00394599" w:rsidRPr="00CC562A">
        <w:rPr>
          <w:rFonts w:ascii="Cambria" w:eastAsia="Arial Narrow" w:hAnsi="Cambria" w:cs="Arial Narrow"/>
          <w:sz w:val="16"/>
          <w:szCs w:val="16"/>
          <w:lang w:val="es-ES"/>
        </w:rPr>
        <w:t xml:space="preserve">, </w:t>
      </w:r>
      <w:r w:rsidRPr="00CC562A">
        <w:rPr>
          <w:rFonts w:ascii="Cambria" w:eastAsia="Arial Narrow" w:hAnsi="Cambria" w:cs="Arial Narrow"/>
          <w:sz w:val="16"/>
          <w:szCs w:val="16"/>
          <w:lang w:val="es-ES"/>
        </w:rPr>
        <w:t xml:space="preserve"> </w:t>
      </w:r>
      <w:r w:rsidR="00D3783F" w:rsidRPr="00CC562A">
        <w:rPr>
          <w:rFonts w:ascii="Cambria" w:eastAsia="Arial Narrow" w:hAnsi="Cambria" w:cs="Arial Narrow"/>
          <w:sz w:val="16"/>
          <w:szCs w:val="16"/>
          <w:lang w:val="es-ES"/>
        </w:rPr>
        <w:t>October 2,</w:t>
      </w:r>
      <w:r w:rsidRPr="00CC562A">
        <w:rPr>
          <w:rFonts w:ascii="Cambria" w:eastAsia="Arial Narrow" w:hAnsi="Cambria" w:cs="Arial Narrow"/>
          <w:sz w:val="16"/>
          <w:szCs w:val="16"/>
          <w:lang w:val="es-ES"/>
        </w:rPr>
        <w:t xml:space="preserve"> 2022; La Jornada Maya</w:t>
      </w:r>
      <w:r w:rsidR="00394599" w:rsidRPr="00CC562A">
        <w:rPr>
          <w:rFonts w:ascii="Cambria" w:eastAsia="Arial Narrow" w:hAnsi="Cambria" w:cs="Arial Narrow"/>
          <w:sz w:val="16"/>
          <w:szCs w:val="16"/>
          <w:lang w:val="es-ES"/>
        </w:rPr>
        <w:t xml:space="preserve">, </w:t>
      </w:r>
      <w:hyperlink r:id="rId122" w:history="1">
        <w:r w:rsidRPr="001325CC">
          <w:rPr>
            <w:rFonts w:ascii="Cambria" w:eastAsia="Calibri" w:hAnsi="Cambria"/>
            <w:color w:val="1155CC"/>
            <w:sz w:val="16"/>
            <w:szCs w:val="16"/>
            <w:u w:val="single"/>
          </w:rPr>
          <w:t>Ganamos el premio de la paz y la Sedena nos criminaliza: Héctor Cerezo</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D3783F" w:rsidRPr="00CC562A">
        <w:rPr>
          <w:rFonts w:ascii="Cambria" w:eastAsia="Arial Narrow" w:hAnsi="Cambria" w:cs="Arial Narrow"/>
          <w:sz w:val="16"/>
          <w:szCs w:val="16"/>
          <w:lang w:val="es-ES"/>
        </w:rPr>
        <w:t xml:space="preserve">October </w:t>
      </w:r>
      <w:r w:rsidRPr="00CC562A">
        <w:rPr>
          <w:rFonts w:ascii="Cambria" w:eastAsia="Arial Narrow" w:hAnsi="Cambria" w:cs="Arial Narrow"/>
          <w:sz w:val="16"/>
          <w:szCs w:val="16"/>
          <w:lang w:val="es-ES"/>
        </w:rPr>
        <w:t>14</w:t>
      </w:r>
      <w:r w:rsidR="00D3783F"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2022; Pulso</w:t>
      </w:r>
      <w:r w:rsidR="00394599" w:rsidRPr="00CC562A">
        <w:rPr>
          <w:rFonts w:ascii="Cambria" w:eastAsia="Arial Narrow" w:hAnsi="Cambria" w:cs="Arial Narrow"/>
          <w:sz w:val="16"/>
          <w:szCs w:val="16"/>
          <w:lang w:val="es-ES"/>
        </w:rPr>
        <w:t xml:space="preserve">, </w:t>
      </w:r>
      <w:hyperlink r:id="rId123" w:history="1">
        <w:r w:rsidRPr="001325CC">
          <w:rPr>
            <w:rFonts w:ascii="Cambria" w:eastAsia="Calibri" w:hAnsi="Cambria"/>
            <w:color w:val="1155CC"/>
            <w:sz w:val="16"/>
            <w:szCs w:val="16"/>
            <w:u w:val="single"/>
          </w:rPr>
          <w:t>Colectivos feministas de SLP han sido vigilados por la Sedena, revela filtración de Guacamaya Leaks</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D3783F" w:rsidRPr="00CC562A">
        <w:rPr>
          <w:rFonts w:ascii="Cambria" w:eastAsia="Arial Narrow" w:hAnsi="Cambria" w:cs="Arial Narrow"/>
          <w:sz w:val="16"/>
          <w:szCs w:val="16"/>
          <w:lang w:val="es-ES"/>
        </w:rPr>
        <w:t xml:space="preserve">October 4, </w:t>
      </w:r>
      <w:r w:rsidRPr="00CC562A">
        <w:rPr>
          <w:rFonts w:ascii="Cambria" w:eastAsia="Arial Narrow" w:hAnsi="Cambria" w:cs="Arial Narrow"/>
          <w:sz w:val="16"/>
          <w:szCs w:val="16"/>
          <w:lang w:val="es-ES"/>
        </w:rPr>
        <w:t xml:space="preserve">2022. </w:t>
      </w:r>
    </w:p>
  </w:footnote>
  <w:footnote w:id="316">
    <w:p w14:paraId="56C70209" w14:textId="130BFB79"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D3783F" w:rsidRPr="00CC562A">
        <w:rPr>
          <w:rFonts w:ascii="Cambria" w:hAnsi="Cambria"/>
          <w:sz w:val="16"/>
          <w:szCs w:val="16"/>
        </w:rPr>
        <w:t xml:space="preserve">January 24, </w:t>
      </w:r>
      <w:r w:rsidRPr="00CC562A">
        <w:rPr>
          <w:rFonts w:ascii="Cambria" w:hAnsi="Cambria"/>
          <w:sz w:val="16"/>
          <w:szCs w:val="16"/>
        </w:rPr>
        <w:t xml:space="preserve">2022. </w:t>
      </w:r>
      <w:hyperlink r:id="rId124">
        <w:r w:rsidRPr="00CC562A">
          <w:rPr>
            <w:rFonts w:ascii="Cambria" w:hAnsi="Cambria"/>
            <w:color w:val="1155CC"/>
            <w:sz w:val="16"/>
            <w:szCs w:val="16"/>
            <w:u w:val="single"/>
          </w:rPr>
          <w:t>Matan a puñaladas al periodista mexicano José Luis Gamboa en Veracruz</w:t>
        </w:r>
      </w:hyperlink>
      <w:r w:rsidRPr="00CC562A">
        <w:rPr>
          <w:rFonts w:ascii="Cambria" w:hAnsi="Cambria"/>
          <w:color w:val="1D1D1D"/>
          <w:sz w:val="16"/>
          <w:szCs w:val="16"/>
        </w:rPr>
        <w:t>; La Silla Ro</w:t>
      </w:r>
      <w:r w:rsidRPr="00CC562A">
        <w:rPr>
          <w:rFonts w:ascii="Cambria" w:hAnsi="Cambria"/>
          <w:sz w:val="16"/>
          <w:szCs w:val="16"/>
        </w:rPr>
        <w:t xml:space="preserve">ta Veracruz. </w:t>
      </w:r>
      <w:r w:rsidR="00D3783F" w:rsidRPr="00CC562A">
        <w:rPr>
          <w:rFonts w:ascii="Cambria" w:hAnsi="Cambria"/>
          <w:sz w:val="16"/>
          <w:szCs w:val="16"/>
        </w:rPr>
        <w:t xml:space="preserve">January 15, </w:t>
      </w:r>
      <w:r w:rsidRPr="00CC562A">
        <w:rPr>
          <w:rFonts w:ascii="Cambria" w:hAnsi="Cambria"/>
          <w:sz w:val="16"/>
          <w:szCs w:val="16"/>
        </w:rPr>
        <w:t xml:space="preserve">2022. </w:t>
      </w:r>
      <w:hyperlink r:id="rId125">
        <w:r w:rsidRPr="00CC562A">
          <w:rPr>
            <w:rFonts w:ascii="Cambria" w:hAnsi="Cambria"/>
            <w:color w:val="1155CC"/>
            <w:sz w:val="16"/>
            <w:szCs w:val="16"/>
            <w:u w:val="single"/>
          </w:rPr>
          <w:t>Asesinan a comunicador en colonia del puerto de Veracruz</w:t>
        </w:r>
      </w:hyperlink>
      <w:r w:rsidRPr="00CC562A">
        <w:rPr>
          <w:rFonts w:ascii="Cambria" w:hAnsi="Cambria"/>
          <w:sz w:val="16"/>
          <w:szCs w:val="16"/>
        </w:rPr>
        <w:t xml:space="preserve">; </w:t>
      </w:r>
      <w:r w:rsidRPr="00CC562A">
        <w:rPr>
          <w:rFonts w:ascii="Cambria" w:hAnsi="Cambria"/>
          <w:color w:val="1D1D1D"/>
          <w:sz w:val="16"/>
          <w:szCs w:val="16"/>
        </w:rPr>
        <w:t>Animal Polític</w:t>
      </w:r>
      <w:r w:rsidRPr="00CC562A">
        <w:rPr>
          <w:rFonts w:ascii="Cambria" w:hAnsi="Cambria"/>
          <w:sz w:val="16"/>
          <w:szCs w:val="16"/>
        </w:rPr>
        <w:t xml:space="preserve">o. </w:t>
      </w:r>
      <w:r w:rsidR="00D3783F" w:rsidRPr="00CC562A">
        <w:rPr>
          <w:rFonts w:ascii="Cambria" w:hAnsi="Cambria"/>
          <w:sz w:val="16"/>
          <w:szCs w:val="16"/>
        </w:rPr>
        <w:t>January 17,</w:t>
      </w:r>
      <w:r w:rsidRPr="00CC562A">
        <w:rPr>
          <w:rFonts w:ascii="Cambria" w:hAnsi="Cambria"/>
          <w:sz w:val="16"/>
          <w:szCs w:val="16"/>
        </w:rPr>
        <w:t xml:space="preserve"> 2022. </w:t>
      </w:r>
      <w:hyperlink r:id="rId126">
        <w:r w:rsidRPr="00CC562A">
          <w:rPr>
            <w:rFonts w:ascii="Cambria" w:hAnsi="Cambria"/>
            <w:color w:val="1155CC"/>
            <w:sz w:val="16"/>
            <w:szCs w:val="16"/>
            <w:u w:val="single"/>
          </w:rPr>
          <w:t>Matan al periodista José Luis Gamboa en el puerto de Veracruz</w:t>
        </w:r>
      </w:hyperlink>
      <w:r w:rsidRPr="00CC562A">
        <w:rPr>
          <w:rFonts w:ascii="Cambria" w:hAnsi="Cambria"/>
          <w:sz w:val="16"/>
          <w:szCs w:val="16"/>
        </w:rPr>
        <w:t>.</w:t>
      </w:r>
    </w:p>
  </w:footnote>
  <w:footnote w:id="317">
    <w:p w14:paraId="2BA5EA6A" w14:textId="1BD899BD"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D3783F" w:rsidRPr="00CC562A">
        <w:rPr>
          <w:rFonts w:ascii="Cambria" w:hAnsi="Cambria"/>
          <w:sz w:val="16"/>
          <w:szCs w:val="16"/>
        </w:rPr>
        <w:t xml:space="preserve">January 25, </w:t>
      </w:r>
      <w:r w:rsidRPr="00CC562A">
        <w:rPr>
          <w:rFonts w:ascii="Cambria" w:hAnsi="Cambria"/>
          <w:sz w:val="16"/>
          <w:szCs w:val="16"/>
        </w:rPr>
        <w:t xml:space="preserve">2022. </w:t>
      </w:r>
      <w:hyperlink r:id="rId127">
        <w:r w:rsidRPr="00CC562A">
          <w:rPr>
            <w:rFonts w:ascii="Cambria" w:hAnsi="Cambria"/>
            <w:color w:val="1155CC"/>
            <w:sz w:val="16"/>
            <w:szCs w:val="16"/>
            <w:u w:val="single"/>
          </w:rPr>
          <w:t>Matan a disparos al fotoperiodista mexicano Margarito Martínez en Tijuana</w:t>
        </w:r>
      </w:hyperlink>
      <w:r w:rsidRPr="00CC562A">
        <w:rPr>
          <w:rFonts w:ascii="Cambria" w:hAnsi="Cambria"/>
          <w:sz w:val="16"/>
          <w:szCs w:val="16"/>
        </w:rPr>
        <w:t xml:space="preserve">; La Jornada. </w:t>
      </w:r>
      <w:r w:rsidR="00D3783F" w:rsidRPr="00CC562A">
        <w:rPr>
          <w:rFonts w:ascii="Cambria" w:hAnsi="Cambria"/>
          <w:sz w:val="16"/>
          <w:szCs w:val="16"/>
        </w:rPr>
        <w:t xml:space="preserve">January 8, </w:t>
      </w:r>
      <w:r w:rsidRPr="00CC562A">
        <w:rPr>
          <w:rFonts w:ascii="Cambria" w:hAnsi="Cambria"/>
          <w:sz w:val="16"/>
          <w:szCs w:val="16"/>
        </w:rPr>
        <w:t xml:space="preserve">2022. </w:t>
      </w:r>
      <w:hyperlink r:id="rId128">
        <w:r w:rsidRPr="00CC562A">
          <w:rPr>
            <w:rFonts w:ascii="Cambria" w:hAnsi="Cambria"/>
            <w:color w:val="1155CC"/>
            <w:sz w:val="16"/>
            <w:szCs w:val="16"/>
            <w:u w:val="single"/>
          </w:rPr>
          <w:t>Asesinan en Tijuana al periodista Margarito Martínez</w:t>
        </w:r>
      </w:hyperlink>
      <w:r w:rsidRPr="00CC562A">
        <w:rPr>
          <w:rFonts w:ascii="Cambria" w:hAnsi="Cambria"/>
          <w:sz w:val="16"/>
          <w:szCs w:val="16"/>
        </w:rPr>
        <w:t xml:space="preserve">; Animal Político. </w:t>
      </w:r>
      <w:r w:rsidR="00D3783F" w:rsidRPr="00CC562A">
        <w:rPr>
          <w:rFonts w:ascii="Cambria" w:hAnsi="Cambria"/>
          <w:sz w:val="16"/>
          <w:szCs w:val="16"/>
        </w:rPr>
        <w:t xml:space="preserve">January 17, </w:t>
      </w:r>
      <w:r w:rsidRPr="00CC562A">
        <w:rPr>
          <w:rFonts w:ascii="Cambria" w:hAnsi="Cambria"/>
          <w:sz w:val="16"/>
          <w:szCs w:val="16"/>
        </w:rPr>
        <w:t xml:space="preserve">2022. </w:t>
      </w:r>
      <w:hyperlink r:id="rId129">
        <w:r w:rsidRPr="00CC562A">
          <w:rPr>
            <w:rFonts w:ascii="Cambria" w:hAnsi="Cambria"/>
            <w:color w:val="1155CC"/>
            <w:sz w:val="16"/>
            <w:szCs w:val="16"/>
            <w:u w:val="single"/>
          </w:rPr>
          <w:t>Asesinan al fotoperiodista Margarito Martínez Esquivel en Tijuana, Baja California</w:t>
        </w:r>
      </w:hyperlink>
      <w:r w:rsidRPr="00CC562A">
        <w:rPr>
          <w:rFonts w:ascii="Cambria" w:hAnsi="Cambria"/>
          <w:sz w:val="16"/>
          <w:szCs w:val="16"/>
        </w:rPr>
        <w:t xml:space="preserve">. </w:t>
      </w:r>
    </w:p>
  </w:footnote>
  <w:footnote w:id="318">
    <w:p w14:paraId="171EA181" w14:textId="166EDD7E"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D3783F" w:rsidRPr="00CC562A">
        <w:rPr>
          <w:rFonts w:ascii="Cambria" w:hAnsi="Cambria"/>
          <w:sz w:val="16"/>
          <w:szCs w:val="16"/>
          <w:lang w:val="en-US"/>
        </w:rPr>
        <w:t xml:space="preserve">January </w:t>
      </w:r>
      <w:r w:rsidRPr="00CC562A">
        <w:rPr>
          <w:rFonts w:ascii="Cambria" w:hAnsi="Cambria"/>
          <w:sz w:val="16"/>
          <w:szCs w:val="16"/>
          <w:lang w:val="en-US"/>
        </w:rPr>
        <w:t>28</w:t>
      </w:r>
      <w:r w:rsidR="00D3783F" w:rsidRPr="00CC562A">
        <w:rPr>
          <w:rFonts w:ascii="Cambria" w:hAnsi="Cambria"/>
          <w:sz w:val="16"/>
          <w:szCs w:val="16"/>
          <w:lang w:val="en-US"/>
        </w:rPr>
        <w:t>,</w:t>
      </w:r>
      <w:r w:rsidRPr="00CC562A">
        <w:rPr>
          <w:rFonts w:ascii="Cambria" w:hAnsi="Cambria"/>
          <w:sz w:val="16"/>
          <w:szCs w:val="16"/>
          <w:lang w:val="en-US"/>
        </w:rPr>
        <w:t xml:space="preserve"> 2022. </w:t>
      </w:r>
      <w:hyperlink r:id="rId130">
        <w:r w:rsidR="005E22D6" w:rsidRPr="00CC562A">
          <w:rPr>
            <w:rFonts w:ascii="Cambria" w:hAnsi="Cambria"/>
            <w:color w:val="1155CC"/>
            <w:sz w:val="16"/>
            <w:szCs w:val="16"/>
            <w:u w:val="single"/>
            <w:lang w:val="en-US"/>
          </w:rPr>
          <w:t>The IACHR, its Special Rapporteur for Freedom of Expression, and the Mexican Branch of the UNCHR Condemn the Murder of Journalist</w:t>
        </w:r>
        <w:r w:rsidRPr="00CC562A">
          <w:rPr>
            <w:rFonts w:ascii="Cambria" w:hAnsi="Cambria"/>
            <w:color w:val="1155CC"/>
            <w:sz w:val="16"/>
            <w:szCs w:val="16"/>
            <w:u w:val="single"/>
            <w:lang w:val="en-US"/>
          </w:rPr>
          <w:t xml:space="preserve"> Lourdes Maldonado</w:t>
        </w:r>
      </w:hyperlink>
      <w:r w:rsidRPr="00CC562A">
        <w:rPr>
          <w:rFonts w:ascii="Cambria" w:hAnsi="Cambria"/>
          <w:sz w:val="16"/>
          <w:szCs w:val="16"/>
          <w:lang w:val="en-US"/>
        </w:rPr>
        <w:t xml:space="preserve">; CPJ. </w:t>
      </w:r>
      <w:r w:rsidR="00D3783F" w:rsidRPr="00CC562A">
        <w:rPr>
          <w:rFonts w:ascii="Cambria" w:hAnsi="Cambria"/>
          <w:sz w:val="16"/>
          <w:szCs w:val="16"/>
        </w:rPr>
        <w:t xml:space="preserve">January 31, </w:t>
      </w:r>
      <w:r w:rsidRPr="00CC562A">
        <w:rPr>
          <w:rFonts w:ascii="Cambria" w:hAnsi="Cambria"/>
          <w:sz w:val="16"/>
          <w:szCs w:val="16"/>
        </w:rPr>
        <w:t xml:space="preserve">2022. </w:t>
      </w:r>
      <w:hyperlink r:id="rId131">
        <w:r w:rsidRPr="00CC562A">
          <w:rPr>
            <w:rFonts w:ascii="Cambria" w:hAnsi="Cambria"/>
            <w:color w:val="1155CC"/>
            <w:sz w:val="16"/>
            <w:szCs w:val="16"/>
            <w:u w:val="single"/>
          </w:rPr>
          <w:t>Continúa la violencia: Lourdes Maldonado es la tercera periodista que muere asesinada en México en menos de un mes</w:t>
        </w:r>
      </w:hyperlink>
      <w:r w:rsidRPr="00CC562A">
        <w:rPr>
          <w:rFonts w:ascii="Cambria" w:hAnsi="Cambria"/>
          <w:sz w:val="16"/>
          <w:szCs w:val="16"/>
        </w:rPr>
        <w:t xml:space="preserve">; CBS News. </w:t>
      </w:r>
      <w:r w:rsidR="00D3783F" w:rsidRPr="00CC562A">
        <w:rPr>
          <w:rFonts w:ascii="Cambria" w:hAnsi="Cambria"/>
          <w:sz w:val="16"/>
          <w:szCs w:val="16"/>
          <w:lang w:val="en-US"/>
        </w:rPr>
        <w:t xml:space="preserve">January 24, </w:t>
      </w:r>
      <w:r w:rsidRPr="00CC562A">
        <w:rPr>
          <w:rFonts w:ascii="Cambria" w:hAnsi="Cambria"/>
          <w:sz w:val="16"/>
          <w:szCs w:val="16"/>
          <w:lang w:val="en-US"/>
        </w:rPr>
        <w:t xml:space="preserve">2022. </w:t>
      </w:r>
      <w:hyperlink r:id="rId132">
        <w:r w:rsidRPr="00CC562A">
          <w:rPr>
            <w:rFonts w:ascii="Cambria" w:hAnsi="Cambria"/>
            <w:color w:val="1155CC"/>
            <w:sz w:val="16"/>
            <w:szCs w:val="16"/>
            <w:u w:val="single"/>
            <w:lang w:val="en-US"/>
          </w:rPr>
          <w:t>In 2019, a journalist told Mexico's president, "I fear for my life." She was just found shot to death in Tijuana</w:t>
        </w:r>
      </w:hyperlink>
      <w:r w:rsidRPr="00CC562A">
        <w:rPr>
          <w:rFonts w:ascii="Cambria" w:hAnsi="Cambria"/>
          <w:sz w:val="16"/>
          <w:szCs w:val="16"/>
          <w:lang w:val="en-US"/>
        </w:rPr>
        <w:t xml:space="preserve">; La Jornada. </w:t>
      </w:r>
      <w:r w:rsidR="00D3783F" w:rsidRPr="00CC562A">
        <w:rPr>
          <w:rFonts w:ascii="Cambria" w:hAnsi="Cambria"/>
          <w:sz w:val="16"/>
          <w:szCs w:val="16"/>
        </w:rPr>
        <w:t xml:space="preserve">January 23, </w:t>
      </w:r>
      <w:r w:rsidRPr="00CC562A">
        <w:rPr>
          <w:rFonts w:ascii="Cambria" w:hAnsi="Cambria"/>
          <w:sz w:val="16"/>
          <w:szCs w:val="16"/>
        </w:rPr>
        <w:t xml:space="preserve">2022. </w:t>
      </w:r>
      <w:hyperlink r:id="rId133">
        <w:r w:rsidRPr="00CC562A">
          <w:rPr>
            <w:rFonts w:ascii="Cambria" w:hAnsi="Cambria"/>
            <w:color w:val="1155CC"/>
            <w:sz w:val="16"/>
            <w:szCs w:val="16"/>
            <w:u w:val="single"/>
          </w:rPr>
          <w:t>Asesinan en Tijuana a la periodista Lourdes Maldonado</w:t>
        </w:r>
      </w:hyperlink>
      <w:r w:rsidRPr="00CC562A">
        <w:rPr>
          <w:rFonts w:ascii="Cambria" w:hAnsi="Cambria"/>
          <w:sz w:val="16"/>
          <w:szCs w:val="16"/>
        </w:rPr>
        <w:t xml:space="preserve">. </w:t>
      </w:r>
    </w:p>
  </w:footnote>
  <w:footnote w:id="319">
    <w:p w14:paraId="0D267FCC" w14:textId="2658C05D" w:rsidR="009965A7" w:rsidRPr="00CC562A" w:rsidRDefault="009965A7" w:rsidP="007A58B5">
      <w:pPr>
        <w:pStyle w:val="NoSpacing"/>
        <w:ind w:firstLine="720"/>
        <w:jc w:val="both"/>
        <w:rPr>
          <w:rFonts w:ascii="Cambria" w:hAnsi="Cambria"/>
          <w:color w:val="1D1D1D"/>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5E22D6" w:rsidRPr="00CC562A">
        <w:rPr>
          <w:rFonts w:ascii="Cambria" w:hAnsi="Cambria"/>
          <w:sz w:val="16"/>
          <w:szCs w:val="16"/>
        </w:rPr>
        <w:t xml:space="preserve">February 3, </w:t>
      </w:r>
      <w:r w:rsidRPr="00CC562A">
        <w:rPr>
          <w:rFonts w:ascii="Cambria" w:hAnsi="Cambria"/>
          <w:sz w:val="16"/>
          <w:szCs w:val="16"/>
        </w:rPr>
        <w:t xml:space="preserve">2022. </w:t>
      </w:r>
      <w:hyperlink r:id="rId134">
        <w:r w:rsidRPr="00CC562A">
          <w:rPr>
            <w:rFonts w:ascii="Cambria" w:hAnsi="Cambria"/>
            <w:color w:val="1155CC"/>
            <w:sz w:val="16"/>
            <w:szCs w:val="16"/>
            <w:u w:val="single"/>
          </w:rPr>
          <w:t>Roberto Toledo es el cuarto periodista mexicano asesinado en menos de cuatro semanas</w:t>
        </w:r>
      </w:hyperlink>
      <w:r w:rsidRPr="00CC562A">
        <w:rPr>
          <w:rFonts w:ascii="Cambria" w:hAnsi="Cambria"/>
          <w:color w:val="1D1D1D"/>
          <w:sz w:val="16"/>
          <w:szCs w:val="16"/>
        </w:rPr>
        <w:t xml:space="preserve">; El País. </w:t>
      </w:r>
      <w:r w:rsidR="005E22D6" w:rsidRPr="00CC562A">
        <w:rPr>
          <w:rFonts w:ascii="Cambria" w:hAnsi="Cambria"/>
          <w:color w:val="1D1D1D"/>
          <w:sz w:val="16"/>
          <w:szCs w:val="16"/>
        </w:rPr>
        <w:t xml:space="preserve">January 31, </w:t>
      </w:r>
      <w:r w:rsidRPr="00CC562A">
        <w:rPr>
          <w:rFonts w:ascii="Cambria" w:hAnsi="Cambria"/>
          <w:sz w:val="16"/>
          <w:szCs w:val="16"/>
        </w:rPr>
        <w:t xml:space="preserve">2022. </w:t>
      </w:r>
      <w:hyperlink r:id="rId135">
        <w:r w:rsidRPr="00CC562A">
          <w:rPr>
            <w:rFonts w:ascii="Cambria" w:hAnsi="Cambria"/>
            <w:color w:val="1155CC"/>
            <w:sz w:val="16"/>
            <w:szCs w:val="16"/>
            <w:u w:val="single"/>
          </w:rPr>
          <w:t>Asesinado el comunicador Roberto Toledo en Michoacán, el cuarto crimen contra la prensa en un mes en México</w:t>
        </w:r>
      </w:hyperlink>
      <w:r w:rsidRPr="00CC562A">
        <w:rPr>
          <w:rFonts w:ascii="Cambria" w:hAnsi="Cambria"/>
          <w:sz w:val="16"/>
          <w:szCs w:val="16"/>
        </w:rPr>
        <w:t xml:space="preserve">. </w:t>
      </w:r>
    </w:p>
  </w:footnote>
  <w:footnote w:id="320">
    <w:p w14:paraId="190175DA" w14:textId="3A5168E6"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5E22D6" w:rsidRPr="00CC562A">
        <w:rPr>
          <w:rFonts w:ascii="Cambria" w:hAnsi="Cambria"/>
          <w:sz w:val="16"/>
          <w:szCs w:val="16"/>
        </w:rPr>
        <w:t>February 15,</w:t>
      </w:r>
      <w:r w:rsidRPr="00CC562A">
        <w:rPr>
          <w:rFonts w:ascii="Cambria" w:hAnsi="Cambria"/>
          <w:sz w:val="16"/>
          <w:szCs w:val="16"/>
        </w:rPr>
        <w:t xml:space="preserve"> 2022. </w:t>
      </w:r>
      <w:hyperlink r:id="rId136">
        <w:r w:rsidRPr="00CC562A">
          <w:rPr>
            <w:rFonts w:ascii="Cambria" w:hAnsi="Cambria"/>
            <w:color w:val="1155CC"/>
            <w:sz w:val="16"/>
            <w:szCs w:val="16"/>
            <w:u w:val="single"/>
          </w:rPr>
          <w:t>​​Asesinan a tiros al periodista mexicano Heber López en Oaxaca y las autoridades detienen a dos sospechosos del crimen</w:t>
        </w:r>
      </w:hyperlink>
      <w:r w:rsidRPr="00CC562A">
        <w:rPr>
          <w:rFonts w:ascii="Cambria" w:hAnsi="Cambria"/>
          <w:sz w:val="16"/>
          <w:szCs w:val="16"/>
        </w:rPr>
        <w:t xml:space="preserve">; El Universal. </w:t>
      </w:r>
      <w:r w:rsidR="005E22D6" w:rsidRPr="00CC562A">
        <w:rPr>
          <w:rFonts w:ascii="Cambria" w:hAnsi="Cambria"/>
          <w:sz w:val="16"/>
          <w:szCs w:val="16"/>
        </w:rPr>
        <w:t xml:space="preserve">February 10, </w:t>
      </w:r>
      <w:r w:rsidRPr="00CC562A">
        <w:rPr>
          <w:rFonts w:ascii="Cambria" w:hAnsi="Cambria"/>
          <w:sz w:val="16"/>
          <w:szCs w:val="16"/>
        </w:rPr>
        <w:t xml:space="preserve">2022. </w:t>
      </w:r>
      <w:hyperlink r:id="rId137">
        <w:r w:rsidRPr="00CC562A">
          <w:rPr>
            <w:rFonts w:ascii="Cambria" w:hAnsi="Cambria"/>
            <w:color w:val="1155CC"/>
            <w:sz w:val="16"/>
            <w:szCs w:val="16"/>
            <w:u w:val="single"/>
          </w:rPr>
          <w:t>Matan al periodista Heber López en Oaxaca; hay dos detenidos</w:t>
        </w:r>
      </w:hyperlink>
      <w:r w:rsidRPr="00CC562A">
        <w:rPr>
          <w:rFonts w:ascii="Cambria" w:hAnsi="Cambria"/>
          <w:sz w:val="16"/>
          <w:szCs w:val="16"/>
        </w:rPr>
        <w:t xml:space="preserve">; La Jornada. </w:t>
      </w:r>
      <w:r w:rsidR="005E22D6" w:rsidRPr="00CC562A">
        <w:rPr>
          <w:rFonts w:ascii="Cambria" w:hAnsi="Cambria"/>
          <w:sz w:val="16"/>
          <w:szCs w:val="16"/>
        </w:rPr>
        <w:t>February 10,</w:t>
      </w:r>
      <w:r w:rsidRPr="00CC562A">
        <w:rPr>
          <w:rFonts w:ascii="Cambria" w:hAnsi="Cambria"/>
          <w:sz w:val="16"/>
          <w:szCs w:val="16"/>
        </w:rPr>
        <w:t xml:space="preserve"> 2022. </w:t>
      </w:r>
      <w:hyperlink r:id="rId138">
        <w:r w:rsidRPr="00CC562A">
          <w:rPr>
            <w:rFonts w:ascii="Cambria" w:hAnsi="Cambria"/>
            <w:color w:val="1155CC"/>
            <w:sz w:val="16"/>
            <w:szCs w:val="16"/>
            <w:u w:val="single"/>
          </w:rPr>
          <w:t>Asesinan a periodista Heber López en Salina Cruz, Oaxaca</w:t>
        </w:r>
      </w:hyperlink>
      <w:r w:rsidRPr="00CC562A">
        <w:rPr>
          <w:rFonts w:ascii="Cambria" w:hAnsi="Cambria"/>
          <w:sz w:val="16"/>
          <w:szCs w:val="16"/>
        </w:rPr>
        <w:t>.</w:t>
      </w:r>
    </w:p>
  </w:footnote>
  <w:footnote w:id="321">
    <w:p w14:paraId="6812DD45" w14:textId="00C8ACB8"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Article 19. </w:t>
      </w:r>
      <w:r w:rsidR="005E22D6" w:rsidRPr="00CC562A">
        <w:rPr>
          <w:rFonts w:ascii="Cambria" w:hAnsi="Cambria"/>
          <w:sz w:val="16"/>
          <w:szCs w:val="16"/>
        </w:rPr>
        <w:t xml:space="preserve">March 24, </w:t>
      </w:r>
      <w:r w:rsidRPr="00CC562A">
        <w:rPr>
          <w:rFonts w:ascii="Cambria" w:hAnsi="Cambria"/>
          <w:sz w:val="16"/>
          <w:szCs w:val="16"/>
        </w:rPr>
        <w:t xml:space="preserve">2022. </w:t>
      </w:r>
      <w:hyperlink r:id="rId139">
        <w:r w:rsidRPr="00CC562A">
          <w:rPr>
            <w:rFonts w:ascii="Cambria" w:hAnsi="Cambria"/>
            <w:color w:val="1155CC"/>
            <w:sz w:val="16"/>
            <w:szCs w:val="16"/>
            <w:u w:val="single"/>
          </w:rPr>
          <w:t>Jorge Luis Camero, periodista asesinado en Sonora</w:t>
        </w:r>
      </w:hyperlink>
      <w:r w:rsidRPr="00CC562A">
        <w:rPr>
          <w:rFonts w:ascii="Cambria" w:hAnsi="Cambria"/>
          <w:sz w:val="16"/>
          <w:szCs w:val="16"/>
        </w:rPr>
        <w:t xml:space="preserve">; Aristegui Noticias. </w:t>
      </w:r>
      <w:r w:rsidR="005E22D6" w:rsidRPr="00CC562A">
        <w:rPr>
          <w:rFonts w:ascii="Cambria" w:hAnsi="Cambria"/>
          <w:sz w:val="16"/>
          <w:szCs w:val="16"/>
        </w:rPr>
        <w:t xml:space="preserve">February 25, </w:t>
      </w:r>
      <w:r w:rsidRPr="00CC562A">
        <w:rPr>
          <w:rFonts w:ascii="Cambria" w:hAnsi="Cambria"/>
          <w:sz w:val="16"/>
          <w:szCs w:val="16"/>
        </w:rPr>
        <w:t xml:space="preserve">2022. </w:t>
      </w:r>
      <w:hyperlink r:id="rId140">
        <w:r w:rsidRPr="00CC562A">
          <w:rPr>
            <w:rFonts w:ascii="Cambria" w:hAnsi="Cambria"/>
            <w:color w:val="1155CC"/>
            <w:sz w:val="16"/>
            <w:szCs w:val="16"/>
            <w:u w:val="single"/>
          </w:rPr>
          <w:t>Matan al periodista Jorge Camero Zazueta en Sonora</w:t>
        </w:r>
      </w:hyperlink>
      <w:r w:rsidRPr="00CC562A">
        <w:rPr>
          <w:rFonts w:ascii="Cambria" w:hAnsi="Cambria"/>
          <w:sz w:val="16"/>
          <w:szCs w:val="16"/>
        </w:rPr>
        <w:t>.</w:t>
      </w:r>
    </w:p>
  </w:footnote>
  <w:footnote w:id="322">
    <w:p w14:paraId="36BF9F4C" w14:textId="339F21AA"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5E22D6" w:rsidRPr="00CC562A">
        <w:rPr>
          <w:rFonts w:ascii="Cambria" w:hAnsi="Cambria"/>
          <w:sz w:val="16"/>
          <w:szCs w:val="16"/>
        </w:rPr>
        <w:t xml:space="preserve">March 21, </w:t>
      </w:r>
      <w:r w:rsidRPr="00CC562A">
        <w:rPr>
          <w:rFonts w:ascii="Cambria" w:hAnsi="Cambria"/>
          <w:sz w:val="16"/>
          <w:szCs w:val="16"/>
        </w:rPr>
        <w:t xml:space="preserve">2022. </w:t>
      </w:r>
      <w:hyperlink r:id="rId141">
        <w:r w:rsidRPr="00CC562A">
          <w:rPr>
            <w:rFonts w:ascii="Cambria" w:hAnsi="Cambria"/>
            <w:color w:val="1155CC"/>
            <w:sz w:val="16"/>
            <w:szCs w:val="16"/>
            <w:u w:val="single"/>
          </w:rPr>
          <w:t>Asesinan a tiros al periodista mexicano Juan Carlos Muñiz en Zacatecas</w:t>
        </w:r>
      </w:hyperlink>
      <w:r w:rsidRPr="00CC562A">
        <w:rPr>
          <w:rFonts w:ascii="Cambria" w:hAnsi="Cambria"/>
          <w:sz w:val="16"/>
          <w:szCs w:val="16"/>
        </w:rPr>
        <w:t>; El País.</w:t>
      </w:r>
      <w:r w:rsidR="005E22D6" w:rsidRPr="00CC562A">
        <w:rPr>
          <w:rFonts w:ascii="Cambria" w:hAnsi="Cambria"/>
          <w:sz w:val="16"/>
          <w:szCs w:val="16"/>
        </w:rPr>
        <w:t xml:space="preserve"> March 4, </w:t>
      </w:r>
      <w:r w:rsidRPr="00CC562A">
        <w:rPr>
          <w:rFonts w:ascii="Cambria" w:hAnsi="Cambria"/>
          <w:sz w:val="16"/>
          <w:szCs w:val="16"/>
        </w:rPr>
        <w:t xml:space="preserve">2022. </w:t>
      </w:r>
      <w:hyperlink r:id="rId142">
        <w:r w:rsidRPr="00CC562A">
          <w:rPr>
            <w:rFonts w:ascii="Cambria" w:hAnsi="Cambria"/>
            <w:color w:val="1155CC"/>
            <w:sz w:val="16"/>
            <w:szCs w:val="16"/>
            <w:u w:val="single"/>
          </w:rPr>
          <w:t>​​Asesinado el periodista Juan Carlos Muñiz, el séptimo crimen contra la prensa en México este año</w:t>
        </w:r>
      </w:hyperlink>
      <w:r w:rsidRPr="00CC562A">
        <w:rPr>
          <w:rFonts w:ascii="Cambria" w:hAnsi="Cambria"/>
          <w:sz w:val="16"/>
          <w:szCs w:val="16"/>
        </w:rPr>
        <w:t xml:space="preserve">; El Universal. </w:t>
      </w:r>
      <w:r w:rsidR="005E22D6" w:rsidRPr="00CC562A">
        <w:rPr>
          <w:rFonts w:ascii="Cambria" w:hAnsi="Cambria"/>
          <w:sz w:val="16"/>
          <w:szCs w:val="16"/>
        </w:rPr>
        <w:t xml:space="preserve">March </w:t>
      </w:r>
      <w:r w:rsidRPr="00CC562A">
        <w:rPr>
          <w:rFonts w:ascii="Cambria" w:hAnsi="Cambria"/>
          <w:sz w:val="16"/>
          <w:szCs w:val="16"/>
        </w:rPr>
        <w:t>4</w:t>
      </w:r>
      <w:r w:rsidR="005E22D6" w:rsidRPr="00CC562A">
        <w:rPr>
          <w:rFonts w:ascii="Cambria" w:hAnsi="Cambria"/>
          <w:sz w:val="16"/>
          <w:szCs w:val="16"/>
        </w:rPr>
        <w:t>,</w:t>
      </w:r>
      <w:r w:rsidRPr="00CC562A">
        <w:rPr>
          <w:rFonts w:ascii="Cambria" w:hAnsi="Cambria"/>
          <w:sz w:val="16"/>
          <w:szCs w:val="16"/>
        </w:rPr>
        <w:t xml:space="preserve"> 2022. </w:t>
      </w:r>
      <w:hyperlink r:id="rId143">
        <w:r w:rsidRPr="00CC562A">
          <w:rPr>
            <w:rFonts w:ascii="Cambria" w:hAnsi="Cambria"/>
            <w:color w:val="1155CC"/>
            <w:sz w:val="16"/>
            <w:szCs w:val="16"/>
            <w:u w:val="single"/>
          </w:rPr>
          <w:t>Asesinan a Juan Carlos Muñiz, reportero de Testigo Minero, en Fresnillo, Zacatecas</w:t>
        </w:r>
      </w:hyperlink>
      <w:r w:rsidRPr="00CC562A">
        <w:rPr>
          <w:rFonts w:ascii="Cambria" w:hAnsi="Cambria"/>
          <w:sz w:val="16"/>
          <w:szCs w:val="16"/>
        </w:rPr>
        <w:t>.</w:t>
      </w:r>
    </w:p>
  </w:footnote>
  <w:footnote w:id="323">
    <w:p w14:paraId="704EEA6B" w14:textId="3F0762DF"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5E22D6" w:rsidRPr="00CC562A">
        <w:rPr>
          <w:rFonts w:ascii="Cambria" w:hAnsi="Cambria"/>
          <w:sz w:val="16"/>
          <w:szCs w:val="16"/>
        </w:rPr>
        <w:t xml:space="preserve"> March 17, </w:t>
      </w:r>
      <w:r w:rsidRPr="00CC562A">
        <w:rPr>
          <w:rFonts w:ascii="Cambria" w:hAnsi="Cambria"/>
          <w:sz w:val="16"/>
          <w:szCs w:val="16"/>
        </w:rPr>
        <w:t xml:space="preserve">2022. </w:t>
      </w:r>
      <w:hyperlink r:id="rId144">
        <w:r w:rsidRPr="00CC562A">
          <w:rPr>
            <w:rFonts w:ascii="Cambria" w:hAnsi="Cambria"/>
            <w:color w:val="1155CC"/>
            <w:sz w:val="16"/>
            <w:szCs w:val="16"/>
            <w:u w:val="single"/>
          </w:rPr>
          <w:t>Asesinan a disparos al periodista mexicano Armando Linares en Zitácuaro</w:t>
        </w:r>
      </w:hyperlink>
      <w:r w:rsidRPr="00CC562A">
        <w:rPr>
          <w:rFonts w:ascii="Cambria" w:hAnsi="Cambria"/>
          <w:sz w:val="16"/>
          <w:szCs w:val="16"/>
        </w:rPr>
        <w:t xml:space="preserve">; Aristegui Noticias. </w:t>
      </w:r>
      <w:r w:rsidR="005E22D6" w:rsidRPr="00CC562A">
        <w:rPr>
          <w:rFonts w:ascii="Cambria" w:hAnsi="Cambria"/>
          <w:sz w:val="16"/>
          <w:szCs w:val="16"/>
        </w:rPr>
        <w:t xml:space="preserve">March 15, </w:t>
      </w:r>
      <w:r w:rsidRPr="00CC562A">
        <w:rPr>
          <w:rFonts w:ascii="Cambria" w:hAnsi="Cambria"/>
          <w:sz w:val="16"/>
          <w:szCs w:val="16"/>
        </w:rPr>
        <w:t xml:space="preserve">2022. </w:t>
      </w:r>
      <w:hyperlink r:id="rId145">
        <w:r w:rsidRPr="00CC562A">
          <w:rPr>
            <w:rFonts w:ascii="Cambria" w:hAnsi="Cambria"/>
            <w:color w:val="1155CC"/>
            <w:sz w:val="16"/>
            <w:szCs w:val="16"/>
            <w:u w:val="single"/>
          </w:rPr>
          <w:t>Asesinan al periodista Armando Linares en Zitácuaro, Michoacán</w:t>
        </w:r>
      </w:hyperlink>
      <w:r w:rsidRPr="00CC562A">
        <w:rPr>
          <w:rFonts w:ascii="Cambria" w:hAnsi="Cambria"/>
          <w:sz w:val="16"/>
          <w:szCs w:val="16"/>
        </w:rPr>
        <w:t xml:space="preserve">; Animal Político. </w:t>
      </w:r>
      <w:r w:rsidR="005E22D6" w:rsidRPr="00CC562A">
        <w:rPr>
          <w:rFonts w:ascii="Cambria" w:hAnsi="Cambria"/>
          <w:sz w:val="16"/>
          <w:szCs w:val="16"/>
        </w:rPr>
        <w:t xml:space="preserve">March 15, </w:t>
      </w:r>
      <w:r w:rsidRPr="00CC562A">
        <w:rPr>
          <w:rFonts w:ascii="Cambria" w:hAnsi="Cambria"/>
          <w:sz w:val="16"/>
          <w:szCs w:val="16"/>
        </w:rPr>
        <w:t xml:space="preserve">2022. </w:t>
      </w:r>
      <w:hyperlink r:id="rId146">
        <w:r w:rsidRPr="00CC562A">
          <w:rPr>
            <w:rFonts w:ascii="Cambria" w:hAnsi="Cambria"/>
            <w:color w:val="1155CC"/>
            <w:sz w:val="16"/>
            <w:szCs w:val="16"/>
            <w:u w:val="single"/>
          </w:rPr>
          <w:t>Asesinan en Michoacán al periodista Armando Linares, quien en enero denunció amenazas por su labor</w:t>
        </w:r>
      </w:hyperlink>
      <w:r w:rsidRPr="00CC562A">
        <w:rPr>
          <w:rFonts w:ascii="Cambria" w:hAnsi="Cambria"/>
          <w:sz w:val="16"/>
          <w:szCs w:val="16"/>
        </w:rPr>
        <w:t>.</w:t>
      </w:r>
    </w:p>
  </w:footnote>
  <w:footnote w:id="324">
    <w:p w14:paraId="1E83F379" w14:textId="0193D36B"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5E22D6" w:rsidRPr="00CC562A">
        <w:rPr>
          <w:rFonts w:ascii="Cambria" w:hAnsi="Cambria"/>
          <w:sz w:val="16"/>
          <w:szCs w:val="16"/>
          <w:lang w:val="en-US"/>
        </w:rPr>
        <w:t>Office of the Special Rapporteur for Freedom of Expression, May 11,</w:t>
      </w:r>
      <w:r w:rsidRPr="00CC562A">
        <w:rPr>
          <w:rFonts w:ascii="Cambria" w:hAnsi="Cambria"/>
          <w:sz w:val="16"/>
          <w:szCs w:val="16"/>
          <w:lang w:val="en-US"/>
        </w:rPr>
        <w:t xml:space="preserve"> 2022. </w:t>
      </w:r>
      <w:r w:rsidR="005E22D6" w:rsidRPr="00CC562A">
        <w:rPr>
          <w:rFonts w:ascii="Cambria" w:hAnsi="Cambria"/>
          <w:sz w:val="16"/>
          <w:szCs w:val="16"/>
          <w:lang w:val="en-US"/>
        </w:rPr>
        <w:t>Press Release</w:t>
      </w:r>
      <w:r w:rsidRPr="00CC562A">
        <w:rPr>
          <w:rFonts w:ascii="Cambria" w:hAnsi="Cambria"/>
          <w:sz w:val="16"/>
          <w:szCs w:val="16"/>
          <w:lang w:val="en-US"/>
        </w:rPr>
        <w:t xml:space="preserve"> No. R102/22. </w:t>
      </w:r>
      <w:hyperlink r:id="rId147">
        <w:r w:rsidR="005E22D6" w:rsidRPr="00CC562A">
          <w:rPr>
            <w:rFonts w:ascii="Cambria" w:hAnsi="Cambria"/>
            <w:color w:val="1155CC"/>
            <w:sz w:val="16"/>
            <w:szCs w:val="16"/>
            <w:u w:val="single"/>
            <w:lang w:val="en-US"/>
          </w:rPr>
          <w:t xml:space="preserve">SRFOE condemns the </w:t>
        </w:r>
        <w:r w:rsidR="00C4572C" w:rsidRPr="00CC562A">
          <w:rPr>
            <w:rFonts w:ascii="Cambria" w:hAnsi="Cambria"/>
            <w:color w:val="1155CC"/>
            <w:sz w:val="16"/>
            <w:szCs w:val="16"/>
            <w:u w:val="single"/>
            <w:lang w:val="en-US"/>
          </w:rPr>
          <w:t>persistence of murders of journalists in Mexico</w:t>
        </w:r>
      </w:hyperlink>
      <w:r w:rsidRPr="00CC562A">
        <w:rPr>
          <w:rFonts w:ascii="Cambria" w:hAnsi="Cambria"/>
          <w:sz w:val="16"/>
          <w:szCs w:val="16"/>
          <w:lang w:val="en-US"/>
        </w:rPr>
        <w:t xml:space="preserve">; CPJ. </w:t>
      </w:r>
      <w:r w:rsidR="005E22D6" w:rsidRPr="00CC562A">
        <w:rPr>
          <w:rFonts w:ascii="Cambria" w:hAnsi="Cambria"/>
          <w:sz w:val="16"/>
          <w:szCs w:val="16"/>
        </w:rPr>
        <w:t xml:space="preserve">May 12, </w:t>
      </w:r>
      <w:r w:rsidRPr="00CC562A">
        <w:rPr>
          <w:rFonts w:ascii="Cambria" w:hAnsi="Cambria"/>
          <w:sz w:val="16"/>
          <w:szCs w:val="16"/>
        </w:rPr>
        <w:t>2022. ​​</w:t>
      </w:r>
      <w:hyperlink r:id="rId148">
        <w:r w:rsidRPr="00CC562A">
          <w:rPr>
            <w:rFonts w:ascii="Cambria" w:hAnsi="Cambria"/>
            <w:color w:val="1155CC"/>
            <w:sz w:val="16"/>
            <w:szCs w:val="16"/>
            <w:u w:val="single"/>
          </w:rPr>
          <w:t>El periodista mexicano Luis Enrique Ramírez es hallado sin vida en Culiacán</w:t>
        </w:r>
      </w:hyperlink>
      <w:r w:rsidRPr="00CC562A">
        <w:rPr>
          <w:rFonts w:ascii="Cambria" w:hAnsi="Cambria"/>
          <w:sz w:val="16"/>
          <w:szCs w:val="16"/>
        </w:rPr>
        <w:t xml:space="preserve">; El País. </w:t>
      </w:r>
      <w:r w:rsidR="005E22D6" w:rsidRPr="00CC562A">
        <w:rPr>
          <w:rFonts w:ascii="Cambria" w:hAnsi="Cambria"/>
          <w:sz w:val="16"/>
          <w:szCs w:val="16"/>
        </w:rPr>
        <w:t xml:space="preserve">May 5, </w:t>
      </w:r>
      <w:r w:rsidRPr="00CC562A">
        <w:rPr>
          <w:rFonts w:ascii="Cambria" w:hAnsi="Cambria"/>
          <w:sz w:val="16"/>
          <w:szCs w:val="16"/>
        </w:rPr>
        <w:t xml:space="preserve">2022. </w:t>
      </w:r>
      <w:hyperlink r:id="rId149">
        <w:r w:rsidRPr="00CC562A">
          <w:rPr>
            <w:rFonts w:ascii="Cambria" w:hAnsi="Cambria"/>
            <w:color w:val="1155CC"/>
            <w:sz w:val="16"/>
            <w:szCs w:val="16"/>
            <w:u w:val="single"/>
          </w:rPr>
          <w:t>Asesinado el periodista Luis Enrique Ramírez, el noveno crimen contra la prensa en este año</w:t>
        </w:r>
      </w:hyperlink>
      <w:r w:rsidRPr="00CC562A">
        <w:rPr>
          <w:rFonts w:ascii="Cambria" w:hAnsi="Cambria"/>
          <w:sz w:val="16"/>
          <w:szCs w:val="16"/>
        </w:rPr>
        <w:t>.</w:t>
      </w:r>
    </w:p>
  </w:footnote>
  <w:footnote w:id="325">
    <w:p w14:paraId="47203250" w14:textId="5E4A2647"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w:t>
      </w:r>
      <w:r w:rsidR="00ED23C2" w:rsidRPr="00CC562A">
        <w:rPr>
          <w:rFonts w:ascii="Cambria" w:hAnsi="Cambria"/>
          <w:sz w:val="16"/>
          <w:szCs w:val="16"/>
          <w:lang w:val="en-US"/>
        </w:rPr>
        <w:t xml:space="preserve"> Office of the</w:t>
      </w:r>
      <w:r w:rsidRPr="00CC562A">
        <w:rPr>
          <w:rFonts w:ascii="Cambria" w:hAnsi="Cambria"/>
          <w:sz w:val="16"/>
          <w:szCs w:val="16"/>
          <w:lang w:val="en-US"/>
        </w:rPr>
        <w:t xml:space="preserve"> </w:t>
      </w:r>
      <w:r w:rsidR="009C1B53" w:rsidRPr="00CC562A">
        <w:rPr>
          <w:rFonts w:ascii="Cambria" w:hAnsi="Cambria"/>
          <w:sz w:val="16"/>
          <w:szCs w:val="16"/>
          <w:lang w:val="en-US"/>
        </w:rPr>
        <w:t>Special Rapporteur</w:t>
      </w:r>
      <w:r w:rsidR="00ED23C2" w:rsidRPr="00CC562A">
        <w:rPr>
          <w:rFonts w:ascii="Cambria" w:hAnsi="Cambria"/>
          <w:sz w:val="16"/>
          <w:szCs w:val="16"/>
          <w:lang w:val="en-US"/>
        </w:rPr>
        <w:t xml:space="preserve"> for Freedom</w:t>
      </w:r>
      <w:r w:rsidR="009C1B53" w:rsidRPr="00CC562A">
        <w:rPr>
          <w:rFonts w:ascii="Cambria" w:hAnsi="Cambria"/>
          <w:sz w:val="16"/>
          <w:szCs w:val="16"/>
          <w:lang w:val="en-US"/>
        </w:rPr>
        <w:t xml:space="preserve"> of Expression</w:t>
      </w:r>
      <w:r w:rsidRPr="00CC562A">
        <w:rPr>
          <w:rFonts w:ascii="Cambria" w:hAnsi="Cambria"/>
          <w:sz w:val="16"/>
          <w:szCs w:val="16"/>
          <w:lang w:val="en-US"/>
        </w:rPr>
        <w:t xml:space="preserve">. </w:t>
      </w:r>
      <w:r w:rsidR="009C1B53" w:rsidRPr="00CC562A">
        <w:rPr>
          <w:rFonts w:ascii="Cambria" w:hAnsi="Cambria"/>
          <w:sz w:val="16"/>
          <w:szCs w:val="16"/>
          <w:lang w:val="en-US"/>
        </w:rPr>
        <w:t xml:space="preserve">May 11, </w:t>
      </w:r>
      <w:r w:rsidRPr="00CC562A">
        <w:rPr>
          <w:rFonts w:ascii="Cambria" w:hAnsi="Cambria"/>
          <w:sz w:val="16"/>
          <w:szCs w:val="16"/>
          <w:lang w:val="en-US"/>
        </w:rPr>
        <w:t xml:space="preserve">2022. </w:t>
      </w:r>
      <w:r w:rsidR="009C1B53" w:rsidRPr="00CC562A">
        <w:rPr>
          <w:rFonts w:ascii="Cambria" w:hAnsi="Cambria"/>
          <w:sz w:val="16"/>
          <w:szCs w:val="16"/>
          <w:lang w:val="en-US"/>
        </w:rPr>
        <w:t xml:space="preserve">Press release </w:t>
      </w:r>
      <w:r w:rsidRPr="00CC562A">
        <w:rPr>
          <w:rFonts w:ascii="Cambria" w:hAnsi="Cambria"/>
          <w:sz w:val="16"/>
          <w:szCs w:val="16"/>
          <w:lang w:val="en-US"/>
        </w:rPr>
        <w:t xml:space="preserve">No. R102/22. </w:t>
      </w:r>
      <w:hyperlink r:id="rId150">
        <w:r w:rsidR="00C4572C" w:rsidRPr="00CC562A">
          <w:rPr>
            <w:rFonts w:ascii="Cambria" w:hAnsi="Cambria"/>
            <w:color w:val="1155CC"/>
            <w:sz w:val="16"/>
            <w:szCs w:val="16"/>
            <w:u w:val="single"/>
            <w:lang w:val="en-US"/>
          </w:rPr>
          <w:t>SRFOE condemns the persistence of murders of journalists in Mexico</w:t>
        </w:r>
      </w:hyperlink>
      <w:r w:rsidRPr="00CC562A">
        <w:rPr>
          <w:rFonts w:ascii="Cambria" w:hAnsi="Cambria"/>
          <w:sz w:val="16"/>
          <w:szCs w:val="16"/>
          <w:lang w:val="en-US"/>
        </w:rPr>
        <w:t xml:space="preserve">; CPJ. </w:t>
      </w:r>
      <w:r w:rsidR="009C1B53" w:rsidRPr="00CC562A">
        <w:rPr>
          <w:rFonts w:ascii="Cambria" w:hAnsi="Cambria"/>
          <w:sz w:val="16"/>
          <w:szCs w:val="16"/>
        </w:rPr>
        <w:t>May 17,</w:t>
      </w:r>
      <w:r w:rsidRPr="00CC562A">
        <w:rPr>
          <w:rFonts w:ascii="Cambria" w:hAnsi="Cambria"/>
          <w:sz w:val="16"/>
          <w:szCs w:val="16"/>
        </w:rPr>
        <w:t xml:space="preserve"> 2022. </w:t>
      </w:r>
      <w:hyperlink r:id="rId151">
        <w:r w:rsidRPr="00CC562A">
          <w:rPr>
            <w:rFonts w:ascii="Cambria" w:hAnsi="Cambria"/>
            <w:color w:val="1155CC"/>
            <w:sz w:val="16"/>
            <w:szCs w:val="16"/>
            <w:u w:val="single"/>
          </w:rPr>
          <w:t>Las periodistas mexicanas Yessenia Mollinedo y Johana García mueren asesinadas en Veracruz</w:t>
        </w:r>
      </w:hyperlink>
      <w:r w:rsidRPr="00CC562A">
        <w:rPr>
          <w:rFonts w:ascii="Cambria" w:hAnsi="Cambria"/>
          <w:sz w:val="16"/>
          <w:szCs w:val="16"/>
        </w:rPr>
        <w:t xml:space="preserve">; El Sol de México. </w:t>
      </w:r>
      <w:r w:rsidR="009C1B53" w:rsidRPr="00CC562A">
        <w:rPr>
          <w:rFonts w:ascii="Cambria" w:hAnsi="Cambria"/>
          <w:sz w:val="16"/>
          <w:szCs w:val="16"/>
        </w:rPr>
        <w:t xml:space="preserve">May 9, </w:t>
      </w:r>
      <w:r w:rsidRPr="00CC562A">
        <w:rPr>
          <w:rFonts w:ascii="Cambria" w:hAnsi="Cambria"/>
          <w:sz w:val="16"/>
          <w:szCs w:val="16"/>
        </w:rPr>
        <w:t xml:space="preserve">2022. </w:t>
      </w:r>
      <w:hyperlink r:id="rId152">
        <w:r w:rsidRPr="00CC562A">
          <w:rPr>
            <w:rFonts w:ascii="Cambria" w:hAnsi="Cambria"/>
            <w:color w:val="1155CC"/>
            <w:sz w:val="16"/>
            <w:szCs w:val="16"/>
            <w:u w:val="single"/>
          </w:rPr>
          <w:t>Matan a dos periodistas en Veracruz; suman 11 comunicadores asesinados en 2022</w:t>
        </w:r>
      </w:hyperlink>
      <w:r w:rsidRPr="00CC562A">
        <w:rPr>
          <w:rFonts w:ascii="Cambria" w:hAnsi="Cambria"/>
          <w:sz w:val="16"/>
          <w:szCs w:val="16"/>
        </w:rPr>
        <w:t xml:space="preserve">; BBC. </w:t>
      </w:r>
      <w:r w:rsidR="00C4572C" w:rsidRPr="00CC562A">
        <w:rPr>
          <w:rFonts w:ascii="Cambria" w:hAnsi="Cambria"/>
          <w:sz w:val="16"/>
          <w:szCs w:val="16"/>
        </w:rPr>
        <w:t>May 10,</w:t>
      </w:r>
      <w:r w:rsidRPr="00CC562A">
        <w:rPr>
          <w:rFonts w:ascii="Cambria" w:hAnsi="Cambria"/>
          <w:sz w:val="16"/>
          <w:szCs w:val="16"/>
        </w:rPr>
        <w:t xml:space="preserve"> 2022. </w:t>
      </w:r>
      <w:hyperlink r:id="rId153">
        <w:r w:rsidRPr="00CC562A">
          <w:rPr>
            <w:rFonts w:ascii="Cambria" w:hAnsi="Cambria"/>
            <w:color w:val="1155CC"/>
            <w:sz w:val="16"/>
            <w:szCs w:val="16"/>
            <w:u w:val="single"/>
          </w:rPr>
          <w:t>Violencia en México: matan a tiros a la periodista Yesenia Mollinedo y la camarógrafa Johana García en Veracruz</w:t>
        </w:r>
      </w:hyperlink>
      <w:r w:rsidRPr="00CC562A">
        <w:rPr>
          <w:rFonts w:ascii="Cambria" w:hAnsi="Cambria"/>
          <w:sz w:val="16"/>
          <w:szCs w:val="16"/>
        </w:rPr>
        <w:t xml:space="preserve">.  </w:t>
      </w:r>
    </w:p>
  </w:footnote>
  <w:footnote w:id="326">
    <w:p w14:paraId="3936FA3C" w14:textId="1E56A372"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ED23C2" w:rsidRPr="00CC562A">
        <w:rPr>
          <w:rFonts w:ascii="Cambria" w:hAnsi="Cambria"/>
          <w:sz w:val="16"/>
          <w:szCs w:val="16"/>
          <w:lang w:val="en-US"/>
        </w:rPr>
        <w:t xml:space="preserve">Office of the </w:t>
      </w:r>
      <w:r w:rsidR="009C1B53" w:rsidRPr="00CC562A">
        <w:rPr>
          <w:rFonts w:ascii="Cambria" w:hAnsi="Cambria"/>
          <w:sz w:val="16"/>
          <w:szCs w:val="16"/>
          <w:lang w:val="en-US"/>
        </w:rPr>
        <w:t xml:space="preserve">Special Rapporteur for Freedom of </w:t>
      </w:r>
      <w:r w:rsidR="00AC00D9" w:rsidRPr="00CC562A">
        <w:rPr>
          <w:rFonts w:ascii="Cambria" w:hAnsi="Cambria"/>
          <w:sz w:val="16"/>
          <w:szCs w:val="16"/>
          <w:lang w:val="en-US"/>
        </w:rPr>
        <w:t>Expression</w:t>
      </w:r>
      <w:r w:rsidRPr="00CC562A">
        <w:rPr>
          <w:rFonts w:ascii="Cambria" w:hAnsi="Cambria"/>
          <w:sz w:val="16"/>
          <w:szCs w:val="16"/>
          <w:lang w:val="en-US"/>
        </w:rPr>
        <w:t xml:space="preserve">. </w:t>
      </w:r>
      <w:r w:rsidR="00AC00D9" w:rsidRPr="00CC562A">
        <w:rPr>
          <w:rFonts w:ascii="Cambria" w:hAnsi="Cambria"/>
          <w:sz w:val="16"/>
          <w:szCs w:val="16"/>
          <w:lang w:val="en-US"/>
        </w:rPr>
        <w:t xml:space="preserve">July 12, </w:t>
      </w:r>
      <w:r w:rsidRPr="00CC562A">
        <w:rPr>
          <w:rFonts w:ascii="Cambria" w:hAnsi="Cambria"/>
          <w:sz w:val="16"/>
          <w:szCs w:val="16"/>
          <w:lang w:val="en-US"/>
        </w:rPr>
        <w:t xml:space="preserve">2022. </w:t>
      </w:r>
      <w:r w:rsidR="00AC00D9" w:rsidRPr="00CC562A">
        <w:rPr>
          <w:rFonts w:ascii="Cambria" w:hAnsi="Cambria"/>
          <w:sz w:val="16"/>
          <w:szCs w:val="16"/>
          <w:lang w:val="en-US"/>
        </w:rPr>
        <w:t>Press Release No.</w:t>
      </w:r>
      <w:r w:rsidRPr="00CC562A">
        <w:rPr>
          <w:rFonts w:ascii="Cambria" w:hAnsi="Cambria"/>
          <w:sz w:val="16"/>
          <w:szCs w:val="16"/>
          <w:lang w:val="en-US"/>
        </w:rPr>
        <w:t xml:space="preserve"> R157/22. </w:t>
      </w:r>
      <w:hyperlink r:id="rId154">
        <w:r w:rsidR="00C4572C" w:rsidRPr="00CC562A">
          <w:rPr>
            <w:rFonts w:ascii="Cambria" w:hAnsi="Cambria"/>
            <w:color w:val="1155CC"/>
            <w:sz w:val="16"/>
            <w:szCs w:val="16"/>
            <w:u w:val="single"/>
            <w:lang w:val="en-US"/>
          </w:rPr>
          <w:t>Mexican authorities must stop violence against journalists and guarantee their right to freely and safely practice their profession</w:t>
        </w:r>
      </w:hyperlink>
      <w:r w:rsidRPr="00CC562A">
        <w:rPr>
          <w:rFonts w:ascii="Cambria" w:hAnsi="Cambria"/>
          <w:sz w:val="16"/>
          <w:szCs w:val="16"/>
          <w:lang w:val="en-US"/>
        </w:rPr>
        <w:t xml:space="preserve">; CPJ. </w:t>
      </w:r>
      <w:r w:rsidR="00AC00D9" w:rsidRPr="00CC562A">
        <w:rPr>
          <w:rFonts w:ascii="Cambria" w:hAnsi="Cambria"/>
          <w:sz w:val="16"/>
          <w:szCs w:val="16"/>
        </w:rPr>
        <w:t xml:space="preserve">July 5, </w:t>
      </w:r>
      <w:r w:rsidRPr="00CC562A">
        <w:rPr>
          <w:rFonts w:ascii="Cambria" w:hAnsi="Cambria"/>
          <w:sz w:val="16"/>
          <w:szCs w:val="16"/>
        </w:rPr>
        <w:t xml:space="preserve">2022. </w:t>
      </w:r>
      <w:hyperlink r:id="rId155">
        <w:r w:rsidRPr="00CC562A">
          <w:rPr>
            <w:rFonts w:ascii="Cambria" w:hAnsi="Cambria"/>
            <w:color w:val="1155CC"/>
            <w:sz w:val="16"/>
            <w:szCs w:val="16"/>
            <w:u w:val="single"/>
          </w:rPr>
          <w:t>Asesinan a disparos al periodista mexicano Antonio de la Cruz en Ciudad Victoria</w:t>
        </w:r>
      </w:hyperlink>
      <w:r w:rsidRPr="00CC562A">
        <w:rPr>
          <w:rFonts w:ascii="Cambria" w:hAnsi="Cambria"/>
          <w:sz w:val="16"/>
          <w:szCs w:val="16"/>
        </w:rPr>
        <w:t xml:space="preserve">; Animal Político. </w:t>
      </w:r>
      <w:r w:rsidR="00AC00D9" w:rsidRPr="00CC562A">
        <w:rPr>
          <w:rFonts w:ascii="Cambria" w:hAnsi="Cambria"/>
          <w:sz w:val="16"/>
          <w:szCs w:val="16"/>
        </w:rPr>
        <w:t>June 3</w:t>
      </w:r>
      <w:r w:rsidRPr="00CC562A">
        <w:rPr>
          <w:rFonts w:ascii="Cambria" w:hAnsi="Cambria"/>
          <w:sz w:val="16"/>
          <w:szCs w:val="16"/>
        </w:rPr>
        <w:t>0</w:t>
      </w:r>
      <w:r w:rsidR="00AC00D9" w:rsidRPr="00CC562A">
        <w:rPr>
          <w:rFonts w:ascii="Cambria" w:hAnsi="Cambria"/>
          <w:sz w:val="16"/>
          <w:szCs w:val="16"/>
        </w:rPr>
        <w:t>,</w:t>
      </w:r>
      <w:r w:rsidRPr="00CC562A">
        <w:rPr>
          <w:rFonts w:ascii="Cambria" w:hAnsi="Cambria"/>
          <w:sz w:val="16"/>
          <w:szCs w:val="16"/>
        </w:rPr>
        <w:t xml:space="preserve"> 2022. </w:t>
      </w:r>
      <w:hyperlink r:id="rId156">
        <w:r w:rsidRPr="00CC562A">
          <w:rPr>
            <w:rFonts w:ascii="Cambria" w:hAnsi="Cambria"/>
            <w:color w:val="1155CC"/>
            <w:sz w:val="16"/>
            <w:szCs w:val="16"/>
            <w:u w:val="single"/>
          </w:rPr>
          <w:t>Antonio de la Cruz, el periodista apasionado por el medio ambiente que se convirtió en el duodécimo asesinado en México este año</w:t>
        </w:r>
      </w:hyperlink>
      <w:r w:rsidRPr="00CC562A">
        <w:rPr>
          <w:rFonts w:ascii="Cambria" w:hAnsi="Cambria"/>
          <w:sz w:val="16"/>
          <w:szCs w:val="16"/>
        </w:rPr>
        <w:t>.</w:t>
      </w:r>
    </w:p>
  </w:footnote>
  <w:footnote w:id="327">
    <w:p w14:paraId="0D2A9B1A" w14:textId="15CA57A8"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ED23C2" w:rsidRPr="00CC562A">
        <w:rPr>
          <w:rFonts w:ascii="Cambria" w:hAnsi="Cambria"/>
          <w:sz w:val="16"/>
          <w:szCs w:val="16"/>
          <w:lang w:val="en-US"/>
        </w:rPr>
        <w:t xml:space="preserve">Office of the </w:t>
      </w:r>
      <w:r w:rsidR="00AC00D9" w:rsidRPr="00CC562A">
        <w:rPr>
          <w:rFonts w:ascii="Cambria" w:hAnsi="Cambria"/>
          <w:sz w:val="16"/>
          <w:szCs w:val="16"/>
          <w:lang w:val="en-US"/>
        </w:rPr>
        <w:t>Special Rapporteur for Freedom of Expression. August 16,</w:t>
      </w:r>
      <w:r w:rsidRPr="00CC562A">
        <w:rPr>
          <w:rFonts w:ascii="Cambria" w:hAnsi="Cambria"/>
          <w:sz w:val="16"/>
          <w:szCs w:val="16"/>
          <w:lang w:val="en-US"/>
        </w:rPr>
        <w:t xml:space="preserve"> 2022. </w:t>
      </w:r>
      <w:r w:rsidR="00AC00D9" w:rsidRPr="00CC562A">
        <w:rPr>
          <w:rFonts w:ascii="Cambria" w:hAnsi="Cambria"/>
          <w:sz w:val="16"/>
          <w:szCs w:val="16"/>
          <w:lang w:val="en-US"/>
        </w:rPr>
        <w:t>Press Release</w:t>
      </w:r>
      <w:r w:rsidRPr="00CC562A">
        <w:rPr>
          <w:rFonts w:ascii="Cambria" w:hAnsi="Cambria"/>
          <w:sz w:val="16"/>
          <w:szCs w:val="16"/>
          <w:lang w:val="en-US"/>
        </w:rPr>
        <w:t xml:space="preserve"> No. 180/2022. </w:t>
      </w:r>
      <w:hyperlink r:id="rId157">
        <w:r w:rsidR="00235545" w:rsidRPr="00CC562A">
          <w:rPr>
            <w:rFonts w:ascii="Cambria" w:hAnsi="Cambria"/>
            <w:color w:val="1155CC"/>
            <w:sz w:val="16"/>
            <w:szCs w:val="16"/>
            <w:u w:val="single"/>
            <w:lang w:val="en-US"/>
          </w:rPr>
          <w:t>The Office of the Special Rapporteur for Freedom of Expression condemns the murder of journalist</w:t>
        </w:r>
        <w:r w:rsidRPr="00CC562A">
          <w:rPr>
            <w:rFonts w:ascii="Cambria" w:hAnsi="Cambria"/>
            <w:color w:val="1155CC"/>
            <w:sz w:val="16"/>
            <w:szCs w:val="16"/>
            <w:u w:val="single"/>
            <w:lang w:val="en-US"/>
          </w:rPr>
          <w:t xml:space="preserve"> Ernesto Méndez </w:t>
        </w:r>
        <w:r w:rsidR="00235545" w:rsidRPr="00CC562A">
          <w:rPr>
            <w:rFonts w:ascii="Cambria" w:hAnsi="Cambria"/>
            <w:color w:val="1155CC"/>
            <w:sz w:val="16"/>
            <w:szCs w:val="16"/>
            <w:u w:val="single"/>
            <w:lang w:val="en-US"/>
          </w:rPr>
          <w:t xml:space="preserve">in Mexico and observes that 2022 marks the highest number of crimes against the press in the country in the last </w:t>
        </w:r>
        <w:r w:rsidR="00235545" w:rsidRPr="00CC562A">
          <w:rPr>
            <w:rFonts w:ascii="Cambria" w:hAnsi="Cambria"/>
            <w:color w:val="1155CC"/>
            <w:sz w:val="16"/>
            <w:szCs w:val="16"/>
            <w:u w:val="single"/>
            <w:lang w:val="en-US"/>
          </w:rPr>
          <w:t>24 years</w:t>
        </w:r>
      </w:hyperlink>
      <w:r w:rsidRPr="00CC562A">
        <w:rPr>
          <w:rFonts w:ascii="Cambria" w:hAnsi="Cambria"/>
          <w:sz w:val="16"/>
          <w:szCs w:val="16"/>
          <w:lang w:val="en-US"/>
        </w:rPr>
        <w:t>; Deutsche Welle (DW).</w:t>
      </w:r>
      <w:r w:rsidR="00AC00D9" w:rsidRPr="00CC562A">
        <w:rPr>
          <w:rFonts w:ascii="Cambria" w:hAnsi="Cambria"/>
          <w:sz w:val="16"/>
          <w:szCs w:val="16"/>
          <w:lang w:val="en-US"/>
        </w:rPr>
        <w:t xml:space="preserve"> </w:t>
      </w:r>
      <w:r w:rsidR="00AC00D9" w:rsidRPr="00CC562A">
        <w:rPr>
          <w:rFonts w:ascii="Cambria" w:hAnsi="Cambria"/>
          <w:sz w:val="16"/>
          <w:szCs w:val="16"/>
        </w:rPr>
        <w:t xml:space="preserve">August 3, </w:t>
      </w:r>
      <w:r w:rsidRPr="00CC562A">
        <w:rPr>
          <w:rFonts w:ascii="Cambria" w:hAnsi="Cambria"/>
          <w:sz w:val="16"/>
          <w:szCs w:val="16"/>
        </w:rPr>
        <w:t xml:space="preserve">2022. </w:t>
      </w:r>
      <w:hyperlink r:id="rId158">
        <w:r w:rsidRPr="00CC562A">
          <w:rPr>
            <w:rFonts w:ascii="Cambria" w:hAnsi="Cambria"/>
            <w:color w:val="1155CC"/>
            <w:sz w:val="16"/>
            <w:szCs w:val="16"/>
            <w:u w:val="single"/>
          </w:rPr>
          <w:t>Asesinan a periodista número 13 en México en 2022</w:t>
        </w:r>
      </w:hyperlink>
      <w:r w:rsidRPr="00CC562A">
        <w:rPr>
          <w:rFonts w:ascii="Cambria" w:hAnsi="Cambria"/>
          <w:sz w:val="16"/>
          <w:szCs w:val="16"/>
        </w:rPr>
        <w:t xml:space="preserve">; Animal Político. </w:t>
      </w:r>
      <w:r w:rsidR="00AC00D9" w:rsidRPr="00CC562A">
        <w:rPr>
          <w:rFonts w:ascii="Cambria" w:hAnsi="Cambria"/>
          <w:sz w:val="16"/>
          <w:szCs w:val="16"/>
        </w:rPr>
        <w:t xml:space="preserve">August 3, </w:t>
      </w:r>
      <w:r w:rsidRPr="00CC562A">
        <w:rPr>
          <w:rFonts w:ascii="Cambria" w:hAnsi="Cambria"/>
          <w:sz w:val="16"/>
          <w:szCs w:val="16"/>
        </w:rPr>
        <w:t xml:space="preserve">2022. </w:t>
      </w:r>
      <w:hyperlink r:id="rId159">
        <w:r w:rsidRPr="00CC562A">
          <w:rPr>
            <w:rFonts w:ascii="Cambria" w:hAnsi="Cambria"/>
            <w:color w:val="1155CC"/>
            <w:sz w:val="16"/>
            <w:szCs w:val="16"/>
            <w:u w:val="single"/>
          </w:rPr>
          <w:t>Asesinan al periodista Ernesto Méndez en Guanajuato; van 13 comunicadores muertos en 2022</w:t>
        </w:r>
      </w:hyperlink>
      <w:r w:rsidRPr="00CC562A">
        <w:rPr>
          <w:rFonts w:ascii="Cambria" w:hAnsi="Cambria"/>
          <w:sz w:val="16"/>
          <w:szCs w:val="16"/>
        </w:rPr>
        <w:t>.</w:t>
      </w:r>
    </w:p>
  </w:footnote>
  <w:footnote w:id="328">
    <w:p w14:paraId="59D1D610" w14:textId="3CB9DF4C" w:rsidR="009965A7" w:rsidRPr="00CC562A" w:rsidRDefault="009965A7" w:rsidP="007A58B5">
      <w:pPr>
        <w:pStyle w:val="NoSpacing"/>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Infobae. </w:t>
      </w:r>
      <w:r w:rsidR="00AC00D9" w:rsidRPr="00CC562A">
        <w:rPr>
          <w:rFonts w:ascii="Cambria" w:hAnsi="Cambria"/>
          <w:sz w:val="16"/>
          <w:szCs w:val="16"/>
        </w:rPr>
        <w:t xml:space="preserve">August 22, </w:t>
      </w:r>
      <w:r w:rsidRPr="00CC562A">
        <w:rPr>
          <w:rFonts w:ascii="Cambria" w:hAnsi="Cambria"/>
          <w:sz w:val="16"/>
          <w:szCs w:val="16"/>
        </w:rPr>
        <w:t xml:space="preserve">2022. </w:t>
      </w:r>
      <w:hyperlink r:id="rId160">
        <w:r w:rsidRPr="00CC562A">
          <w:rPr>
            <w:rFonts w:ascii="Cambria" w:hAnsi="Cambria"/>
            <w:color w:val="1155CC"/>
            <w:sz w:val="16"/>
            <w:szCs w:val="16"/>
            <w:u w:val="single"/>
          </w:rPr>
          <w:t xml:space="preserve">Asesinaron en </w:t>
        </w:r>
        <w:r w:rsidRPr="00CC562A">
          <w:rPr>
            <w:rFonts w:ascii="Cambria" w:hAnsi="Cambria"/>
            <w:color w:val="1155CC"/>
            <w:sz w:val="16"/>
            <w:szCs w:val="16"/>
            <w:u w:val="single"/>
          </w:rPr>
          <w:t>Guerrero al periodista Fredid Román</w:t>
        </w:r>
      </w:hyperlink>
      <w:r w:rsidRPr="00CC562A">
        <w:rPr>
          <w:rFonts w:ascii="Cambria" w:hAnsi="Cambria"/>
          <w:sz w:val="16"/>
          <w:szCs w:val="16"/>
        </w:rPr>
        <w:t xml:space="preserve">; CNN. </w:t>
      </w:r>
      <w:r w:rsidR="00AC00D9" w:rsidRPr="00CC562A">
        <w:rPr>
          <w:rFonts w:ascii="Cambria" w:hAnsi="Cambria"/>
          <w:sz w:val="16"/>
          <w:szCs w:val="16"/>
        </w:rPr>
        <w:t xml:space="preserve">August 23, </w:t>
      </w:r>
      <w:r w:rsidRPr="00CC562A">
        <w:rPr>
          <w:rFonts w:ascii="Cambria" w:hAnsi="Cambria"/>
          <w:sz w:val="16"/>
          <w:szCs w:val="16"/>
        </w:rPr>
        <w:t xml:space="preserve">2022. </w:t>
      </w:r>
      <w:hyperlink r:id="rId161">
        <w:r w:rsidRPr="00CC562A">
          <w:rPr>
            <w:rFonts w:ascii="Cambria" w:hAnsi="Cambria"/>
            <w:color w:val="1155CC"/>
            <w:sz w:val="16"/>
            <w:szCs w:val="16"/>
            <w:u w:val="single"/>
          </w:rPr>
          <w:t>Fiscalía de Guerrero investiga el homicidio del periodista mexicano Fredid Román</w:t>
        </w:r>
      </w:hyperlink>
      <w:r w:rsidRPr="00CC562A">
        <w:rPr>
          <w:rFonts w:ascii="Cambria" w:hAnsi="Cambria"/>
          <w:sz w:val="16"/>
          <w:szCs w:val="16"/>
        </w:rPr>
        <w:t>.</w:t>
      </w:r>
    </w:p>
  </w:footnote>
  <w:footnote w:id="329">
    <w:p w14:paraId="620E1C72" w14:textId="6C7FFDA2"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AC00D9" w:rsidRPr="00CC562A">
        <w:rPr>
          <w:rFonts w:ascii="Cambria" w:hAnsi="Cambria"/>
          <w:sz w:val="16"/>
          <w:szCs w:val="16"/>
        </w:rPr>
        <w:t>September 19,</w:t>
      </w:r>
      <w:r w:rsidRPr="00CC562A">
        <w:rPr>
          <w:rFonts w:ascii="Cambria" w:hAnsi="Cambria"/>
          <w:sz w:val="16"/>
          <w:szCs w:val="16"/>
        </w:rPr>
        <w:t xml:space="preserve"> 2022. </w:t>
      </w:r>
      <w:hyperlink r:id="rId162">
        <w:r w:rsidRPr="00CC562A">
          <w:rPr>
            <w:rFonts w:ascii="Cambria" w:hAnsi="Cambria"/>
            <w:color w:val="1155CC"/>
            <w:sz w:val="16"/>
            <w:szCs w:val="16"/>
            <w:u w:val="single"/>
          </w:rPr>
          <w:t>Pistoleros amenazan al reportero mexicano Rodrigo Bustillos en Tehuacán</w:t>
        </w:r>
      </w:hyperlink>
      <w:r w:rsidRPr="00CC562A">
        <w:rPr>
          <w:rFonts w:ascii="Cambria" w:hAnsi="Cambria"/>
          <w:sz w:val="16"/>
          <w:szCs w:val="16"/>
        </w:rPr>
        <w:t xml:space="preserve">; Animal Político. </w:t>
      </w:r>
      <w:r w:rsidR="00AC00D9" w:rsidRPr="00CC562A">
        <w:rPr>
          <w:rFonts w:ascii="Cambria" w:hAnsi="Cambria"/>
          <w:sz w:val="16"/>
          <w:szCs w:val="16"/>
        </w:rPr>
        <w:t xml:space="preserve">January </w:t>
      </w:r>
      <w:r w:rsidRPr="00CC562A">
        <w:rPr>
          <w:rFonts w:ascii="Cambria" w:hAnsi="Cambria"/>
          <w:sz w:val="16"/>
          <w:szCs w:val="16"/>
        </w:rPr>
        <w:t>26</w:t>
      </w:r>
      <w:r w:rsidR="00AC00D9" w:rsidRPr="00CC562A">
        <w:rPr>
          <w:rFonts w:ascii="Cambria" w:hAnsi="Cambria"/>
          <w:sz w:val="16"/>
          <w:szCs w:val="16"/>
        </w:rPr>
        <w:t>,</w:t>
      </w:r>
      <w:r w:rsidRPr="00CC562A">
        <w:rPr>
          <w:rFonts w:ascii="Cambria" w:hAnsi="Cambria"/>
          <w:sz w:val="16"/>
          <w:szCs w:val="16"/>
        </w:rPr>
        <w:t xml:space="preserve"> 2022. </w:t>
      </w:r>
      <w:hyperlink r:id="rId163">
        <w:r w:rsidRPr="00CC562A">
          <w:rPr>
            <w:rFonts w:ascii="Cambria" w:hAnsi="Cambria"/>
            <w:color w:val="1155CC"/>
            <w:sz w:val="16"/>
            <w:szCs w:val="16"/>
            <w:u w:val="single"/>
          </w:rPr>
          <w:t>José Ignacio Santiago, periodista de origen zapoteco, es atacado a balazos en Oaxaca</w:t>
        </w:r>
      </w:hyperlink>
      <w:r w:rsidRPr="00CC562A">
        <w:rPr>
          <w:rFonts w:ascii="Cambria" w:hAnsi="Cambria"/>
          <w:sz w:val="16"/>
          <w:szCs w:val="16"/>
        </w:rPr>
        <w:t xml:space="preserve">; El País. </w:t>
      </w:r>
      <w:r w:rsidR="00AC00D9" w:rsidRPr="00CC562A">
        <w:rPr>
          <w:rFonts w:ascii="Cambria" w:hAnsi="Cambria"/>
          <w:sz w:val="16"/>
          <w:szCs w:val="16"/>
        </w:rPr>
        <w:t>January 27,</w:t>
      </w:r>
      <w:r w:rsidRPr="00CC562A">
        <w:rPr>
          <w:rFonts w:ascii="Cambria" w:hAnsi="Cambria"/>
          <w:sz w:val="16"/>
          <w:szCs w:val="16"/>
        </w:rPr>
        <w:t xml:space="preserve"> 2022. </w:t>
      </w:r>
      <w:hyperlink r:id="rId164">
        <w:r w:rsidRPr="00CC562A">
          <w:rPr>
            <w:rFonts w:ascii="Cambria" w:hAnsi="Cambria"/>
            <w:color w:val="1155CC"/>
            <w:sz w:val="16"/>
            <w:szCs w:val="16"/>
            <w:u w:val="single"/>
          </w:rPr>
          <w:t>Atacado a balazos un periodista en Oaxaca: “En México te puede acallar la delincuencia o la autoridad”</w:t>
        </w:r>
      </w:hyperlink>
      <w:r w:rsidRPr="00CC562A">
        <w:rPr>
          <w:rFonts w:ascii="Cambria" w:hAnsi="Cambria"/>
          <w:sz w:val="16"/>
          <w:szCs w:val="16"/>
        </w:rPr>
        <w:t xml:space="preserve">; CPJ. </w:t>
      </w:r>
      <w:r w:rsidR="00AC00D9" w:rsidRPr="00CC562A">
        <w:rPr>
          <w:rFonts w:ascii="Cambria" w:hAnsi="Cambria"/>
          <w:sz w:val="16"/>
          <w:szCs w:val="16"/>
        </w:rPr>
        <w:t xml:space="preserve">July 11, </w:t>
      </w:r>
      <w:r w:rsidRPr="00CC562A">
        <w:rPr>
          <w:rFonts w:ascii="Cambria" w:hAnsi="Cambria"/>
          <w:sz w:val="16"/>
          <w:szCs w:val="16"/>
        </w:rPr>
        <w:t xml:space="preserve">2022. </w:t>
      </w:r>
      <w:hyperlink r:id="rId165">
        <w:r w:rsidRPr="00CC562A">
          <w:rPr>
            <w:rFonts w:ascii="Cambria" w:hAnsi="Cambria"/>
            <w:color w:val="1155CC"/>
            <w:sz w:val="16"/>
            <w:szCs w:val="16"/>
            <w:u w:val="single"/>
          </w:rPr>
          <w:t>La periodista mexicana Susana Carreño resulta herida de gravedad cuando la atacan con un cuchillo en Puerto Vallarta</w:t>
        </w:r>
      </w:hyperlink>
      <w:r w:rsidRPr="00CC562A">
        <w:rPr>
          <w:rFonts w:ascii="Cambria" w:hAnsi="Cambria"/>
          <w:sz w:val="16"/>
          <w:szCs w:val="16"/>
        </w:rPr>
        <w:t xml:space="preserve">; Animal Político. </w:t>
      </w:r>
      <w:r w:rsidR="00AC00D9" w:rsidRPr="00CC562A">
        <w:rPr>
          <w:rFonts w:ascii="Cambria" w:hAnsi="Cambria"/>
          <w:sz w:val="16"/>
          <w:szCs w:val="16"/>
        </w:rPr>
        <w:t xml:space="preserve">July 1, </w:t>
      </w:r>
      <w:r w:rsidRPr="00CC562A">
        <w:rPr>
          <w:rFonts w:ascii="Cambria" w:hAnsi="Cambria"/>
          <w:sz w:val="16"/>
          <w:szCs w:val="16"/>
        </w:rPr>
        <w:t xml:space="preserve">2022. </w:t>
      </w:r>
      <w:hyperlink r:id="rId166">
        <w:r w:rsidRPr="00CC562A">
          <w:rPr>
            <w:rFonts w:ascii="Cambria" w:hAnsi="Cambria"/>
            <w:color w:val="1155CC"/>
            <w:sz w:val="16"/>
            <w:szCs w:val="16"/>
            <w:u w:val="single"/>
          </w:rPr>
          <w:t>Hieren a la periodista Susana Carreño en Puerto Vallarta, Jalisco; tras una cirugía, la reportan fuera de peligro</w:t>
        </w:r>
      </w:hyperlink>
      <w:r w:rsidRPr="00CC562A">
        <w:rPr>
          <w:rFonts w:ascii="Cambria" w:hAnsi="Cambria"/>
          <w:sz w:val="16"/>
          <w:szCs w:val="16"/>
        </w:rPr>
        <w:t xml:space="preserve">; CPJ. </w:t>
      </w:r>
      <w:r w:rsidR="00AC00D9" w:rsidRPr="00CC562A">
        <w:rPr>
          <w:rFonts w:ascii="Cambria" w:hAnsi="Cambria"/>
          <w:sz w:val="16"/>
          <w:szCs w:val="16"/>
        </w:rPr>
        <w:t xml:space="preserve">July 24, </w:t>
      </w:r>
      <w:r w:rsidRPr="00CC562A">
        <w:rPr>
          <w:rFonts w:ascii="Cambria" w:hAnsi="Cambria"/>
          <w:sz w:val="16"/>
          <w:szCs w:val="16"/>
        </w:rPr>
        <w:t xml:space="preserve">2022. </w:t>
      </w:r>
      <w:hyperlink r:id="rId167">
        <w:r w:rsidRPr="00CC562A">
          <w:rPr>
            <w:rFonts w:ascii="Cambria" w:hAnsi="Cambria"/>
            <w:color w:val="1155CC"/>
            <w:sz w:val="16"/>
            <w:szCs w:val="16"/>
            <w:u w:val="single"/>
          </w:rPr>
          <w:t>El periodista mexicano Rubén Haro sobrevive atentado en Ciudad Obregón</w:t>
        </w:r>
      </w:hyperlink>
      <w:r w:rsidRPr="00CC562A">
        <w:rPr>
          <w:rFonts w:ascii="Cambria" w:hAnsi="Cambria"/>
          <w:sz w:val="16"/>
          <w:szCs w:val="16"/>
        </w:rPr>
        <w:t xml:space="preserve">; La Jornada. 17 de julio de 2022. </w:t>
      </w:r>
      <w:hyperlink r:id="rId168">
        <w:r w:rsidRPr="00CC562A">
          <w:rPr>
            <w:rFonts w:ascii="Cambria" w:hAnsi="Cambria"/>
            <w:color w:val="1155CC"/>
            <w:sz w:val="16"/>
            <w:szCs w:val="16"/>
            <w:u w:val="single"/>
          </w:rPr>
          <w:t>Periodista Rubén Haro resulta ileso tras ataque a balazos en Sonora</w:t>
        </w:r>
      </w:hyperlink>
      <w:r w:rsidRPr="00CC562A">
        <w:rPr>
          <w:rFonts w:ascii="Cambria" w:hAnsi="Cambria"/>
          <w:sz w:val="16"/>
          <w:szCs w:val="16"/>
        </w:rPr>
        <w:t>.</w:t>
      </w:r>
    </w:p>
  </w:footnote>
  <w:footnote w:id="330">
    <w:p w14:paraId="52662C30" w14:textId="51B098E6"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Article 19. </w:t>
      </w:r>
      <w:r w:rsidR="00AC00D9" w:rsidRPr="00CC562A">
        <w:rPr>
          <w:rFonts w:ascii="Cambria" w:hAnsi="Cambria"/>
          <w:sz w:val="16"/>
          <w:szCs w:val="16"/>
        </w:rPr>
        <w:t>August 18,</w:t>
      </w:r>
      <w:r w:rsidRPr="00CC562A">
        <w:rPr>
          <w:rFonts w:ascii="Cambria" w:hAnsi="Cambria"/>
          <w:sz w:val="16"/>
          <w:szCs w:val="16"/>
        </w:rPr>
        <w:t xml:space="preserve"> 2022. </w:t>
      </w:r>
      <w:hyperlink r:id="rId169">
        <w:r w:rsidRPr="00CC562A">
          <w:rPr>
            <w:rFonts w:ascii="Cambria" w:hAnsi="Cambria"/>
            <w:color w:val="1155CC"/>
            <w:sz w:val="16"/>
            <w:szCs w:val="16"/>
            <w:u w:val="single"/>
          </w:rPr>
          <w:t>Primer semestre de 2022: La impunidad y negación ante la violencia extrema contra la prensa persiste</w:t>
        </w:r>
      </w:hyperlink>
      <w:r w:rsidRPr="00CC562A">
        <w:rPr>
          <w:rFonts w:ascii="Cambria" w:hAnsi="Cambria"/>
          <w:b/>
          <w:color w:val="214243"/>
          <w:sz w:val="16"/>
          <w:szCs w:val="16"/>
        </w:rPr>
        <w:t>.</w:t>
      </w:r>
    </w:p>
  </w:footnote>
  <w:footnote w:id="331">
    <w:p w14:paraId="34BA010F" w14:textId="6BD43EFB" w:rsidR="009965A7" w:rsidRPr="00CC562A" w:rsidRDefault="009965A7"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El Diario.es.</w:t>
      </w:r>
      <w:r w:rsidR="00AC00D9" w:rsidRPr="00CC562A">
        <w:rPr>
          <w:rFonts w:ascii="Cambria" w:hAnsi="Cambria"/>
          <w:sz w:val="16"/>
          <w:szCs w:val="16"/>
        </w:rPr>
        <w:t xml:space="preserve"> </w:t>
      </w:r>
      <w:r w:rsidR="00AC00D9" w:rsidRPr="00CC562A">
        <w:rPr>
          <w:rFonts w:ascii="Cambria" w:hAnsi="Cambria"/>
          <w:sz w:val="16"/>
          <w:szCs w:val="16"/>
        </w:rPr>
        <w:t xml:space="preserve">February 15, </w:t>
      </w:r>
      <w:r w:rsidRPr="00CC562A">
        <w:rPr>
          <w:rFonts w:ascii="Cambria" w:hAnsi="Cambria"/>
          <w:sz w:val="16"/>
          <w:szCs w:val="16"/>
        </w:rPr>
        <w:t xml:space="preserve">2022. </w:t>
      </w:r>
      <w:hyperlink r:id="rId170">
        <w:r w:rsidRPr="00CC562A">
          <w:rPr>
            <w:rFonts w:ascii="Cambria" w:hAnsi="Cambria"/>
            <w:color w:val="1155CC"/>
            <w:sz w:val="16"/>
            <w:szCs w:val="16"/>
            <w:u w:val="single"/>
          </w:rPr>
          <w:t>Violencia, miedo y precariedad: el riesgo de ser periodista en México</w:t>
        </w:r>
      </w:hyperlink>
      <w:r w:rsidRPr="00CC562A">
        <w:rPr>
          <w:rFonts w:ascii="Cambria" w:hAnsi="Cambria"/>
          <w:sz w:val="16"/>
          <w:szCs w:val="16"/>
        </w:rPr>
        <w:t xml:space="preserve">; El País. </w:t>
      </w:r>
      <w:r w:rsidR="00AC00D9" w:rsidRPr="00CC562A">
        <w:rPr>
          <w:rFonts w:ascii="Cambria" w:hAnsi="Cambria"/>
          <w:sz w:val="16"/>
          <w:szCs w:val="16"/>
        </w:rPr>
        <w:t xml:space="preserve">February 11, </w:t>
      </w:r>
      <w:r w:rsidRPr="00CC562A">
        <w:rPr>
          <w:rFonts w:ascii="Cambria" w:hAnsi="Cambria"/>
          <w:sz w:val="16"/>
          <w:szCs w:val="16"/>
        </w:rPr>
        <w:t xml:space="preserve">2022. </w:t>
      </w:r>
      <w:hyperlink r:id="rId171">
        <w:r w:rsidRPr="00CC562A">
          <w:rPr>
            <w:rFonts w:ascii="Cambria" w:hAnsi="Cambria"/>
            <w:color w:val="1155CC"/>
            <w:sz w:val="16"/>
            <w:szCs w:val="16"/>
            <w:u w:val="single"/>
          </w:rPr>
          <w:t>Sangre, balas y silencio: periodismo bajo el terror en México</w:t>
        </w:r>
      </w:hyperlink>
      <w:r w:rsidRPr="00CC562A">
        <w:rPr>
          <w:rFonts w:ascii="Cambria" w:hAnsi="Cambria"/>
          <w:sz w:val="16"/>
          <w:szCs w:val="16"/>
        </w:rPr>
        <w:t xml:space="preserve">; Infobae. </w:t>
      </w:r>
      <w:r w:rsidR="00AC00D9" w:rsidRPr="00CC562A">
        <w:rPr>
          <w:rFonts w:ascii="Cambria" w:hAnsi="Cambria"/>
          <w:sz w:val="16"/>
          <w:szCs w:val="16"/>
        </w:rPr>
        <w:t xml:space="preserve">March 26, </w:t>
      </w:r>
      <w:r w:rsidRPr="00CC562A">
        <w:rPr>
          <w:rFonts w:ascii="Cambria" w:hAnsi="Cambria"/>
          <w:sz w:val="16"/>
          <w:szCs w:val="16"/>
        </w:rPr>
        <w:t xml:space="preserve">2022. </w:t>
      </w:r>
      <w:hyperlink r:id="rId172">
        <w:r w:rsidRPr="00CC562A">
          <w:rPr>
            <w:rFonts w:ascii="Cambria" w:hAnsi="Cambria"/>
            <w:color w:val="1155CC"/>
            <w:sz w:val="16"/>
            <w:szCs w:val="16"/>
            <w:u w:val="single"/>
          </w:rPr>
          <w:t>Con miedo e impotencia, los periodistas trabajan en Mexico</w:t>
        </w:r>
      </w:hyperlink>
      <w:r w:rsidRPr="00CC562A">
        <w:rPr>
          <w:rFonts w:ascii="Cambria" w:hAnsi="Cambria"/>
          <w:sz w:val="16"/>
          <w:szCs w:val="16"/>
        </w:rPr>
        <w:t xml:space="preserve">; Animal Político. </w:t>
      </w:r>
      <w:r w:rsidR="00AC00D9" w:rsidRPr="00CC562A">
        <w:rPr>
          <w:rFonts w:ascii="Cambria" w:hAnsi="Cambria"/>
          <w:sz w:val="16"/>
          <w:szCs w:val="16"/>
        </w:rPr>
        <w:t xml:space="preserve">August 24, </w:t>
      </w:r>
      <w:r w:rsidRPr="00CC562A">
        <w:rPr>
          <w:rFonts w:ascii="Cambria" w:hAnsi="Cambria"/>
          <w:sz w:val="16"/>
          <w:szCs w:val="16"/>
        </w:rPr>
        <w:t>2021. ‘</w:t>
      </w:r>
      <w:hyperlink r:id="rId173">
        <w:r w:rsidRPr="00CC562A">
          <w:rPr>
            <w:rFonts w:ascii="Cambria" w:hAnsi="Cambria"/>
            <w:color w:val="1155CC"/>
            <w:sz w:val="16"/>
            <w:szCs w:val="16"/>
            <w:u w:val="single"/>
          </w:rPr>
          <w:t>Vivimos con miedo’: en 2021 se agrede a un periodista cada 12 horas en México</w:t>
        </w:r>
      </w:hyperlink>
      <w:r w:rsidRPr="00CC562A">
        <w:rPr>
          <w:rFonts w:ascii="Cambria" w:hAnsi="Cambria"/>
          <w:sz w:val="16"/>
          <w:szCs w:val="16"/>
        </w:rPr>
        <w:t>.</w:t>
      </w:r>
    </w:p>
  </w:footnote>
  <w:footnote w:id="332">
    <w:p w14:paraId="09F62A63" w14:textId="43A2F971"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235545" w:rsidRPr="00CC562A">
        <w:rPr>
          <w:rFonts w:ascii="Cambria" w:hAnsi="Cambria"/>
          <w:sz w:val="16"/>
          <w:szCs w:val="16"/>
          <w:lang w:val="en-US"/>
        </w:rPr>
        <w:t>I/A Court H.R.</w:t>
      </w:r>
      <w:r w:rsidRPr="00CC562A">
        <w:rPr>
          <w:rFonts w:ascii="Cambria" w:hAnsi="Cambria"/>
          <w:sz w:val="16"/>
          <w:szCs w:val="16"/>
          <w:lang w:val="en-US"/>
        </w:rPr>
        <w:t xml:space="preserve"> </w:t>
      </w:r>
      <w:r w:rsidRPr="00CC562A">
        <w:rPr>
          <w:rFonts w:ascii="Cambria" w:hAnsi="Cambria"/>
          <w:sz w:val="16"/>
          <w:szCs w:val="16"/>
          <w:lang w:val="en-US"/>
        </w:rPr>
        <w:t>Cas</w:t>
      </w:r>
      <w:r w:rsidR="00235545" w:rsidRPr="00CC562A">
        <w:rPr>
          <w:rFonts w:ascii="Cambria" w:hAnsi="Cambria"/>
          <w:sz w:val="16"/>
          <w:szCs w:val="16"/>
          <w:lang w:val="en-US"/>
        </w:rPr>
        <w:t xml:space="preserve">e of </w:t>
      </w:r>
      <w:r w:rsidRPr="00CC562A">
        <w:rPr>
          <w:rFonts w:ascii="Cambria" w:hAnsi="Cambria"/>
          <w:sz w:val="16"/>
          <w:szCs w:val="16"/>
          <w:lang w:val="en-US"/>
        </w:rPr>
        <w:t xml:space="preserve">Apitz Barbera </w:t>
      </w:r>
      <w:r w:rsidR="00235545" w:rsidRPr="00CC562A">
        <w:rPr>
          <w:rFonts w:ascii="Cambria" w:hAnsi="Cambria"/>
          <w:sz w:val="16"/>
          <w:szCs w:val="16"/>
          <w:lang w:val="en-US"/>
        </w:rPr>
        <w:t>et al. v.</w:t>
      </w:r>
      <w:r w:rsidRPr="00CC562A">
        <w:rPr>
          <w:rFonts w:ascii="Cambria" w:hAnsi="Cambria"/>
          <w:sz w:val="16"/>
          <w:szCs w:val="16"/>
          <w:lang w:val="en-US"/>
        </w:rPr>
        <w:t xml:space="preserve"> Venezuela. </w:t>
      </w:r>
      <w:r w:rsidR="00235545" w:rsidRPr="00CC562A">
        <w:rPr>
          <w:rFonts w:ascii="Cambria" w:hAnsi="Cambria"/>
          <w:sz w:val="16"/>
          <w:szCs w:val="16"/>
          <w:lang w:val="en-US"/>
        </w:rPr>
        <w:t>Preliminary Objection, Merits, Reparations, and Costs. Judgment of August 5,</w:t>
      </w:r>
      <w:r w:rsidRPr="00CC562A">
        <w:rPr>
          <w:rFonts w:ascii="Cambria" w:hAnsi="Cambria"/>
          <w:sz w:val="16"/>
          <w:szCs w:val="16"/>
          <w:lang w:val="en-US"/>
        </w:rPr>
        <w:t xml:space="preserve"> 2008. Serie</w:t>
      </w:r>
      <w:r w:rsidR="00235545" w:rsidRPr="00CC562A">
        <w:rPr>
          <w:rFonts w:ascii="Cambria" w:hAnsi="Cambria"/>
          <w:sz w:val="16"/>
          <w:szCs w:val="16"/>
          <w:lang w:val="en-US"/>
        </w:rPr>
        <w:t>s</w:t>
      </w:r>
      <w:r w:rsidRPr="00CC562A">
        <w:rPr>
          <w:rFonts w:ascii="Cambria" w:hAnsi="Cambria"/>
          <w:sz w:val="16"/>
          <w:szCs w:val="16"/>
          <w:lang w:val="en-US"/>
        </w:rPr>
        <w:t xml:space="preserve"> C No. 182. </w:t>
      </w:r>
      <w:r w:rsidR="00235545" w:rsidRPr="00CC562A">
        <w:rPr>
          <w:rFonts w:ascii="Cambria" w:hAnsi="Cambria"/>
          <w:sz w:val="16"/>
          <w:szCs w:val="16"/>
          <w:lang w:val="en-US"/>
        </w:rPr>
        <w:t>para</w:t>
      </w:r>
      <w:r w:rsidR="00736A6B" w:rsidRPr="00CC562A">
        <w:rPr>
          <w:rFonts w:ascii="Cambria" w:hAnsi="Cambria"/>
          <w:sz w:val="16"/>
          <w:szCs w:val="16"/>
          <w:lang w:val="en-US"/>
        </w:rPr>
        <w:t>.</w:t>
      </w:r>
      <w:r w:rsidRPr="00CC562A">
        <w:rPr>
          <w:rFonts w:ascii="Cambria" w:hAnsi="Cambria"/>
          <w:sz w:val="16"/>
          <w:szCs w:val="16"/>
          <w:lang w:val="en-US"/>
        </w:rPr>
        <w:t xml:space="preserve"> 131; Cas</w:t>
      </w:r>
      <w:r w:rsidR="00235545" w:rsidRPr="00CC562A">
        <w:rPr>
          <w:rFonts w:ascii="Cambria" w:hAnsi="Cambria"/>
          <w:sz w:val="16"/>
          <w:szCs w:val="16"/>
          <w:lang w:val="en-US"/>
        </w:rPr>
        <w:t>e of</w:t>
      </w:r>
      <w:r w:rsidRPr="00CC562A">
        <w:rPr>
          <w:rFonts w:ascii="Cambria" w:hAnsi="Cambria"/>
          <w:sz w:val="16"/>
          <w:szCs w:val="16"/>
          <w:lang w:val="en-US"/>
        </w:rPr>
        <w:t xml:space="preserve"> Ríos </w:t>
      </w:r>
      <w:r w:rsidR="00235545" w:rsidRPr="00CC562A">
        <w:rPr>
          <w:rFonts w:ascii="Cambria" w:hAnsi="Cambria"/>
          <w:sz w:val="16"/>
          <w:szCs w:val="16"/>
          <w:lang w:val="en-US"/>
        </w:rPr>
        <w:t>et al. v.</w:t>
      </w:r>
      <w:r w:rsidRPr="00CC562A">
        <w:rPr>
          <w:rFonts w:ascii="Cambria" w:hAnsi="Cambria"/>
          <w:sz w:val="16"/>
          <w:szCs w:val="16"/>
          <w:lang w:val="en-US"/>
        </w:rPr>
        <w:t xml:space="preserve"> Venezuela. </w:t>
      </w:r>
      <w:r w:rsidR="00B577A7" w:rsidRPr="00CC562A">
        <w:rPr>
          <w:rFonts w:ascii="Cambria" w:hAnsi="Cambria"/>
          <w:sz w:val="16"/>
          <w:szCs w:val="16"/>
          <w:lang w:val="en-US"/>
        </w:rPr>
        <w:t>Preliminary Objections, Merits, Reparations, and Costs. Judgment of January 28,</w:t>
      </w:r>
      <w:r w:rsidRPr="00CC562A">
        <w:rPr>
          <w:rFonts w:ascii="Cambria" w:hAnsi="Cambria"/>
          <w:sz w:val="16"/>
          <w:szCs w:val="16"/>
          <w:lang w:val="en-US"/>
        </w:rPr>
        <w:t xml:space="preserve"> 2009. Serie</w:t>
      </w:r>
      <w:r w:rsidR="00B577A7" w:rsidRPr="00CC562A">
        <w:rPr>
          <w:rFonts w:ascii="Cambria" w:hAnsi="Cambria"/>
          <w:sz w:val="16"/>
          <w:szCs w:val="16"/>
          <w:lang w:val="en-US"/>
        </w:rPr>
        <w:t>s</w:t>
      </w:r>
      <w:r w:rsidRPr="00CC562A">
        <w:rPr>
          <w:rFonts w:ascii="Cambria" w:hAnsi="Cambria"/>
          <w:sz w:val="16"/>
          <w:szCs w:val="16"/>
          <w:lang w:val="en-US"/>
        </w:rPr>
        <w:t xml:space="preserve"> C No. 194. </w:t>
      </w:r>
      <w:r w:rsidR="00B577A7" w:rsidRPr="00CC562A">
        <w:rPr>
          <w:rFonts w:ascii="Cambria" w:hAnsi="Cambria"/>
          <w:sz w:val="16"/>
          <w:szCs w:val="16"/>
          <w:lang w:val="en-US"/>
        </w:rPr>
        <w:t>para</w:t>
      </w:r>
      <w:r w:rsidR="00736A6B" w:rsidRPr="00CC562A">
        <w:rPr>
          <w:rFonts w:ascii="Cambria" w:hAnsi="Cambria"/>
          <w:sz w:val="16"/>
          <w:szCs w:val="16"/>
          <w:lang w:val="en-US"/>
        </w:rPr>
        <w:t>.</w:t>
      </w:r>
      <w:r w:rsidRPr="00CC562A">
        <w:rPr>
          <w:rFonts w:ascii="Cambria" w:hAnsi="Cambria"/>
          <w:sz w:val="16"/>
          <w:szCs w:val="16"/>
          <w:lang w:val="en-US"/>
        </w:rPr>
        <w:t xml:space="preserve"> 139.</w:t>
      </w:r>
    </w:p>
  </w:footnote>
  <w:footnote w:id="333">
    <w:p w14:paraId="43C4BE2E" w14:textId="6AFDEFD6"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235545" w:rsidRPr="00CC562A">
        <w:rPr>
          <w:rFonts w:ascii="Cambria" w:hAnsi="Cambria"/>
          <w:sz w:val="16"/>
          <w:szCs w:val="16"/>
          <w:lang w:val="en-US"/>
        </w:rPr>
        <w:t>I/A Court H.R.</w:t>
      </w:r>
      <w:r w:rsidRPr="00CC562A">
        <w:rPr>
          <w:rFonts w:ascii="Cambria" w:hAnsi="Cambria"/>
          <w:sz w:val="16"/>
          <w:szCs w:val="16"/>
          <w:lang w:val="en-US"/>
        </w:rPr>
        <w:t xml:space="preserve"> </w:t>
      </w:r>
      <w:r w:rsidRPr="00CC562A">
        <w:rPr>
          <w:rFonts w:ascii="Cambria" w:hAnsi="Cambria"/>
          <w:sz w:val="16"/>
          <w:szCs w:val="16"/>
          <w:lang w:val="en-US"/>
        </w:rPr>
        <w:t>Cas</w:t>
      </w:r>
      <w:r w:rsidR="00B577A7" w:rsidRPr="00CC562A">
        <w:rPr>
          <w:rFonts w:ascii="Cambria" w:hAnsi="Cambria"/>
          <w:sz w:val="16"/>
          <w:szCs w:val="16"/>
          <w:lang w:val="en-US"/>
        </w:rPr>
        <w:t>e of</w:t>
      </w:r>
      <w:r w:rsidRPr="00CC562A">
        <w:rPr>
          <w:rFonts w:ascii="Cambria" w:hAnsi="Cambria"/>
          <w:sz w:val="16"/>
          <w:szCs w:val="16"/>
          <w:lang w:val="en-US"/>
        </w:rPr>
        <w:t xml:space="preserve"> Apitz Barbera </w:t>
      </w:r>
      <w:r w:rsidR="00B577A7" w:rsidRPr="00CC562A">
        <w:rPr>
          <w:rFonts w:ascii="Cambria" w:hAnsi="Cambria"/>
          <w:sz w:val="16"/>
          <w:szCs w:val="16"/>
          <w:lang w:val="en-US"/>
        </w:rPr>
        <w:t xml:space="preserve">et al. v. </w:t>
      </w:r>
      <w:r w:rsidRPr="00CC562A">
        <w:rPr>
          <w:rFonts w:ascii="Cambria" w:hAnsi="Cambria"/>
          <w:sz w:val="16"/>
          <w:szCs w:val="16"/>
          <w:lang w:val="en-US"/>
        </w:rPr>
        <w:t xml:space="preserve"> Venezuela. </w:t>
      </w:r>
      <w:r w:rsidR="00B577A7" w:rsidRPr="00CC562A">
        <w:rPr>
          <w:rFonts w:ascii="Cambria" w:hAnsi="Cambria"/>
          <w:sz w:val="16"/>
          <w:szCs w:val="16"/>
          <w:lang w:val="en-US"/>
        </w:rPr>
        <w:t>Preliminary Objection, Merits, Reparations, and Costs. Judgment of August 5,</w:t>
      </w:r>
      <w:r w:rsidRPr="00CC562A">
        <w:rPr>
          <w:rFonts w:ascii="Cambria" w:hAnsi="Cambria"/>
          <w:sz w:val="16"/>
          <w:szCs w:val="16"/>
          <w:lang w:val="en-US"/>
        </w:rPr>
        <w:t xml:space="preserve"> 2008. Serie</w:t>
      </w:r>
      <w:r w:rsidR="00B577A7" w:rsidRPr="00CC562A">
        <w:rPr>
          <w:rFonts w:ascii="Cambria" w:hAnsi="Cambria"/>
          <w:sz w:val="16"/>
          <w:szCs w:val="16"/>
          <w:lang w:val="en-US"/>
        </w:rPr>
        <w:t>s</w:t>
      </w:r>
      <w:r w:rsidRPr="00CC562A">
        <w:rPr>
          <w:rFonts w:ascii="Cambria" w:hAnsi="Cambria"/>
          <w:sz w:val="16"/>
          <w:szCs w:val="16"/>
          <w:lang w:val="en-US"/>
        </w:rPr>
        <w:t xml:space="preserve"> C No. 182. </w:t>
      </w:r>
      <w:r w:rsidR="00736A6B" w:rsidRPr="00CC562A">
        <w:rPr>
          <w:rFonts w:ascii="Cambria" w:hAnsi="Cambria"/>
          <w:sz w:val="16"/>
          <w:szCs w:val="16"/>
          <w:lang w:val="en-US"/>
        </w:rPr>
        <w:t>Para.</w:t>
      </w:r>
      <w:r w:rsidRPr="00CC562A">
        <w:rPr>
          <w:rFonts w:ascii="Cambria" w:hAnsi="Cambria"/>
          <w:sz w:val="16"/>
          <w:szCs w:val="16"/>
          <w:lang w:val="en-US"/>
        </w:rPr>
        <w:t xml:space="preserve"> 131; Cas</w:t>
      </w:r>
      <w:r w:rsidR="00B577A7" w:rsidRPr="00CC562A">
        <w:rPr>
          <w:rFonts w:ascii="Cambria" w:hAnsi="Cambria"/>
          <w:sz w:val="16"/>
          <w:szCs w:val="16"/>
          <w:lang w:val="en-US"/>
        </w:rPr>
        <w:t xml:space="preserve">e of </w:t>
      </w:r>
      <w:r w:rsidRPr="00CC562A">
        <w:rPr>
          <w:rFonts w:ascii="Cambria" w:hAnsi="Cambria"/>
          <w:sz w:val="16"/>
          <w:szCs w:val="16"/>
          <w:lang w:val="en-US"/>
        </w:rPr>
        <w:t xml:space="preserve">Ríos </w:t>
      </w:r>
      <w:r w:rsidR="00B577A7" w:rsidRPr="00CC562A">
        <w:rPr>
          <w:rFonts w:ascii="Cambria" w:hAnsi="Cambria"/>
          <w:sz w:val="16"/>
          <w:szCs w:val="16"/>
          <w:lang w:val="en-US"/>
        </w:rPr>
        <w:t>et al. v.</w:t>
      </w:r>
      <w:r w:rsidRPr="00CC562A">
        <w:rPr>
          <w:rFonts w:ascii="Cambria" w:hAnsi="Cambria"/>
          <w:sz w:val="16"/>
          <w:szCs w:val="16"/>
          <w:lang w:val="en-US"/>
        </w:rPr>
        <w:t xml:space="preserve"> Venezuela. </w:t>
      </w:r>
      <w:r w:rsidR="00B577A7" w:rsidRPr="00CC562A">
        <w:rPr>
          <w:rFonts w:ascii="Cambria" w:hAnsi="Cambria"/>
          <w:sz w:val="16"/>
          <w:szCs w:val="16"/>
          <w:lang w:val="en-US"/>
        </w:rPr>
        <w:t>Preliminary Objections, Merits, Reparations, and Costs. Judgment of January 28,</w:t>
      </w:r>
      <w:r w:rsidRPr="00CC562A">
        <w:rPr>
          <w:rFonts w:ascii="Cambria" w:hAnsi="Cambria"/>
          <w:sz w:val="16"/>
          <w:szCs w:val="16"/>
          <w:lang w:val="en-US"/>
        </w:rPr>
        <w:t xml:space="preserve"> 2009. Serie</w:t>
      </w:r>
      <w:r w:rsidR="00B577A7" w:rsidRPr="00CC562A">
        <w:rPr>
          <w:rFonts w:ascii="Cambria" w:hAnsi="Cambria"/>
          <w:sz w:val="16"/>
          <w:szCs w:val="16"/>
          <w:lang w:val="en-US"/>
        </w:rPr>
        <w:t>s</w:t>
      </w:r>
      <w:r w:rsidRPr="00CC562A">
        <w:rPr>
          <w:rFonts w:ascii="Cambria" w:hAnsi="Cambria"/>
          <w:sz w:val="16"/>
          <w:szCs w:val="16"/>
          <w:lang w:val="en-US"/>
        </w:rPr>
        <w:t xml:space="preserve"> C No. 194. </w:t>
      </w:r>
      <w:r w:rsidR="00B577A7" w:rsidRPr="00CC562A">
        <w:rPr>
          <w:rFonts w:ascii="Cambria" w:hAnsi="Cambria"/>
          <w:sz w:val="16"/>
          <w:szCs w:val="16"/>
          <w:lang w:val="en-US"/>
        </w:rPr>
        <w:t>para</w:t>
      </w:r>
      <w:r w:rsidR="00736A6B" w:rsidRPr="00CC562A">
        <w:rPr>
          <w:rFonts w:ascii="Cambria" w:hAnsi="Cambria"/>
          <w:sz w:val="16"/>
          <w:szCs w:val="16"/>
          <w:lang w:val="en-US"/>
        </w:rPr>
        <w:t>.</w:t>
      </w:r>
      <w:r w:rsidRPr="00CC562A">
        <w:rPr>
          <w:rFonts w:ascii="Cambria" w:hAnsi="Cambria"/>
          <w:sz w:val="16"/>
          <w:szCs w:val="16"/>
          <w:lang w:val="en-US"/>
        </w:rPr>
        <w:t xml:space="preserve"> 139.</w:t>
      </w:r>
    </w:p>
  </w:footnote>
  <w:footnote w:id="334">
    <w:p w14:paraId="6DC0B69C" w14:textId="7E18D651"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B577A7" w:rsidRPr="00CC562A">
        <w:rPr>
          <w:rFonts w:ascii="Cambria" w:hAnsi="Cambria"/>
          <w:sz w:val="16"/>
          <w:szCs w:val="16"/>
          <w:lang w:val="en-US"/>
        </w:rPr>
        <w:t>Office of the Special Rapporteur for Freedom of Expression, Press Release</w:t>
      </w:r>
      <w:r w:rsidRPr="00CC562A">
        <w:rPr>
          <w:rFonts w:ascii="Cambria" w:hAnsi="Cambria"/>
          <w:sz w:val="16"/>
          <w:szCs w:val="16"/>
          <w:lang w:val="en-US"/>
        </w:rPr>
        <w:t xml:space="preserve"> No. R62/22. </w:t>
      </w:r>
      <w:hyperlink r:id="rId174">
        <w:r w:rsidR="00B577A7" w:rsidRPr="00CC562A">
          <w:rPr>
            <w:rFonts w:ascii="Cambria" w:hAnsi="Cambria"/>
            <w:color w:val="1155CC"/>
            <w:sz w:val="16"/>
            <w:szCs w:val="16"/>
            <w:u w:val="single"/>
            <w:lang w:val="en-US"/>
          </w:rPr>
          <w:t>The Office of the Special Rapporteur warns about the normalization and worsening of violence against journalists in Mexico and urges the authorities to activate complementary measures</w:t>
        </w:r>
      </w:hyperlink>
      <w:hyperlink r:id="rId175">
        <w:r w:rsidRPr="00CC562A">
          <w:rPr>
            <w:rFonts w:ascii="Cambria" w:hAnsi="Cambria"/>
            <w:color w:val="1155CC"/>
            <w:sz w:val="16"/>
            <w:szCs w:val="16"/>
            <w:u w:val="single"/>
            <w:lang w:val="en-US"/>
          </w:rPr>
          <w:t>.</w:t>
        </w:r>
      </w:hyperlink>
    </w:p>
  </w:footnote>
  <w:footnote w:id="335">
    <w:p w14:paraId="152A7EF4" w14:textId="4594EB28"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235545" w:rsidRPr="00CC562A">
        <w:rPr>
          <w:rFonts w:ascii="Cambria" w:hAnsi="Cambria"/>
          <w:sz w:val="16"/>
          <w:szCs w:val="16"/>
          <w:lang w:val="en-US"/>
        </w:rPr>
        <w:t>I/A Court H.R.</w:t>
      </w:r>
      <w:r w:rsidRPr="00CC562A">
        <w:rPr>
          <w:rFonts w:ascii="Cambria" w:hAnsi="Cambria"/>
          <w:sz w:val="16"/>
          <w:szCs w:val="16"/>
          <w:lang w:val="en-US"/>
        </w:rPr>
        <w:t xml:space="preserve"> </w:t>
      </w:r>
      <w:r w:rsidRPr="00CC562A">
        <w:rPr>
          <w:rFonts w:ascii="Cambria" w:hAnsi="Cambria"/>
          <w:sz w:val="16"/>
          <w:szCs w:val="16"/>
          <w:lang w:val="en-US"/>
        </w:rPr>
        <w:t>Cas</w:t>
      </w:r>
      <w:r w:rsidR="00B577A7" w:rsidRPr="00CC562A">
        <w:rPr>
          <w:rFonts w:ascii="Cambria" w:hAnsi="Cambria"/>
          <w:sz w:val="16"/>
          <w:szCs w:val="16"/>
          <w:lang w:val="en-US"/>
        </w:rPr>
        <w:t>e of</w:t>
      </w:r>
      <w:r w:rsidRPr="00CC562A">
        <w:rPr>
          <w:rFonts w:ascii="Cambria" w:hAnsi="Cambria"/>
          <w:sz w:val="16"/>
          <w:szCs w:val="16"/>
          <w:lang w:val="en-US"/>
        </w:rPr>
        <w:t xml:space="preserve"> Apitz Barbera </w:t>
      </w:r>
      <w:r w:rsidR="00B577A7" w:rsidRPr="00CC562A">
        <w:rPr>
          <w:rFonts w:ascii="Cambria" w:hAnsi="Cambria"/>
          <w:sz w:val="16"/>
          <w:szCs w:val="16"/>
          <w:lang w:val="en-US"/>
        </w:rPr>
        <w:t xml:space="preserve">et al. </w:t>
      </w:r>
      <w:r w:rsidR="00C80FE5" w:rsidRPr="00CC562A">
        <w:rPr>
          <w:rFonts w:ascii="Cambria" w:hAnsi="Cambria"/>
          <w:sz w:val="16"/>
          <w:szCs w:val="16"/>
          <w:lang w:val="en-US"/>
        </w:rPr>
        <w:t>v.</w:t>
      </w:r>
      <w:r w:rsidRPr="00CC562A">
        <w:rPr>
          <w:rFonts w:ascii="Cambria" w:hAnsi="Cambria"/>
          <w:sz w:val="16"/>
          <w:szCs w:val="16"/>
          <w:lang w:val="en-US"/>
        </w:rPr>
        <w:t xml:space="preserve"> Venezuela. </w:t>
      </w:r>
      <w:r w:rsidR="00B577A7" w:rsidRPr="00CC562A">
        <w:rPr>
          <w:rFonts w:ascii="Cambria" w:hAnsi="Cambria"/>
          <w:sz w:val="16"/>
          <w:szCs w:val="16"/>
          <w:lang w:val="en-US"/>
        </w:rPr>
        <w:t>Preliminary Objection, Merits, Reparations, and Costs. Judgment of August 5,</w:t>
      </w:r>
      <w:r w:rsidRPr="00CC562A">
        <w:rPr>
          <w:rFonts w:ascii="Cambria" w:hAnsi="Cambria"/>
          <w:sz w:val="16"/>
          <w:szCs w:val="16"/>
          <w:lang w:val="en-US"/>
        </w:rPr>
        <w:t xml:space="preserve"> 2008. Serie</w:t>
      </w:r>
      <w:r w:rsidR="00B577A7" w:rsidRPr="00CC562A">
        <w:rPr>
          <w:rFonts w:ascii="Cambria" w:hAnsi="Cambria"/>
          <w:sz w:val="16"/>
          <w:szCs w:val="16"/>
          <w:lang w:val="en-US"/>
        </w:rPr>
        <w:t>s</w:t>
      </w:r>
      <w:r w:rsidRPr="00CC562A">
        <w:rPr>
          <w:rFonts w:ascii="Cambria" w:hAnsi="Cambria"/>
          <w:sz w:val="16"/>
          <w:szCs w:val="16"/>
          <w:lang w:val="en-US"/>
        </w:rPr>
        <w:t xml:space="preserve"> C No. 182. </w:t>
      </w:r>
      <w:r w:rsidR="00B577A7" w:rsidRPr="00CC562A">
        <w:rPr>
          <w:rFonts w:ascii="Cambria" w:hAnsi="Cambria"/>
          <w:sz w:val="16"/>
          <w:szCs w:val="16"/>
          <w:lang w:val="en-US"/>
        </w:rPr>
        <w:t>para</w:t>
      </w:r>
      <w:r w:rsidR="00736A6B" w:rsidRPr="00CC562A">
        <w:rPr>
          <w:rFonts w:ascii="Cambria" w:hAnsi="Cambria"/>
          <w:sz w:val="16"/>
          <w:szCs w:val="16"/>
          <w:lang w:val="en-US"/>
        </w:rPr>
        <w:t>.</w:t>
      </w:r>
      <w:r w:rsidRPr="00CC562A">
        <w:rPr>
          <w:rFonts w:ascii="Cambria" w:hAnsi="Cambria"/>
          <w:sz w:val="16"/>
          <w:szCs w:val="16"/>
          <w:lang w:val="en-US"/>
        </w:rPr>
        <w:t xml:space="preserve"> 131; Cas</w:t>
      </w:r>
      <w:r w:rsidR="00B577A7" w:rsidRPr="00CC562A">
        <w:rPr>
          <w:rFonts w:ascii="Cambria" w:hAnsi="Cambria"/>
          <w:sz w:val="16"/>
          <w:szCs w:val="16"/>
          <w:lang w:val="en-US"/>
        </w:rPr>
        <w:t>e of</w:t>
      </w:r>
      <w:r w:rsidRPr="00CC562A">
        <w:rPr>
          <w:rFonts w:ascii="Cambria" w:hAnsi="Cambria"/>
          <w:sz w:val="16"/>
          <w:szCs w:val="16"/>
          <w:lang w:val="en-US"/>
        </w:rPr>
        <w:t xml:space="preserve"> Ríos </w:t>
      </w:r>
      <w:r w:rsidR="00B577A7" w:rsidRPr="00CC562A">
        <w:rPr>
          <w:rFonts w:ascii="Cambria" w:hAnsi="Cambria"/>
          <w:sz w:val="16"/>
          <w:szCs w:val="16"/>
          <w:lang w:val="en-US"/>
        </w:rPr>
        <w:t xml:space="preserve">et al. </w:t>
      </w:r>
      <w:r w:rsidR="00C80FE5" w:rsidRPr="00CC562A">
        <w:rPr>
          <w:rFonts w:ascii="Cambria" w:hAnsi="Cambria"/>
          <w:sz w:val="16"/>
          <w:szCs w:val="16"/>
          <w:lang w:val="en-US"/>
        </w:rPr>
        <w:t>v.</w:t>
      </w:r>
      <w:r w:rsidRPr="00CC562A">
        <w:rPr>
          <w:rFonts w:ascii="Cambria" w:hAnsi="Cambria"/>
          <w:sz w:val="16"/>
          <w:szCs w:val="16"/>
          <w:lang w:val="en-US"/>
        </w:rPr>
        <w:t xml:space="preserve"> Venezuela. </w:t>
      </w:r>
      <w:r w:rsidR="00B577A7" w:rsidRPr="00CC562A">
        <w:rPr>
          <w:rFonts w:ascii="Cambria" w:hAnsi="Cambria"/>
          <w:sz w:val="16"/>
          <w:szCs w:val="16"/>
          <w:lang w:val="en-US"/>
        </w:rPr>
        <w:t>Preliminary Objections, Merits, Reparations, and Costs</w:t>
      </w:r>
      <w:r w:rsidRPr="00CC562A">
        <w:rPr>
          <w:rFonts w:ascii="Cambria" w:hAnsi="Cambria"/>
          <w:sz w:val="16"/>
          <w:szCs w:val="16"/>
          <w:lang w:val="en-US"/>
        </w:rPr>
        <w:t xml:space="preserve">. </w:t>
      </w:r>
      <w:r w:rsidR="00B577A7" w:rsidRPr="00CC562A">
        <w:rPr>
          <w:rFonts w:ascii="Cambria" w:hAnsi="Cambria"/>
          <w:sz w:val="16"/>
          <w:szCs w:val="16"/>
          <w:lang w:val="en-US"/>
        </w:rPr>
        <w:t>Jud</w:t>
      </w:r>
      <w:r w:rsidR="00CF32FD" w:rsidRPr="00CC562A">
        <w:rPr>
          <w:rFonts w:ascii="Cambria" w:hAnsi="Cambria"/>
          <w:sz w:val="16"/>
          <w:szCs w:val="16"/>
          <w:lang w:val="en-US"/>
        </w:rPr>
        <w:t>gment of January 28,</w:t>
      </w:r>
      <w:r w:rsidRPr="00CC562A">
        <w:rPr>
          <w:rFonts w:ascii="Cambria" w:hAnsi="Cambria"/>
          <w:sz w:val="16"/>
          <w:szCs w:val="16"/>
          <w:lang w:val="en-US"/>
        </w:rPr>
        <w:t xml:space="preserve"> 2009. Serie</w:t>
      </w:r>
      <w:r w:rsidR="00CF32FD" w:rsidRPr="00CC562A">
        <w:rPr>
          <w:rFonts w:ascii="Cambria" w:hAnsi="Cambria"/>
          <w:sz w:val="16"/>
          <w:szCs w:val="16"/>
          <w:lang w:val="en-US"/>
        </w:rPr>
        <w:t>s</w:t>
      </w:r>
      <w:r w:rsidRPr="00CC562A">
        <w:rPr>
          <w:rFonts w:ascii="Cambria" w:hAnsi="Cambria"/>
          <w:sz w:val="16"/>
          <w:szCs w:val="16"/>
          <w:lang w:val="en-US"/>
        </w:rPr>
        <w:t xml:space="preserve"> C No. 194. </w:t>
      </w:r>
      <w:r w:rsidR="00CF32FD" w:rsidRPr="00CC562A">
        <w:rPr>
          <w:rFonts w:ascii="Cambria" w:hAnsi="Cambria"/>
          <w:sz w:val="16"/>
          <w:szCs w:val="16"/>
          <w:lang w:val="en-US"/>
        </w:rPr>
        <w:t>p</w:t>
      </w:r>
      <w:r w:rsidR="00736A6B" w:rsidRPr="00CC562A">
        <w:rPr>
          <w:rFonts w:ascii="Cambria" w:hAnsi="Cambria"/>
          <w:sz w:val="16"/>
          <w:szCs w:val="16"/>
          <w:lang w:val="en-US"/>
        </w:rPr>
        <w:t>ara.</w:t>
      </w:r>
      <w:r w:rsidRPr="00CC562A">
        <w:rPr>
          <w:rFonts w:ascii="Cambria" w:hAnsi="Cambria"/>
          <w:sz w:val="16"/>
          <w:szCs w:val="16"/>
          <w:lang w:val="en-US"/>
        </w:rPr>
        <w:t xml:space="preserve"> 139.</w:t>
      </w:r>
    </w:p>
  </w:footnote>
  <w:footnote w:id="336">
    <w:p w14:paraId="1A5508EC" w14:textId="47A76D00" w:rsidR="009965A7" w:rsidRPr="00A63873"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CF32FD" w:rsidRPr="00CC562A">
        <w:rPr>
          <w:rFonts w:ascii="Cambria" w:hAnsi="Cambria"/>
          <w:sz w:val="16"/>
          <w:szCs w:val="16"/>
          <w:lang w:val="en-US"/>
        </w:rPr>
        <w:t>Office of the Special Rapporteur for Freedom of Expression, March 15,</w:t>
      </w:r>
      <w:r w:rsidRPr="00CC562A">
        <w:rPr>
          <w:rFonts w:ascii="Cambria" w:hAnsi="Cambria"/>
          <w:sz w:val="16"/>
          <w:szCs w:val="16"/>
          <w:lang w:val="en-US"/>
        </w:rPr>
        <w:t xml:space="preserve"> 2017. </w:t>
      </w:r>
      <w:hyperlink r:id="rId176">
        <w:r w:rsidR="00CF32FD" w:rsidRPr="00CC562A">
          <w:rPr>
            <w:rFonts w:ascii="Cambria" w:hAnsi="Cambria"/>
            <w:color w:val="1155CC"/>
            <w:sz w:val="16"/>
            <w:szCs w:val="16"/>
            <w:u w:val="single"/>
            <w:lang w:val="en-US"/>
          </w:rPr>
          <w:t>Silenced Zones</w:t>
        </w:r>
        <w:r w:rsidRPr="00CC562A">
          <w:rPr>
            <w:rFonts w:ascii="Cambria" w:hAnsi="Cambria"/>
            <w:color w:val="1155CC"/>
            <w:sz w:val="16"/>
            <w:szCs w:val="16"/>
            <w:u w:val="single"/>
            <w:lang w:val="en-US"/>
          </w:rPr>
          <w:t xml:space="preserve">: </w:t>
        </w:r>
        <w:r w:rsidR="00CF32FD" w:rsidRPr="00CC562A">
          <w:rPr>
            <w:rFonts w:ascii="Cambria" w:hAnsi="Cambria"/>
            <w:color w:val="1155CC"/>
            <w:sz w:val="16"/>
            <w:szCs w:val="16"/>
            <w:u w:val="single"/>
            <w:lang w:val="en-US"/>
          </w:rPr>
          <w:t>Highly Dangerous Areas for the Exercise of Freedom of Expression</w:t>
        </w:r>
      </w:hyperlink>
      <w:r w:rsidRPr="00CC562A">
        <w:rPr>
          <w:rFonts w:ascii="Cambria" w:hAnsi="Cambria"/>
          <w:sz w:val="16"/>
          <w:szCs w:val="16"/>
          <w:lang w:val="en-US"/>
        </w:rPr>
        <w:t xml:space="preserve">. </w:t>
      </w:r>
      <w:r w:rsidRPr="00A63873">
        <w:rPr>
          <w:rFonts w:ascii="Cambria" w:hAnsi="Cambria"/>
          <w:sz w:val="16"/>
          <w:szCs w:val="16"/>
          <w:lang w:val="en-US"/>
        </w:rPr>
        <w:t xml:space="preserve">OEA/Ser.L/V/II </w:t>
      </w:r>
      <w:r w:rsidR="004E0B7E" w:rsidRPr="00A63873">
        <w:rPr>
          <w:rFonts w:ascii="Cambria" w:hAnsi="Cambria"/>
          <w:sz w:val="16"/>
          <w:szCs w:val="16"/>
          <w:lang w:val="en-US"/>
        </w:rPr>
        <w:t>IACHR</w:t>
      </w:r>
      <w:r w:rsidRPr="00A63873">
        <w:rPr>
          <w:rFonts w:ascii="Cambria" w:hAnsi="Cambria"/>
          <w:sz w:val="16"/>
          <w:szCs w:val="16"/>
          <w:lang w:val="en-US"/>
        </w:rPr>
        <w:t xml:space="preserve">/RELE/INF.16/17. </w:t>
      </w:r>
      <w:r w:rsidR="00CF32FD" w:rsidRPr="00A63873">
        <w:rPr>
          <w:rFonts w:ascii="Cambria" w:hAnsi="Cambria"/>
          <w:sz w:val="16"/>
          <w:szCs w:val="16"/>
          <w:lang w:val="en-US"/>
        </w:rPr>
        <w:t>p</w:t>
      </w:r>
      <w:r w:rsidR="00736A6B" w:rsidRPr="00A63873">
        <w:rPr>
          <w:rFonts w:ascii="Cambria" w:hAnsi="Cambria"/>
          <w:sz w:val="16"/>
          <w:szCs w:val="16"/>
          <w:lang w:val="en-US"/>
        </w:rPr>
        <w:t>ara.</w:t>
      </w:r>
      <w:r w:rsidRPr="00A63873">
        <w:rPr>
          <w:rFonts w:ascii="Cambria" w:hAnsi="Cambria"/>
          <w:sz w:val="16"/>
          <w:szCs w:val="16"/>
          <w:lang w:val="en-US"/>
        </w:rPr>
        <w:t xml:space="preserve"> 155.</w:t>
      </w:r>
    </w:p>
  </w:footnote>
  <w:footnote w:id="337">
    <w:p w14:paraId="4B43F4A4" w14:textId="4585C1FD" w:rsidR="009965A7" w:rsidRPr="00CC562A" w:rsidRDefault="009965A7" w:rsidP="007A58B5">
      <w:pPr>
        <w:pStyle w:val="NoSpacing"/>
        <w:ind w:firstLine="720"/>
        <w:jc w:val="both"/>
        <w:rPr>
          <w:rFonts w:ascii="Cambria" w:hAnsi="Cambria"/>
          <w:sz w:val="16"/>
          <w:szCs w:val="16"/>
          <w:vertAlign w:val="superscript"/>
          <w:lang w:val="en-US"/>
        </w:rPr>
      </w:pPr>
      <w:r w:rsidRPr="00CC562A">
        <w:rPr>
          <w:rFonts w:ascii="Cambria" w:hAnsi="Cambria"/>
          <w:sz w:val="16"/>
          <w:szCs w:val="16"/>
          <w:vertAlign w:val="superscript"/>
          <w:lang w:val="en-US"/>
        </w:rPr>
        <w:footnoteRef/>
      </w:r>
      <w:r w:rsidRPr="00A63873">
        <w:rPr>
          <w:rFonts w:ascii="Cambria" w:hAnsi="Cambria"/>
          <w:sz w:val="16"/>
          <w:szCs w:val="16"/>
          <w:lang w:val="en-US"/>
        </w:rPr>
        <w:t xml:space="preserve"> </w:t>
      </w:r>
      <w:r w:rsidR="004E0B7E" w:rsidRPr="00A63873">
        <w:rPr>
          <w:rFonts w:ascii="Cambria" w:hAnsi="Cambria"/>
          <w:sz w:val="16"/>
          <w:szCs w:val="16"/>
          <w:lang w:val="en-US"/>
        </w:rPr>
        <w:t>IACHR</w:t>
      </w:r>
      <w:r w:rsidRPr="00A63873">
        <w:rPr>
          <w:rFonts w:ascii="Cambria" w:hAnsi="Cambria"/>
          <w:sz w:val="16"/>
          <w:szCs w:val="16"/>
          <w:lang w:val="en-US"/>
        </w:rPr>
        <w:t xml:space="preserve">. </w:t>
      </w:r>
      <w:r w:rsidR="00CF32FD" w:rsidRPr="00CC562A">
        <w:rPr>
          <w:rFonts w:ascii="Cambria" w:hAnsi="Cambria"/>
          <w:sz w:val="16"/>
          <w:szCs w:val="16"/>
          <w:lang w:val="en-US"/>
        </w:rPr>
        <w:t xml:space="preserve">Office of the Special Rapporteur for Freedom of Expression. March </w:t>
      </w:r>
      <w:r w:rsidR="00C80FE5" w:rsidRPr="00CC562A">
        <w:rPr>
          <w:rFonts w:ascii="Cambria" w:hAnsi="Cambria"/>
          <w:sz w:val="16"/>
          <w:szCs w:val="16"/>
          <w:lang w:val="en-US"/>
        </w:rPr>
        <w:t>15, 2017</w:t>
      </w:r>
      <w:r w:rsidRPr="00CC562A">
        <w:rPr>
          <w:rFonts w:ascii="Cambria" w:hAnsi="Cambria"/>
          <w:sz w:val="16"/>
          <w:szCs w:val="16"/>
          <w:lang w:val="en-US"/>
        </w:rPr>
        <w:t xml:space="preserve">. </w:t>
      </w:r>
      <w:hyperlink r:id="rId177">
        <w:r w:rsidR="00CF32FD" w:rsidRPr="00CC562A">
          <w:rPr>
            <w:rFonts w:ascii="Cambria" w:hAnsi="Cambria"/>
            <w:color w:val="1155CC"/>
            <w:sz w:val="16"/>
            <w:szCs w:val="16"/>
            <w:u w:val="single"/>
            <w:lang w:val="en-US"/>
          </w:rPr>
          <w:t>Silenced Zones: Highly Dangerous Areas for the Exercise of Freedom of Expression</w:t>
        </w:r>
      </w:hyperlink>
      <w:r w:rsidRPr="00CC562A">
        <w:rPr>
          <w:rFonts w:ascii="Cambria" w:hAnsi="Cambria"/>
          <w:sz w:val="16"/>
          <w:szCs w:val="16"/>
          <w:lang w:val="en-US"/>
        </w:rPr>
        <w:t xml:space="preserve">. </w:t>
      </w:r>
      <w:r w:rsidRPr="00CC562A">
        <w:rPr>
          <w:rFonts w:ascii="Cambria" w:hAnsi="Cambria"/>
          <w:sz w:val="16"/>
          <w:szCs w:val="16"/>
          <w:lang w:val="en-US"/>
        </w:rPr>
        <w:t xml:space="preserve">OEA/Ser.L/V/II </w:t>
      </w:r>
      <w:r w:rsidR="004E0B7E" w:rsidRPr="00CC562A">
        <w:rPr>
          <w:rFonts w:ascii="Cambria" w:hAnsi="Cambria"/>
          <w:sz w:val="16"/>
          <w:szCs w:val="16"/>
          <w:lang w:val="en-US"/>
        </w:rPr>
        <w:t>IACHR</w:t>
      </w:r>
      <w:r w:rsidRPr="00CC562A">
        <w:rPr>
          <w:rFonts w:ascii="Cambria" w:hAnsi="Cambria"/>
          <w:sz w:val="16"/>
          <w:szCs w:val="16"/>
          <w:lang w:val="en-US"/>
        </w:rPr>
        <w:t xml:space="preserve">/RELE/INF.16/17. </w:t>
      </w:r>
    </w:p>
  </w:footnote>
  <w:footnote w:id="338">
    <w:p w14:paraId="1A81A2D5" w14:textId="2E47A6B8"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235545" w:rsidRPr="00CC562A">
        <w:rPr>
          <w:rFonts w:ascii="Cambria" w:hAnsi="Cambria"/>
          <w:sz w:val="16"/>
          <w:szCs w:val="16"/>
          <w:lang w:val="en-US"/>
        </w:rPr>
        <w:t>I/A Court H.R.</w:t>
      </w:r>
      <w:r w:rsidRPr="00CC562A">
        <w:rPr>
          <w:rFonts w:ascii="Cambria" w:hAnsi="Cambria"/>
          <w:sz w:val="16"/>
          <w:szCs w:val="16"/>
          <w:lang w:val="en-US"/>
        </w:rPr>
        <w:t xml:space="preserve"> Cas</w:t>
      </w:r>
      <w:r w:rsidR="00CF32FD" w:rsidRPr="00CC562A">
        <w:rPr>
          <w:rFonts w:ascii="Cambria" w:hAnsi="Cambria"/>
          <w:sz w:val="16"/>
          <w:szCs w:val="16"/>
          <w:lang w:val="en-US"/>
        </w:rPr>
        <w:t>e of</w:t>
      </w:r>
      <w:r w:rsidRPr="00CC562A">
        <w:rPr>
          <w:rFonts w:ascii="Cambria" w:hAnsi="Cambria"/>
          <w:sz w:val="16"/>
          <w:szCs w:val="16"/>
          <w:lang w:val="en-US"/>
        </w:rPr>
        <w:t xml:space="preserve"> Ríos </w:t>
      </w:r>
      <w:r w:rsidR="00CF32FD" w:rsidRPr="00CC562A">
        <w:rPr>
          <w:rFonts w:ascii="Cambria" w:hAnsi="Cambria"/>
          <w:sz w:val="16"/>
          <w:szCs w:val="16"/>
          <w:lang w:val="en-US"/>
        </w:rPr>
        <w:t>et al. v.</w:t>
      </w:r>
      <w:r w:rsidRPr="00CC562A">
        <w:rPr>
          <w:rFonts w:ascii="Cambria" w:hAnsi="Cambria"/>
          <w:sz w:val="16"/>
          <w:szCs w:val="16"/>
          <w:lang w:val="en-US"/>
        </w:rPr>
        <w:t xml:space="preserve"> Venezuela. </w:t>
      </w:r>
      <w:r w:rsidR="00CF32FD" w:rsidRPr="00CC562A">
        <w:rPr>
          <w:rFonts w:ascii="Cambria" w:hAnsi="Cambria"/>
          <w:sz w:val="16"/>
          <w:szCs w:val="16"/>
          <w:lang w:val="en-US"/>
        </w:rPr>
        <w:t>Preliminary Objections, Merits, Reparations, and Costs. Judgment of January 28,</w:t>
      </w:r>
      <w:r w:rsidRPr="00CC562A">
        <w:rPr>
          <w:rFonts w:ascii="Cambria" w:hAnsi="Cambria"/>
          <w:sz w:val="16"/>
          <w:szCs w:val="16"/>
          <w:lang w:val="en-US"/>
        </w:rPr>
        <w:t xml:space="preserve"> 2009. Serie</w:t>
      </w:r>
      <w:r w:rsidR="00CF32FD" w:rsidRPr="00CC562A">
        <w:rPr>
          <w:rFonts w:ascii="Cambria" w:hAnsi="Cambria"/>
          <w:sz w:val="16"/>
          <w:szCs w:val="16"/>
          <w:lang w:val="en-US"/>
        </w:rPr>
        <w:t>s</w:t>
      </w:r>
      <w:r w:rsidRPr="00CC562A">
        <w:rPr>
          <w:rFonts w:ascii="Cambria" w:hAnsi="Cambria"/>
          <w:sz w:val="16"/>
          <w:szCs w:val="16"/>
          <w:lang w:val="en-US"/>
        </w:rPr>
        <w:t xml:space="preserve"> C No. 194. </w:t>
      </w:r>
      <w:r w:rsidR="00CF32FD" w:rsidRPr="00CC562A">
        <w:rPr>
          <w:rFonts w:ascii="Cambria" w:hAnsi="Cambria"/>
          <w:sz w:val="16"/>
          <w:szCs w:val="16"/>
          <w:lang w:val="en-US"/>
        </w:rPr>
        <w:t>para</w:t>
      </w:r>
      <w:r w:rsidRPr="00CC562A">
        <w:rPr>
          <w:rFonts w:ascii="Cambria" w:hAnsi="Cambria"/>
          <w:sz w:val="16"/>
          <w:szCs w:val="16"/>
          <w:lang w:val="en-US"/>
        </w:rPr>
        <w:t>. 139.</w:t>
      </w:r>
    </w:p>
  </w:footnote>
  <w:footnote w:id="339">
    <w:p w14:paraId="7A5097DF" w14:textId="7322E99D"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hyperlink r:id="rId178">
        <w:r w:rsidRPr="00CC562A">
          <w:rPr>
            <w:rFonts w:ascii="Cambria" w:hAnsi="Cambria"/>
            <w:color w:val="1155CC"/>
            <w:sz w:val="16"/>
            <w:szCs w:val="16"/>
            <w:u w:val="single"/>
            <w:lang w:val="en-US"/>
          </w:rPr>
          <w:t>Declara</w:t>
        </w:r>
        <w:r w:rsidR="00CF32FD" w:rsidRPr="00CC562A">
          <w:rPr>
            <w:rFonts w:ascii="Cambria" w:hAnsi="Cambria"/>
            <w:color w:val="1155CC"/>
            <w:sz w:val="16"/>
            <w:szCs w:val="16"/>
            <w:u w:val="single"/>
            <w:lang w:val="en-US"/>
          </w:rPr>
          <w:t>tion of Principles on Freedom of Expression</w:t>
        </w:r>
      </w:hyperlink>
      <w:r w:rsidRPr="00CC562A">
        <w:rPr>
          <w:rFonts w:ascii="Cambria" w:hAnsi="Cambria"/>
          <w:sz w:val="16"/>
          <w:szCs w:val="16"/>
          <w:lang w:val="en-US"/>
        </w:rPr>
        <w:t>. Princip</w:t>
      </w:r>
      <w:r w:rsidR="00CF32FD" w:rsidRPr="00CC562A">
        <w:rPr>
          <w:rFonts w:ascii="Cambria" w:hAnsi="Cambria"/>
          <w:sz w:val="16"/>
          <w:szCs w:val="16"/>
          <w:lang w:val="en-US"/>
        </w:rPr>
        <w:t xml:space="preserve">le </w:t>
      </w:r>
      <w:r w:rsidRPr="00CC562A">
        <w:rPr>
          <w:rFonts w:ascii="Cambria" w:hAnsi="Cambria"/>
          <w:sz w:val="16"/>
          <w:szCs w:val="16"/>
          <w:lang w:val="en-US"/>
        </w:rPr>
        <w:t>6. 2000.</w:t>
      </w:r>
    </w:p>
  </w:footnote>
  <w:footnote w:id="340">
    <w:p w14:paraId="00DF45B2" w14:textId="5CA1AEFB"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CF32FD" w:rsidRPr="00CC562A">
        <w:rPr>
          <w:rFonts w:ascii="Cambria" w:hAnsi="Cambria"/>
          <w:sz w:val="16"/>
          <w:szCs w:val="16"/>
          <w:lang w:val="en-US"/>
        </w:rPr>
        <w:t>Office of the Special Rapporteur on Freedom of Expression</w:t>
      </w:r>
      <w:r w:rsidRPr="00CC562A">
        <w:rPr>
          <w:rFonts w:ascii="Cambria" w:hAnsi="Cambria"/>
          <w:sz w:val="16"/>
          <w:szCs w:val="16"/>
          <w:lang w:val="en-US"/>
        </w:rPr>
        <w:t xml:space="preserve">. </w:t>
      </w:r>
      <w:hyperlink r:id="rId179">
        <w:r w:rsidR="007E45A0" w:rsidRPr="00CC562A">
          <w:rPr>
            <w:rFonts w:ascii="Cambria" w:hAnsi="Cambria"/>
            <w:color w:val="1155CC"/>
            <w:sz w:val="16"/>
            <w:szCs w:val="16"/>
            <w:u w:val="single"/>
            <w:lang w:val="en-US"/>
          </w:rPr>
          <w:t>Ethics in the Media</w:t>
        </w:r>
      </w:hyperlink>
      <w:r w:rsidRPr="00CC562A">
        <w:rPr>
          <w:rFonts w:ascii="Cambria" w:hAnsi="Cambria"/>
          <w:sz w:val="16"/>
          <w:szCs w:val="16"/>
          <w:lang w:val="en-US"/>
        </w:rPr>
        <w:t>. 2004.</w:t>
      </w:r>
    </w:p>
  </w:footnote>
  <w:footnote w:id="341">
    <w:p w14:paraId="598DD5E7" w14:textId="2D4D43FE" w:rsidR="009965A7" w:rsidRPr="00CC562A" w:rsidRDefault="009965A7"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750392" w:rsidRPr="00CC562A">
        <w:rPr>
          <w:rFonts w:ascii="Cambria" w:hAnsi="Cambria"/>
          <w:sz w:val="16"/>
          <w:szCs w:val="16"/>
          <w:lang w:val="en-US"/>
        </w:rPr>
        <w:t>Annual Report</w:t>
      </w:r>
      <w:r w:rsidRPr="00CC562A">
        <w:rPr>
          <w:rFonts w:ascii="Cambria" w:hAnsi="Cambria"/>
          <w:sz w:val="16"/>
          <w:szCs w:val="16"/>
          <w:lang w:val="en-US"/>
        </w:rPr>
        <w:t xml:space="preserve"> 2013. </w:t>
      </w:r>
      <w:r w:rsidR="007E45A0" w:rsidRPr="00CC562A">
        <w:rPr>
          <w:rFonts w:ascii="Cambria" w:hAnsi="Cambria"/>
          <w:sz w:val="16"/>
          <w:szCs w:val="16"/>
          <w:lang w:val="en-US"/>
        </w:rPr>
        <w:t>Report of the Office of the Special Rapporteur for Freedom of Expression, Chapter</w:t>
      </w:r>
      <w:r w:rsidRPr="00CC562A">
        <w:rPr>
          <w:rFonts w:ascii="Cambria" w:hAnsi="Cambria"/>
          <w:sz w:val="16"/>
          <w:szCs w:val="16"/>
          <w:lang w:val="en-US"/>
        </w:rPr>
        <w:t xml:space="preserve"> III (</w:t>
      </w:r>
      <w:r w:rsidR="007E45A0" w:rsidRPr="00CC562A">
        <w:rPr>
          <w:rFonts w:ascii="Cambria" w:hAnsi="Cambria"/>
          <w:sz w:val="16"/>
          <w:szCs w:val="16"/>
          <w:lang w:val="en-US"/>
        </w:rPr>
        <w:t>Violence against Journalists and Media Workers: Inter-American Standards</w:t>
      </w:r>
      <w:r w:rsidR="009E0E6A" w:rsidRPr="00CC562A">
        <w:rPr>
          <w:rFonts w:ascii="Cambria" w:hAnsi="Cambria"/>
          <w:sz w:val="16"/>
          <w:szCs w:val="16"/>
          <w:lang w:val="en-US"/>
        </w:rPr>
        <w:t xml:space="preserve"> and National Practices</w:t>
      </w:r>
      <w:r w:rsidRPr="00CC562A">
        <w:rPr>
          <w:rFonts w:ascii="Cambria" w:hAnsi="Cambria"/>
          <w:sz w:val="16"/>
          <w:szCs w:val="16"/>
          <w:lang w:val="en-US"/>
        </w:rPr>
        <w:t xml:space="preserve"> </w:t>
      </w:r>
      <w:r w:rsidR="009E0E6A" w:rsidRPr="00CC562A">
        <w:rPr>
          <w:rFonts w:ascii="Cambria" w:hAnsi="Cambria"/>
          <w:sz w:val="16"/>
          <w:szCs w:val="16"/>
          <w:lang w:val="en-US"/>
        </w:rPr>
        <w:t>on Prevention, Protection, and Prosecution of Perpetrator</w:t>
      </w:r>
      <w:r w:rsidRPr="00CC562A">
        <w:rPr>
          <w:rFonts w:ascii="Cambria" w:hAnsi="Cambria"/>
          <w:sz w:val="16"/>
          <w:szCs w:val="16"/>
          <w:lang w:val="en-US"/>
        </w:rPr>
        <w:t xml:space="preserve">). </w:t>
      </w:r>
      <w:r w:rsidRPr="00CC562A">
        <w:rPr>
          <w:rFonts w:ascii="Cambria" w:hAnsi="Cambria"/>
          <w:sz w:val="16"/>
          <w:szCs w:val="16"/>
          <w:lang w:val="en-US"/>
        </w:rPr>
        <w:t xml:space="preserve">OEA/Ser.L/V/II.149. Doc. 50. </w:t>
      </w:r>
      <w:r w:rsidR="009E0E6A" w:rsidRPr="00CC562A">
        <w:rPr>
          <w:rFonts w:ascii="Cambria" w:hAnsi="Cambria"/>
          <w:sz w:val="16"/>
          <w:szCs w:val="16"/>
          <w:lang w:val="en-US"/>
        </w:rPr>
        <w:t xml:space="preserve">December 31, </w:t>
      </w:r>
      <w:r w:rsidRPr="00CC562A">
        <w:rPr>
          <w:rFonts w:ascii="Cambria" w:hAnsi="Cambria"/>
          <w:sz w:val="16"/>
          <w:szCs w:val="16"/>
          <w:lang w:val="en-US"/>
        </w:rPr>
        <w:t xml:space="preserve">2013. </w:t>
      </w:r>
      <w:r w:rsidR="009E0E6A" w:rsidRPr="00CC562A">
        <w:rPr>
          <w:rFonts w:ascii="Cambria" w:hAnsi="Cambria"/>
          <w:sz w:val="16"/>
          <w:szCs w:val="16"/>
          <w:lang w:val="en-US"/>
        </w:rPr>
        <w:t>p</w:t>
      </w:r>
      <w:r w:rsidR="00736A6B" w:rsidRPr="00CC562A">
        <w:rPr>
          <w:rFonts w:ascii="Cambria" w:hAnsi="Cambria"/>
          <w:sz w:val="16"/>
          <w:szCs w:val="16"/>
          <w:lang w:val="en-US"/>
        </w:rPr>
        <w:t>ara.</w:t>
      </w:r>
      <w:r w:rsidRPr="00CC562A">
        <w:rPr>
          <w:rFonts w:ascii="Cambria" w:hAnsi="Cambria"/>
          <w:sz w:val="16"/>
          <w:szCs w:val="16"/>
          <w:lang w:val="en-US"/>
        </w:rPr>
        <w:t xml:space="preserve"> 34.</w:t>
      </w:r>
    </w:p>
  </w:footnote>
  <w:footnote w:id="342">
    <w:p w14:paraId="581312FB" w14:textId="1E1F6FD7"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43">
    <w:p w14:paraId="2127641E" w14:textId="0965C0F4"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9E0E6A" w:rsidRPr="00CC562A">
        <w:rPr>
          <w:lang w:val="en-US"/>
        </w:rPr>
        <w:t>Follow-up on Compliance with the Recommendations in the Report on the “Situation of Human Rights in Mexico,” October 21,</w:t>
      </w:r>
      <w:r w:rsidR="4D1A0B04" w:rsidRPr="00CC562A">
        <w:rPr>
          <w:lang w:val="en-US"/>
        </w:rPr>
        <w:t xml:space="preserve"> 2022, </w:t>
      </w:r>
      <w:r w:rsidR="009E09A3" w:rsidRPr="00CC562A">
        <w:rPr>
          <w:lang w:val="en-US"/>
        </w:rPr>
        <w:t>p.</w:t>
      </w:r>
      <w:r w:rsidR="4D1A0B04" w:rsidRPr="00CC562A">
        <w:rPr>
          <w:lang w:val="en-US"/>
        </w:rPr>
        <w:t xml:space="preserve"> 21.</w:t>
      </w:r>
    </w:p>
  </w:footnote>
  <w:footnote w:id="344">
    <w:p w14:paraId="22C3417B" w14:textId="136D6E73" w:rsidR="00070D01" w:rsidRPr="00CC562A" w:rsidRDefault="00070D01" w:rsidP="007A58B5">
      <w:pPr>
        <w:pStyle w:val="FootnoteText"/>
        <w:spacing w:line="240" w:lineRule="auto"/>
        <w:ind w:firstLine="720"/>
        <w:jc w:val="both"/>
        <w:rPr>
          <w:lang w:val="es-E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r w:rsidR="00BE2C6E" w:rsidRPr="00CC562A">
        <w:rPr>
          <w:lang w:val="en-US"/>
        </w:rPr>
        <w:t xml:space="preserve"> </w:t>
      </w:r>
      <w:r w:rsidR="005D3441" w:rsidRPr="00CC562A">
        <w:rPr>
          <w:lang w:val="en-US"/>
        </w:rPr>
        <w:t>State of Mexico, OAS Note</w:t>
      </w:r>
      <w:r w:rsidR="00BE2C6E" w:rsidRPr="00CC562A">
        <w:rPr>
          <w:lang w:val="en-US"/>
        </w:rPr>
        <w:t xml:space="preserve"> 517 </w:t>
      </w:r>
      <w:r w:rsidR="005D3441" w:rsidRPr="00CC562A">
        <w:rPr>
          <w:lang w:val="en-US"/>
        </w:rPr>
        <w:t>of February 17,</w:t>
      </w:r>
      <w:r w:rsidR="00BE2C6E" w:rsidRPr="00CC562A">
        <w:rPr>
          <w:lang w:val="en-US"/>
        </w:rPr>
        <w:t xml:space="preserve"> 2023. </w:t>
      </w:r>
      <w:r w:rsidR="00BE2C6E" w:rsidRPr="00CC562A">
        <w:rPr>
          <w:lang w:val="es-ES"/>
        </w:rPr>
        <w:t>Observa</w:t>
      </w:r>
      <w:r w:rsidR="005D3441" w:rsidRPr="00CC562A">
        <w:rPr>
          <w:lang w:val="es-ES"/>
        </w:rPr>
        <w:t>tions on the preliminary version of the report</w:t>
      </w:r>
      <w:r w:rsidR="00BE2C6E" w:rsidRPr="00CC562A">
        <w:rPr>
          <w:lang w:val="es-ES"/>
        </w:rPr>
        <w:t>.</w:t>
      </w:r>
    </w:p>
  </w:footnote>
  <w:footnote w:id="345">
    <w:p w14:paraId="44BF7DE3" w14:textId="10672EC8" w:rsidR="00783785" w:rsidRPr="00CC562A" w:rsidRDefault="00783785" w:rsidP="007A58B5">
      <w:pPr>
        <w:pStyle w:val="NormalWeb"/>
        <w:shd w:val="clear" w:color="auto" w:fill="FFFFFF"/>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FGR, </w:t>
      </w:r>
      <w:hyperlink r:id="rId180" w:history="1">
        <w:r w:rsidR="4D1A0B04" w:rsidRPr="00CC562A">
          <w:rPr>
            <w:rStyle w:val="Hyperlink"/>
            <w:rFonts w:ascii="Cambria" w:hAnsi="Cambria"/>
            <w:sz w:val="16"/>
            <w:szCs w:val="16"/>
            <w:lang w:val="es-ES"/>
          </w:rPr>
          <w:t xml:space="preserve">Conoce a la Fiscalía Especial para la </w:t>
        </w:r>
        <w:r w:rsidR="00C80FE5" w:rsidRPr="00CC562A">
          <w:rPr>
            <w:rStyle w:val="Hyperlink"/>
            <w:rFonts w:ascii="Cambria" w:hAnsi="Cambria"/>
            <w:sz w:val="16"/>
            <w:szCs w:val="16"/>
            <w:lang w:val="es-ES"/>
          </w:rPr>
          <w:t>atención</w:t>
        </w:r>
        <w:r w:rsidR="4D1A0B04" w:rsidRPr="00CC562A">
          <w:rPr>
            <w:rStyle w:val="Hyperlink"/>
            <w:rFonts w:ascii="Cambria" w:hAnsi="Cambria"/>
            <w:sz w:val="16"/>
            <w:szCs w:val="16"/>
            <w:lang w:val="es-ES"/>
          </w:rPr>
          <w:t xml:space="preserve"> de delitos cometidos contra la libertad de </w:t>
        </w:r>
        <w:r w:rsidR="00C80FE5" w:rsidRPr="00CC562A">
          <w:rPr>
            <w:rStyle w:val="Hyperlink"/>
            <w:rFonts w:ascii="Cambria" w:hAnsi="Cambria"/>
            <w:sz w:val="16"/>
            <w:szCs w:val="16"/>
            <w:lang w:val="es-ES"/>
          </w:rPr>
          <w:t>expresión</w:t>
        </w:r>
      </w:hyperlink>
      <w:r w:rsidR="4D1A0B04" w:rsidRPr="00CC562A">
        <w:rPr>
          <w:rFonts w:ascii="Cambria" w:hAnsi="Cambria"/>
          <w:sz w:val="16"/>
          <w:szCs w:val="16"/>
          <w:lang w:val="es-ES"/>
        </w:rPr>
        <w:t xml:space="preserve">, </w:t>
      </w:r>
      <w:r w:rsidR="009E0E6A" w:rsidRPr="00CC562A">
        <w:rPr>
          <w:rFonts w:ascii="Cambria" w:hAnsi="Cambria"/>
          <w:sz w:val="16"/>
          <w:szCs w:val="16"/>
          <w:lang w:val="es-ES"/>
        </w:rPr>
        <w:t xml:space="preserve">April 1, </w:t>
      </w:r>
      <w:r w:rsidR="4D1A0B04" w:rsidRPr="00CC562A">
        <w:rPr>
          <w:rFonts w:ascii="Cambria" w:hAnsi="Cambria"/>
          <w:sz w:val="16"/>
          <w:szCs w:val="16"/>
          <w:lang w:val="es-ES"/>
        </w:rPr>
        <w:t>2019.</w:t>
      </w:r>
    </w:p>
  </w:footnote>
  <w:footnote w:id="346">
    <w:p w14:paraId="616AFAFE" w14:textId="7EF6903C" w:rsidR="00AE4CFE" w:rsidRPr="00CC562A" w:rsidRDefault="00AE4CFE" w:rsidP="007A58B5">
      <w:pPr>
        <w:pStyle w:val="NormalWeb"/>
        <w:shd w:val="clear" w:color="auto" w:fill="FFFFFF"/>
        <w:spacing w:beforeAutospacing="0" w:after="0" w:afterAutospacing="0" w:line="240" w:lineRule="auto"/>
        <w:ind w:firstLine="720"/>
        <w:jc w:val="both"/>
        <w:rPr>
          <w:rFonts w:ascii="Cambria" w:hAnsi="Cambria"/>
          <w:sz w:val="16"/>
          <w:szCs w:val="16"/>
          <w:lang w:val="es-ES" w:eastAsia="en-US"/>
        </w:rPr>
      </w:pPr>
      <w:r w:rsidRPr="00CC562A">
        <w:rPr>
          <w:rStyle w:val="FootnoteReference"/>
          <w:rFonts w:ascii="Cambria" w:hAnsi="Cambria"/>
          <w:sz w:val="16"/>
          <w:szCs w:val="16"/>
          <w:lang w:val="en-US"/>
        </w:rPr>
        <w:footnoteRef/>
      </w:r>
      <w:r w:rsidR="4D1A0B04" w:rsidRPr="00CC562A">
        <w:rPr>
          <w:rFonts w:ascii="Cambria" w:hAnsi="Cambria"/>
          <w:sz w:val="16"/>
          <w:szCs w:val="16"/>
          <w:lang w:val="es-ES"/>
        </w:rPr>
        <w:t xml:space="preserve"> INEGI</w:t>
      </w:r>
      <w:r w:rsidR="4D1A0B04" w:rsidRPr="000A44AA">
        <w:rPr>
          <w:rFonts w:ascii="Cambria" w:eastAsia="Calibri" w:hAnsi="Cambria" w:cs="Calibri"/>
          <w:color w:val="1155CC"/>
          <w:sz w:val="16"/>
          <w:szCs w:val="16"/>
          <w:u w:val="single"/>
          <w:lang w:val="es-ES" w:eastAsia="es-US"/>
        </w:rPr>
        <w:t xml:space="preserve">, </w:t>
      </w:r>
      <w:hyperlink r:id="rId181" w:history="1">
        <w:r w:rsidR="00C80FE5" w:rsidRPr="000A44AA">
          <w:rPr>
            <w:rFonts w:ascii="Cambria" w:eastAsia="Calibri" w:hAnsi="Cambria" w:cs="Calibri"/>
            <w:color w:val="1155CC"/>
            <w:sz w:val="16"/>
            <w:szCs w:val="16"/>
            <w:u w:val="single"/>
            <w:lang w:eastAsia="es-US"/>
          </w:rPr>
          <w:t>Estadísticas</w:t>
        </w:r>
        <w:r w:rsidR="4D1A0B04" w:rsidRPr="000A44AA">
          <w:rPr>
            <w:rFonts w:ascii="Cambria" w:eastAsia="Calibri" w:hAnsi="Cambria" w:cs="Calibri"/>
            <w:color w:val="1155CC"/>
            <w:sz w:val="16"/>
            <w:szCs w:val="16"/>
            <w:u w:val="single"/>
            <w:lang w:eastAsia="es-US"/>
          </w:rPr>
          <w:t xml:space="preserve"> a </w:t>
        </w:r>
        <w:r w:rsidR="00C80FE5" w:rsidRPr="000A44AA">
          <w:rPr>
            <w:rFonts w:ascii="Cambria" w:eastAsia="Calibri" w:hAnsi="Cambria" w:cs="Calibri"/>
            <w:color w:val="1155CC"/>
            <w:sz w:val="16"/>
            <w:szCs w:val="16"/>
            <w:u w:val="single"/>
            <w:lang w:eastAsia="es-US"/>
          </w:rPr>
          <w:t>propósito</w:t>
        </w:r>
        <w:r w:rsidR="4D1A0B04" w:rsidRPr="000A44AA">
          <w:rPr>
            <w:rFonts w:ascii="Cambria" w:eastAsia="Calibri" w:hAnsi="Cambria" w:cs="Calibri"/>
            <w:color w:val="1155CC"/>
            <w:sz w:val="16"/>
            <w:szCs w:val="16"/>
            <w:u w:val="single"/>
            <w:lang w:eastAsia="es-US"/>
          </w:rPr>
          <w:t xml:space="preserve"> de las personas ocupadas como periodistas y locutoras</w:t>
        </w:r>
      </w:hyperlink>
      <w:r w:rsidR="4D1A0B04" w:rsidRPr="00CC562A">
        <w:rPr>
          <w:rFonts w:ascii="Cambria" w:hAnsi="Cambria"/>
          <w:sz w:val="16"/>
          <w:szCs w:val="16"/>
          <w:lang w:val="es-ES"/>
        </w:rPr>
        <w:t xml:space="preserve">, May 2020. </w:t>
      </w:r>
    </w:p>
  </w:footnote>
  <w:footnote w:id="347">
    <w:p w14:paraId="39195E79" w14:textId="66C6D595" w:rsidR="00871230" w:rsidRPr="00CC562A" w:rsidRDefault="00871230"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9E0E6A" w:rsidRPr="00CC562A">
        <w:rPr>
          <w:rFonts w:ascii="Cambria" w:hAnsi="Cambria"/>
          <w:sz w:val="16"/>
          <w:szCs w:val="16"/>
          <w:lang w:val="en-US"/>
        </w:rPr>
        <w:t>Office of the Attorney General of the Republic. 2021 Statistical report. Special Prosecutor’s Office for Addressing Crimes Committed against Freedom of Expression</w:t>
      </w:r>
      <w:r w:rsidRPr="00CC562A">
        <w:rPr>
          <w:rFonts w:ascii="Cambria" w:hAnsi="Cambria"/>
          <w:sz w:val="16"/>
          <w:szCs w:val="16"/>
          <w:lang w:val="en-US"/>
        </w:rPr>
        <w:t xml:space="preserve"> (FEADLE). Informa</w:t>
      </w:r>
      <w:r w:rsidR="009E0E6A" w:rsidRPr="00CC562A">
        <w:rPr>
          <w:rFonts w:ascii="Cambria" w:hAnsi="Cambria"/>
          <w:sz w:val="16"/>
          <w:szCs w:val="16"/>
          <w:lang w:val="en-US"/>
        </w:rPr>
        <w:t>tion sent the Permanent Mission of Mexico to the OAS. October 12,</w:t>
      </w:r>
      <w:r w:rsidRPr="00CC562A">
        <w:rPr>
          <w:rFonts w:ascii="Cambria" w:hAnsi="Cambria"/>
          <w:sz w:val="16"/>
          <w:szCs w:val="16"/>
          <w:lang w:val="en-US"/>
        </w:rPr>
        <w:t xml:space="preserve"> 2022. </w:t>
      </w:r>
      <w:r w:rsidR="009E0E6A" w:rsidRPr="00CC562A">
        <w:rPr>
          <w:rFonts w:ascii="Cambria" w:hAnsi="Cambria"/>
          <w:sz w:val="16"/>
          <w:szCs w:val="16"/>
          <w:lang w:val="en-US"/>
        </w:rPr>
        <w:t>File of the Office of the Special Rapporteur for Freedom of Expression</w:t>
      </w:r>
      <w:r w:rsidRPr="00CC562A">
        <w:rPr>
          <w:rFonts w:ascii="Cambria" w:hAnsi="Cambria"/>
          <w:sz w:val="16"/>
          <w:szCs w:val="16"/>
          <w:lang w:val="en-US"/>
        </w:rPr>
        <w:t>.</w:t>
      </w:r>
    </w:p>
  </w:footnote>
  <w:footnote w:id="348">
    <w:p w14:paraId="1D4A2CF6" w14:textId="4294752A" w:rsidR="00871230" w:rsidRPr="00CC562A" w:rsidRDefault="00871230"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9E0E6A" w:rsidRPr="00CC562A">
        <w:rPr>
          <w:rFonts w:ascii="Cambria" w:hAnsi="Cambria"/>
          <w:sz w:val="16"/>
          <w:szCs w:val="16"/>
          <w:lang w:val="en-US"/>
        </w:rPr>
        <w:t>Office of the Attorney General of the Republic. 2021 Statistical report. Special Prosecutor’s Office for Addressing Crimes Committed against Freedom of Expression</w:t>
      </w:r>
      <w:r w:rsidRPr="00CC562A">
        <w:rPr>
          <w:rFonts w:ascii="Cambria" w:hAnsi="Cambria"/>
          <w:sz w:val="16"/>
          <w:szCs w:val="16"/>
          <w:lang w:val="en-US"/>
        </w:rPr>
        <w:t xml:space="preserve"> (FEADLE). Informa</w:t>
      </w:r>
      <w:r w:rsidR="009E0E6A" w:rsidRPr="00CC562A">
        <w:rPr>
          <w:rFonts w:ascii="Cambria" w:hAnsi="Cambria"/>
          <w:sz w:val="16"/>
          <w:szCs w:val="16"/>
          <w:lang w:val="en-US"/>
        </w:rPr>
        <w:t>tion sent by the Permanent Mission of Mexico to the OAS. October 12,</w:t>
      </w:r>
      <w:r w:rsidRPr="00CC562A">
        <w:rPr>
          <w:rFonts w:ascii="Cambria" w:hAnsi="Cambria"/>
          <w:sz w:val="16"/>
          <w:szCs w:val="16"/>
          <w:lang w:val="en-US"/>
        </w:rPr>
        <w:t xml:space="preserve"> 2022. </w:t>
      </w:r>
      <w:r w:rsidR="009E0E6A" w:rsidRPr="00CC562A">
        <w:rPr>
          <w:rFonts w:ascii="Cambria" w:hAnsi="Cambria"/>
          <w:sz w:val="16"/>
          <w:szCs w:val="16"/>
          <w:lang w:val="en-US"/>
        </w:rPr>
        <w:t xml:space="preserve">File of the Office of the Special Rapporteur for Freedom </w:t>
      </w:r>
      <w:r w:rsidR="009E0E6A" w:rsidRPr="00CC562A">
        <w:rPr>
          <w:rFonts w:ascii="Cambria" w:hAnsi="Cambria"/>
          <w:sz w:val="16"/>
          <w:szCs w:val="16"/>
          <w:lang w:val="en-US"/>
        </w:rPr>
        <w:t>of Expression;</w:t>
      </w:r>
      <w:r w:rsidRPr="00CC562A">
        <w:rPr>
          <w:rFonts w:ascii="Cambria" w:hAnsi="Cambria"/>
          <w:sz w:val="16"/>
          <w:szCs w:val="16"/>
          <w:lang w:val="en-US"/>
        </w:rPr>
        <w:t xml:space="preserve"> El Financiero. </w:t>
      </w:r>
      <w:r w:rsidR="009E0E6A" w:rsidRPr="00CC562A">
        <w:rPr>
          <w:rFonts w:ascii="Cambria" w:hAnsi="Cambria"/>
          <w:sz w:val="16"/>
          <w:szCs w:val="16"/>
          <w:lang w:val="en-US"/>
        </w:rPr>
        <w:t xml:space="preserve">October 22, </w:t>
      </w:r>
      <w:r w:rsidRPr="00CC562A">
        <w:rPr>
          <w:rFonts w:ascii="Cambria" w:hAnsi="Cambria"/>
          <w:sz w:val="16"/>
          <w:szCs w:val="16"/>
          <w:lang w:val="en-US"/>
        </w:rPr>
        <w:t xml:space="preserve">2021. </w:t>
      </w:r>
      <w:hyperlink r:id="rId182">
        <w:r w:rsidRPr="00CC562A">
          <w:rPr>
            <w:rFonts w:ascii="Cambria" w:hAnsi="Cambria"/>
            <w:i/>
            <w:color w:val="1155CC"/>
            <w:sz w:val="16"/>
            <w:szCs w:val="16"/>
            <w:u w:val="single"/>
            <w:lang w:val="en-US"/>
          </w:rPr>
          <w:t>Feadle rechaza indagar 71% de asesinatos de periodist</w:t>
        </w:r>
        <w:r w:rsidR="00902DD3" w:rsidRPr="00CC562A">
          <w:rPr>
            <w:rFonts w:ascii="Cambria" w:hAnsi="Cambria"/>
            <w:i/>
            <w:color w:val="1155CC"/>
            <w:sz w:val="16"/>
            <w:szCs w:val="16"/>
            <w:u w:val="single"/>
            <w:lang w:val="en-US"/>
          </w:rPr>
          <w:t>f</w:t>
        </w:r>
        <w:r w:rsidRPr="00CC562A">
          <w:rPr>
            <w:rFonts w:ascii="Cambria" w:hAnsi="Cambria"/>
            <w:i/>
            <w:color w:val="1155CC"/>
            <w:sz w:val="16"/>
            <w:szCs w:val="16"/>
            <w:u w:val="single"/>
            <w:lang w:val="en-US"/>
          </w:rPr>
          <w:t>as</w:t>
        </w:r>
      </w:hyperlink>
      <w:r w:rsidRPr="00CC562A">
        <w:rPr>
          <w:rFonts w:ascii="Cambria" w:hAnsi="Cambria"/>
          <w:sz w:val="16"/>
          <w:szCs w:val="16"/>
          <w:lang w:val="en-US"/>
        </w:rPr>
        <w:t>.</w:t>
      </w:r>
    </w:p>
  </w:footnote>
  <w:footnote w:id="349">
    <w:p w14:paraId="1786ABFC" w14:textId="49AD8D23"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50">
    <w:p w14:paraId="77323525" w14:textId="39F95D48" w:rsidR="005B5AAA" w:rsidRPr="00CC562A" w:rsidRDefault="005B5AAA"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Pr="00CC562A">
        <w:rPr>
          <w:rFonts w:ascii="Cambria" w:hAnsi="Cambria"/>
          <w:sz w:val="16"/>
          <w:szCs w:val="16"/>
          <w:lang w:val="en-US"/>
        </w:rPr>
        <w:t xml:space="preserve">Animal Político. </w:t>
      </w:r>
      <w:r w:rsidR="009E0E6A" w:rsidRPr="00CC562A">
        <w:rPr>
          <w:rFonts w:ascii="Cambria" w:hAnsi="Cambria"/>
          <w:sz w:val="16"/>
          <w:szCs w:val="16"/>
        </w:rPr>
        <w:t xml:space="preserve">September 10, </w:t>
      </w:r>
      <w:r w:rsidRPr="00CC562A">
        <w:rPr>
          <w:rFonts w:ascii="Cambria" w:hAnsi="Cambria"/>
          <w:sz w:val="16"/>
          <w:szCs w:val="16"/>
        </w:rPr>
        <w:t xml:space="preserve">2021. </w:t>
      </w:r>
      <w:hyperlink r:id="rId183">
        <w:r w:rsidRPr="00CC562A">
          <w:rPr>
            <w:rFonts w:ascii="Cambria" w:hAnsi="Cambria"/>
            <w:color w:val="1155CC"/>
            <w:sz w:val="16"/>
            <w:szCs w:val="16"/>
            <w:u w:val="single"/>
          </w:rPr>
          <w:t>Pese a violencia e impunidad recortan presupuesto para indagar torturas y ataques a periodistas</w:t>
        </w:r>
      </w:hyperlink>
      <w:r w:rsidRPr="00CC562A">
        <w:rPr>
          <w:rFonts w:ascii="Cambria" w:hAnsi="Cambria"/>
          <w:sz w:val="16"/>
          <w:szCs w:val="16"/>
        </w:rPr>
        <w:t xml:space="preserve">; LatAm Journalism Review. </w:t>
      </w:r>
      <w:r w:rsidR="009E0E6A" w:rsidRPr="00CC562A">
        <w:rPr>
          <w:rFonts w:ascii="Cambria" w:hAnsi="Cambria"/>
          <w:sz w:val="16"/>
          <w:szCs w:val="16"/>
        </w:rPr>
        <w:t xml:space="preserve">July 22, </w:t>
      </w:r>
      <w:r w:rsidRPr="00CC562A">
        <w:rPr>
          <w:rFonts w:ascii="Cambria" w:hAnsi="Cambria"/>
          <w:sz w:val="16"/>
          <w:szCs w:val="16"/>
        </w:rPr>
        <w:t xml:space="preserve">2022. </w:t>
      </w:r>
      <w:hyperlink r:id="rId184">
        <w:r w:rsidRPr="00CC562A">
          <w:rPr>
            <w:rFonts w:ascii="Cambria" w:hAnsi="Cambria"/>
            <w:color w:val="1155CC"/>
            <w:sz w:val="16"/>
            <w:szCs w:val="16"/>
            <w:u w:val="single"/>
          </w:rPr>
          <w:t xml:space="preserve">En México, la Fiscalía Especial para la Atención de Delitos cometidos contra la Libertad de Expresión tiene larga </w:t>
        </w:r>
        <w:r w:rsidR="00C80FE5" w:rsidRPr="00CC562A">
          <w:rPr>
            <w:rFonts w:ascii="Cambria" w:hAnsi="Cambria"/>
            <w:color w:val="1155CC"/>
            <w:sz w:val="16"/>
            <w:szCs w:val="16"/>
            <w:u w:val="single"/>
          </w:rPr>
          <w:t>historia,</w:t>
        </w:r>
        <w:r w:rsidRPr="00CC562A">
          <w:rPr>
            <w:rFonts w:ascii="Cambria" w:hAnsi="Cambria"/>
            <w:color w:val="1155CC"/>
            <w:sz w:val="16"/>
            <w:szCs w:val="16"/>
            <w:u w:val="single"/>
          </w:rPr>
          <w:t xml:space="preserve"> pero pocos resultados</w:t>
        </w:r>
      </w:hyperlink>
      <w:r w:rsidRPr="00CC562A">
        <w:rPr>
          <w:rFonts w:ascii="Cambria" w:hAnsi="Cambria"/>
          <w:sz w:val="16"/>
          <w:szCs w:val="16"/>
        </w:rPr>
        <w:t>.</w:t>
      </w:r>
    </w:p>
  </w:footnote>
  <w:footnote w:id="351">
    <w:p w14:paraId="5C2DC1A1" w14:textId="1F63D524" w:rsidR="005B5AAA" w:rsidRPr="00A63873" w:rsidRDefault="005B5AAA" w:rsidP="007A58B5">
      <w:pPr>
        <w:pStyle w:val="NoSpacing"/>
        <w:ind w:firstLine="720"/>
        <w:jc w:val="both"/>
        <w:rPr>
          <w:rFonts w:ascii="Cambria" w:hAnsi="Cambria"/>
          <w:sz w:val="16"/>
          <w:szCs w:val="16"/>
          <w:lang w:val="es-AR"/>
        </w:rPr>
      </w:pPr>
      <w:r w:rsidRPr="00CC562A">
        <w:rPr>
          <w:rFonts w:ascii="Cambria" w:hAnsi="Cambria"/>
          <w:sz w:val="16"/>
          <w:szCs w:val="16"/>
          <w:vertAlign w:val="superscript"/>
          <w:lang w:val="en-US"/>
        </w:rPr>
        <w:footnoteRef/>
      </w:r>
      <w:r w:rsidRPr="00CC562A">
        <w:rPr>
          <w:rFonts w:ascii="Cambria" w:hAnsi="Cambria"/>
          <w:sz w:val="16"/>
          <w:szCs w:val="16"/>
        </w:rPr>
        <w:t xml:space="preserve"> Animal Político. </w:t>
      </w:r>
      <w:r w:rsidR="009E0E6A" w:rsidRPr="00CC562A">
        <w:rPr>
          <w:rFonts w:ascii="Cambria" w:hAnsi="Cambria"/>
          <w:sz w:val="16"/>
          <w:szCs w:val="16"/>
        </w:rPr>
        <w:t xml:space="preserve">September 10, </w:t>
      </w:r>
      <w:r w:rsidRPr="00CC562A">
        <w:rPr>
          <w:rFonts w:ascii="Cambria" w:hAnsi="Cambria"/>
          <w:sz w:val="16"/>
          <w:szCs w:val="16"/>
        </w:rPr>
        <w:t xml:space="preserve">2021. </w:t>
      </w:r>
      <w:hyperlink r:id="rId185">
        <w:r w:rsidRPr="00CC562A">
          <w:rPr>
            <w:rFonts w:ascii="Cambria" w:hAnsi="Cambria"/>
            <w:color w:val="1155CC"/>
            <w:sz w:val="16"/>
            <w:szCs w:val="16"/>
            <w:u w:val="single"/>
          </w:rPr>
          <w:t>Pese a violencia e impunidad recortan presupuesto para indagar torturas y ataques a periodistas</w:t>
        </w:r>
      </w:hyperlink>
      <w:r w:rsidRPr="00CC562A">
        <w:rPr>
          <w:rFonts w:ascii="Cambria" w:hAnsi="Cambria"/>
          <w:sz w:val="16"/>
          <w:szCs w:val="16"/>
        </w:rPr>
        <w:t>; El Financiero. ​​</w:t>
      </w:r>
      <w:r w:rsidR="009E0E6A" w:rsidRPr="00CC562A">
        <w:rPr>
          <w:rFonts w:ascii="Cambria" w:hAnsi="Cambria"/>
          <w:sz w:val="16"/>
          <w:szCs w:val="16"/>
        </w:rPr>
        <w:t xml:space="preserve">January 26, </w:t>
      </w:r>
      <w:r w:rsidRPr="00CC562A">
        <w:rPr>
          <w:rFonts w:ascii="Cambria" w:hAnsi="Cambria"/>
          <w:sz w:val="16"/>
          <w:szCs w:val="16"/>
        </w:rPr>
        <w:t xml:space="preserve">2022. </w:t>
      </w:r>
      <w:hyperlink r:id="rId186">
        <w:r w:rsidRPr="00A63873">
          <w:rPr>
            <w:rFonts w:ascii="Cambria" w:hAnsi="Cambria"/>
            <w:color w:val="1155CC"/>
            <w:sz w:val="16"/>
            <w:szCs w:val="16"/>
            <w:u w:val="single"/>
            <w:lang w:val="es-AR"/>
          </w:rPr>
          <w:t>Caso Lourdes Maldonado: 93% de crímenes contra periodistas quedan impunes</w:t>
        </w:r>
      </w:hyperlink>
      <w:r w:rsidRPr="00A63873">
        <w:rPr>
          <w:rFonts w:ascii="Cambria" w:hAnsi="Cambria"/>
          <w:sz w:val="16"/>
          <w:szCs w:val="16"/>
          <w:lang w:val="es-AR"/>
        </w:rPr>
        <w:t>.</w:t>
      </w:r>
    </w:p>
  </w:footnote>
  <w:footnote w:id="352">
    <w:p w14:paraId="710DFB88" w14:textId="4E427F04"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53">
    <w:p w14:paraId="1CFF443D" w14:textId="38DD4EBB"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009E3E3E" w:rsidRPr="00CC562A">
        <w:rPr>
          <w:lang w:val="en-US"/>
        </w:rPr>
        <w:t xml:space="preserve"> through the Inter-American SIMORE</w:t>
      </w:r>
      <w:r w:rsidR="00736A6B" w:rsidRPr="00CC562A">
        <w:rPr>
          <w:lang w:val="en-US"/>
        </w:rPr>
        <w:t>.</w:t>
      </w:r>
    </w:p>
  </w:footnote>
  <w:footnote w:id="354">
    <w:p w14:paraId="2F32B54C" w14:textId="4C6DCCE0" w:rsidR="00BF0F09" w:rsidRPr="00CC562A" w:rsidRDefault="00BF0F09"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AB799D" w:rsidRPr="00CC562A">
        <w:rPr>
          <w:rFonts w:ascii="Cambria" w:hAnsi="Cambria"/>
          <w:sz w:val="16"/>
          <w:szCs w:val="16"/>
          <w:lang w:val="en-US"/>
        </w:rPr>
        <w:t>Office of the Attorney General of the Republic</w:t>
      </w:r>
      <w:r w:rsidRPr="00CC562A">
        <w:rPr>
          <w:rFonts w:ascii="Cambria" w:hAnsi="Cambria"/>
          <w:sz w:val="16"/>
          <w:szCs w:val="16"/>
          <w:lang w:val="en-US"/>
        </w:rPr>
        <w:t>. 2021</w:t>
      </w:r>
      <w:r w:rsidR="00AB799D" w:rsidRPr="00CC562A">
        <w:rPr>
          <w:rFonts w:ascii="Cambria" w:hAnsi="Cambria"/>
          <w:sz w:val="16"/>
          <w:szCs w:val="16"/>
          <w:lang w:val="en-US"/>
        </w:rPr>
        <w:t xml:space="preserve"> Statistical report</w:t>
      </w:r>
      <w:r w:rsidRPr="00CC562A">
        <w:rPr>
          <w:rFonts w:ascii="Cambria" w:hAnsi="Cambria"/>
          <w:sz w:val="16"/>
          <w:szCs w:val="16"/>
          <w:lang w:val="en-US"/>
        </w:rPr>
        <w:t xml:space="preserve"> </w:t>
      </w:r>
      <w:r w:rsidR="00AB799D" w:rsidRPr="00CC562A">
        <w:rPr>
          <w:rFonts w:ascii="Cambria" w:hAnsi="Cambria"/>
          <w:sz w:val="16"/>
          <w:szCs w:val="16"/>
          <w:lang w:val="en-US"/>
        </w:rPr>
        <w:t>of Special Prosecutor’s Office for Addressing Crimes against Freedom of Expression</w:t>
      </w:r>
      <w:r w:rsidRPr="00CC562A">
        <w:rPr>
          <w:rFonts w:ascii="Cambria" w:hAnsi="Cambria"/>
          <w:sz w:val="16"/>
          <w:szCs w:val="16"/>
          <w:lang w:val="en-US"/>
        </w:rPr>
        <w:t xml:space="preserve"> (</w:t>
      </w:r>
      <w:r w:rsidR="00AB799D" w:rsidRPr="00CC562A">
        <w:rPr>
          <w:rFonts w:ascii="Cambria" w:hAnsi="Cambria"/>
          <w:sz w:val="16"/>
          <w:szCs w:val="16"/>
          <w:lang w:val="en-US"/>
        </w:rPr>
        <w:t>FEADLE</w:t>
      </w:r>
      <w:r w:rsidRPr="00CC562A">
        <w:rPr>
          <w:rFonts w:ascii="Cambria" w:hAnsi="Cambria"/>
          <w:sz w:val="16"/>
          <w:szCs w:val="16"/>
          <w:lang w:val="en-US"/>
        </w:rPr>
        <w:t>). Informa</w:t>
      </w:r>
      <w:r w:rsidR="00AB799D" w:rsidRPr="00CC562A">
        <w:rPr>
          <w:rFonts w:ascii="Cambria" w:hAnsi="Cambria"/>
          <w:sz w:val="16"/>
          <w:szCs w:val="16"/>
          <w:lang w:val="en-US"/>
        </w:rPr>
        <w:t>tion sent by Mexico’s Permanent Mission to the OAS. October 12,</w:t>
      </w:r>
      <w:r w:rsidRPr="00CC562A">
        <w:rPr>
          <w:rFonts w:ascii="Cambria" w:hAnsi="Cambria"/>
          <w:sz w:val="16"/>
          <w:szCs w:val="16"/>
          <w:lang w:val="en-US"/>
        </w:rPr>
        <w:t xml:space="preserve"> 2022. </w:t>
      </w:r>
      <w:r w:rsidR="00AB799D" w:rsidRPr="00CC562A">
        <w:rPr>
          <w:rFonts w:ascii="Cambria" w:hAnsi="Cambria"/>
          <w:sz w:val="16"/>
          <w:szCs w:val="16"/>
          <w:lang w:val="en-US"/>
        </w:rPr>
        <w:t>File of the Office of the Special Rapporteur for Freedom of Expression</w:t>
      </w:r>
      <w:r w:rsidRPr="00CC562A">
        <w:rPr>
          <w:rFonts w:ascii="Cambria" w:hAnsi="Cambria"/>
          <w:sz w:val="16"/>
          <w:szCs w:val="16"/>
          <w:lang w:val="en-US"/>
        </w:rPr>
        <w:t>.</w:t>
      </w:r>
    </w:p>
  </w:footnote>
  <w:footnote w:id="355">
    <w:p w14:paraId="476203C5" w14:textId="787B2311" w:rsidR="00BF0F09" w:rsidRPr="00CC562A" w:rsidRDefault="00BF0F09"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AB799D" w:rsidRPr="00CC562A">
        <w:rPr>
          <w:rFonts w:ascii="Cambria" w:hAnsi="Cambria"/>
          <w:sz w:val="16"/>
          <w:szCs w:val="16"/>
          <w:lang w:val="en-US"/>
        </w:rPr>
        <w:t xml:space="preserve">Office of the Attorney General of the Republic. 2021 Statistical report of Special Prosecutor’s Office for Addressing Crimes against Freedom of Expression (FEADLE). Information sent by Mexico’s Permanent Mission to the OAS. October 12, 2022. File of the Office of the Special Rapporteur for Freedom </w:t>
      </w:r>
      <w:r w:rsidR="00AB799D" w:rsidRPr="00CC562A">
        <w:rPr>
          <w:rFonts w:ascii="Cambria" w:hAnsi="Cambria"/>
          <w:sz w:val="16"/>
          <w:szCs w:val="16"/>
          <w:lang w:val="en-US"/>
        </w:rPr>
        <w:t>of Expression</w:t>
      </w:r>
      <w:r w:rsidRPr="00CC562A">
        <w:rPr>
          <w:rFonts w:ascii="Cambria" w:hAnsi="Cambria"/>
          <w:sz w:val="16"/>
          <w:szCs w:val="16"/>
          <w:lang w:val="en-US"/>
        </w:rPr>
        <w:t xml:space="preserve">; El Financiero. </w:t>
      </w:r>
      <w:r w:rsidR="00AB799D" w:rsidRPr="00CC562A">
        <w:rPr>
          <w:rFonts w:ascii="Cambria" w:hAnsi="Cambria"/>
          <w:sz w:val="16"/>
          <w:szCs w:val="16"/>
        </w:rPr>
        <w:t xml:space="preserve">October 22, </w:t>
      </w:r>
      <w:r w:rsidRPr="00CC562A">
        <w:rPr>
          <w:rFonts w:ascii="Cambria" w:hAnsi="Cambria"/>
          <w:sz w:val="16"/>
          <w:szCs w:val="16"/>
        </w:rPr>
        <w:t xml:space="preserve">2021. </w:t>
      </w:r>
      <w:hyperlink r:id="rId187">
        <w:r w:rsidRPr="00CC562A">
          <w:rPr>
            <w:rFonts w:ascii="Cambria" w:hAnsi="Cambria"/>
            <w:color w:val="1155CC"/>
            <w:sz w:val="16"/>
            <w:szCs w:val="16"/>
            <w:u w:val="single"/>
          </w:rPr>
          <w:t>Feadle rechaza indagar 71% de asesinatos de periodistas</w:t>
        </w:r>
      </w:hyperlink>
      <w:r w:rsidRPr="00CC562A">
        <w:rPr>
          <w:rFonts w:ascii="Cambria" w:hAnsi="Cambria"/>
          <w:sz w:val="16"/>
          <w:szCs w:val="16"/>
        </w:rPr>
        <w:t>.</w:t>
      </w:r>
    </w:p>
  </w:footnote>
  <w:footnote w:id="356">
    <w:p w14:paraId="163775C5" w14:textId="6016746C" w:rsidR="00BF0F09" w:rsidRPr="00CC562A" w:rsidRDefault="00BF0F09"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LatAm Journalism Review. </w:t>
      </w:r>
      <w:r w:rsidR="00AB799D" w:rsidRPr="00CC562A">
        <w:rPr>
          <w:rFonts w:ascii="Cambria" w:hAnsi="Cambria"/>
          <w:sz w:val="16"/>
          <w:szCs w:val="16"/>
        </w:rPr>
        <w:t xml:space="preserve">July 22, </w:t>
      </w:r>
      <w:r w:rsidRPr="00CC562A">
        <w:rPr>
          <w:rFonts w:ascii="Cambria" w:hAnsi="Cambria"/>
          <w:sz w:val="16"/>
          <w:szCs w:val="16"/>
        </w:rPr>
        <w:t xml:space="preserve">2022. </w:t>
      </w:r>
      <w:hyperlink r:id="rId188">
        <w:r w:rsidRPr="00CC562A">
          <w:rPr>
            <w:rFonts w:ascii="Cambria" w:hAnsi="Cambria"/>
            <w:color w:val="1155CC"/>
            <w:sz w:val="16"/>
            <w:szCs w:val="16"/>
            <w:u w:val="single"/>
          </w:rPr>
          <w:t xml:space="preserve">En México, la Fiscalía Especial para la Atención de Delitos cometidos contra la Libertad de Expresión tiene larga </w:t>
        </w:r>
        <w:r w:rsidR="00C80FE5" w:rsidRPr="00CC562A">
          <w:rPr>
            <w:rFonts w:ascii="Cambria" w:hAnsi="Cambria"/>
            <w:color w:val="1155CC"/>
            <w:sz w:val="16"/>
            <w:szCs w:val="16"/>
            <w:u w:val="single"/>
          </w:rPr>
          <w:t>historia,</w:t>
        </w:r>
        <w:r w:rsidRPr="00CC562A">
          <w:rPr>
            <w:rFonts w:ascii="Cambria" w:hAnsi="Cambria"/>
            <w:color w:val="1155CC"/>
            <w:sz w:val="16"/>
            <w:szCs w:val="16"/>
            <w:u w:val="single"/>
          </w:rPr>
          <w:t xml:space="preserve"> pero pocos resultados</w:t>
        </w:r>
      </w:hyperlink>
      <w:r w:rsidRPr="00CC562A">
        <w:rPr>
          <w:rFonts w:ascii="Cambria" w:hAnsi="Cambria"/>
          <w:sz w:val="16"/>
          <w:szCs w:val="16"/>
        </w:rPr>
        <w:t xml:space="preserve">; CPJ. </w:t>
      </w:r>
      <w:r w:rsidR="00AB799D" w:rsidRPr="00CC562A">
        <w:rPr>
          <w:rFonts w:ascii="Cambria" w:hAnsi="Cambria"/>
          <w:sz w:val="16"/>
          <w:szCs w:val="16"/>
        </w:rPr>
        <w:t xml:space="preserve">November 1, </w:t>
      </w:r>
      <w:r w:rsidRPr="00CC562A">
        <w:rPr>
          <w:rFonts w:ascii="Cambria" w:hAnsi="Cambria"/>
          <w:sz w:val="16"/>
          <w:szCs w:val="16"/>
        </w:rPr>
        <w:t xml:space="preserve">2022. </w:t>
      </w:r>
      <w:hyperlink r:id="rId189">
        <w:r w:rsidRPr="00CC562A">
          <w:rPr>
            <w:rFonts w:ascii="Cambria" w:hAnsi="Cambria"/>
            <w:color w:val="1155CC"/>
            <w:sz w:val="16"/>
            <w:szCs w:val="16"/>
            <w:u w:val="single"/>
          </w:rPr>
          <w:t>La impunidad por el asesinato de periodistas: La gran mayoría de los asesinos de periodistas andan libres</w:t>
        </w:r>
      </w:hyperlink>
      <w:r w:rsidRPr="00CC562A">
        <w:rPr>
          <w:rFonts w:ascii="Cambria" w:hAnsi="Cambria"/>
          <w:sz w:val="16"/>
          <w:szCs w:val="16"/>
        </w:rPr>
        <w:t>.</w:t>
      </w:r>
    </w:p>
  </w:footnote>
  <w:footnote w:id="357">
    <w:p w14:paraId="68ADD696" w14:textId="6EE3EE5E" w:rsidR="00BF0F09" w:rsidRPr="00CC562A" w:rsidRDefault="00BF0F09"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LatAm Journalism Review. </w:t>
      </w:r>
      <w:r w:rsidR="00AB799D" w:rsidRPr="00CC562A">
        <w:rPr>
          <w:rFonts w:ascii="Cambria" w:hAnsi="Cambria"/>
          <w:sz w:val="16"/>
          <w:szCs w:val="16"/>
        </w:rPr>
        <w:t xml:space="preserve">July 22, </w:t>
      </w:r>
      <w:r w:rsidRPr="00CC562A">
        <w:rPr>
          <w:rFonts w:ascii="Cambria" w:hAnsi="Cambria"/>
          <w:sz w:val="16"/>
          <w:szCs w:val="16"/>
        </w:rPr>
        <w:t xml:space="preserve">2022. </w:t>
      </w:r>
      <w:hyperlink r:id="rId190">
        <w:r w:rsidRPr="00CC562A">
          <w:rPr>
            <w:rFonts w:ascii="Cambria" w:hAnsi="Cambria"/>
            <w:color w:val="1155CC"/>
            <w:sz w:val="16"/>
            <w:szCs w:val="16"/>
            <w:u w:val="single"/>
          </w:rPr>
          <w:t xml:space="preserve">En México, la Fiscalía Especial para la Atención de Delitos cometidos contra la Libertad de Expresión tiene larga </w:t>
        </w:r>
        <w:r w:rsidR="00C80FE5" w:rsidRPr="00CC562A">
          <w:rPr>
            <w:rFonts w:ascii="Cambria" w:hAnsi="Cambria"/>
            <w:color w:val="1155CC"/>
            <w:sz w:val="16"/>
            <w:szCs w:val="16"/>
            <w:u w:val="single"/>
          </w:rPr>
          <w:t>historia,</w:t>
        </w:r>
        <w:r w:rsidRPr="00CC562A">
          <w:rPr>
            <w:rFonts w:ascii="Cambria" w:hAnsi="Cambria"/>
            <w:color w:val="1155CC"/>
            <w:sz w:val="16"/>
            <w:szCs w:val="16"/>
            <w:u w:val="single"/>
          </w:rPr>
          <w:t xml:space="preserve"> pero pocos resultados</w:t>
        </w:r>
      </w:hyperlink>
      <w:r w:rsidRPr="00CC562A">
        <w:rPr>
          <w:rFonts w:ascii="Cambria" w:hAnsi="Cambria"/>
          <w:sz w:val="16"/>
          <w:szCs w:val="16"/>
        </w:rPr>
        <w:t xml:space="preserve">; CPJ. </w:t>
      </w:r>
      <w:r w:rsidR="00AB799D" w:rsidRPr="00CC562A">
        <w:rPr>
          <w:rFonts w:ascii="Cambria" w:hAnsi="Cambria"/>
          <w:sz w:val="16"/>
          <w:szCs w:val="16"/>
        </w:rPr>
        <w:t xml:space="preserve">November 1, </w:t>
      </w:r>
      <w:r w:rsidRPr="00CC562A">
        <w:rPr>
          <w:rFonts w:ascii="Cambria" w:hAnsi="Cambria"/>
          <w:sz w:val="16"/>
          <w:szCs w:val="16"/>
        </w:rPr>
        <w:t xml:space="preserve">2022. </w:t>
      </w:r>
      <w:hyperlink r:id="rId191">
        <w:r w:rsidRPr="00CC562A">
          <w:rPr>
            <w:rFonts w:ascii="Cambria" w:hAnsi="Cambria"/>
            <w:color w:val="1155CC"/>
            <w:sz w:val="16"/>
            <w:szCs w:val="16"/>
            <w:u w:val="single"/>
          </w:rPr>
          <w:t>La impunidad por el asesinato de periodistas: La gran mayoría de los asesinos de periodistas andan libres</w:t>
        </w:r>
      </w:hyperlink>
      <w:r w:rsidRPr="00CC562A">
        <w:rPr>
          <w:rFonts w:ascii="Cambria" w:hAnsi="Cambria"/>
          <w:sz w:val="16"/>
          <w:szCs w:val="16"/>
        </w:rPr>
        <w:t>.</w:t>
      </w:r>
    </w:p>
  </w:footnote>
  <w:footnote w:id="358">
    <w:p w14:paraId="700E3864" w14:textId="7DE3ADF8" w:rsidR="00BF0F09" w:rsidRPr="00CC562A" w:rsidRDefault="00BF0F09"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Swissinfo. </w:t>
      </w:r>
      <w:r w:rsidR="00AB799D" w:rsidRPr="00CC562A">
        <w:rPr>
          <w:rFonts w:ascii="Cambria" w:hAnsi="Cambria"/>
          <w:sz w:val="16"/>
          <w:szCs w:val="16"/>
        </w:rPr>
        <w:t xml:space="preserve">November 2, </w:t>
      </w:r>
      <w:r w:rsidRPr="00CC562A">
        <w:rPr>
          <w:rFonts w:ascii="Cambria" w:hAnsi="Cambria"/>
          <w:sz w:val="16"/>
          <w:szCs w:val="16"/>
        </w:rPr>
        <w:t xml:space="preserve">2021. </w:t>
      </w:r>
      <w:hyperlink r:id="rId192">
        <w:r w:rsidRPr="00CC562A">
          <w:rPr>
            <w:rFonts w:ascii="Cambria" w:hAnsi="Cambria"/>
            <w:color w:val="1155CC"/>
            <w:sz w:val="16"/>
            <w:szCs w:val="16"/>
            <w:u w:val="single"/>
          </w:rPr>
          <w:t>La impunidad da alas a los crímenes contra los periodistas en México</w:t>
        </w:r>
      </w:hyperlink>
      <w:r w:rsidRPr="00CC562A">
        <w:rPr>
          <w:rFonts w:ascii="Cambria" w:hAnsi="Cambria"/>
          <w:sz w:val="16"/>
          <w:szCs w:val="16"/>
        </w:rPr>
        <w:t xml:space="preserve">; Latinus. 2 de noviembre de 2021. </w:t>
      </w:r>
      <w:hyperlink r:id="rId193">
        <w:r w:rsidRPr="00CC562A">
          <w:rPr>
            <w:rFonts w:ascii="Cambria" w:hAnsi="Cambria"/>
            <w:color w:val="1155CC"/>
            <w:sz w:val="16"/>
            <w:szCs w:val="16"/>
            <w:u w:val="single"/>
          </w:rPr>
          <w:t xml:space="preserve">En México quedan impunes 98% de las agresiones contra periodistas: </w:t>
        </w:r>
        <w:r w:rsidR="00BA2BF5" w:rsidRPr="00CC562A">
          <w:rPr>
            <w:rFonts w:ascii="Cambria" w:hAnsi="Cambria"/>
            <w:color w:val="1155CC"/>
            <w:sz w:val="16"/>
            <w:szCs w:val="16"/>
            <w:u w:val="single"/>
          </w:rPr>
          <w:t>Article</w:t>
        </w:r>
        <w:r w:rsidRPr="00CC562A">
          <w:rPr>
            <w:rFonts w:ascii="Cambria" w:hAnsi="Cambria"/>
            <w:color w:val="1155CC"/>
            <w:sz w:val="16"/>
            <w:szCs w:val="16"/>
            <w:u w:val="single"/>
          </w:rPr>
          <w:t xml:space="preserve"> 19</w:t>
        </w:r>
      </w:hyperlink>
      <w:r w:rsidRPr="00CC562A">
        <w:rPr>
          <w:rFonts w:ascii="Cambria" w:hAnsi="Cambria"/>
          <w:sz w:val="16"/>
          <w:szCs w:val="16"/>
        </w:rPr>
        <w:t>.</w:t>
      </w:r>
    </w:p>
  </w:footnote>
  <w:footnote w:id="359">
    <w:p w14:paraId="6C9656DA" w14:textId="7F83E7DD" w:rsidR="00BF0F09" w:rsidRPr="00CC562A" w:rsidRDefault="00BF0F09" w:rsidP="007A58B5">
      <w:pPr>
        <w:pStyle w:val="NoSpacing"/>
        <w:ind w:firstLine="720"/>
        <w:jc w:val="both"/>
        <w:rPr>
          <w:rFonts w:ascii="Cambria" w:hAnsi="Cambria"/>
          <w:sz w:val="16"/>
          <w:szCs w:val="16"/>
        </w:rPr>
      </w:pPr>
      <w:r w:rsidRPr="00CC562A">
        <w:rPr>
          <w:rFonts w:ascii="Cambria" w:hAnsi="Cambria"/>
          <w:sz w:val="16"/>
          <w:szCs w:val="16"/>
          <w:vertAlign w:val="superscript"/>
          <w:lang w:val="en-US"/>
        </w:rPr>
        <w:footnoteRef/>
      </w:r>
      <w:r w:rsidRPr="00CC562A">
        <w:rPr>
          <w:rFonts w:ascii="Cambria" w:hAnsi="Cambria"/>
          <w:sz w:val="16"/>
          <w:szCs w:val="16"/>
        </w:rPr>
        <w:t xml:space="preserve"> CPJ. </w:t>
      </w:r>
      <w:r w:rsidR="00AB799D" w:rsidRPr="00CC562A">
        <w:rPr>
          <w:rFonts w:ascii="Cambria" w:hAnsi="Cambria"/>
          <w:sz w:val="16"/>
          <w:szCs w:val="16"/>
        </w:rPr>
        <w:t xml:space="preserve">November 1, </w:t>
      </w:r>
      <w:r w:rsidRPr="00CC562A">
        <w:rPr>
          <w:rFonts w:ascii="Cambria" w:hAnsi="Cambria"/>
          <w:sz w:val="16"/>
          <w:szCs w:val="16"/>
        </w:rPr>
        <w:t xml:space="preserve">2022. </w:t>
      </w:r>
      <w:hyperlink r:id="rId194">
        <w:r w:rsidRPr="00CC562A">
          <w:rPr>
            <w:rFonts w:ascii="Cambria" w:hAnsi="Cambria"/>
            <w:color w:val="1155CC"/>
            <w:sz w:val="16"/>
            <w:szCs w:val="16"/>
            <w:u w:val="single"/>
          </w:rPr>
          <w:t>La impunidad por el asesinato de periodistas: La gran mayoría de los asesinos de periodistas andan libres</w:t>
        </w:r>
      </w:hyperlink>
      <w:r w:rsidRPr="00CC562A">
        <w:rPr>
          <w:rFonts w:ascii="Cambria" w:hAnsi="Cambria"/>
          <w:sz w:val="16"/>
          <w:szCs w:val="16"/>
        </w:rPr>
        <w:t>.</w:t>
      </w:r>
    </w:p>
  </w:footnote>
  <w:footnote w:id="360">
    <w:p w14:paraId="0C1DA93E" w14:textId="418A603A" w:rsidR="00070D01" w:rsidRPr="00CC562A" w:rsidRDefault="00070D01" w:rsidP="007A58B5">
      <w:pPr>
        <w:pStyle w:val="FootnoteText"/>
        <w:spacing w:line="240" w:lineRule="auto"/>
        <w:ind w:firstLine="720"/>
        <w:jc w:val="both"/>
        <w:rPr>
          <w:lang w:val="es-AR"/>
        </w:rPr>
      </w:pPr>
      <w:r w:rsidRPr="00CC562A">
        <w:rPr>
          <w:rStyle w:val="FootnoteReference"/>
          <w:lang w:val="en-US"/>
        </w:rPr>
        <w:footnoteRef/>
      </w:r>
      <w:r w:rsidR="4D1A0B04" w:rsidRPr="00CC562A">
        <w:rPr>
          <w:lang w:val="en-US"/>
        </w:rPr>
        <w:t xml:space="preserve"> </w:t>
      </w:r>
      <w:r w:rsidR="00ED5DC3" w:rsidRPr="00CC562A">
        <w:rPr>
          <w:lang w:val="en-US"/>
        </w:rPr>
        <w:t xml:space="preserve">Progress report of the Mexican State on compliance with and follow-up to the recommendations of the IACHR. </w:t>
      </w:r>
      <w:r w:rsidR="00ED5DC3" w:rsidRPr="00CC562A">
        <w:rPr>
          <w:lang w:val="es-AR"/>
        </w:rPr>
        <w:t>Chapter V, October 2022</w:t>
      </w:r>
      <w:r w:rsidR="4D1A0B04" w:rsidRPr="00CC562A">
        <w:rPr>
          <w:lang w:val="es-AR"/>
        </w:rPr>
        <w:t xml:space="preserve"> </w:t>
      </w:r>
      <w:r w:rsidR="00736A6B" w:rsidRPr="00CC562A">
        <w:rPr>
          <w:lang w:val="es-AR"/>
        </w:rPr>
        <w:t>through the Inter-American SIMORE.</w:t>
      </w:r>
    </w:p>
  </w:footnote>
  <w:footnote w:id="361">
    <w:p w14:paraId="330AD214" w14:textId="77777777" w:rsidR="00BE2C6E" w:rsidRPr="00A63873" w:rsidRDefault="00BE2C6E" w:rsidP="003835DF">
      <w:pPr>
        <w:pStyle w:val="FootnoteText"/>
        <w:spacing w:line="240" w:lineRule="auto"/>
        <w:ind w:firstLine="720"/>
        <w:jc w:val="both"/>
        <w:rPr>
          <w:lang w:val="en-US"/>
        </w:rPr>
      </w:pPr>
      <w:r w:rsidRPr="00CC562A">
        <w:rPr>
          <w:rStyle w:val="FootnoteReference"/>
        </w:rPr>
        <w:footnoteRef/>
      </w:r>
      <w:r w:rsidRPr="00CC562A">
        <w:t xml:space="preserve"> Informe de avance del Estado mexicano sobre el cumplimiento y seguimiento de las recomendaciones de la CIDH. </w:t>
      </w:r>
      <w:r w:rsidRPr="00A63873">
        <w:rPr>
          <w:lang w:val="en-US"/>
        </w:rPr>
        <w:t>Capítulo V, de octubre de 2022 a través del SIMORE Interamericano.</w:t>
      </w:r>
    </w:p>
  </w:footnote>
  <w:footnote w:id="362">
    <w:p w14:paraId="412A1C49" w14:textId="3DB61958" w:rsidR="00BE2C6E" w:rsidRPr="00CC562A" w:rsidRDefault="00BE2C6E" w:rsidP="003835DF">
      <w:pPr>
        <w:pStyle w:val="FootnoteText"/>
        <w:ind w:firstLine="720"/>
        <w:jc w:val="both"/>
        <w:rPr>
          <w:lang w:val="en-US"/>
        </w:rPr>
      </w:pPr>
      <w:r w:rsidRPr="00CC562A">
        <w:rPr>
          <w:rStyle w:val="FootnoteReference"/>
          <w:lang w:val="en-US"/>
        </w:rPr>
        <w:footnoteRef/>
      </w:r>
      <w:r w:rsidRPr="00CC562A">
        <w:rPr>
          <w:lang w:val="en-US"/>
        </w:rPr>
        <w:t xml:space="preserve"> </w:t>
      </w:r>
      <w:r w:rsidR="00556F93" w:rsidRPr="00CC562A">
        <w:rPr>
          <w:lang w:val="en-US"/>
        </w:rPr>
        <w:t>State of Mexico, OAS Note</w:t>
      </w:r>
      <w:r w:rsidRPr="00CC562A">
        <w:rPr>
          <w:lang w:val="en-US"/>
        </w:rPr>
        <w:t xml:space="preserve"> 517 </w:t>
      </w:r>
      <w:r w:rsidR="00556F93" w:rsidRPr="00CC562A">
        <w:rPr>
          <w:lang w:val="en-US"/>
        </w:rPr>
        <w:t>of February 17,</w:t>
      </w:r>
      <w:r w:rsidRPr="00CC562A">
        <w:rPr>
          <w:lang w:val="en-US"/>
        </w:rPr>
        <w:t xml:space="preserve"> 2023. Observa</w:t>
      </w:r>
      <w:r w:rsidR="00556F93" w:rsidRPr="00CC562A">
        <w:rPr>
          <w:lang w:val="en-US"/>
        </w:rPr>
        <w:t>tions on the preliminary version of the report</w:t>
      </w:r>
      <w:r w:rsidRPr="00CC562A">
        <w:rPr>
          <w:lang w:val="en-US"/>
        </w:rPr>
        <w:t>.</w:t>
      </w:r>
    </w:p>
  </w:footnote>
  <w:footnote w:id="363">
    <w:p w14:paraId="078C0041" w14:textId="7F7A5D8F" w:rsidR="00BE2C6E" w:rsidRPr="00CC562A" w:rsidRDefault="00BE2C6E" w:rsidP="003835DF">
      <w:pPr>
        <w:pStyle w:val="FootnoteText"/>
        <w:ind w:firstLine="720"/>
        <w:jc w:val="both"/>
        <w:rPr>
          <w:lang w:val="en-US"/>
        </w:rPr>
      </w:pPr>
      <w:r w:rsidRPr="00CC562A">
        <w:rPr>
          <w:rStyle w:val="FootnoteReference"/>
        </w:rPr>
        <w:footnoteRef/>
      </w:r>
      <w:r w:rsidRPr="00CC562A">
        <w:rPr>
          <w:lang w:val="en-US"/>
        </w:rPr>
        <w:t xml:space="preserve"> </w:t>
      </w:r>
      <w:r w:rsidR="00556F93" w:rsidRPr="00CC562A">
        <w:rPr>
          <w:lang w:val="en-US"/>
        </w:rPr>
        <w:t>State of Mexico, OAS Note</w:t>
      </w:r>
      <w:r w:rsidRPr="00CC562A">
        <w:rPr>
          <w:lang w:val="en-US"/>
        </w:rPr>
        <w:t xml:space="preserve"> 517 </w:t>
      </w:r>
      <w:r w:rsidR="00556F93" w:rsidRPr="00CC562A">
        <w:rPr>
          <w:lang w:val="en-US"/>
        </w:rPr>
        <w:t xml:space="preserve">of February 17, </w:t>
      </w:r>
      <w:r w:rsidRPr="00CC562A">
        <w:rPr>
          <w:lang w:val="en-US"/>
        </w:rPr>
        <w:t>2023. Observa</w:t>
      </w:r>
      <w:r w:rsidR="00556F93" w:rsidRPr="00CC562A">
        <w:rPr>
          <w:lang w:val="en-US"/>
        </w:rPr>
        <w:t>tions on the preliminary version of the report</w:t>
      </w:r>
      <w:r w:rsidRPr="00CC562A">
        <w:rPr>
          <w:lang w:val="en-US"/>
        </w:rPr>
        <w:t>.</w:t>
      </w:r>
    </w:p>
  </w:footnote>
  <w:footnote w:id="364">
    <w:p w14:paraId="78B3C0D7" w14:textId="77777777" w:rsidR="00BE2C6E" w:rsidRPr="00CC562A" w:rsidRDefault="00BE2C6E" w:rsidP="0014350F">
      <w:pPr>
        <w:pStyle w:val="FootnoteText"/>
        <w:spacing w:line="240" w:lineRule="auto"/>
        <w:ind w:firstLine="720"/>
        <w:jc w:val="both"/>
        <w:rPr>
          <w:lang w:val="es-CO"/>
        </w:rPr>
      </w:pPr>
      <w:r w:rsidRPr="00CC562A">
        <w:rPr>
          <w:rStyle w:val="FootnoteReference"/>
        </w:rPr>
        <w:footnoteRef/>
      </w:r>
      <w:r w:rsidRPr="00A63873">
        <w:rPr>
          <w:lang w:val="pt-BR"/>
        </w:rPr>
        <w:t xml:space="preserve"> CIDH, </w:t>
      </w:r>
      <w:hyperlink r:id="rId195" w:history="1">
        <w:r w:rsidRPr="006956EC">
          <w:rPr>
            <w:rFonts w:eastAsia="Calibri"/>
            <w:color w:val="1155CC"/>
            <w:u w:val="single"/>
            <w:lang w:val="pt-BR"/>
          </w:rPr>
          <w:t>Informe Anual. Capítulo V</w:t>
        </w:r>
      </w:hyperlink>
      <w:r w:rsidRPr="00A63873">
        <w:rPr>
          <w:rFonts w:cs="Times New Roman"/>
          <w:lang w:val="pt-BR"/>
        </w:rPr>
        <w:t>, México, 2021</w:t>
      </w:r>
      <w:r w:rsidRPr="00A63873">
        <w:rPr>
          <w:lang w:val="pt-BR"/>
        </w:rPr>
        <w:t xml:space="preserve">, párr. </w:t>
      </w:r>
      <w:r w:rsidRPr="00CC562A">
        <w:rPr>
          <w:lang w:val="es-CO"/>
        </w:rPr>
        <w:t xml:space="preserve">335. Citó: </w:t>
      </w:r>
      <w:r w:rsidRPr="00CC562A">
        <w:t>4 Infobae, Por qué el decreto de AMLO pone en riesgo el acceso a la información pública: “Lo más delicado es incluir la expresión ‘seguridad nacional”, 23 de noviembre de 2021; Expansión, AMLO declara de seguridad nacional los proyectos de infraestructura de la 4T, 23 de noviembre de 2021; Proceso, ONU-DH analiza implicaciones de acuerdo de AMLO sobre seguridad nacional, 29 de noviembre de 2021.</w:t>
      </w:r>
    </w:p>
  </w:footnote>
  <w:footnote w:id="365">
    <w:p w14:paraId="22F9EECB" w14:textId="2EA1507F" w:rsidR="00BE2C6E" w:rsidRPr="00CC562A" w:rsidRDefault="00BE2C6E" w:rsidP="0014350F">
      <w:pPr>
        <w:pStyle w:val="FootnoteText"/>
        <w:ind w:firstLine="720"/>
        <w:rPr>
          <w:lang w:val="en-US"/>
        </w:rPr>
      </w:pPr>
      <w:r w:rsidRPr="00CC562A">
        <w:rPr>
          <w:rStyle w:val="FootnoteReference"/>
        </w:rPr>
        <w:footnoteRef/>
      </w:r>
      <w:r w:rsidRPr="00CC562A">
        <w:rPr>
          <w:lang w:val="en-US"/>
        </w:rPr>
        <w:t xml:space="preserve"> </w:t>
      </w:r>
      <w:r w:rsidR="00C603AF" w:rsidRPr="00CC562A">
        <w:rPr>
          <w:lang w:val="en-US"/>
        </w:rPr>
        <w:t>State of Mexico</w:t>
      </w:r>
      <w:r w:rsidRPr="00CC562A">
        <w:rPr>
          <w:lang w:val="en-US"/>
        </w:rPr>
        <w:t xml:space="preserve">, </w:t>
      </w:r>
      <w:r w:rsidR="00C603AF" w:rsidRPr="00CC562A">
        <w:rPr>
          <w:lang w:val="en-US"/>
        </w:rPr>
        <w:t>OAS Note</w:t>
      </w:r>
      <w:r w:rsidRPr="00CC562A">
        <w:rPr>
          <w:lang w:val="en-US"/>
        </w:rPr>
        <w:t xml:space="preserve"> 517 </w:t>
      </w:r>
      <w:r w:rsidR="00C603AF" w:rsidRPr="00CC562A">
        <w:rPr>
          <w:lang w:val="en-US"/>
        </w:rPr>
        <w:t>of February 17,</w:t>
      </w:r>
      <w:r w:rsidRPr="00CC562A">
        <w:rPr>
          <w:lang w:val="en-US"/>
        </w:rPr>
        <w:t xml:space="preserve"> 2023. Observa</w:t>
      </w:r>
      <w:r w:rsidR="00C603AF" w:rsidRPr="00CC562A">
        <w:rPr>
          <w:lang w:val="en-US"/>
        </w:rPr>
        <w:t xml:space="preserve">tions on the </w:t>
      </w:r>
      <w:r w:rsidR="004A5AF9" w:rsidRPr="00CC562A">
        <w:rPr>
          <w:lang w:val="en-US"/>
        </w:rPr>
        <w:t>preliminary</w:t>
      </w:r>
      <w:r w:rsidR="00C603AF" w:rsidRPr="00CC562A">
        <w:rPr>
          <w:lang w:val="en-US"/>
        </w:rPr>
        <w:t xml:space="preserve"> </w:t>
      </w:r>
      <w:r w:rsidR="004A5AF9" w:rsidRPr="00CC562A">
        <w:rPr>
          <w:lang w:val="en-US"/>
        </w:rPr>
        <w:t>version</w:t>
      </w:r>
      <w:r w:rsidR="00C603AF" w:rsidRPr="00CC562A">
        <w:rPr>
          <w:lang w:val="en-US"/>
        </w:rPr>
        <w:t xml:space="preserve"> of the report.</w:t>
      </w:r>
    </w:p>
  </w:footnote>
  <w:footnote w:id="366">
    <w:p w14:paraId="3DA54A06" w14:textId="77777777" w:rsidR="00BE2C6E" w:rsidRPr="00CC562A" w:rsidRDefault="00BE2C6E" w:rsidP="0014350F">
      <w:pPr>
        <w:pStyle w:val="NoSpacing"/>
        <w:ind w:firstLine="720"/>
        <w:jc w:val="both"/>
        <w:rPr>
          <w:rFonts w:ascii="Cambria" w:hAnsi="Cambria"/>
          <w:sz w:val="16"/>
          <w:szCs w:val="16"/>
          <w:lang w:val="es-US"/>
        </w:rPr>
      </w:pPr>
      <w:r w:rsidRPr="00CC562A">
        <w:rPr>
          <w:rFonts w:ascii="Cambria" w:hAnsi="Cambria"/>
          <w:sz w:val="16"/>
          <w:szCs w:val="16"/>
          <w:vertAlign w:val="superscript"/>
        </w:rPr>
        <w:footnoteRef/>
      </w:r>
      <w:r w:rsidRPr="00CC562A">
        <w:rPr>
          <w:rFonts w:ascii="Cambria" w:hAnsi="Cambria"/>
          <w:sz w:val="16"/>
          <w:szCs w:val="16"/>
          <w:lang w:val="es-US"/>
        </w:rPr>
        <w:t xml:space="preserve"> Artículo 19. 4 de abril de 2022. </w:t>
      </w:r>
      <w:hyperlink r:id="rId196">
        <w:r w:rsidRPr="00CC562A">
          <w:rPr>
            <w:rFonts w:ascii="Cambria" w:hAnsi="Cambria"/>
            <w:color w:val="1155CC"/>
            <w:sz w:val="16"/>
            <w:szCs w:val="16"/>
            <w:u w:val="single"/>
            <w:lang w:val="es-US"/>
          </w:rPr>
          <w:t>Negación: informe anual 2021 sobre libertad de expresión e información en México</w:t>
        </w:r>
      </w:hyperlink>
      <w:r w:rsidRPr="00CC562A">
        <w:rPr>
          <w:rFonts w:ascii="Cambria" w:hAnsi="Cambria"/>
          <w:sz w:val="16"/>
          <w:szCs w:val="16"/>
          <w:lang w:val="es-US"/>
        </w:rPr>
        <w:t xml:space="preserve">; El Economista. 18 de febrero de 2022. </w:t>
      </w:r>
      <w:hyperlink r:id="rId197">
        <w:r w:rsidRPr="00CC562A">
          <w:rPr>
            <w:rFonts w:ascii="Cambria" w:hAnsi="Cambria"/>
            <w:color w:val="1155CC"/>
            <w:sz w:val="16"/>
            <w:szCs w:val="16"/>
            <w:u w:val="single"/>
            <w:lang w:val="es-US"/>
          </w:rPr>
          <w:t>Niega Presidencia tener datos sobre eventos que organiza</w:t>
        </w:r>
      </w:hyperlink>
      <w:r w:rsidRPr="00CC562A">
        <w:rPr>
          <w:rFonts w:ascii="Cambria" w:hAnsi="Cambria"/>
          <w:sz w:val="16"/>
          <w:szCs w:val="16"/>
          <w:lang w:val="es-US"/>
        </w:rPr>
        <w:t xml:space="preserve">; The Washington Post. 16 de agosto de 2022. </w:t>
      </w:r>
      <w:hyperlink r:id="rId198">
        <w:r w:rsidRPr="00CC562A">
          <w:rPr>
            <w:rFonts w:ascii="Cambria" w:hAnsi="Cambria"/>
            <w:color w:val="1155CC"/>
            <w:sz w:val="16"/>
            <w:szCs w:val="16"/>
            <w:u w:val="single"/>
            <w:lang w:val="es-US"/>
          </w:rPr>
          <w:t xml:space="preserve">El acceso a la información en México se dificulta y el INAI debe dejar de </w:t>
        </w:r>
        <w:r w:rsidRPr="00CC562A">
          <w:rPr>
            <w:rFonts w:ascii="Cambria" w:hAnsi="Cambria"/>
            <w:color w:val="1155CC"/>
            <w:sz w:val="16"/>
            <w:szCs w:val="16"/>
            <w:u w:val="single"/>
            <w:lang w:val="es-US"/>
          </w:rPr>
          <w:t>ser tibio</w:t>
        </w:r>
      </w:hyperlink>
      <w:r w:rsidRPr="00CC562A">
        <w:rPr>
          <w:rFonts w:ascii="Cambria" w:hAnsi="Cambria"/>
          <w:sz w:val="16"/>
          <w:szCs w:val="16"/>
          <w:lang w:val="es-US"/>
        </w:rPr>
        <w:t xml:space="preserve">; Human Rights Watch. 28 de enero de 2022. México: </w:t>
      </w:r>
      <w:hyperlink r:id="rId199">
        <w:r w:rsidRPr="00CC562A">
          <w:rPr>
            <w:rFonts w:ascii="Cambria" w:hAnsi="Cambria"/>
            <w:color w:val="1155CC"/>
            <w:sz w:val="16"/>
            <w:szCs w:val="16"/>
            <w:u w:val="single"/>
            <w:lang w:val="es-US"/>
          </w:rPr>
          <w:t>La transparencia y la privacidad, amenazadas</w:t>
        </w:r>
      </w:hyperlink>
      <w:r w:rsidRPr="00CC562A">
        <w:rPr>
          <w:rFonts w:ascii="Cambria" w:hAnsi="Cambria"/>
          <w:sz w:val="16"/>
          <w:szCs w:val="16"/>
          <w:lang w:val="es-US"/>
        </w:rPr>
        <w:t xml:space="preserve">; Eme Equis. 20 de julio de 2022. </w:t>
      </w:r>
      <w:hyperlink r:id="rId200">
        <w:r w:rsidRPr="00CC562A">
          <w:rPr>
            <w:rFonts w:ascii="Cambria" w:hAnsi="Cambria"/>
            <w:color w:val="1155CC"/>
            <w:sz w:val="16"/>
            <w:szCs w:val="16"/>
            <w:u w:val="single"/>
            <w:lang w:val="es-US"/>
          </w:rPr>
          <w:t>Con AMLO se disparan las negativas a dar información por estar “reservada” o “clasificada”</w:t>
        </w:r>
      </w:hyperlink>
      <w:r w:rsidRPr="00CC562A">
        <w:rPr>
          <w:rFonts w:ascii="Cambria" w:hAnsi="Cambria"/>
          <w:sz w:val="16"/>
          <w:szCs w:val="16"/>
          <w:lang w:val="es-US"/>
        </w:rPr>
        <w:t xml:space="preserve">; Article 19. 18 de julio de 2022. </w:t>
      </w:r>
      <w:hyperlink r:id="rId201">
        <w:r w:rsidRPr="00CC562A">
          <w:rPr>
            <w:rFonts w:ascii="Cambria" w:hAnsi="Cambria"/>
            <w:color w:val="1155CC"/>
            <w:sz w:val="16"/>
            <w:szCs w:val="16"/>
            <w:u w:val="single"/>
            <w:lang w:val="es-US"/>
          </w:rPr>
          <w:t>ENOGDAI: Evaluación Nacional de los Órganos Garantes del Derecho a la Información</w:t>
        </w:r>
      </w:hyperlink>
      <w:r w:rsidRPr="00CC562A">
        <w:rPr>
          <w:rFonts w:ascii="Cambria" w:hAnsi="Cambria"/>
          <w:sz w:val="16"/>
          <w:szCs w:val="16"/>
          <w:lang w:val="es-US"/>
        </w:rPr>
        <w:t>.</w:t>
      </w:r>
    </w:p>
  </w:footnote>
  <w:footnote w:id="367">
    <w:p w14:paraId="09158C85" w14:textId="77777777" w:rsidR="00BE2C6E" w:rsidRPr="00CC562A" w:rsidRDefault="00BE2C6E" w:rsidP="0014350F">
      <w:pPr>
        <w:pStyle w:val="NoSpacing"/>
        <w:ind w:firstLine="720"/>
        <w:jc w:val="both"/>
        <w:rPr>
          <w:rFonts w:ascii="Cambria" w:hAnsi="Cambria"/>
          <w:sz w:val="16"/>
          <w:szCs w:val="16"/>
          <w:lang w:val="es-US"/>
        </w:rPr>
      </w:pPr>
      <w:r w:rsidRPr="00CC562A">
        <w:rPr>
          <w:rFonts w:ascii="Cambria" w:hAnsi="Cambria"/>
          <w:sz w:val="16"/>
          <w:szCs w:val="16"/>
          <w:vertAlign w:val="superscript"/>
        </w:rPr>
        <w:footnoteRef/>
      </w:r>
      <w:r w:rsidRPr="00CC562A">
        <w:rPr>
          <w:rFonts w:ascii="Cambria" w:hAnsi="Cambria"/>
          <w:sz w:val="16"/>
          <w:szCs w:val="16"/>
          <w:lang w:val="es-US"/>
        </w:rPr>
        <w:t xml:space="preserve"> El Economista. 18 de febrero de 2022. </w:t>
      </w:r>
      <w:hyperlink r:id="rId202">
        <w:r w:rsidRPr="00CC562A">
          <w:rPr>
            <w:rFonts w:ascii="Cambria" w:hAnsi="Cambria"/>
            <w:color w:val="1155CC"/>
            <w:sz w:val="16"/>
            <w:szCs w:val="16"/>
            <w:u w:val="single"/>
            <w:lang w:val="es-US"/>
          </w:rPr>
          <w:t>Niega Presidencia tener datos sobre eventos que organiza</w:t>
        </w:r>
      </w:hyperlink>
      <w:r w:rsidRPr="00CC562A">
        <w:rPr>
          <w:rFonts w:ascii="Cambria" w:hAnsi="Cambria"/>
          <w:sz w:val="16"/>
          <w:szCs w:val="16"/>
          <w:lang w:val="es-US"/>
        </w:rPr>
        <w:t xml:space="preserve">; The Washington Post. 16 de agosto de 2022. </w:t>
      </w:r>
      <w:hyperlink r:id="rId203">
        <w:r w:rsidRPr="00CC562A">
          <w:rPr>
            <w:rFonts w:ascii="Cambria" w:hAnsi="Cambria"/>
            <w:color w:val="1155CC"/>
            <w:sz w:val="16"/>
            <w:szCs w:val="16"/>
            <w:u w:val="single"/>
            <w:lang w:val="es-US"/>
          </w:rPr>
          <w:t xml:space="preserve">El acceso a la información en México se dificulta y el INAI debe dejar de </w:t>
        </w:r>
        <w:r w:rsidRPr="00CC562A">
          <w:rPr>
            <w:rFonts w:ascii="Cambria" w:hAnsi="Cambria"/>
            <w:color w:val="1155CC"/>
            <w:sz w:val="16"/>
            <w:szCs w:val="16"/>
            <w:u w:val="single"/>
            <w:lang w:val="es-US"/>
          </w:rPr>
          <w:t>ser tibio</w:t>
        </w:r>
      </w:hyperlink>
      <w:r w:rsidRPr="00CC562A">
        <w:rPr>
          <w:rFonts w:ascii="Cambria" w:hAnsi="Cambria"/>
          <w:sz w:val="16"/>
          <w:szCs w:val="16"/>
          <w:lang w:val="es-US"/>
        </w:rPr>
        <w:t xml:space="preserve">; Human Rights Watch. 28 de enero de 2022. México: </w:t>
      </w:r>
      <w:hyperlink r:id="rId204">
        <w:r w:rsidRPr="00CC562A">
          <w:rPr>
            <w:rFonts w:ascii="Cambria" w:hAnsi="Cambria"/>
            <w:color w:val="1155CC"/>
            <w:sz w:val="16"/>
            <w:szCs w:val="16"/>
            <w:u w:val="single"/>
            <w:lang w:val="es-US"/>
          </w:rPr>
          <w:t>La transparencia y la privacidad, amenazadas</w:t>
        </w:r>
      </w:hyperlink>
      <w:r w:rsidRPr="00CC562A">
        <w:rPr>
          <w:rFonts w:ascii="Cambria" w:hAnsi="Cambria"/>
          <w:sz w:val="16"/>
          <w:szCs w:val="16"/>
          <w:lang w:val="es-US"/>
        </w:rPr>
        <w:t xml:space="preserve">; Eme Equis. 20 de julio de 2022. </w:t>
      </w:r>
      <w:hyperlink r:id="rId205">
        <w:r w:rsidRPr="00CC562A">
          <w:rPr>
            <w:rFonts w:ascii="Cambria" w:hAnsi="Cambria"/>
            <w:color w:val="1155CC"/>
            <w:sz w:val="16"/>
            <w:szCs w:val="16"/>
            <w:u w:val="single"/>
            <w:lang w:val="es-US"/>
          </w:rPr>
          <w:t>Con AMLO se disparan las negativas a dar información por estar “reservada” o “clasificada”</w:t>
        </w:r>
      </w:hyperlink>
      <w:r w:rsidRPr="00CC562A">
        <w:rPr>
          <w:rFonts w:ascii="Cambria" w:hAnsi="Cambria"/>
          <w:sz w:val="16"/>
          <w:szCs w:val="16"/>
          <w:lang w:val="es-US"/>
        </w:rPr>
        <w:t xml:space="preserve">; Article 19. 18 de julio de 2022. </w:t>
      </w:r>
      <w:hyperlink r:id="rId206">
        <w:r w:rsidRPr="00CC562A">
          <w:rPr>
            <w:rFonts w:ascii="Cambria" w:hAnsi="Cambria"/>
            <w:color w:val="1155CC"/>
            <w:sz w:val="16"/>
            <w:szCs w:val="16"/>
            <w:u w:val="single"/>
            <w:lang w:val="es-US"/>
          </w:rPr>
          <w:t>ENOGDAI: Evaluación Nacional de los Órganos Garantes del Derecho a la Información</w:t>
        </w:r>
      </w:hyperlink>
      <w:r w:rsidRPr="00CC562A">
        <w:rPr>
          <w:rFonts w:ascii="Cambria" w:hAnsi="Cambria"/>
          <w:sz w:val="16"/>
          <w:szCs w:val="16"/>
          <w:lang w:val="es-US"/>
        </w:rPr>
        <w:t>.</w:t>
      </w:r>
    </w:p>
  </w:footnote>
  <w:footnote w:id="368">
    <w:p w14:paraId="1ABC709B" w14:textId="77777777" w:rsidR="00BE2C6E" w:rsidRPr="00CC562A" w:rsidRDefault="00BE2C6E" w:rsidP="00BE2C6E">
      <w:pPr>
        <w:pStyle w:val="NoSpacing"/>
        <w:spacing w:after="120"/>
        <w:ind w:firstLine="720"/>
        <w:jc w:val="both"/>
        <w:rPr>
          <w:sz w:val="16"/>
          <w:szCs w:val="16"/>
          <w:lang w:val="es-US"/>
        </w:rPr>
      </w:pPr>
      <w:r w:rsidRPr="00CC562A">
        <w:rPr>
          <w:rFonts w:ascii="Cambria" w:hAnsi="Cambria"/>
          <w:sz w:val="16"/>
          <w:szCs w:val="16"/>
          <w:vertAlign w:val="superscript"/>
        </w:rPr>
        <w:footnoteRef/>
      </w:r>
      <w:r w:rsidRPr="00CC562A">
        <w:rPr>
          <w:rFonts w:ascii="Cambria" w:hAnsi="Cambria"/>
          <w:sz w:val="16"/>
          <w:szCs w:val="16"/>
          <w:lang w:val="es-US"/>
        </w:rPr>
        <w:t xml:space="preserve"> Artículo 19. 4 de abril de 2022. </w:t>
      </w:r>
      <w:hyperlink r:id="rId207">
        <w:r w:rsidRPr="00CC562A">
          <w:rPr>
            <w:rFonts w:ascii="Cambria" w:hAnsi="Cambria"/>
            <w:color w:val="1155CC"/>
            <w:sz w:val="16"/>
            <w:szCs w:val="16"/>
            <w:u w:val="single"/>
            <w:lang w:val="es-US"/>
          </w:rPr>
          <w:t>Negación: informe anual 2021 sobre libertad de expresión e información en México</w:t>
        </w:r>
      </w:hyperlink>
      <w:r w:rsidRPr="00CC562A">
        <w:rPr>
          <w:rFonts w:ascii="Cambria" w:hAnsi="Cambria"/>
          <w:sz w:val="16"/>
          <w:szCs w:val="16"/>
          <w:lang w:val="es-US"/>
        </w:rPr>
        <w:t>.</w:t>
      </w:r>
      <w:r w:rsidRPr="00CC562A">
        <w:rPr>
          <w:sz w:val="16"/>
          <w:szCs w:val="16"/>
          <w:lang w:val="es-US"/>
        </w:rPr>
        <w:t xml:space="preserve"> </w:t>
      </w:r>
    </w:p>
  </w:footnote>
  <w:footnote w:id="369">
    <w:p w14:paraId="546C3642" w14:textId="628B83BF" w:rsidR="00070D01" w:rsidRPr="00CC562A" w:rsidRDefault="00070D01" w:rsidP="00EF3A43">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70">
    <w:p w14:paraId="0B70CADC" w14:textId="4EEA7846" w:rsidR="00540016" w:rsidRPr="00CC562A" w:rsidRDefault="00540016" w:rsidP="00EF3A43">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Informa</w:t>
      </w:r>
      <w:r w:rsidR="00FF310C" w:rsidRPr="00CC562A">
        <w:rPr>
          <w:rFonts w:ascii="Cambria" w:hAnsi="Cambria"/>
          <w:sz w:val="16"/>
          <w:szCs w:val="16"/>
          <w:lang w:val="en-US"/>
        </w:rPr>
        <w:t xml:space="preserve">tion reported by the State of Mexico to the Inter-American </w:t>
      </w:r>
      <w:r w:rsidRPr="00CC562A">
        <w:rPr>
          <w:rFonts w:ascii="Cambria" w:hAnsi="Cambria"/>
          <w:sz w:val="16"/>
          <w:szCs w:val="16"/>
          <w:lang w:val="en-US"/>
        </w:rPr>
        <w:t>SIMORE</w:t>
      </w:r>
      <w:r w:rsidR="00FF310C" w:rsidRPr="00CC562A">
        <w:rPr>
          <w:rFonts w:ascii="Cambria" w:hAnsi="Cambria"/>
          <w:sz w:val="16"/>
          <w:szCs w:val="16"/>
          <w:lang w:val="en-US"/>
        </w:rPr>
        <w:t xml:space="preserve"> of the IACHR. October 24, </w:t>
      </w:r>
      <w:r w:rsidRPr="00CC562A">
        <w:rPr>
          <w:rFonts w:ascii="Cambria" w:hAnsi="Cambria"/>
          <w:sz w:val="16"/>
          <w:szCs w:val="16"/>
          <w:lang w:val="en-US"/>
        </w:rPr>
        <w:t>2022.</w:t>
      </w:r>
    </w:p>
  </w:footnote>
  <w:footnote w:id="371">
    <w:p w14:paraId="0123186B" w14:textId="157FAF51" w:rsidR="00540016" w:rsidRPr="00CC562A" w:rsidRDefault="00540016" w:rsidP="00EF3A43">
      <w:pPr>
        <w:pStyle w:val="NoSpacing"/>
        <w:ind w:firstLine="720"/>
        <w:jc w:val="both"/>
        <w:rPr>
          <w:rFonts w:ascii="Cambria" w:hAnsi="Cambria"/>
          <w:sz w:val="16"/>
          <w:szCs w:val="16"/>
          <w:lang w:val="es-AR"/>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Informa</w:t>
      </w:r>
      <w:r w:rsidR="00FF310C" w:rsidRPr="00CC562A">
        <w:rPr>
          <w:rFonts w:ascii="Cambria" w:hAnsi="Cambria"/>
          <w:sz w:val="16"/>
          <w:szCs w:val="16"/>
          <w:lang w:val="en-US"/>
        </w:rPr>
        <w:t xml:space="preserve">tion reported by the State of Mexico to the Inter-American SIMORE of the IACHR. </w:t>
      </w:r>
      <w:r w:rsidR="00FF310C" w:rsidRPr="00CC562A">
        <w:rPr>
          <w:rFonts w:ascii="Cambria" w:hAnsi="Cambria"/>
          <w:sz w:val="16"/>
          <w:szCs w:val="16"/>
          <w:lang w:val="es-AR"/>
        </w:rPr>
        <w:t>October 24,</w:t>
      </w:r>
      <w:r w:rsidRPr="00CC562A">
        <w:rPr>
          <w:rFonts w:ascii="Cambria" w:hAnsi="Cambria"/>
          <w:sz w:val="16"/>
          <w:szCs w:val="16"/>
          <w:lang w:val="es-AR"/>
        </w:rPr>
        <w:t xml:space="preserve"> 2022. </w:t>
      </w:r>
    </w:p>
  </w:footnote>
  <w:footnote w:id="372">
    <w:p w14:paraId="17B7F41E" w14:textId="77777777" w:rsidR="00BE2C6E" w:rsidRPr="00A63873" w:rsidRDefault="00BE2C6E" w:rsidP="00EF3A43">
      <w:pPr>
        <w:pStyle w:val="FootnoteText"/>
        <w:spacing w:line="240" w:lineRule="auto"/>
        <w:ind w:firstLine="720"/>
        <w:jc w:val="both"/>
        <w:rPr>
          <w:lang w:val="en-US"/>
        </w:rPr>
      </w:pPr>
      <w:r w:rsidRPr="00CC562A">
        <w:rPr>
          <w:rStyle w:val="FootnoteReference"/>
        </w:rPr>
        <w:footnoteRef/>
      </w:r>
      <w:r w:rsidRPr="00CC562A">
        <w:t xml:space="preserve"> Informe de avance del Estado mexicano sobre el cumplimiento y seguimiento de las recomendaciones de la CIDH. </w:t>
      </w:r>
      <w:r w:rsidRPr="00A63873">
        <w:rPr>
          <w:lang w:val="en-US"/>
        </w:rPr>
        <w:t>Capítulo V, de octubre de 2022 a través del SIMORE Interamericano.</w:t>
      </w:r>
    </w:p>
  </w:footnote>
  <w:footnote w:id="373">
    <w:p w14:paraId="071CE6DD" w14:textId="392F7BB0" w:rsidR="00BE2C6E" w:rsidRPr="00CC562A" w:rsidRDefault="00BE2C6E" w:rsidP="00EF3A43">
      <w:pPr>
        <w:pStyle w:val="FootnoteText"/>
        <w:spacing w:line="240" w:lineRule="auto"/>
        <w:ind w:firstLine="720"/>
        <w:rPr>
          <w:lang w:val="en-US"/>
        </w:rPr>
      </w:pPr>
      <w:r w:rsidRPr="00CC562A">
        <w:rPr>
          <w:rStyle w:val="FootnoteReference"/>
        </w:rPr>
        <w:footnoteRef/>
      </w:r>
      <w:r w:rsidRPr="00CC562A">
        <w:rPr>
          <w:lang w:val="en-US"/>
        </w:rPr>
        <w:t xml:space="preserve"> </w:t>
      </w:r>
      <w:r w:rsidR="00AA4D42" w:rsidRPr="00CC562A">
        <w:rPr>
          <w:lang w:val="en-US"/>
        </w:rPr>
        <w:t>State of Mexico, OAS Note</w:t>
      </w:r>
      <w:r w:rsidRPr="00CC562A">
        <w:rPr>
          <w:lang w:val="en-US"/>
        </w:rPr>
        <w:t xml:space="preserve"> 517 </w:t>
      </w:r>
      <w:r w:rsidR="00AA4D42" w:rsidRPr="00CC562A">
        <w:rPr>
          <w:lang w:val="en-US"/>
        </w:rPr>
        <w:t>of February 17,</w:t>
      </w:r>
      <w:r w:rsidRPr="00CC562A">
        <w:rPr>
          <w:lang w:val="en-US"/>
        </w:rPr>
        <w:t xml:space="preserve"> 2023. </w:t>
      </w:r>
      <w:r w:rsidR="00AA4D42" w:rsidRPr="00CC562A">
        <w:rPr>
          <w:lang w:val="en-US"/>
        </w:rPr>
        <w:t>Observations on the preliminary version of the report</w:t>
      </w:r>
      <w:r w:rsidRPr="00CC562A">
        <w:rPr>
          <w:lang w:val="en-US"/>
        </w:rPr>
        <w:t>.</w:t>
      </w:r>
    </w:p>
  </w:footnote>
  <w:footnote w:id="374">
    <w:p w14:paraId="17AACD69" w14:textId="778F03D6"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ONU-DH</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r:id="rId208" w:history="1">
        <w:r w:rsidRPr="00CC562A">
          <w:rPr>
            <w:rStyle w:val="Hyperlink"/>
            <w:rFonts w:ascii="Cambria" w:eastAsia="Arial Narrow" w:hAnsi="Cambria" w:cs="Arial Narrow"/>
            <w:sz w:val="16"/>
            <w:szCs w:val="16"/>
            <w:lang w:val="es-ES"/>
          </w:rPr>
          <w:t xml:space="preserve">ONU-DH saluda la orden a la Guardia Nacional de hacer públicos sus informes sobre uso </w:t>
        </w:r>
        <w:r w:rsidRPr="00CC562A">
          <w:rPr>
            <w:rStyle w:val="Hyperlink"/>
            <w:rFonts w:ascii="Cambria" w:eastAsia="Arial Narrow" w:hAnsi="Cambria" w:cs="Arial Narrow"/>
            <w:sz w:val="16"/>
            <w:szCs w:val="16"/>
            <w:lang w:val="es-ES"/>
          </w:rPr>
          <w:t>de la fuerza</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FF310C" w:rsidRPr="00CC562A">
        <w:rPr>
          <w:rFonts w:ascii="Cambria" w:eastAsia="Arial Narrow" w:hAnsi="Cambria" w:cs="Arial Narrow"/>
          <w:sz w:val="16"/>
          <w:szCs w:val="16"/>
          <w:lang w:val="es-ES"/>
        </w:rPr>
        <w:t>September 20,</w:t>
      </w:r>
      <w:r w:rsidRPr="00CC562A">
        <w:rPr>
          <w:rFonts w:ascii="Cambria" w:eastAsia="Arial Narrow" w:hAnsi="Cambria" w:cs="Arial Narrow"/>
          <w:sz w:val="16"/>
          <w:szCs w:val="16"/>
          <w:lang w:val="es-ES"/>
        </w:rPr>
        <w:t xml:space="preserve"> 2021; </w:t>
      </w:r>
      <w:r w:rsidR="00FF310C" w:rsidRPr="00CC562A">
        <w:rPr>
          <w:rFonts w:ascii="Cambria" w:eastAsia="Arial Narrow" w:hAnsi="Cambria" w:cs="Arial Narrow"/>
          <w:sz w:val="16"/>
          <w:szCs w:val="16"/>
          <w:lang w:val="es-ES"/>
        </w:rPr>
        <w:t>and</w:t>
      </w:r>
      <w:r w:rsidRPr="00CC562A">
        <w:rPr>
          <w:rFonts w:ascii="Cambria" w:eastAsia="Arial Narrow" w:hAnsi="Cambria" w:cs="Arial Narrow"/>
          <w:sz w:val="16"/>
          <w:szCs w:val="16"/>
          <w:lang w:val="es-ES"/>
        </w:rPr>
        <w:t xml:space="preserve"> Arturo Ángel et al. </w:t>
      </w:r>
      <w:hyperlink r:id="rId209" w:history="1">
        <w:r w:rsidRPr="00CC562A">
          <w:rPr>
            <w:rStyle w:val="Hyperlink"/>
            <w:rFonts w:ascii="Cambria" w:eastAsia="Arial Narrow" w:hAnsi="Cambria" w:cs="Arial Narrow"/>
            <w:sz w:val="16"/>
            <w:szCs w:val="16"/>
            <w:lang w:val="es-ES"/>
          </w:rPr>
          <w:t>Guardia Nacional se niega a dar datos de uso de la fuerza y el armamento para contener protestas, en Animal Político</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FF310C" w:rsidRPr="00CC562A">
        <w:rPr>
          <w:rFonts w:ascii="Cambria" w:eastAsia="Arial Narrow" w:hAnsi="Cambria" w:cs="Arial Narrow"/>
          <w:sz w:val="16"/>
          <w:szCs w:val="16"/>
          <w:lang w:val="es-ES"/>
        </w:rPr>
        <w:t xml:space="preserve">October 14, </w:t>
      </w:r>
      <w:r w:rsidRPr="00CC562A">
        <w:rPr>
          <w:rFonts w:ascii="Cambria" w:eastAsia="Arial Narrow" w:hAnsi="Cambria" w:cs="Arial Narrow"/>
          <w:sz w:val="16"/>
          <w:szCs w:val="16"/>
          <w:lang w:val="es-ES"/>
        </w:rPr>
        <w:t xml:space="preserve">2021. </w:t>
      </w:r>
    </w:p>
  </w:footnote>
  <w:footnote w:id="375">
    <w:p w14:paraId="0E96F656" w14:textId="4206A97F" w:rsidR="0054543A" w:rsidRPr="00CC562A" w:rsidRDefault="0054543A" w:rsidP="007A58B5">
      <w:pPr>
        <w:spacing w:after="0" w:line="240" w:lineRule="auto"/>
        <w:ind w:firstLine="720"/>
        <w:jc w:val="both"/>
        <w:rPr>
          <w:rFonts w:ascii="Cambria" w:eastAsia="Arial Narrow" w:hAnsi="Cambria" w:cs="Arial Narrow"/>
          <w:sz w:val="16"/>
          <w:szCs w:val="16"/>
          <w:lang w:val="pt-BR"/>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pt-BR"/>
        </w:rPr>
        <w:t xml:space="preserve"> </w:t>
      </w:r>
      <w:r w:rsidR="00FF310C" w:rsidRPr="00CC562A">
        <w:rPr>
          <w:rFonts w:ascii="Cambria" w:eastAsia="Arial Narrow" w:hAnsi="Cambria" w:cs="Arial Narrow"/>
          <w:sz w:val="16"/>
          <w:szCs w:val="16"/>
          <w:lang w:val="pt-BR"/>
        </w:rPr>
        <w:t>National Guard</w:t>
      </w:r>
      <w:r w:rsidR="00394599" w:rsidRPr="00CC562A">
        <w:rPr>
          <w:rFonts w:ascii="Cambria" w:eastAsia="Arial Narrow" w:hAnsi="Cambria" w:cs="Arial Narrow"/>
          <w:sz w:val="16"/>
          <w:szCs w:val="16"/>
          <w:lang w:val="pt-BR"/>
        </w:rPr>
        <w:t>,</w:t>
      </w:r>
      <w:r w:rsidRPr="00CC562A">
        <w:rPr>
          <w:rFonts w:ascii="Cambria" w:eastAsia="Arial Narrow" w:hAnsi="Cambria" w:cs="Arial Narrow"/>
          <w:sz w:val="16"/>
          <w:szCs w:val="16"/>
          <w:lang w:val="pt-BR"/>
        </w:rPr>
        <w:t xml:space="preserve"> </w:t>
      </w:r>
      <w:hyperlink r:id="rId210" w:history="1">
        <w:r w:rsidRPr="00CC562A">
          <w:rPr>
            <w:rStyle w:val="Hyperlink"/>
            <w:rFonts w:ascii="Cambria" w:eastAsia="Arial Narrow" w:hAnsi="Cambria" w:cs="Arial Narrow"/>
            <w:sz w:val="16"/>
            <w:szCs w:val="16"/>
            <w:lang w:val="pt-BR"/>
          </w:rPr>
          <w:t>Informe Anual de Actividades 2020</w:t>
        </w:r>
      </w:hyperlink>
      <w:r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49; </w:t>
      </w:r>
      <w:r w:rsidR="00FF310C" w:rsidRPr="00CC562A">
        <w:rPr>
          <w:rFonts w:ascii="Cambria" w:eastAsia="Arial Narrow" w:hAnsi="Cambria" w:cs="Arial Narrow"/>
          <w:sz w:val="16"/>
          <w:szCs w:val="16"/>
          <w:lang w:val="pt-BR"/>
        </w:rPr>
        <w:t>National Guard</w:t>
      </w:r>
      <w:r w:rsidRPr="00CC562A">
        <w:rPr>
          <w:rFonts w:ascii="Cambria" w:eastAsia="Arial Narrow" w:hAnsi="Cambria" w:cs="Arial Narrow"/>
          <w:sz w:val="16"/>
          <w:szCs w:val="16"/>
          <w:lang w:val="pt-BR"/>
        </w:rPr>
        <w:t xml:space="preserve">. </w:t>
      </w:r>
      <w:hyperlink r:id="rId211" w:history="1">
        <w:r w:rsidRPr="00CC562A">
          <w:rPr>
            <w:rStyle w:val="Hyperlink"/>
            <w:rFonts w:ascii="Cambria" w:eastAsia="Arial Narrow" w:hAnsi="Cambria" w:cs="Arial Narrow"/>
            <w:sz w:val="16"/>
            <w:szCs w:val="16"/>
            <w:lang w:val="pt-BR"/>
          </w:rPr>
          <w:t>Informe Anual de Actividades 2021</w:t>
        </w:r>
      </w:hyperlink>
      <w:r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30. </w:t>
      </w:r>
    </w:p>
  </w:footnote>
  <w:footnote w:id="376">
    <w:p w14:paraId="5074F5C4" w14:textId="00B3FE85" w:rsidR="0054543A" w:rsidRPr="00CC562A" w:rsidRDefault="0054543A" w:rsidP="007A58B5">
      <w:pPr>
        <w:spacing w:after="0" w:line="240" w:lineRule="auto"/>
        <w:ind w:firstLine="720"/>
        <w:jc w:val="both"/>
        <w:rPr>
          <w:rFonts w:ascii="Cambria" w:eastAsia="Arial Narrow" w:hAnsi="Cambria" w:cs="Arial Narrow"/>
          <w:sz w:val="16"/>
          <w:szCs w:val="16"/>
          <w:lang w:val="es-ES"/>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es-ES"/>
        </w:rPr>
        <w:t xml:space="preserve"> Animal Político</w:t>
      </w:r>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hyperlink w:history="1">
        <w:r w:rsidRPr="00CC562A">
          <w:rPr>
            <w:rStyle w:val="Hyperlink"/>
            <w:rFonts w:ascii="Cambria" w:eastAsia="Arial Narrow" w:hAnsi="Cambria" w:cs="Arial Narrow"/>
            <w:sz w:val="16"/>
            <w:szCs w:val="16"/>
            <w:lang w:val="es-ES"/>
          </w:rPr>
          <w:t>Pese a más de 400 quejas ante CNDH, la Guardia Nacional solo reconoce un caso de uso excesivo de la fuerza</w:t>
        </w:r>
      </w:hyperlink>
      <w:r w:rsidR="00394599" w:rsidRPr="00CC562A">
        <w:rPr>
          <w:rFonts w:ascii="Cambria" w:eastAsia="Arial Narrow" w:hAnsi="Cambria" w:cs="Arial Narrow"/>
          <w:sz w:val="16"/>
          <w:szCs w:val="16"/>
          <w:lang w:val="es-ES"/>
        </w:rPr>
        <w:t>,</w:t>
      </w:r>
      <w:r w:rsidRPr="00CC562A">
        <w:rPr>
          <w:rFonts w:ascii="Cambria" w:eastAsia="Arial Narrow" w:hAnsi="Cambria" w:cs="Arial Narrow"/>
          <w:sz w:val="16"/>
          <w:szCs w:val="16"/>
          <w:lang w:val="es-ES"/>
        </w:rPr>
        <w:t xml:space="preserve"> </w:t>
      </w:r>
      <w:r w:rsidR="00FF310C" w:rsidRPr="00CC562A">
        <w:rPr>
          <w:rFonts w:ascii="Cambria" w:eastAsia="Arial Narrow" w:hAnsi="Cambria" w:cs="Arial Narrow"/>
          <w:sz w:val="16"/>
          <w:szCs w:val="16"/>
          <w:lang w:val="es-ES"/>
        </w:rPr>
        <w:t xml:space="preserve">May 4, </w:t>
      </w:r>
      <w:r w:rsidRPr="00CC562A">
        <w:rPr>
          <w:rFonts w:ascii="Cambria" w:eastAsia="Arial Narrow" w:hAnsi="Cambria" w:cs="Arial Narrow"/>
          <w:sz w:val="16"/>
          <w:szCs w:val="16"/>
          <w:lang w:val="es-ES"/>
        </w:rPr>
        <w:t xml:space="preserve">2022. </w:t>
      </w:r>
    </w:p>
  </w:footnote>
  <w:footnote w:id="377">
    <w:p w14:paraId="0F1E9F9A" w14:textId="5EE59D74" w:rsidR="00A06F2A" w:rsidRPr="00CC562A" w:rsidRDefault="00A06F2A" w:rsidP="007A58B5">
      <w:pPr>
        <w:spacing w:after="0" w:line="240" w:lineRule="auto"/>
        <w:ind w:firstLine="720"/>
        <w:jc w:val="both"/>
        <w:rPr>
          <w:rFonts w:ascii="Cambria" w:eastAsia="Arial Narrow" w:hAnsi="Cambria" w:cs="Arial Narrow"/>
          <w:sz w:val="16"/>
          <w:szCs w:val="16"/>
          <w:lang w:val="pt-BR"/>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pt-BR"/>
        </w:rPr>
        <w:t xml:space="preserve"> </w:t>
      </w:r>
      <w:r w:rsidR="00FF310C" w:rsidRPr="00CC562A">
        <w:rPr>
          <w:rFonts w:ascii="Cambria" w:eastAsia="Arial Narrow" w:hAnsi="Cambria" w:cs="Arial Narrow"/>
          <w:sz w:val="16"/>
          <w:szCs w:val="16"/>
          <w:lang w:val="pt-BR"/>
        </w:rPr>
        <w:t>National Guard</w:t>
      </w:r>
      <w:r w:rsidR="00394599" w:rsidRPr="00CC562A">
        <w:rPr>
          <w:rFonts w:ascii="Cambria" w:eastAsia="Arial Narrow" w:hAnsi="Cambria" w:cs="Arial Narrow"/>
          <w:sz w:val="16"/>
          <w:szCs w:val="16"/>
          <w:lang w:val="pt-BR"/>
        </w:rPr>
        <w:t>,</w:t>
      </w:r>
      <w:r w:rsidRPr="00CC562A">
        <w:rPr>
          <w:rFonts w:ascii="Cambria" w:eastAsia="Arial Narrow" w:hAnsi="Cambria" w:cs="Arial Narrow"/>
          <w:sz w:val="16"/>
          <w:szCs w:val="16"/>
          <w:lang w:val="pt-BR"/>
        </w:rPr>
        <w:t xml:space="preserve"> </w:t>
      </w:r>
      <w:hyperlink r:id="rId212" w:history="1">
        <w:r w:rsidRPr="00CC562A">
          <w:rPr>
            <w:rStyle w:val="Hyperlink"/>
            <w:rFonts w:ascii="Cambria" w:eastAsia="Arial Narrow" w:hAnsi="Cambria" w:cs="Arial Narrow"/>
            <w:sz w:val="16"/>
            <w:szCs w:val="16"/>
            <w:lang w:val="pt-BR"/>
          </w:rPr>
          <w:t>Informe Anual de Actividades 2021</w:t>
        </w:r>
      </w:hyperlink>
      <w:r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30. </w:t>
      </w:r>
    </w:p>
  </w:footnote>
  <w:footnote w:id="378">
    <w:p w14:paraId="24DD8B06" w14:textId="035AD19C" w:rsidR="00A06F2A" w:rsidRPr="00CC562A" w:rsidRDefault="00A06F2A" w:rsidP="007A58B5">
      <w:pPr>
        <w:spacing w:after="0" w:line="240" w:lineRule="auto"/>
        <w:ind w:firstLine="720"/>
        <w:jc w:val="both"/>
        <w:rPr>
          <w:rFonts w:ascii="Cambria" w:eastAsia="Arial Narrow" w:hAnsi="Cambria" w:cs="Arial Narrow"/>
          <w:sz w:val="16"/>
          <w:szCs w:val="16"/>
          <w:lang w:val="pt-BR"/>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pt-BR"/>
        </w:rPr>
        <w:t xml:space="preserve"> </w:t>
      </w:r>
      <w:r w:rsidR="00FF310C" w:rsidRPr="00CC562A">
        <w:rPr>
          <w:rFonts w:ascii="Cambria" w:eastAsia="Arial Narrow" w:hAnsi="Cambria" w:cs="Arial Narrow"/>
          <w:sz w:val="16"/>
          <w:szCs w:val="16"/>
          <w:lang w:val="pt-BR"/>
        </w:rPr>
        <w:t>National Guard</w:t>
      </w:r>
      <w:r w:rsidR="00394599" w:rsidRPr="00CC562A">
        <w:rPr>
          <w:rFonts w:ascii="Cambria" w:eastAsia="Arial Narrow" w:hAnsi="Cambria" w:cs="Arial Narrow"/>
          <w:sz w:val="16"/>
          <w:szCs w:val="16"/>
          <w:lang w:val="pt-BR"/>
        </w:rPr>
        <w:t xml:space="preserve">, </w:t>
      </w:r>
      <w:hyperlink r:id="rId213" w:history="1">
        <w:r w:rsidR="00394599" w:rsidRPr="00CC562A">
          <w:rPr>
            <w:rStyle w:val="Hyperlink"/>
            <w:rFonts w:ascii="Cambria" w:eastAsia="Arial Narrow" w:hAnsi="Cambria" w:cs="Arial Narrow"/>
            <w:sz w:val="16"/>
            <w:szCs w:val="16"/>
            <w:lang w:val="pt-BR"/>
          </w:rPr>
          <w:t>Informe Anual de Actividades 2021</w:t>
        </w:r>
      </w:hyperlink>
      <w:r w:rsidR="00394599"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35.</w:t>
      </w:r>
    </w:p>
  </w:footnote>
  <w:footnote w:id="379">
    <w:p w14:paraId="622B21DF" w14:textId="1982FDA4" w:rsidR="00A06F2A" w:rsidRPr="00CC562A" w:rsidRDefault="00A06F2A" w:rsidP="007A58B5">
      <w:pPr>
        <w:spacing w:after="0" w:line="240" w:lineRule="auto"/>
        <w:ind w:firstLine="720"/>
        <w:jc w:val="both"/>
        <w:rPr>
          <w:rFonts w:ascii="Cambria" w:eastAsia="Arial Narrow" w:hAnsi="Cambria" w:cs="Arial Narrow"/>
          <w:sz w:val="16"/>
          <w:szCs w:val="16"/>
          <w:lang w:val="pt-BR"/>
        </w:rPr>
      </w:pPr>
      <w:r w:rsidRPr="00CC562A">
        <w:rPr>
          <w:rFonts w:ascii="Cambria" w:hAnsi="Cambria"/>
          <w:sz w:val="16"/>
          <w:szCs w:val="16"/>
          <w:vertAlign w:val="superscript"/>
          <w:lang w:val="en-US"/>
        </w:rPr>
        <w:footnoteRef/>
      </w:r>
      <w:r w:rsidRPr="00CC562A">
        <w:rPr>
          <w:rFonts w:ascii="Cambria" w:eastAsia="Arial Narrow" w:hAnsi="Cambria" w:cs="Arial Narrow"/>
          <w:sz w:val="16"/>
          <w:szCs w:val="16"/>
          <w:lang w:val="pt-BR"/>
        </w:rPr>
        <w:t xml:space="preserve"> </w:t>
      </w:r>
      <w:r w:rsidR="00FF310C" w:rsidRPr="00CC562A">
        <w:rPr>
          <w:rFonts w:ascii="Cambria" w:eastAsia="Arial Narrow" w:hAnsi="Cambria" w:cs="Arial Narrow"/>
          <w:sz w:val="16"/>
          <w:szCs w:val="16"/>
          <w:lang w:val="pt-BR"/>
        </w:rPr>
        <w:t>National Guard</w:t>
      </w:r>
      <w:r w:rsidR="00394599" w:rsidRPr="00CC562A">
        <w:rPr>
          <w:rFonts w:ascii="Cambria" w:eastAsia="Arial Narrow" w:hAnsi="Cambria" w:cs="Arial Narrow"/>
          <w:sz w:val="16"/>
          <w:szCs w:val="16"/>
          <w:lang w:val="pt-BR"/>
        </w:rPr>
        <w:t xml:space="preserve">, </w:t>
      </w:r>
      <w:hyperlink r:id="rId214" w:history="1">
        <w:r w:rsidR="00394599" w:rsidRPr="00CC562A">
          <w:rPr>
            <w:rStyle w:val="Hyperlink"/>
            <w:rFonts w:ascii="Cambria" w:eastAsia="Arial Narrow" w:hAnsi="Cambria" w:cs="Arial Narrow"/>
            <w:sz w:val="16"/>
            <w:szCs w:val="16"/>
            <w:lang w:val="pt-BR"/>
          </w:rPr>
          <w:t>Informe Anual de Actividades 2021</w:t>
        </w:r>
      </w:hyperlink>
      <w:r w:rsidR="00394599"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33.</w:t>
      </w:r>
    </w:p>
  </w:footnote>
  <w:footnote w:id="380">
    <w:p w14:paraId="2BBF46CC" w14:textId="084DC03E" w:rsidR="00A06F2A" w:rsidRPr="00CC562A" w:rsidRDefault="00A06F2A" w:rsidP="007A58B5">
      <w:pPr>
        <w:spacing w:after="0" w:line="240" w:lineRule="auto"/>
        <w:ind w:firstLine="720"/>
        <w:jc w:val="both"/>
        <w:rPr>
          <w:rFonts w:ascii="Cambria" w:hAnsi="Cambria"/>
          <w:sz w:val="16"/>
          <w:szCs w:val="16"/>
          <w:lang w:val="pt-BR"/>
        </w:rPr>
      </w:pPr>
      <w:r w:rsidRPr="00CC562A">
        <w:rPr>
          <w:rFonts w:ascii="Cambria" w:hAnsi="Cambria"/>
          <w:sz w:val="16"/>
          <w:szCs w:val="16"/>
          <w:vertAlign w:val="superscript"/>
          <w:lang w:val="en-US"/>
        </w:rPr>
        <w:footnoteRef/>
      </w:r>
      <w:r w:rsidR="00FF310C" w:rsidRPr="00CC562A">
        <w:rPr>
          <w:rFonts w:ascii="Cambria" w:hAnsi="Cambria"/>
          <w:sz w:val="16"/>
          <w:szCs w:val="16"/>
          <w:lang w:val="pt-BR"/>
        </w:rPr>
        <w:t xml:space="preserve"> National Guard</w:t>
      </w:r>
      <w:r w:rsidR="00394599" w:rsidRPr="00CC562A">
        <w:rPr>
          <w:rFonts w:ascii="Cambria" w:eastAsia="Arial Narrow" w:hAnsi="Cambria" w:cs="Arial Narrow"/>
          <w:sz w:val="16"/>
          <w:szCs w:val="16"/>
          <w:lang w:val="pt-BR"/>
        </w:rPr>
        <w:t xml:space="preserve">, </w:t>
      </w:r>
      <w:hyperlink r:id="rId215" w:history="1">
        <w:r w:rsidR="00394599" w:rsidRPr="00CC562A">
          <w:rPr>
            <w:rStyle w:val="Hyperlink"/>
            <w:rFonts w:ascii="Cambria" w:eastAsia="Arial Narrow" w:hAnsi="Cambria" w:cs="Arial Narrow"/>
            <w:sz w:val="16"/>
            <w:szCs w:val="16"/>
            <w:lang w:val="pt-BR"/>
          </w:rPr>
          <w:t>Informe Anual de Actividades 2021</w:t>
        </w:r>
      </w:hyperlink>
      <w:r w:rsidR="00394599"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49. </w:t>
      </w:r>
    </w:p>
  </w:footnote>
  <w:footnote w:id="381">
    <w:p w14:paraId="640BD154" w14:textId="5EFB1A51" w:rsidR="00A06F2A" w:rsidRPr="00CC562A" w:rsidRDefault="00A06F2A" w:rsidP="007A58B5">
      <w:pPr>
        <w:spacing w:after="0" w:line="240" w:lineRule="auto"/>
        <w:ind w:firstLine="720"/>
        <w:jc w:val="both"/>
        <w:rPr>
          <w:rFonts w:ascii="Cambria" w:hAnsi="Cambria"/>
          <w:sz w:val="16"/>
          <w:szCs w:val="16"/>
          <w:lang w:val="pt-BR"/>
        </w:rPr>
      </w:pPr>
      <w:r w:rsidRPr="00CC562A">
        <w:rPr>
          <w:rFonts w:ascii="Cambria" w:hAnsi="Cambria"/>
          <w:sz w:val="16"/>
          <w:szCs w:val="16"/>
          <w:vertAlign w:val="superscript"/>
          <w:lang w:val="en-US"/>
        </w:rPr>
        <w:footnoteRef/>
      </w:r>
      <w:r w:rsidRPr="00CC562A">
        <w:rPr>
          <w:rFonts w:ascii="Cambria" w:hAnsi="Cambria"/>
          <w:sz w:val="16"/>
          <w:szCs w:val="16"/>
          <w:lang w:val="pt-BR"/>
        </w:rPr>
        <w:t xml:space="preserve"> </w:t>
      </w:r>
      <w:r w:rsidR="00FF310C" w:rsidRPr="00CC562A">
        <w:rPr>
          <w:rFonts w:ascii="Cambria" w:hAnsi="Cambria"/>
          <w:sz w:val="16"/>
          <w:szCs w:val="16"/>
          <w:lang w:val="pt-BR"/>
        </w:rPr>
        <w:t>National Guard</w:t>
      </w:r>
      <w:r w:rsidR="00394599" w:rsidRPr="00CC562A">
        <w:rPr>
          <w:rFonts w:ascii="Cambria" w:eastAsia="Arial Narrow" w:hAnsi="Cambria" w:cs="Arial Narrow"/>
          <w:sz w:val="16"/>
          <w:szCs w:val="16"/>
          <w:lang w:val="pt-BR"/>
        </w:rPr>
        <w:t xml:space="preserve">, </w:t>
      </w:r>
      <w:hyperlink r:id="rId216" w:history="1">
        <w:r w:rsidR="00394599" w:rsidRPr="00CC562A">
          <w:rPr>
            <w:rStyle w:val="Hyperlink"/>
            <w:rFonts w:ascii="Cambria" w:eastAsia="Arial Narrow" w:hAnsi="Cambria" w:cs="Arial Narrow"/>
            <w:sz w:val="16"/>
            <w:szCs w:val="16"/>
            <w:lang w:val="pt-BR"/>
          </w:rPr>
          <w:t>Informe Anual de Actividades 2021</w:t>
        </w:r>
      </w:hyperlink>
      <w:r w:rsidR="00394599" w:rsidRPr="00CC562A">
        <w:rPr>
          <w:rFonts w:ascii="Cambria" w:eastAsia="Arial Narrow" w:hAnsi="Cambria" w:cs="Arial Narrow"/>
          <w:sz w:val="16"/>
          <w:szCs w:val="16"/>
          <w:lang w:val="pt-BR"/>
        </w:rPr>
        <w:t xml:space="preserve">, </w:t>
      </w:r>
      <w:r w:rsidR="009E09A3" w:rsidRPr="00CC562A">
        <w:rPr>
          <w:rFonts w:ascii="Cambria" w:eastAsia="Arial Narrow" w:hAnsi="Cambria" w:cs="Arial Narrow"/>
          <w:sz w:val="16"/>
          <w:szCs w:val="16"/>
          <w:lang w:val="pt-BR"/>
        </w:rPr>
        <w:t>p.</w:t>
      </w:r>
      <w:r w:rsidRPr="00CC562A">
        <w:rPr>
          <w:rFonts w:ascii="Cambria" w:eastAsia="Arial Narrow" w:hAnsi="Cambria" w:cs="Arial Narrow"/>
          <w:sz w:val="16"/>
          <w:szCs w:val="16"/>
          <w:lang w:val="pt-BR"/>
        </w:rPr>
        <w:t xml:space="preserve"> 30. </w:t>
      </w:r>
    </w:p>
  </w:footnote>
  <w:footnote w:id="382">
    <w:p w14:paraId="124E0089" w14:textId="674D0A0F" w:rsidR="00540016" w:rsidRPr="00CC562A" w:rsidRDefault="00540016"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4E0B7E" w:rsidRPr="00CC562A">
        <w:rPr>
          <w:rFonts w:ascii="Cambria" w:hAnsi="Cambria"/>
          <w:sz w:val="16"/>
          <w:szCs w:val="16"/>
          <w:lang w:val="en-US"/>
        </w:rPr>
        <w:t>IACHR</w:t>
      </w:r>
      <w:r w:rsidRPr="00CC562A">
        <w:rPr>
          <w:rFonts w:ascii="Cambria" w:hAnsi="Cambria"/>
          <w:sz w:val="16"/>
          <w:szCs w:val="16"/>
          <w:lang w:val="en-US"/>
        </w:rPr>
        <w:t xml:space="preserve">. </w:t>
      </w:r>
      <w:r w:rsidR="00FF310C" w:rsidRPr="00CC562A">
        <w:rPr>
          <w:rFonts w:ascii="Cambria" w:hAnsi="Cambria"/>
          <w:sz w:val="16"/>
          <w:szCs w:val="16"/>
          <w:lang w:val="en-US"/>
        </w:rPr>
        <w:t>Office of the Special Rapporteur for Freedom of Expression</w:t>
      </w:r>
      <w:r w:rsidRPr="00CC562A">
        <w:rPr>
          <w:rFonts w:ascii="Cambria" w:hAnsi="Cambria"/>
          <w:sz w:val="16"/>
          <w:szCs w:val="16"/>
          <w:lang w:val="en-US"/>
        </w:rPr>
        <w:t xml:space="preserve">. </w:t>
      </w:r>
      <w:hyperlink r:id="rId217">
        <w:r w:rsidRPr="006956EC">
          <w:rPr>
            <w:rStyle w:val="Hyperlink"/>
            <w:rFonts w:ascii="Cambria" w:eastAsia="Arial Narrow" w:hAnsi="Cambria" w:cs="Arial Narrow"/>
            <w:sz w:val="16"/>
            <w:szCs w:val="16"/>
            <w:lang w:val="es-AR"/>
          </w:rPr>
          <w:t>Derecho a la información y seguridad nacional</w:t>
        </w:r>
      </w:hyperlink>
      <w:r w:rsidRPr="00CC562A">
        <w:rPr>
          <w:rFonts w:ascii="Cambria" w:hAnsi="Cambria"/>
          <w:sz w:val="16"/>
          <w:szCs w:val="16"/>
        </w:rPr>
        <w:t xml:space="preserve">. </w:t>
      </w:r>
      <w:r w:rsidRPr="00CC562A">
        <w:rPr>
          <w:rFonts w:ascii="Cambria" w:hAnsi="Cambria"/>
          <w:sz w:val="16"/>
          <w:szCs w:val="16"/>
        </w:rPr>
        <w:t xml:space="preserve">OEA/Ser.L/V/II </w:t>
      </w:r>
      <w:r w:rsidR="004E0B7E" w:rsidRPr="00CC562A">
        <w:rPr>
          <w:rFonts w:ascii="Cambria" w:hAnsi="Cambria"/>
          <w:sz w:val="16"/>
          <w:szCs w:val="16"/>
        </w:rPr>
        <w:t>IACHR</w:t>
      </w:r>
      <w:r w:rsidRPr="00CC562A">
        <w:rPr>
          <w:rFonts w:ascii="Cambria" w:hAnsi="Cambria"/>
          <w:sz w:val="16"/>
          <w:szCs w:val="16"/>
        </w:rPr>
        <w:t xml:space="preserve">/RELE/INF.24/20. </w:t>
      </w:r>
      <w:r w:rsidRPr="00CC562A">
        <w:rPr>
          <w:rFonts w:ascii="Cambria" w:hAnsi="Cambria"/>
          <w:sz w:val="16"/>
          <w:szCs w:val="16"/>
          <w:lang w:val="en-US"/>
        </w:rPr>
        <w:t>Jul</w:t>
      </w:r>
      <w:r w:rsidR="00FD7076" w:rsidRPr="00CC562A">
        <w:rPr>
          <w:rFonts w:ascii="Cambria" w:hAnsi="Cambria"/>
          <w:sz w:val="16"/>
          <w:szCs w:val="16"/>
          <w:lang w:val="en-US"/>
        </w:rPr>
        <w:t>y</w:t>
      </w:r>
      <w:r w:rsidRPr="00CC562A">
        <w:rPr>
          <w:rFonts w:ascii="Cambria" w:hAnsi="Cambria"/>
          <w:sz w:val="16"/>
          <w:szCs w:val="16"/>
          <w:lang w:val="en-US"/>
        </w:rPr>
        <w:t xml:space="preserve"> 2020. </w:t>
      </w:r>
      <w:r w:rsidR="00FD7076" w:rsidRPr="00CC562A">
        <w:rPr>
          <w:rFonts w:ascii="Cambria" w:hAnsi="Cambria"/>
          <w:sz w:val="16"/>
          <w:szCs w:val="16"/>
          <w:lang w:val="en-US"/>
        </w:rPr>
        <w:t>p</w:t>
      </w:r>
      <w:r w:rsidR="00736A6B" w:rsidRPr="00CC562A">
        <w:rPr>
          <w:rFonts w:ascii="Cambria" w:hAnsi="Cambria"/>
          <w:sz w:val="16"/>
          <w:szCs w:val="16"/>
          <w:lang w:val="en-US"/>
        </w:rPr>
        <w:t>ara.</w:t>
      </w:r>
      <w:r w:rsidRPr="00CC562A">
        <w:rPr>
          <w:rFonts w:ascii="Cambria" w:hAnsi="Cambria"/>
          <w:sz w:val="16"/>
          <w:szCs w:val="16"/>
          <w:lang w:val="en-US"/>
        </w:rPr>
        <w:t xml:space="preserve"> 76.</w:t>
      </w:r>
    </w:p>
  </w:footnote>
  <w:footnote w:id="383">
    <w:p w14:paraId="55773553" w14:textId="4B299CE0" w:rsidR="00540016" w:rsidRPr="00CC562A" w:rsidRDefault="00540016" w:rsidP="007A58B5">
      <w:pPr>
        <w:pStyle w:val="NoSpacing"/>
        <w:ind w:firstLine="720"/>
        <w:jc w:val="both"/>
        <w:rPr>
          <w:rFonts w:ascii="Cambria" w:hAnsi="Cambria"/>
          <w:sz w:val="16"/>
          <w:szCs w:val="16"/>
          <w:lang w:val="en-US"/>
        </w:rPr>
      </w:pPr>
      <w:r w:rsidRPr="00CC562A">
        <w:rPr>
          <w:rFonts w:ascii="Cambria" w:hAnsi="Cambria"/>
          <w:sz w:val="16"/>
          <w:szCs w:val="16"/>
          <w:vertAlign w:val="superscript"/>
          <w:lang w:val="en-US"/>
        </w:rPr>
        <w:footnoteRef/>
      </w:r>
      <w:r w:rsidRPr="00CC562A">
        <w:rPr>
          <w:rFonts w:ascii="Cambria" w:hAnsi="Cambria"/>
          <w:sz w:val="16"/>
          <w:szCs w:val="16"/>
          <w:lang w:val="en-US"/>
        </w:rPr>
        <w:t xml:space="preserve"> </w:t>
      </w:r>
      <w:r w:rsidR="00A44DE6" w:rsidRPr="00CC562A">
        <w:rPr>
          <w:rFonts w:ascii="Cambria" w:hAnsi="Cambria"/>
          <w:sz w:val="16"/>
          <w:szCs w:val="16"/>
          <w:lang w:val="en-US"/>
        </w:rPr>
        <w:t>I/A Court H.R. Case of</w:t>
      </w:r>
      <w:r w:rsidRPr="00CC562A">
        <w:rPr>
          <w:rFonts w:ascii="Cambria" w:hAnsi="Cambria"/>
          <w:sz w:val="16"/>
          <w:szCs w:val="16"/>
          <w:lang w:val="en-US"/>
        </w:rPr>
        <w:t xml:space="preserve"> Claude Reyes </w:t>
      </w:r>
      <w:r w:rsidR="00A44DE6" w:rsidRPr="00CC562A">
        <w:rPr>
          <w:rFonts w:ascii="Cambria" w:hAnsi="Cambria"/>
          <w:sz w:val="16"/>
          <w:szCs w:val="16"/>
          <w:lang w:val="en-US"/>
        </w:rPr>
        <w:t xml:space="preserve">et al. v. </w:t>
      </w:r>
      <w:r w:rsidRPr="00CC562A">
        <w:rPr>
          <w:rFonts w:ascii="Cambria" w:hAnsi="Cambria"/>
          <w:sz w:val="16"/>
          <w:szCs w:val="16"/>
          <w:lang w:val="en-US"/>
        </w:rPr>
        <w:t xml:space="preserve"> Chile. </w:t>
      </w:r>
      <w:r w:rsidR="00A44DE6" w:rsidRPr="00CC562A">
        <w:rPr>
          <w:rFonts w:ascii="Cambria" w:hAnsi="Cambria"/>
          <w:sz w:val="16"/>
          <w:szCs w:val="16"/>
          <w:lang w:val="en-US"/>
        </w:rPr>
        <w:t>Merits, Reparations, and Costs. Judgment of September</w:t>
      </w:r>
      <w:r w:rsidRPr="00CC562A">
        <w:rPr>
          <w:rFonts w:ascii="Cambria" w:hAnsi="Cambria"/>
          <w:sz w:val="16"/>
          <w:szCs w:val="16"/>
          <w:lang w:val="en-US"/>
        </w:rPr>
        <w:t xml:space="preserve"> 19</w:t>
      </w:r>
      <w:r w:rsidR="00A44DE6" w:rsidRPr="00CC562A">
        <w:rPr>
          <w:rFonts w:ascii="Cambria" w:hAnsi="Cambria"/>
          <w:sz w:val="16"/>
          <w:szCs w:val="16"/>
          <w:lang w:val="en-US"/>
        </w:rPr>
        <w:t>,</w:t>
      </w:r>
      <w:r w:rsidRPr="00CC562A">
        <w:rPr>
          <w:rFonts w:ascii="Cambria" w:hAnsi="Cambria"/>
          <w:sz w:val="16"/>
          <w:szCs w:val="16"/>
          <w:lang w:val="en-US"/>
        </w:rPr>
        <w:t xml:space="preserve"> 2006. Serie</w:t>
      </w:r>
      <w:r w:rsidR="00A44DE6" w:rsidRPr="00CC562A">
        <w:rPr>
          <w:rFonts w:ascii="Cambria" w:hAnsi="Cambria"/>
          <w:sz w:val="16"/>
          <w:szCs w:val="16"/>
          <w:lang w:val="en-US"/>
        </w:rPr>
        <w:t>s</w:t>
      </w:r>
      <w:r w:rsidRPr="00CC562A">
        <w:rPr>
          <w:rFonts w:ascii="Cambria" w:hAnsi="Cambria"/>
          <w:sz w:val="16"/>
          <w:szCs w:val="16"/>
          <w:lang w:val="en-US"/>
        </w:rPr>
        <w:t xml:space="preserve"> C No. 151</w:t>
      </w:r>
      <w:r w:rsidR="00A44DE6" w:rsidRPr="00CC562A">
        <w:rPr>
          <w:rFonts w:ascii="Cambria" w:hAnsi="Cambria"/>
          <w:sz w:val="16"/>
          <w:szCs w:val="16"/>
          <w:lang w:val="en-US"/>
        </w:rPr>
        <w:t>, para</w:t>
      </w:r>
      <w:r w:rsidR="00736A6B" w:rsidRPr="00CC562A">
        <w:rPr>
          <w:rFonts w:ascii="Cambria" w:hAnsi="Cambria"/>
          <w:sz w:val="16"/>
          <w:szCs w:val="16"/>
          <w:lang w:val="en-US"/>
        </w:rPr>
        <w:t>.</w:t>
      </w:r>
      <w:r w:rsidRPr="00CC562A">
        <w:rPr>
          <w:rFonts w:ascii="Cambria" w:hAnsi="Cambria"/>
          <w:sz w:val="16"/>
          <w:szCs w:val="16"/>
          <w:lang w:val="en-US"/>
        </w:rPr>
        <w:t xml:space="preserve"> 98.</w:t>
      </w:r>
    </w:p>
  </w:footnote>
  <w:footnote w:id="384">
    <w:p w14:paraId="3CC34CAE" w14:textId="296B10A5"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85">
    <w:p w14:paraId="7E33B353" w14:textId="06867AC1"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86">
    <w:p w14:paraId="148FDE12" w14:textId="33253DFE" w:rsidR="00BE2C6E" w:rsidRPr="00CC562A" w:rsidRDefault="00BE2C6E" w:rsidP="00BE2C6E">
      <w:pPr>
        <w:pStyle w:val="FootnoteText"/>
        <w:ind w:firstLine="720"/>
        <w:rPr>
          <w:lang w:val="en-US"/>
        </w:rPr>
      </w:pPr>
      <w:r w:rsidRPr="00CC562A">
        <w:rPr>
          <w:rStyle w:val="FootnoteReference"/>
        </w:rPr>
        <w:footnoteRef/>
      </w:r>
      <w:r w:rsidRPr="00CC562A">
        <w:rPr>
          <w:lang w:val="en-US"/>
        </w:rPr>
        <w:t xml:space="preserve"> </w:t>
      </w:r>
      <w:r w:rsidR="00A43355" w:rsidRPr="00CC562A">
        <w:rPr>
          <w:lang w:val="en-US"/>
        </w:rPr>
        <w:t>State of Mexico, OAS Note</w:t>
      </w:r>
      <w:r w:rsidRPr="00CC562A">
        <w:rPr>
          <w:lang w:val="en-US"/>
        </w:rPr>
        <w:t xml:space="preserve"> 517 </w:t>
      </w:r>
      <w:r w:rsidR="00A43355" w:rsidRPr="00CC562A">
        <w:rPr>
          <w:lang w:val="en-US"/>
        </w:rPr>
        <w:t>of February 17,</w:t>
      </w:r>
      <w:r w:rsidRPr="00CC562A">
        <w:rPr>
          <w:lang w:val="en-US"/>
        </w:rPr>
        <w:t xml:space="preserve"> 2023. Observa</w:t>
      </w:r>
      <w:r w:rsidR="00A43355" w:rsidRPr="00CC562A">
        <w:rPr>
          <w:lang w:val="en-US"/>
        </w:rPr>
        <w:t>tions on the preliminary version of the report.</w:t>
      </w:r>
    </w:p>
  </w:footnote>
  <w:footnote w:id="387">
    <w:p w14:paraId="299151AA" w14:textId="62B12A3F"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88">
    <w:p w14:paraId="70DE41C9" w14:textId="65CE8E63" w:rsidR="00070D01" w:rsidRPr="00CC562A" w:rsidRDefault="00070D01" w:rsidP="007A58B5">
      <w:pPr>
        <w:pStyle w:val="FootnoteText"/>
        <w:tabs>
          <w:tab w:val="left" w:pos="990"/>
        </w:tabs>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89">
    <w:p w14:paraId="11D77953" w14:textId="74B58DC6"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00AE1063" w:rsidRPr="00CC562A">
        <w:rPr>
          <w:lang w:val="en-US"/>
        </w:rPr>
        <w:t xml:space="preserve"> through the Inter-American SIMORE</w:t>
      </w:r>
      <w:r w:rsidR="00736A6B" w:rsidRPr="00CC562A">
        <w:rPr>
          <w:lang w:val="en-US"/>
        </w:rPr>
        <w:t>.</w:t>
      </w:r>
    </w:p>
  </w:footnote>
  <w:footnote w:id="390">
    <w:p w14:paraId="79838BDB" w14:textId="2DDBD9CE"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91">
    <w:p w14:paraId="5AB913D9" w14:textId="248F760E" w:rsidR="00886665" w:rsidRPr="00CC562A" w:rsidRDefault="00886665"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CNDH, </w:t>
      </w:r>
      <w:r w:rsidR="001A0FC2" w:rsidRPr="00CC562A">
        <w:rPr>
          <w:lang w:val="en-US"/>
        </w:rPr>
        <w:t xml:space="preserve">Follow-up on </w:t>
      </w:r>
      <w:r w:rsidR="00FD7076" w:rsidRPr="00CC562A">
        <w:rPr>
          <w:lang w:val="en-US"/>
        </w:rPr>
        <w:t>C</w:t>
      </w:r>
      <w:r w:rsidR="001A0FC2" w:rsidRPr="00CC562A">
        <w:rPr>
          <w:lang w:val="en-US"/>
        </w:rPr>
        <w:t xml:space="preserve">ompliance with the </w:t>
      </w:r>
      <w:r w:rsidR="00FD7076" w:rsidRPr="00CC562A">
        <w:rPr>
          <w:lang w:val="en-US"/>
        </w:rPr>
        <w:t>R</w:t>
      </w:r>
      <w:r w:rsidR="001A0FC2" w:rsidRPr="00CC562A">
        <w:rPr>
          <w:lang w:val="en-US"/>
        </w:rPr>
        <w:t xml:space="preserve">ecommendations in the </w:t>
      </w:r>
      <w:r w:rsidR="00FD7076" w:rsidRPr="00CC562A">
        <w:rPr>
          <w:lang w:val="en-US"/>
        </w:rPr>
        <w:t xml:space="preserve">Report </w:t>
      </w:r>
      <w:r w:rsidR="001A0FC2" w:rsidRPr="00CC562A">
        <w:rPr>
          <w:lang w:val="en-US"/>
        </w:rPr>
        <w:t>on the “Situation of Human Rights in Mexico, October 21,</w:t>
      </w:r>
      <w:r w:rsidR="4D1A0B04" w:rsidRPr="00CC562A">
        <w:rPr>
          <w:lang w:val="en-US"/>
        </w:rPr>
        <w:t xml:space="preserve"> 2022, </w:t>
      </w:r>
      <w:r w:rsidR="009E09A3" w:rsidRPr="00CC562A">
        <w:rPr>
          <w:lang w:val="en-US"/>
        </w:rPr>
        <w:t>p.</w:t>
      </w:r>
      <w:r w:rsidR="4D1A0B04" w:rsidRPr="00CC562A">
        <w:rPr>
          <w:lang w:val="en-US"/>
        </w:rPr>
        <w:t xml:space="preserve"> 26.</w:t>
      </w:r>
    </w:p>
  </w:footnote>
  <w:footnote w:id="392">
    <w:p w14:paraId="79A702FA" w14:textId="2FBAB10E"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93">
    <w:p w14:paraId="48D60A98" w14:textId="0298D21F"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94">
    <w:p w14:paraId="31D746D0" w14:textId="0ECC3B7E" w:rsidR="00070D01" w:rsidRPr="00CC562A"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 w:id="395">
    <w:p w14:paraId="2F8FDE9C" w14:textId="11E16E0D" w:rsidR="00070D01" w:rsidRPr="007A58B5" w:rsidRDefault="00070D01" w:rsidP="007A58B5">
      <w:pPr>
        <w:pStyle w:val="FootnoteText"/>
        <w:spacing w:line="240" w:lineRule="auto"/>
        <w:ind w:firstLine="720"/>
        <w:jc w:val="both"/>
        <w:rPr>
          <w:lang w:val="en-US"/>
        </w:rPr>
      </w:pPr>
      <w:r w:rsidRPr="00CC562A">
        <w:rPr>
          <w:rStyle w:val="FootnoteReference"/>
          <w:lang w:val="en-US"/>
        </w:rPr>
        <w:footnoteRef/>
      </w:r>
      <w:r w:rsidR="4D1A0B04" w:rsidRPr="00CC562A">
        <w:rPr>
          <w:lang w:val="en-US"/>
        </w:rPr>
        <w:t xml:space="preserve"> </w:t>
      </w:r>
      <w:r w:rsidR="00ED5DC3" w:rsidRPr="00CC562A">
        <w:rPr>
          <w:lang w:val="en-US"/>
        </w:rPr>
        <w:t>Progress report of the Mexican State on compliance with and follow-up to the recommendations of the IACHR. Chapter V, October 2022</w:t>
      </w:r>
      <w:r w:rsidR="4D1A0B04" w:rsidRPr="00CC562A">
        <w:rPr>
          <w:lang w:val="en-US"/>
        </w:rPr>
        <w:t xml:space="preserve"> </w:t>
      </w:r>
      <w:r w:rsidR="00736A6B" w:rsidRPr="00CC562A">
        <w:rPr>
          <w:lang w:val="en-US"/>
        </w:rPr>
        <w:t>through the Inter-American SIMORE.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F005" w14:textId="77777777" w:rsidR="005160F8" w:rsidRDefault="005160F8">
    <w:pPr>
      <w:pStyle w:val="Header"/>
      <w:rPr>
        <w:rFonts w:ascii="Arial" w:hAnsi="Arial" w:cs="Arial"/>
        <w:color w:val="3B3838" w:themeColor="background2" w:themeShade="40"/>
        <w:szCs w:val="28"/>
      </w:rPr>
    </w:pPr>
    <w:r w:rsidRPr="006B1F24">
      <w:rPr>
        <w:noProof/>
        <w:sz w:val="28"/>
        <w:szCs w:val="28"/>
      </w:rPr>
      <w:drawing>
        <wp:anchor distT="0" distB="0" distL="114300" distR="114300" simplePos="0" relativeHeight="251667460" behindDoc="0" locked="0" layoutInCell="1" allowOverlap="1" wp14:anchorId="6B692BB1" wp14:editId="3CBE1CD0">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64269C" wp14:editId="712A20B6">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Cs w:val="28"/>
      </w:rPr>
      <w:softHyphen/>
    </w:r>
    <w:r>
      <w:rPr>
        <w:rFonts w:ascii="Arial" w:hAnsi="Arial" w:cs="Arial"/>
        <w:color w:val="3B3838" w:themeColor="background2" w:themeShade="40"/>
        <w:szCs w:val="28"/>
      </w:rPr>
      <w:softHyphen/>
      <w:t xml:space="preserve">                    </w:t>
    </w:r>
  </w:p>
  <w:p w14:paraId="60E6F577" w14:textId="6E2367A4" w:rsidR="00D56DC4" w:rsidRPr="005160F8" w:rsidRDefault="005160F8">
    <w:pPr>
      <w:pStyle w:val="Header"/>
      <w:rPr>
        <w:rFonts w:ascii="Arial" w:hAnsi="Arial" w:cs="Arial"/>
        <w:color w:val="3B3838" w:themeColor="background2" w:themeShade="40"/>
        <w:szCs w:val="28"/>
      </w:rPr>
    </w:pPr>
    <w:r>
      <w:rPr>
        <w:rFonts w:ascii="Arial" w:hAnsi="Arial" w:cs="Arial"/>
        <w:b/>
        <w:bCs/>
        <w:noProof/>
        <w:color w:val="000000" w:themeColor="text1"/>
        <w:sz w:val="44"/>
        <w:szCs w:val="44"/>
      </w:rPr>
      <mc:AlternateContent>
        <mc:Choice Requires="wps">
          <w:drawing>
            <wp:anchor distT="0" distB="0" distL="114300" distR="114300" simplePos="0" relativeHeight="251666436" behindDoc="0" locked="0" layoutInCell="1" allowOverlap="1" wp14:anchorId="7835D17D" wp14:editId="43B28D7D">
              <wp:simplePos x="0" y="0"/>
              <wp:positionH relativeFrom="column">
                <wp:posOffset>-5080</wp:posOffset>
              </wp:positionH>
              <wp:positionV relativeFrom="paragraph">
                <wp:posOffset>174133</wp:posOffset>
              </wp:positionV>
              <wp:extent cx="6148358"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80C0D" id="Straight Connector 8"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E6C"/>
    <w:multiLevelType w:val="multilevel"/>
    <w:tmpl w:val="3FA4E3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894563"/>
    <w:multiLevelType w:val="multilevel"/>
    <w:tmpl w:val="2F2025B4"/>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 w15:restartNumberingAfterBreak="0">
    <w:nsid w:val="0FE56649"/>
    <w:multiLevelType w:val="multilevel"/>
    <w:tmpl w:val="BC082C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6AF668B"/>
    <w:multiLevelType w:val="multilevel"/>
    <w:tmpl w:val="671E564A"/>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4" w15:restartNumberingAfterBreak="0">
    <w:nsid w:val="195809A2"/>
    <w:multiLevelType w:val="hybridMultilevel"/>
    <w:tmpl w:val="E6328E36"/>
    <w:lvl w:ilvl="0" w:tplc="45EE482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D74CF4"/>
    <w:multiLevelType w:val="hybridMultilevel"/>
    <w:tmpl w:val="7CCC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B4B50"/>
    <w:multiLevelType w:val="hybridMultilevel"/>
    <w:tmpl w:val="F72E57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19460E"/>
    <w:multiLevelType w:val="multilevel"/>
    <w:tmpl w:val="8ECCB362"/>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8" w15:restartNumberingAfterBreak="0">
    <w:nsid w:val="3B794569"/>
    <w:multiLevelType w:val="multilevel"/>
    <w:tmpl w:val="390047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AC15960"/>
    <w:multiLevelType w:val="multilevel"/>
    <w:tmpl w:val="E4D68F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33C2EBF"/>
    <w:multiLevelType w:val="multilevel"/>
    <w:tmpl w:val="358805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40026F6"/>
    <w:multiLevelType w:val="multilevel"/>
    <w:tmpl w:val="D0144F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4072721"/>
    <w:multiLevelType w:val="multilevel"/>
    <w:tmpl w:val="B06ED78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8387E43"/>
    <w:multiLevelType w:val="multilevel"/>
    <w:tmpl w:val="33D260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A08776C"/>
    <w:multiLevelType w:val="hybridMultilevel"/>
    <w:tmpl w:val="4B8490B0"/>
    <w:lvl w:ilvl="0" w:tplc="3EC21864">
      <w:start w:val="1"/>
      <w:numFmt w:val="decimal"/>
      <w:pStyle w:val="parrafos"/>
      <w:lvlText w:val="%1."/>
      <w:lvlJc w:val="left"/>
      <w:pPr>
        <w:ind w:left="0" w:firstLine="0"/>
      </w:pPr>
      <w:rPr>
        <w:rFonts w:ascii="Cambria" w:hAnsi="Cambria" w:hint="default"/>
        <w:b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15" w15:restartNumberingAfterBreak="0">
    <w:nsid w:val="6B695D81"/>
    <w:multiLevelType w:val="multilevel"/>
    <w:tmpl w:val="BD9820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D5C1E67"/>
    <w:multiLevelType w:val="hybridMultilevel"/>
    <w:tmpl w:val="F2BA8768"/>
    <w:lvl w:ilvl="0" w:tplc="3F6C6A68">
      <w:start w:val="1"/>
      <w:numFmt w:val="decimal"/>
      <w:pStyle w:val="Heading3"/>
      <w:lvlText w:val="%1."/>
      <w:lvlJc w:val="left"/>
      <w:pPr>
        <w:ind w:left="720" w:hanging="360"/>
      </w:pPr>
      <w:rPr>
        <w:rFonts w:ascii="Cambria" w:hAnsi="Cambria" w:hint="default"/>
        <w:b w:val="0"/>
        <w:bCs w:val="0"/>
        <w:i w:val="0"/>
        <w:strike w:val="0"/>
        <w:sz w:val="20"/>
        <w:szCs w:val="20"/>
        <w:lang w:val="en-US"/>
      </w:rPr>
    </w:lvl>
    <w:lvl w:ilvl="1" w:tplc="627CB886">
      <w:start w:val="1"/>
      <w:numFmt w:val="lowerLetter"/>
      <w:lvlText w:val="%2."/>
      <w:lvlJc w:val="left"/>
      <w:pPr>
        <w:ind w:left="360" w:hanging="360"/>
      </w:pPr>
    </w:lvl>
    <w:lvl w:ilvl="2" w:tplc="9724BD00">
      <w:start w:val="1"/>
      <w:numFmt w:val="lowerRoman"/>
      <w:lvlText w:val="%3."/>
      <w:lvlJc w:val="right"/>
      <w:pPr>
        <w:ind w:left="2160" w:hanging="180"/>
      </w:pPr>
    </w:lvl>
    <w:lvl w:ilvl="3" w:tplc="4C12AC10">
      <w:start w:val="1"/>
      <w:numFmt w:val="decimal"/>
      <w:lvlText w:val="%4."/>
      <w:lvlJc w:val="left"/>
      <w:pPr>
        <w:ind w:left="2880" w:hanging="360"/>
      </w:pPr>
    </w:lvl>
    <w:lvl w:ilvl="4" w:tplc="97E6B78E">
      <w:start w:val="1"/>
      <w:numFmt w:val="lowerLetter"/>
      <w:lvlText w:val="%5."/>
      <w:lvlJc w:val="left"/>
      <w:pPr>
        <w:ind w:left="3600" w:hanging="360"/>
      </w:pPr>
    </w:lvl>
    <w:lvl w:ilvl="5" w:tplc="53066454">
      <w:start w:val="1"/>
      <w:numFmt w:val="lowerRoman"/>
      <w:lvlText w:val="%6."/>
      <w:lvlJc w:val="right"/>
      <w:pPr>
        <w:ind w:left="4320" w:hanging="180"/>
      </w:pPr>
    </w:lvl>
    <w:lvl w:ilvl="6" w:tplc="5ECC3B38">
      <w:start w:val="1"/>
      <w:numFmt w:val="decimal"/>
      <w:lvlText w:val="%7."/>
      <w:lvlJc w:val="left"/>
      <w:pPr>
        <w:ind w:left="5040" w:hanging="360"/>
      </w:pPr>
    </w:lvl>
    <w:lvl w:ilvl="7" w:tplc="5AAABA12">
      <w:start w:val="1"/>
      <w:numFmt w:val="lowerLetter"/>
      <w:lvlText w:val="%8."/>
      <w:lvlJc w:val="left"/>
      <w:pPr>
        <w:ind w:left="5760" w:hanging="360"/>
      </w:pPr>
    </w:lvl>
    <w:lvl w:ilvl="8" w:tplc="DED658EA">
      <w:start w:val="1"/>
      <w:numFmt w:val="lowerRoman"/>
      <w:lvlText w:val="%9."/>
      <w:lvlJc w:val="right"/>
      <w:pPr>
        <w:ind w:left="6480" w:hanging="180"/>
      </w:pPr>
    </w:lvl>
  </w:abstractNum>
  <w:abstractNum w:abstractNumId="17" w15:restartNumberingAfterBreak="0">
    <w:nsid w:val="74010E35"/>
    <w:multiLevelType w:val="multilevel"/>
    <w:tmpl w:val="7A5241FA"/>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18" w15:restartNumberingAfterBreak="0">
    <w:nsid w:val="75534501"/>
    <w:multiLevelType w:val="multilevel"/>
    <w:tmpl w:val="F66C5944"/>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19" w15:restartNumberingAfterBreak="0">
    <w:nsid w:val="76C35C27"/>
    <w:multiLevelType w:val="multilevel"/>
    <w:tmpl w:val="3FA4E354"/>
    <w:lvl w:ilvl="0">
      <w:start w:val="1"/>
      <w:numFmt w:val="bullet"/>
      <w:lvlText w:val="●"/>
      <w:lvlJc w:val="left"/>
      <w:pPr>
        <w:ind w:left="1440" w:hanging="360"/>
      </w:pPr>
      <w:rPr>
        <w:rFonts w:ascii="Noto Sans Symbols" w:eastAsia="Noto Sans Symbols" w:hAnsi="Noto Sans Symbols" w:cs="Noto Sans Symbols"/>
        <w:b/>
        <w:i w:val="0"/>
        <w:smallCaps w:val="0"/>
        <w:strike w:val="0"/>
        <w:color w:val="000000"/>
        <w:u w:val="none"/>
        <w:vertAlign w:val="baseline"/>
      </w:rPr>
    </w:lvl>
    <w:lvl w:ilvl="1">
      <w:start w:val="1"/>
      <w:numFmt w:val="bullet"/>
      <w:lvlText w:val="o"/>
      <w:lvlJc w:val="left"/>
      <w:pPr>
        <w:ind w:left="2160" w:hanging="360"/>
      </w:pPr>
      <w:rPr>
        <w:rFonts w:ascii="Courier New" w:eastAsia="Courier New" w:hAnsi="Courier New" w:cs="Courier New"/>
        <w: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b/>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2468784">
    <w:abstractNumId w:val="12"/>
  </w:num>
  <w:num w:numId="2" w16cid:durableId="48113364">
    <w:abstractNumId w:val="16"/>
  </w:num>
  <w:num w:numId="3" w16cid:durableId="2039119852">
    <w:abstractNumId w:val="9"/>
  </w:num>
  <w:num w:numId="4" w16cid:durableId="1402558683">
    <w:abstractNumId w:val="15"/>
  </w:num>
  <w:num w:numId="5" w16cid:durableId="685793556">
    <w:abstractNumId w:val="4"/>
  </w:num>
  <w:num w:numId="6" w16cid:durableId="512914217">
    <w:abstractNumId w:val="0"/>
  </w:num>
  <w:num w:numId="7" w16cid:durableId="219050552">
    <w:abstractNumId w:val="10"/>
  </w:num>
  <w:num w:numId="8" w16cid:durableId="2118792690">
    <w:abstractNumId w:val="8"/>
  </w:num>
  <w:num w:numId="9" w16cid:durableId="1588268133">
    <w:abstractNumId w:val="19"/>
  </w:num>
  <w:num w:numId="10" w16cid:durableId="2140295636">
    <w:abstractNumId w:val="13"/>
  </w:num>
  <w:num w:numId="11" w16cid:durableId="1736315310">
    <w:abstractNumId w:val="16"/>
    <w:lvlOverride w:ilvl="0">
      <w:startOverride w:val="2"/>
    </w:lvlOverride>
  </w:num>
  <w:num w:numId="12" w16cid:durableId="2114938613">
    <w:abstractNumId w:val="16"/>
    <w:lvlOverride w:ilvl="0">
      <w:startOverride w:val="173"/>
    </w:lvlOverride>
  </w:num>
  <w:num w:numId="13" w16cid:durableId="150682591">
    <w:abstractNumId w:val="7"/>
  </w:num>
  <w:num w:numId="14" w16cid:durableId="1665694467">
    <w:abstractNumId w:val="1"/>
  </w:num>
  <w:num w:numId="15" w16cid:durableId="337346369">
    <w:abstractNumId w:val="2"/>
  </w:num>
  <w:num w:numId="16" w16cid:durableId="1760103538">
    <w:abstractNumId w:val="3"/>
  </w:num>
  <w:num w:numId="17" w16cid:durableId="1307125571">
    <w:abstractNumId w:val="11"/>
  </w:num>
  <w:num w:numId="18" w16cid:durableId="919145474">
    <w:abstractNumId w:val="17"/>
  </w:num>
  <w:num w:numId="19" w16cid:durableId="1888562938">
    <w:abstractNumId w:val="18"/>
  </w:num>
  <w:num w:numId="20" w16cid:durableId="49548488">
    <w:abstractNumId w:val="14"/>
  </w:num>
  <w:num w:numId="21" w16cid:durableId="2001081998">
    <w:abstractNumId w:val="16"/>
  </w:num>
  <w:num w:numId="22" w16cid:durableId="186871875">
    <w:abstractNumId w:val="16"/>
  </w:num>
  <w:num w:numId="23" w16cid:durableId="1045834852">
    <w:abstractNumId w:val="16"/>
  </w:num>
  <w:num w:numId="24" w16cid:durableId="1144009816">
    <w:abstractNumId w:val="16"/>
  </w:num>
  <w:num w:numId="25" w16cid:durableId="1871796763">
    <w:abstractNumId w:val="16"/>
  </w:num>
  <w:num w:numId="26" w16cid:durableId="210921194">
    <w:abstractNumId w:val="16"/>
  </w:num>
  <w:num w:numId="27" w16cid:durableId="2142722968">
    <w:abstractNumId w:val="16"/>
  </w:num>
  <w:num w:numId="28" w16cid:durableId="2002345706">
    <w:abstractNumId w:val="16"/>
  </w:num>
  <w:num w:numId="29" w16cid:durableId="2142141589">
    <w:abstractNumId w:val="16"/>
    <w:lvlOverride w:ilvl="0">
      <w:startOverride w:val="1"/>
    </w:lvlOverride>
  </w:num>
  <w:num w:numId="30" w16cid:durableId="1199465512">
    <w:abstractNumId w:val="6"/>
  </w:num>
  <w:num w:numId="31" w16cid:durableId="399451936">
    <w:abstractNumId w:val="5"/>
  </w:num>
  <w:num w:numId="32" w16cid:durableId="33434805">
    <w:abstractNumId w:val="16"/>
    <w:lvlOverride w:ilvl="0">
      <w:startOverride w:val="1"/>
    </w:lvlOverride>
  </w:num>
  <w:num w:numId="33" w16cid:durableId="122580603">
    <w:abstractNumId w:val="16"/>
    <w:lvlOverride w:ilvl="0">
      <w:startOverride w:val="1"/>
    </w:lvlOverride>
  </w:num>
  <w:num w:numId="34" w16cid:durableId="703289001">
    <w:abstractNumId w:val="16"/>
    <w:lvlOverride w:ilvl="0">
      <w:startOverride w:val="1"/>
    </w:lvlOverride>
  </w:num>
  <w:num w:numId="35" w16cid:durableId="330565237">
    <w:abstractNumId w:val="16"/>
    <w:lvlOverride w:ilvl="0">
      <w:startOverride w:val="1"/>
    </w:lvlOverride>
  </w:num>
  <w:num w:numId="36" w16cid:durableId="1789812325">
    <w:abstractNumId w:val="16"/>
    <w:lvlOverride w:ilvl="0">
      <w:startOverride w:val="1"/>
    </w:lvlOverride>
  </w:num>
  <w:num w:numId="37" w16cid:durableId="396056134">
    <w:abstractNumId w:val="16"/>
    <w:lvlOverride w:ilvl="0">
      <w:startOverride w:val="1"/>
    </w:lvlOverride>
  </w:num>
  <w:num w:numId="38" w16cid:durableId="1373918997">
    <w:abstractNumId w:val="16"/>
    <w:lvlOverride w:ilvl="0">
      <w:startOverride w:val="1"/>
    </w:lvlOverride>
  </w:num>
  <w:num w:numId="39" w16cid:durableId="77440296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0DDB"/>
    <w:rsid w:val="00001918"/>
    <w:rsid w:val="00001E47"/>
    <w:rsid w:val="000024FE"/>
    <w:rsid w:val="0000411A"/>
    <w:rsid w:val="000041C0"/>
    <w:rsid w:val="0000522D"/>
    <w:rsid w:val="00005742"/>
    <w:rsid w:val="00006B2D"/>
    <w:rsid w:val="00010083"/>
    <w:rsid w:val="00011CDB"/>
    <w:rsid w:val="000121CF"/>
    <w:rsid w:val="00013477"/>
    <w:rsid w:val="00013963"/>
    <w:rsid w:val="00013E7A"/>
    <w:rsid w:val="0001625D"/>
    <w:rsid w:val="000204EB"/>
    <w:rsid w:val="00022627"/>
    <w:rsid w:val="000256A4"/>
    <w:rsid w:val="00027C55"/>
    <w:rsid w:val="00030392"/>
    <w:rsid w:val="0003110A"/>
    <w:rsid w:val="00032424"/>
    <w:rsid w:val="00032F0A"/>
    <w:rsid w:val="00033541"/>
    <w:rsid w:val="00037466"/>
    <w:rsid w:val="0003792C"/>
    <w:rsid w:val="00037C5D"/>
    <w:rsid w:val="00037E38"/>
    <w:rsid w:val="0003B225"/>
    <w:rsid w:val="000406B4"/>
    <w:rsid w:val="00043EFA"/>
    <w:rsid w:val="00044B09"/>
    <w:rsid w:val="000452AC"/>
    <w:rsid w:val="00045E5E"/>
    <w:rsid w:val="0005295D"/>
    <w:rsid w:val="00053885"/>
    <w:rsid w:val="000547EF"/>
    <w:rsid w:val="0005699B"/>
    <w:rsid w:val="00057B56"/>
    <w:rsid w:val="000603EE"/>
    <w:rsid w:val="0006057D"/>
    <w:rsid w:val="00060CBC"/>
    <w:rsid w:val="0006160F"/>
    <w:rsid w:val="000618A7"/>
    <w:rsid w:val="00062A4B"/>
    <w:rsid w:val="00063500"/>
    <w:rsid w:val="000636A6"/>
    <w:rsid w:val="00064826"/>
    <w:rsid w:val="00064DA7"/>
    <w:rsid w:val="000654DE"/>
    <w:rsid w:val="00066287"/>
    <w:rsid w:val="00067F29"/>
    <w:rsid w:val="000704DC"/>
    <w:rsid w:val="0007099A"/>
    <w:rsid w:val="00070D01"/>
    <w:rsid w:val="00070DA2"/>
    <w:rsid w:val="00071D85"/>
    <w:rsid w:val="00072BDF"/>
    <w:rsid w:val="00073F31"/>
    <w:rsid w:val="00074070"/>
    <w:rsid w:val="00074132"/>
    <w:rsid w:val="00075DED"/>
    <w:rsid w:val="0007641E"/>
    <w:rsid w:val="0007778A"/>
    <w:rsid w:val="000805C6"/>
    <w:rsid w:val="00082E7C"/>
    <w:rsid w:val="000850E0"/>
    <w:rsid w:val="00086C08"/>
    <w:rsid w:val="0008740B"/>
    <w:rsid w:val="000919B8"/>
    <w:rsid w:val="00092CF3"/>
    <w:rsid w:val="000946F6"/>
    <w:rsid w:val="0009633D"/>
    <w:rsid w:val="000965E9"/>
    <w:rsid w:val="00096BB9"/>
    <w:rsid w:val="000974DE"/>
    <w:rsid w:val="000A0DF8"/>
    <w:rsid w:val="000A1267"/>
    <w:rsid w:val="000A17D8"/>
    <w:rsid w:val="000A1A10"/>
    <w:rsid w:val="000A2B60"/>
    <w:rsid w:val="000A442F"/>
    <w:rsid w:val="000A44AA"/>
    <w:rsid w:val="000A724D"/>
    <w:rsid w:val="000B044A"/>
    <w:rsid w:val="000B06AA"/>
    <w:rsid w:val="000B14B3"/>
    <w:rsid w:val="000B22BC"/>
    <w:rsid w:val="000B2379"/>
    <w:rsid w:val="000B2881"/>
    <w:rsid w:val="000B31F0"/>
    <w:rsid w:val="000B37B1"/>
    <w:rsid w:val="000B3E0C"/>
    <w:rsid w:val="000B40FD"/>
    <w:rsid w:val="000B4897"/>
    <w:rsid w:val="000B5B58"/>
    <w:rsid w:val="000B5E1D"/>
    <w:rsid w:val="000B692A"/>
    <w:rsid w:val="000C0218"/>
    <w:rsid w:val="000C0DD0"/>
    <w:rsid w:val="000C21AF"/>
    <w:rsid w:val="000C2374"/>
    <w:rsid w:val="000C6282"/>
    <w:rsid w:val="000D09AC"/>
    <w:rsid w:val="000D0C2F"/>
    <w:rsid w:val="000D361C"/>
    <w:rsid w:val="000D44B5"/>
    <w:rsid w:val="000D65FB"/>
    <w:rsid w:val="000D6E6A"/>
    <w:rsid w:val="000D70FB"/>
    <w:rsid w:val="000D7C95"/>
    <w:rsid w:val="000E0B29"/>
    <w:rsid w:val="000E115B"/>
    <w:rsid w:val="000E2D37"/>
    <w:rsid w:val="000E58C6"/>
    <w:rsid w:val="000E6B56"/>
    <w:rsid w:val="000E6B8C"/>
    <w:rsid w:val="000F087D"/>
    <w:rsid w:val="000F0959"/>
    <w:rsid w:val="000F0F2B"/>
    <w:rsid w:val="000F1A47"/>
    <w:rsid w:val="000F2984"/>
    <w:rsid w:val="000F3BAA"/>
    <w:rsid w:val="000F3C51"/>
    <w:rsid w:val="00101446"/>
    <w:rsid w:val="00101ADC"/>
    <w:rsid w:val="00102061"/>
    <w:rsid w:val="001029A9"/>
    <w:rsid w:val="00102F93"/>
    <w:rsid w:val="00103B45"/>
    <w:rsid w:val="00104BCC"/>
    <w:rsid w:val="001051F7"/>
    <w:rsid w:val="0010529E"/>
    <w:rsid w:val="00105B23"/>
    <w:rsid w:val="001065E6"/>
    <w:rsid w:val="00106F51"/>
    <w:rsid w:val="001107D6"/>
    <w:rsid w:val="00113A6A"/>
    <w:rsid w:val="001143E0"/>
    <w:rsid w:val="00115B7D"/>
    <w:rsid w:val="00117509"/>
    <w:rsid w:val="00120AFE"/>
    <w:rsid w:val="0012177A"/>
    <w:rsid w:val="00121826"/>
    <w:rsid w:val="001219F6"/>
    <w:rsid w:val="00122232"/>
    <w:rsid w:val="0012289B"/>
    <w:rsid w:val="00123DA8"/>
    <w:rsid w:val="001258B3"/>
    <w:rsid w:val="001260EC"/>
    <w:rsid w:val="00126B53"/>
    <w:rsid w:val="001273A0"/>
    <w:rsid w:val="001274AD"/>
    <w:rsid w:val="00127DAA"/>
    <w:rsid w:val="00130327"/>
    <w:rsid w:val="001304C3"/>
    <w:rsid w:val="00131DE4"/>
    <w:rsid w:val="001325CC"/>
    <w:rsid w:val="00132B29"/>
    <w:rsid w:val="00133F99"/>
    <w:rsid w:val="00133FB6"/>
    <w:rsid w:val="0013407F"/>
    <w:rsid w:val="00134EF7"/>
    <w:rsid w:val="00135D4F"/>
    <w:rsid w:val="00136125"/>
    <w:rsid w:val="001364A9"/>
    <w:rsid w:val="00136CF8"/>
    <w:rsid w:val="00136DCE"/>
    <w:rsid w:val="001413B3"/>
    <w:rsid w:val="0014181C"/>
    <w:rsid w:val="001424C8"/>
    <w:rsid w:val="001426B1"/>
    <w:rsid w:val="00142977"/>
    <w:rsid w:val="00142DD3"/>
    <w:rsid w:val="001432AD"/>
    <w:rsid w:val="0014350F"/>
    <w:rsid w:val="001439F9"/>
    <w:rsid w:val="00143CB1"/>
    <w:rsid w:val="0014572B"/>
    <w:rsid w:val="001461D8"/>
    <w:rsid w:val="00146246"/>
    <w:rsid w:val="00146F83"/>
    <w:rsid w:val="001478F9"/>
    <w:rsid w:val="001514A4"/>
    <w:rsid w:val="00152115"/>
    <w:rsid w:val="0015296F"/>
    <w:rsid w:val="00154842"/>
    <w:rsid w:val="001551B2"/>
    <w:rsid w:val="001554F2"/>
    <w:rsid w:val="00155EE6"/>
    <w:rsid w:val="00156468"/>
    <w:rsid w:val="0015647A"/>
    <w:rsid w:val="00157391"/>
    <w:rsid w:val="001576E7"/>
    <w:rsid w:val="00157EB2"/>
    <w:rsid w:val="0016151D"/>
    <w:rsid w:val="00163589"/>
    <w:rsid w:val="00163ECB"/>
    <w:rsid w:val="00164069"/>
    <w:rsid w:val="00165C40"/>
    <w:rsid w:val="00166D02"/>
    <w:rsid w:val="00167B64"/>
    <w:rsid w:val="001703D3"/>
    <w:rsid w:val="001723AD"/>
    <w:rsid w:val="00173559"/>
    <w:rsid w:val="001817EB"/>
    <w:rsid w:val="00181DA0"/>
    <w:rsid w:val="001834CF"/>
    <w:rsid w:val="00191347"/>
    <w:rsid w:val="00191F31"/>
    <w:rsid w:val="00193452"/>
    <w:rsid w:val="00197EFE"/>
    <w:rsid w:val="001A02BE"/>
    <w:rsid w:val="001A02E1"/>
    <w:rsid w:val="001A04D8"/>
    <w:rsid w:val="001A0FC2"/>
    <w:rsid w:val="001A2D0D"/>
    <w:rsid w:val="001A308C"/>
    <w:rsid w:val="001A4CE0"/>
    <w:rsid w:val="001A62F8"/>
    <w:rsid w:val="001A685A"/>
    <w:rsid w:val="001B0264"/>
    <w:rsid w:val="001B24F3"/>
    <w:rsid w:val="001B32F4"/>
    <w:rsid w:val="001B5705"/>
    <w:rsid w:val="001C24E9"/>
    <w:rsid w:val="001C268F"/>
    <w:rsid w:val="001C2B50"/>
    <w:rsid w:val="001C33D1"/>
    <w:rsid w:val="001C7051"/>
    <w:rsid w:val="001C736F"/>
    <w:rsid w:val="001C78B1"/>
    <w:rsid w:val="001D0ABE"/>
    <w:rsid w:val="001D3AF3"/>
    <w:rsid w:val="001D44CC"/>
    <w:rsid w:val="001D5A1D"/>
    <w:rsid w:val="001D628C"/>
    <w:rsid w:val="001D7A26"/>
    <w:rsid w:val="001E0441"/>
    <w:rsid w:val="001E0968"/>
    <w:rsid w:val="001E1834"/>
    <w:rsid w:val="001E195F"/>
    <w:rsid w:val="001E1CC9"/>
    <w:rsid w:val="001E350A"/>
    <w:rsid w:val="001E412A"/>
    <w:rsid w:val="001E50F3"/>
    <w:rsid w:val="001E53D9"/>
    <w:rsid w:val="001E5935"/>
    <w:rsid w:val="001E5C56"/>
    <w:rsid w:val="001E7B68"/>
    <w:rsid w:val="001F0DB5"/>
    <w:rsid w:val="001F15A3"/>
    <w:rsid w:val="001F1F84"/>
    <w:rsid w:val="001F22E4"/>
    <w:rsid w:val="001F4003"/>
    <w:rsid w:val="001F4D58"/>
    <w:rsid w:val="001F4E6A"/>
    <w:rsid w:val="001F585B"/>
    <w:rsid w:val="001F7BDA"/>
    <w:rsid w:val="002003FF"/>
    <w:rsid w:val="002007A0"/>
    <w:rsid w:val="0020257A"/>
    <w:rsid w:val="00203446"/>
    <w:rsid w:val="00204CAA"/>
    <w:rsid w:val="00205BF4"/>
    <w:rsid w:val="002063B8"/>
    <w:rsid w:val="00210EF8"/>
    <w:rsid w:val="00211812"/>
    <w:rsid w:val="00213CC7"/>
    <w:rsid w:val="00214A8E"/>
    <w:rsid w:val="0021581C"/>
    <w:rsid w:val="002174CE"/>
    <w:rsid w:val="002176AA"/>
    <w:rsid w:val="00217F53"/>
    <w:rsid w:val="00220113"/>
    <w:rsid w:val="002221DF"/>
    <w:rsid w:val="002222EF"/>
    <w:rsid w:val="0022264D"/>
    <w:rsid w:val="002248FB"/>
    <w:rsid w:val="00230BFA"/>
    <w:rsid w:val="002313C3"/>
    <w:rsid w:val="00231D4D"/>
    <w:rsid w:val="00233B81"/>
    <w:rsid w:val="00234A87"/>
    <w:rsid w:val="00234E64"/>
    <w:rsid w:val="00235296"/>
    <w:rsid w:val="00235545"/>
    <w:rsid w:val="00236259"/>
    <w:rsid w:val="00237512"/>
    <w:rsid w:val="00237642"/>
    <w:rsid w:val="002376C6"/>
    <w:rsid w:val="00237942"/>
    <w:rsid w:val="00241F27"/>
    <w:rsid w:val="00243E38"/>
    <w:rsid w:val="0024473B"/>
    <w:rsid w:val="00245926"/>
    <w:rsid w:val="00246773"/>
    <w:rsid w:val="00247148"/>
    <w:rsid w:val="002476A7"/>
    <w:rsid w:val="0025089D"/>
    <w:rsid w:val="00250F66"/>
    <w:rsid w:val="0025108C"/>
    <w:rsid w:val="00251BCB"/>
    <w:rsid w:val="002552C9"/>
    <w:rsid w:val="00257A32"/>
    <w:rsid w:val="00257CE5"/>
    <w:rsid w:val="0025A7F0"/>
    <w:rsid w:val="00260182"/>
    <w:rsid w:val="0026041A"/>
    <w:rsid w:val="002607A0"/>
    <w:rsid w:val="00260CCF"/>
    <w:rsid w:val="00264216"/>
    <w:rsid w:val="00264451"/>
    <w:rsid w:val="0026537E"/>
    <w:rsid w:val="00265887"/>
    <w:rsid w:val="00265A6D"/>
    <w:rsid w:val="00265CEF"/>
    <w:rsid w:val="00265E79"/>
    <w:rsid w:val="00267D27"/>
    <w:rsid w:val="00270289"/>
    <w:rsid w:val="00270A29"/>
    <w:rsid w:val="0027252C"/>
    <w:rsid w:val="00272942"/>
    <w:rsid w:val="00274D55"/>
    <w:rsid w:val="00274DDF"/>
    <w:rsid w:val="00276638"/>
    <w:rsid w:val="00277E2B"/>
    <w:rsid w:val="00280060"/>
    <w:rsid w:val="00280B4C"/>
    <w:rsid w:val="00280F0B"/>
    <w:rsid w:val="00281FCA"/>
    <w:rsid w:val="002832AF"/>
    <w:rsid w:val="002836C3"/>
    <w:rsid w:val="002852D3"/>
    <w:rsid w:val="0028702E"/>
    <w:rsid w:val="002906DA"/>
    <w:rsid w:val="00290960"/>
    <w:rsid w:val="00291670"/>
    <w:rsid w:val="00291F3F"/>
    <w:rsid w:val="0029212B"/>
    <w:rsid w:val="00292FF2"/>
    <w:rsid w:val="00294B7B"/>
    <w:rsid w:val="00295D2D"/>
    <w:rsid w:val="0029628F"/>
    <w:rsid w:val="00297035"/>
    <w:rsid w:val="0029950C"/>
    <w:rsid w:val="002A0725"/>
    <w:rsid w:val="002A0B26"/>
    <w:rsid w:val="002A0EFE"/>
    <w:rsid w:val="002A1540"/>
    <w:rsid w:val="002A2292"/>
    <w:rsid w:val="002B1892"/>
    <w:rsid w:val="002B21B1"/>
    <w:rsid w:val="002B43C9"/>
    <w:rsid w:val="002B51DD"/>
    <w:rsid w:val="002B53AC"/>
    <w:rsid w:val="002B5B09"/>
    <w:rsid w:val="002B67CB"/>
    <w:rsid w:val="002B7C88"/>
    <w:rsid w:val="002C4B8A"/>
    <w:rsid w:val="002C5411"/>
    <w:rsid w:val="002C61B3"/>
    <w:rsid w:val="002C624B"/>
    <w:rsid w:val="002C7ADE"/>
    <w:rsid w:val="002D0DA5"/>
    <w:rsid w:val="002D16DC"/>
    <w:rsid w:val="002D2C06"/>
    <w:rsid w:val="002D2C8B"/>
    <w:rsid w:val="002D2EA6"/>
    <w:rsid w:val="002D3668"/>
    <w:rsid w:val="002D3F17"/>
    <w:rsid w:val="002D553F"/>
    <w:rsid w:val="002D749A"/>
    <w:rsid w:val="002E34AC"/>
    <w:rsid w:val="002E3562"/>
    <w:rsid w:val="002E43B5"/>
    <w:rsid w:val="002E5080"/>
    <w:rsid w:val="002E6275"/>
    <w:rsid w:val="002F1062"/>
    <w:rsid w:val="002F2FC6"/>
    <w:rsid w:val="002F34DB"/>
    <w:rsid w:val="002F39B3"/>
    <w:rsid w:val="002F5213"/>
    <w:rsid w:val="002F5D16"/>
    <w:rsid w:val="002F5FF8"/>
    <w:rsid w:val="002F7DB8"/>
    <w:rsid w:val="003000E6"/>
    <w:rsid w:val="00300171"/>
    <w:rsid w:val="00300983"/>
    <w:rsid w:val="00300B5F"/>
    <w:rsid w:val="00301D23"/>
    <w:rsid w:val="003033E5"/>
    <w:rsid w:val="00306093"/>
    <w:rsid w:val="003064D1"/>
    <w:rsid w:val="0030652D"/>
    <w:rsid w:val="00306DCC"/>
    <w:rsid w:val="003077A6"/>
    <w:rsid w:val="003103FA"/>
    <w:rsid w:val="00310523"/>
    <w:rsid w:val="003106CB"/>
    <w:rsid w:val="00311A47"/>
    <w:rsid w:val="00312165"/>
    <w:rsid w:val="003143E8"/>
    <w:rsid w:val="00314463"/>
    <w:rsid w:val="00316DEA"/>
    <w:rsid w:val="00320B84"/>
    <w:rsid w:val="00322720"/>
    <w:rsid w:val="00324A00"/>
    <w:rsid w:val="00324EDF"/>
    <w:rsid w:val="003269A2"/>
    <w:rsid w:val="00326FBD"/>
    <w:rsid w:val="00327716"/>
    <w:rsid w:val="00327790"/>
    <w:rsid w:val="00327874"/>
    <w:rsid w:val="003313B2"/>
    <w:rsid w:val="0033269D"/>
    <w:rsid w:val="003326E1"/>
    <w:rsid w:val="00336F8B"/>
    <w:rsid w:val="00337391"/>
    <w:rsid w:val="00337B8E"/>
    <w:rsid w:val="00340166"/>
    <w:rsid w:val="003417A0"/>
    <w:rsid w:val="00341AA6"/>
    <w:rsid w:val="00343046"/>
    <w:rsid w:val="0034358C"/>
    <w:rsid w:val="00344810"/>
    <w:rsid w:val="00345C7B"/>
    <w:rsid w:val="00346278"/>
    <w:rsid w:val="00347ACA"/>
    <w:rsid w:val="003529D6"/>
    <w:rsid w:val="00353854"/>
    <w:rsid w:val="00354CE7"/>
    <w:rsid w:val="00354EDA"/>
    <w:rsid w:val="00355121"/>
    <w:rsid w:val="0036082C"/>
    <w:rsid w:val="00363434"/>
    <w:rsid w:val="00365543"/>
    <w:rsid w:val="00367459"/>
    <w:rsid w:val="0037114F"/>
    <w:rsid w:val="003714EA"/>
    <w:rsid w:val="003719E2"/>
    <w:rsid w:val="003759C0"/>
    <w:rsid w:val="003764B6"/>
    <w:rsid w:val="0037690F"/>
    <w:rsid w:val="00376A5C"/>
    <w:rsid w:val="003770AC"/>
    <w:rsid w:val="003775ED"/>
    <w:rsid w:val="0037788D"/>
    <w:rsid w:val="00380977"/>
    <w:rsid w:val="00382292"/>
    <w:rsid w:val="003835DF"/>
    <w:rsid w:val="00384B03"/>
    <w:rsid w:val="00384D8C"/>
    <w:rsid w:val="003854A4"/>
    <w:rsid w:val="00385543"/>
    <w:rsid w:val="003855C4"/>
    <w:rsid w:val="00385DCD"/>
    <w:rsid w:val="00386730"/>
    <w:rsid w:val="00390F03"/>
    <w:rsid w:val="00391ADD"/>
    <w:rsid w:val="00391D00"/>
    <w:rsid w:val="003930A4"/>
    <w:rsid w:val="00394599"/>
    <w:rsid w:val="00395AC1"/>
    <w:rsid w:val="003979DB"/>
    <w:rsid w:val="003A3529"/>
    <w:rsid w:val="003A4782"/>
    <w:rsid w:val="003A4ECB"/>
    <w:rsid w:val="003A4F2A"/>
    <w:rsid w:val="003A5F50"/>
    <w:rsid w:val="003A6A69"/>
    <w:rsid w:val="003A7218"/>
    <w:rsid w:val="003B1DB2"/>
    <w:rsid w:val="003B3143"/>
    <w:rsid w:val="003B4D85"/>
    <w:rsid w:val="003B76B8"/>
    <w:rsid w:val="003C008B"/>
    <w:rsid w:val="003C0383"/>
    <w:rsid w:val="003C0452"/>
    <w:rsid w:val="003C176E"/>
    <w:rsid w:val="003C1F0F"/>
    <w:rsid w:val="003C4273"/>
    <w:rsid w:val="003C61BB"/>
    <w:rsid w:val="003C6739"/>
    <w:rsid w:val="003D00EE"/>
    <w:rsid w:val="003D0CD0"/>
    <w:rsid w:val="003D1DBF"/>
    <w:rsid w:val="003D2F43"/>
    <w:rsid w:val="003D42B6"/>
    <w:rsid w:val="003D5BCB"/>
    <w:rsid w:val="003D679F"/>
    <w:rsid w:val="003D7D26"/>
    <w:rsid w:val="003E00F4"/>
    <w:rsid w:val="003E358F"/>
    <w:rsid w:val="003E6D7E"/>
    <w:rsid w:val="003F097F"/>
    <w:rsid w:val="003F1067"/>
    <w:rsid w:val="003F1528"/>
    <w:rsid w:val="003F22A5"/>
    <w:rsid w:val="003F2C1B"/>
    <w:rsid w:val="003F5561"/>
    <w:rsid w:val="003F59BF"/>
    <w:rsid w:val="003F6B9C"/>
    <w:rsid w:val="003F7C70"/>
    <w:rsid w:val="00400CA2"/>
    <w:rsid w:val="004026EC"/>
    <w:rsid w:val="00402A7A"/>
    <w:rsid w:val="0040381D"/>
    <w:rsid w:val="00404284"/>
    <w:rsid w:val="004072F8"/>
    <w:rsid w:val="00407627"/>
    <w:rsid w:val="00410C52"/>
    <w:rsid w:val="00413965"/>
    <w:rsid w:val="00414A4C"/>
    <w:rsid w:val="00415F0A"/>
    <w:rsid w:val="0041680E"/>
    <w:rsid w:val="00417D94"/>
    <w:rsid w:val="00417DAF"/>
    <w:rsid w:val="004207D2"/>
    <w:rsid w:val="00421FD8"/>
    <w:rsid w:val="004253AF"/>
    <w:rsid w:val="00426EDD"/>
    <w:rsid w:val="004270C2"/>
    <w:rsid w:val="00431477"/>
    <w:rsid w:val="0043244B"/>
    <w:rsid w:val="0043534B"/>
    <w:rsid w:val="004356C6"/>
    <w:rsid w:val="00436C3A"/>
    <w:rsid w:val="00437074"/>
    <w:rsid w:val="00440917"/>
    <w:rsid w:val="00442024"/>
    <w:rsid w:val="004421BE"/>
    <w:rsid w:val="004428B7"/>
    <w:rsid w:val="00443277"/>
    <w:rsid w:val="004449B6"/>
    <w:rsid w:val="00444FD1"/>
    <w:rsid w:val="00445F3D"/>
    <w:rsid w:val="00447811"/>
    <w:rsid w:val="00450D93"/>
    <w:rsid w:val="00451A15"/>
    <w:rsid w:val="00451B4D"/>
    <w:rsid w:val="00453115"/>
    <w:rsid w:val="00453F25"/>
    <w:rsid w:val="00455333"/>
    <w:rsid w:val="004555F9"/>
    <w:rsid w:val="00455AFF"/>
    <w:rsid w:val="004561C4"/>
    <w:rsid w:val="00456B1E"/>
    <w:rsid w:val="004607EA"/>
    <w:rsid w:val="00460B07"/>
    <w:rsid w:val="00461562"/>
    <w:rsid w:val="004622F2"/>
    <w:rsid w:val="00462F09"/>
    <w:rsid w:val="004632B4"/>
    <w:rsid w:val="00463AC0"/>
    <w:rsid w:val="00465611"/>
    <w:rsid w:val="00465A8B"/>
    <w:rsid w:val="004665AB"/>
    <w:rsid w:val="00470316"/>
    <w:rsid w:val="004703B8"/>
    <w:rsid w:val="004707ED"/>
    <w:rsid w:val="00472FBF"/>
    <w:rsid w:val="00473685"/>
    <w:rsid w:val="004738E4"/>
    <w:rsid w:val="00474826"/>
    <w:rsid w:val="00474FDE"/>
    <w:rsid w:val="004755DD"/>
    <w:rsid w:val="004758C9"/>
    <w:rsid w:val="00477F25"/>
    <w:rsid w:val="0048141D"/>
    <w:rsid w:val="00483FC9"/>
    <w:rsid w:val="0048723C"/>
    <w:rsid w:val="00487FC9"/>
    <w:rsid w:val="00490924"/>
    <w:rsid w:val="00491D71"/>
    <w:rsid w:val="00493022"/>
    <w:rsid w:val="00494509"/>
    <w:rsid w:val="00495088"/>
    <w:rsid w:val="00496546"/>
    <w:rsid w:val="004A0FDE"/>
    <w:rsid w:val="004A1139"/>
    <w:rsid w:val="004A1A0F"/>
    <w:rsid w:val="004A20BA"/>
    <w:rsid w:val="004A2297"/>
    <w:rsid w:val="004A251D"/>
    <w:rsid w:val="004A31AF"/>
    <w:rsid w:val="004A3889"/>
    <w:rsid w:val="004A5AF9"/>
    <w:rsid w:val="004A69F7"/>
    <w:rsid w:val="004A70E4"/>
    <w:rsid w:val="004A7D01"/>
    <w:rsid w:val="004B133E"/>
    <w:rsid w:val="004B2B83"/>
    <w:rsid w:val="004B2EB4"/>
    <w:rsid w:val="004B6604"/>
    <w:rsid w:val="004B7C3E"/>
    <w:rsid w:val="004C0790"/>
    <w:rsid w:val="004C1854"/>
    <w:rsid w:val="004C24B8"/>
    <w:rsid w:val="004C4B1C"/>
    <w:rsid w:val="004C5B48"/>
    <w:rsid w:val="004C66C4"/>
    <w:rsid w:val="004C6B86"/>
    <w:rsid w:val="004C71C9"/>
    <w:rsid w:val="004D0090"/>
    <w:rsid w:val="004D06F6"/>
    <w:rsid w:val="004D271F"/>
    <w:rsid w:val="004D29C6"/>
    <w:rsid w:val="004D30FD"/>
    <w:rsid w:val="004D365F"/>
    <w:rsid w:val="004D7917"/>
    <w:rsid w:val="004E0865"/>
    <w:rsid w:val="004E08F9"/>
    <w:rsid w:val="004E0AB7"/>
    <w:rsid w:val="004E0B7E"/>
    <w:rsid w:val="004E1925"/>
    <w:rsid w:val="004E2A55"/>
    <w:rsid w:val="004E37DF"/>
    <w:rsid w:val="004E3F33"/>
    <w:rsid w:val="004E406D"/>
    <w:rsid w:val="004E4F76"/>
    <w:rsid w:val="004E564C"/>
    <w:rsid w:val="004E6B50"/>
    <w:rsid w:val="004E6BE2"/>
    <w:rsid w:val="004E6E4B"/>
    <w:rsid w:val="004F094B"/>
    <w:rsid w:val="004F0BD7"/>
    <w:rsid w:val="004F0D20"/>
    <w:rsid w:val="004F1941"/>
    <w:rsid w:val="004F2A31"/>
    <w:rsid w:val="005006A0"/>
    <w:rsid w:val="00500FDE"/>
    <w:rsid w:val="0050213A"/>
    <w:rsid w:val="005061DD"/>
    <w:rsid w:val="005076C4"/>
    <w:rsid w:val="00507873"/>
    <w:rsid w:val="00507F94"/>
    <w:rsid w:val="00511002"/>
    <w:rsid w:val="00511EF3"/>
    <w:rsid w:val="00511F05"/>
    <w:rsid w:val="0051225C"/>
    <w:rsid w:val="005131E9"/>
    <w:rsid w:val="005155C8"/>
    <w:rsid w:val="00515FE8"/>
    <w:rsid w:val="00516031"/>
    <w:rsid w:val="005160F8"/>
    <w:rsid w:val="0052117A"/>
    <w:rsid w:val="0052171B"/>
    <w:rsid w:val="00521765"/>
    <w:rsid w:val="00521D19"/>
    <w:rsid w:val="00522749"/>
    <w:rsid w:val="00523DF8"/>
    <w:rsid w:val="00524652"/>
    <w:rsid w:val="00525A15"/>
    <w:rsid w:val="00525EC1"/>
    <w:rsid w:val="00526248"/>
    <w:rsid w:val="00527F5E"/>
    <w:rsid w:val="00530076"/>
    <w:rsid w:val="00531B03"/>
    <w:rsid w:val="005324F9"/>
    <w:rsid w:val="00533087"/>
    <w:rsid w:val="00533148"/>
    <w:rsid w:val="00533DEF"/>
    <w:rsid w:val="0053433A"/>
    <w:rsid w:val="00540016"/>
    <w:rsid w:val="005404E4"/>
    <w:rsid w:val="00540D3B"/>
    <w:rsid w:val="00541E51"/>
    <w:rsid w:val="00542150"/>
    <w:rsid w:val="0054281A"/>
    <w:rsid w:val="00543755"/>
    <w:rsid w:val="00545339"/>
    <w:rsid w:val="0054543A"/>
    <w:rsid w:val="00546C4D"/>
    <w:rsid w:val="00552130"/>
    <w:rsid w:val="00554ED1"/>
    <w:rsid w:val="00555F46"/>
    <w:rsid w:val="00556F93"/>
    <w:rsid w:val="005577C5"/>
    <w:rsid w:val="00560C65"/>
    <w:rsid w:val="00560DCB"/>
    <w:rsid w:val="005613F3"/>
    <w:rsid w:val="00561964"/>
    <w:rsid w:val="00561DA0"/>
    <w:rsid w:val="005628F9"/>
    <w:rsid w:val="00563A29"/>
    <w:rsid w:val="00563D8B"/>
    <w:rsid w:val="005649DB"/>
    <w:rsid w:val="00564FAC"/>
    <w:rsid w:val="00566CD0"/>
    <w:rsid w:val="005678EE"/>
    <w:rsid w:val="00570945"/>
    <w:rsid w:val="00572913"/>
    <w:rsid w:val="00573C2C"/>
    <w:rsid w:val="005745C6"/>
    <w:rsid w:val="00574991"/>
    <w:rsid w:val="00575437"/>
    <w:rsid w:val="00575591"/>
    <w:rsid w:val="005775B2"/>
    <w:rsid w:val="00580797"/>
    <w:rsid w:val="00580C24"/>
    <w:rsid w:val="00581718"/>
    <w:rsid w:val="00581F4F"/>
    <w:rsid w:val="00582BF7"/>
    <w:rsid w:val="00583E77"/>
    <w:rsid w:val="005845AC"/>
    <w:rsid w:val="005845B5"/>
    <w:rsid w:val="005905AB"/>
    <w:rsid w:val="00590847"/>
    <w:rsid w:val="00590F02"/>
    <w:rsid w:val="0059476A"/>
    <w:rsid w:val="00594BC4"/>
    <w:rsid w:val="005956F9"/>
    <w:rsid w:val="00595947"/>
    <w:rsid w:val="00596AFF"/>
    <w:rsid w:val="005A28D9"/>
    <w:rsid w:val="005A319F"/>
    <w:rsid w:val="005A4DAF"/>
    <w:rsid w:val="005A5F86"/>
    <w:rsid w:val="005A7383"/>
    <w:rsid w:val="005B1595"/>
    <w:rsid w:val="005B1918"/>
    <w:rsid w:val="005B1980"/>
    <w:rsid w:val="005B3A23"/>
    <w:rsid w:val="005B4144"/>
    <w:rsid w:val="005B5AAA"/>
    <w:rsid w:val="005B62FB"/>
    <w:rsid w:val="005B7566"/>
    <w:rsid w:val="005C0026"/>
    <w:rsid w:val="005C053C"/>
    <w:rsid w:val="005C1B5E"/>
    <w:rsid w:val="005C2908"/>
    <w:rsid w:val="005C33C1"/>
    <w:rsid w:val="005C3E00"/>
    <w:rsid w:val="005C4543"/>
    <w:rsid w:val="005C50C7"/>
    <w:rsid w:val="005C52BB"/>
    <w:rsid w:val="005C54C5"/>
    <w:rsid w:val="005C5795"/>
    <w:rsid w:val="005D0B01"/>
    <w:rsid w:val="005D2371"/>
    <w:rsid w:val="005D23BC"/>
    <w:rsid w:val="005D2E21"/>
    <w:rsid w:val="005D3441"/>
    <w:rsid w:val="005D3948"/>
    <w:rsid w:val="005D39BF"/>
    <w:rsid w:val="005D591D"/>
    <w:rsid w:val="005D5941"/>
    <w:rsid w:val="005E1E89"/>
    <w:rsid w:val="005E22D6"/>
    <w:rsid w:val="005E327B"/>
    <w:rsid w:val="005E4097"/>
    <w:rsid w:val="005E5D4D"/>
    <w:rsid w:val="005E5FB1"/>
    <w:rsid w:val="005E725F"/>
    <w:rsid w:val="005E7831"/>
    <w:rsid w:val="005E79A6"/>
    <w:rsid w:val="005F0E53"/>
    <w:rsid w:val="005F1BAF"/>
    <w:rsid w:val="005F2207"/>
    <w:rsid w:val="005F34DC"/>
    <w:rsid w:val="005F5A9C"/>
    <w:rsid w:val="005F64BC"/>
    <w:rsid w:val="006020A1"/>
    <w:rsid w:val="00602620"/>
    <w:rsid w:val="00602D7D"/>
    <w:rsid w:val="00603391"/>
    <w:rsid w:val="00605AB6"/>
    <w:rsid w:val="0060623E"/>
    <w:rsid w:val="006067DF"/>
    <w:rsid w:val="00607AC2"/>
    <w:rsid w:val="00610A6D"/>
    <w:rsid w:val="00613DEE"/>
    <w:rsid w:val="00614C06"/>
    <w:rsid w:val="006151CA"/>
    <w:rsid w:val="00616FA4"/>
    <w:rsid w:val="0061778C"/>
    <w:rsid w:val="00620121"/>
    <w:rsid w:val="00621E9E"/>
    <w:rsid w:val="0062435F"/>
    <w:rsid w:val="00624C07"/>
    <w:rsid w:val="00624D27"/>
    <w:rsid w:val="00626182"/>
    <w:rsid w:val="00627DF5"/>
    <w:rsid w:val="0063084C"/>
    <w:rsid w:val="0063137D"/>
    <w:rsid w:val="00631A65"/>
    <w:rsid w:val="00632A4C"/>
    <w:rsid w:val="006336FF"/>
    <w:rsid w:val="00633971"/>
    <w:rsid w:val="00633A40"/>
    <w:rsid w:val="006356CF"/>
    <w:rsid w:val="00636304"/>
    <w:rsid w:val="006364A9"/>
    <w:rsid w:val="006367AD"/>
    <w:rsid w:val="00637247"/>
    <w:rsid w:val="00637ED3"/>
    <w:rsid w:val="00641673"/>
    <w:rsid w:val="00643CFB"/>
    <w:rsid w:val="00644B46"/>
    <w:rsid w:val="00645186"/>
    <w:rsid w:val="006469F0"/>
    <w:rsid w:val="00647FB5"/>
    <w:rsid w:val="00650BEB"/>
    <w:rsid w:val="0065212B"/>
    <w:rsid w:val="00652299"/>
    <w:rsid w:val="0065266A"/>
    <w:rsid w:val="00652F83"/>
    <w:rsid w:val="00653BD5"/>
    <w:rsid w:val="00654CBF"/>
    <w:rsid w:val="00655387"/>
    <w:rsid w:val="00655725"/>
    <w:rsid w:val="00656356"/>
    <w:rsid w:val="006569FD"/>
    <w:rsid w:val="006621FD"/>
    <w:rsid w:val="006638E5"/>
    <w:rsid w:val="00666829"/>
    <w:rsid w:val="00666D43"/>
    <w:rsid w:val="00671684"/>
    <w:rsid w:val="00672370"/>
    <w:rsid w:val="00672733"/>
    <w:rsid w:val="00672CD7"/>
    <w:rsid w:val="0067334C"/>
    <w:rsid w:val="0067562F"/>
    <w:rsid w:val="00676358"/>
    <w:rsid w:val="00676BA4"/>
    <w:rsid w:val="00680C46"/>
    <w:rsid w:val="00681518"/>
    <w:rsid w:val="00682582"/>
    <w:rsid w:val="006831E9"/>
    <w:rsid w:val="006843E4"/>
    <w:rsid w:val="00684FCE"/>
    <w:rsid w:val="0068533E"/>
    <w:rsid w:val="00685ED9"/>
    <w:rsid w:val="0068726D"/>
    <w:rsid w:val="00690AA1"/>
    <w:rsid w:val="006912F5"/>
    <w:rsid w:val="006956EC"/>
    <w:rsid w:val="00695B9C"/>
    <w:rsid w:val="006965A0"/>
    <w:rsid w:val="00696C2C"/>
    <w:rsid w:val="006A06E8"/>
    <w:rsid w:val="006A09FE"/>
    <w:rsid w:val="006A315C"/>
    <w:rsid w:val="006A3A86"/>
    <w:rsid w:val="006A3ECA"/>
    <w:rsid w:val="006A5533"/>
    <w:rsid w:val="006A792F"/>
    <w:rsid w:val="006B008B"/>
    <w:rsid w:val="006B1175"/>
    <w:rsid w:val="006B1F24"/>
    <w:rsid w:val="006B2164"/>
    <w:rsid w:val="006B26A4"/>
    <w:rsid w:val="006B2D7C"/>
    <w:rsid w:val="006B3674"/>
    <w:rsid w:val="006B4398"/>
    <w:rsid w:val="006B478F"/>
    <w:rsid w:val="006B59A3"/>
    <w:rsid w:val="006B6307"/>
    <w:rsid w:val="006B73E1"/>
    <w:rsid w:val="006C1095"/>
    <w:rsid w:val="006C3A23"/>
    <w:rsid w:val="006C5BEE"/>
    <w:rsid w:val="006C6A8E"/>
    <w:rsid w:val="006D0B21"/>
    <w:rsid w:val="006D11C3"/>
    <w:rsid w:val="006D1A7C"/>
    <w:rsid w:val="006D34BB"/>
    <w:rsid w:val="006D3C3F"/>
    <w:rsid w:val="006D3D37"/>
    <w:rsid w:val="006D3F08"/>
    <w:rsid w:val="006D3F3F"/>
    <w:rsid w:val="006D4090"/>
    <w:rsid w:val="006D4123"/>
    <w:rsid w:val="006D5F68"/>
    <w:rsid w:val="006D5FA7"/>
    <w:rsid w:val="006E1646"/>
    <w:rsid w:val="006E17A2"/>
    <w:rsid w:val="006E17F6"/>
    <w:rsid w:val="006E4335"/>
    <w:rsid w:val="006E5C94"/>
    <w:rsid w:val="006E6590"/>
    <w:rsid w:val="006E6955"/>
    <w:rsid w:val="006F04FD"/>
    <w:rsid w:val="006F0E3D"/>
    <w:rsid w:val="006F1DA8"/>
    <w:rsid w:val="006F2C9E"/>
    <w:rsid w:val="006F5BC1"/>
    <w:rsid w:val="006F651F"/>
    <w:rsid w:val="006F657A"/>
    <w:rsid w:val="006F71BF"/>
    <w:rsid w:val="00700401"/>
    <w:rsid w:val="007006F5"/>
    <w:rsid w:val="00700DE8"/>
    <w:rsid w:val="007028ED"/>
    <w:rsid w:val="0070461E"/>
    <w:rsid w:val="00705048"/>
    <w:rsid w:val="00707B85"/>
    <w:rsid w:val="00712554"/>
    <w:rsid w:val="00713BEA"/>
    <w:rsid w:val="00714661"/>
    <w:rsid w:val="007152E7"/>
    <w:rsid w:val="00716AC0"/>
    <w:rsid w:val="00717011"/>
    <w:rsid w:val="00717803"/>
    <w:rsid w:val="00717B9D"/>
    <w:rsid w:val="0072044F"/>
    <w:rsid w:val="007220A5"/>
    <w:rsid w:val="007225A1"/>
    <w:rsid w:val="007231D3"/>
    <w:rsid w:val="00724525"/>
    <w:rsid w:val="00725290"/>
    <w:rsid w:val="0072760A"/>
    <w:rsid w:val="00727644"/>
    <w:rsid w:val="00727BCC"/>
    <w:rsid w:val="007301DA"/>
    <w:rsid w:val="0073070E"/>
    <w:rsid w:val="00730EB0"/>
    <w:rsid w:val="00731655"/>
    <w:rsid w:val="00731CC1"/>
    <w:rsid w:val="007326C0"/>
    <w:rsid w:val="00734080"/>
    <w:rsid w:val="00734287"/>
    <w:rsid w:val="00734D62"/>
    <w:rsid w:val="00735AB2"/>
    <w:rsid w:val="0073616C"/>
    <w:rsid w:val="00736A6B"/>
    <w:rsid w:val="007377C5"/>
    <w:rsid w:val="00737E8F"/>
    <w:rsid w:val="00740ECF"/>
    <w:rsid w:val="0074125C"/>
    <w:rsid w:val="0074308D"/>
    <w:rsid w:val="0074370A"/>
    <w:rsid w:val="00747161"/>
    <w:rsid w:val="00747327"/>
    <w:rsid w:val="00747A4B"/>
    <w:rsid w:val="00750392"/>
    <w:rsid w:val="007503BC"/>
    <w:rsid w:val="0075188D"/>
    <w:rsid w:val="00752FED"/>
    <w:rsid w:val="00754344"/>
    <w:rsid w:val="00756269"/>
    <w:rsid w:val="007566C8"/>
    <w:rsid w:val="007571EE"/>
    <w:rsid w:val="007604FF"/>
    <w:rsid w:val="00760AF7"/>
    <w:rsid w:val="00760B5A"/>
    <w:rsid w:val="00761A04"/>
    <w:rsid w:val="0076279D"/>
    <w:rsid w:val="0076322D"/>
    <w:rsid w:val="0076482D"/>
    <w:rsid w:val="0076498D"/>
    <w:rsid w:val="00764DE2"/>
    <w:rsid w:val="007677D2"/>
    <w:rsid w:val="007700E6"/>
    <w:rsid w:val="0077016A"/>
    <w:rsid w:val="007705DD"/>
    <w:rsid w:val="00770FDC"/>
    <w:rsid w:val="00771C41"/>
    <w:rsid w:val="007738D7"/>
    <w:rsid w:val="00773DF0"/>
    <w:rsid w:val="00774F84"/>
    <w:rsid w:val="00775FE1"/>
    <w:rsid w:val="00777ADE"/>
    <w:rsid w:val="007802AE"/>
    <w:rsid w:val="00780803"/>
    <w:rsid w:val="00781F28"/>
    <w:rsid w:val="00783785"/>
    <w:rsid w:val="00784857"/>
    <w:rsid w:val="00784FD4"/>
    <w:rsid w:val="00785B09"/>
    <w:rsid w:val="00786CB1"/>
    <w:rsid w:val="00786D99"/>
    <w:rsid w:val="00787AC6"/>
    <w:rsid w:val="00787C03"/>
    <w:rsid w:val="007905EE"/>
    <w:rsid w:val="00791A29"/>
    <w:rsid w:val="007920E4"/>
    <w:rsid w:val="00792400"/>
    <w:rsid w:val="007941F8"/>
    <w:rsid w:val="00796A33"/>
    <w:rsid w:val="007A03E5"/>
    <w:rsid w:val="007A11C8"/>
    <w:rsid w:val="007A178A"/>
    <w:rsid w:val="007A3A71"/>
    <w:rsid w:val="007A3EFE"/>
    <w:rsid w:val="007A4A30"/>
    <w:rsid w:val="007A4E40"/>
    <w:rsid w:val="007A58B5"/>
    <w:rsid w:val="007A5A30"/>
    <w:rsid w:val="007A6F11"/>
    <w:rsid w:val="007B0FC1"/>
    <w:rsid w:val="007B3B95"/>
    <w:rsid w:val="007B4B4B"/>
    <w:rsid w:val="007B502A"/>
    <w:rsid w:val="007B53DA"/>
    <w:rsid w:val="007B551A"/>
    <w:rsid w:val="007B5CB8"/>
    <w:rsid w:val="007B5CF2"/>
    <w:rsid w:val="007B5D76"/>
    <w:rsid w:val="007B6AAD"/>
    <w:rsid w:val="007B7106"/>
    <w:rsid w:val="007B7362"/>
    <w:rsid w:val="007B7C99"/>
    <w:rsid w:val="007C05EB"/>
    <w:rsid w:val="007C266A"/>
    <w:rsid w:val="007C2C1E"/>
    <w:rsid w:val="007C354C"/>
    <w:rsid w:val="007C41B1"/>
    <w:rsid w:val="007C4929"/>
    <w:rsid w:val="007C4DCE"/>
    <w:rsid w:val="007C5BA3"/>
    <w:rsid w:val="007C5F57"/>
    <w:rsid w:val="007D280A"/>
    <w:rsid w:val="007D37B4"/>
    <w:rsid w:val="007D3CA0"/>
    <w:rsid w:val="007D3F58"/>
    <w:rsid w:val="007D3F63"/>
    <w:rsid w:val="007D5153"/>
    <w:rsid w:val="007D574D"/>
    <w:rsid w:val="007E095F"/>
    <w:rsid w:val="007E0EC2"/>
    <w:rsid w:val="007E243D"/>
    <w:rsid w:val="007E24E5"/>
    <w:rsid w:val="007E34A6"/>
    <w:rsid w:val="007E45A0"/>
    <w:rsid w:val="007E4B76"/>
    <w:rsid w:val="007E6D01"/>
    <w:rsid w:val="007F0135"/>
    <w:rsid w:val="007F1318"/>
    <w:rsid w:val="007F16AE"/>
    <w:rsid w:val="007F1A6C"/>
    <w:rsid w:val="007F1F4C"/>
    <w:rsid w:val="007F35B2"/>
    <w:rsid w:val="007F43BA"/>
    <w:rsid w:val="007F768D"/>
    <w:rsid w:val="0080158E"/>
    <w:rsid w:val="00801EF5"/>
    <w:rsid w:val="00802C0C"/>
    <w:rsid w:val="008047A4"/>
    <w:rsid w:val="00804C2C"/>
    <w:rsid w:val="00804D4F"/>
    <w:rsid w:val="00804DFB"/>
    <w:rsid w:val="0080524A"/>
    <w:rsid w:val="00806048"/>
    <w:rsid w:val="008060FD"/>
    <w:rsid w:val="008063D0"/>
    <w:rsid w:val="00806D50"/>
    <w:rsid w:val="0081021D"/>
    <w:rsid w:val="00810CC3"/>
    <w:rsid w:val="00812BC8"/>
    <w:rsid w:val="00812ED2"/>
    <w:rsid w:val="00816747"/>
    <w:rsid w:val="00817941"/>
    <w:rsid w:val="00820732"/>
    <w:rsid w:val="00820E56"/>
    <w:rsid w:val="00821E4B"/>
    <w:rsid w:val="008231A2"/>
    <w:rsid w:val="0082424E"/>
    <w:rsid w:val="008251F5"/>
    <w:rsid w:val="00826638"/>
    <w:rsid w:val="008271A8"/>
    <w:rsid w:val="00832B79"/>
    <w:rsid w:val="0083457D"/>
    <w:rsid w:val="008362FC"/>
    <w:rsid w:val="008363F6"/>
    <w:rsid w:val="008434D7"/>
    <w:rsid w:val="00843B23"/>
    <w:rsid w:val="00843C54"/>
    <w:rsid w:val="008445BF"/>
    <w:rsid w:val="00845991"/>
    <w:rsid w:val="00845CEE"/>
    <w:rsid w:val="008463D3"/>
    <w:rsid w:val="00846BD0"/>
    <w:rsid w:val="00847501"/>
    <w:rsid w:val="00847665"/>
    <w:rsid w:val="00851BCF"/>
    <w:rsid w:val="00852994"/>
    <w:rsid w:val="00853A07"/>
    <w:rsid w:val="00854292"/>
    <w:rsid w:val="0085485F"/>
    <w:rsid w:val="00854DD5"/>
    <w:rsid w:val="00854E6B"/>
    <w:rsid w:val="00856540"/>
    <w:rsid w:val="0085729D"/>
    <w:rsid w:val="00861D6F"/>
    <w:rsid w:val="00861E0B"/>
    <w:rsid w:val="00862596"/>
    <w:rsid w:val="008654BB"/>
    <w:rsid w:val="00865D51"/>
    <w:rsid w:val="00865E5C"/>
    <w:rsid w:val="00866B17"/>
    <w:rsid w:val="00866D79"/>
    <w:rsid w:val="00871230"/>
    <w:rsid w:val="00871991"/>
    <w:rsid w:val="0087347F"/>
    <w:rsid w:val="00874410"/>
    <w:rsid w:val="00874473"/>
    <w:rsid w:val="008779E9"/>
    <w:rsid w:val="00880673"/>
    <w:rsid w:val="0088087D"/>
    <w:rsid w:val="00880EE4"/>
    <w:rsid w:val="008815B1"/>
    <w:rsid w:val="008818B0"/>
    <w:rsid w:val="00881B6C"/>
    <w:rsid w:val="008822BE"/>
    <w:rsid w:val="0088453F"/>
    <w:rsid w:val="008861D6"/>
    <w:rsid w:val="00886665"/>
    <w:rsid w:val="00893A9F"/>
    <w:rsid w:val="00895920"/>
    <w:rsid w:val="008A12A2"/>
    <w:rsid w:val="008A14F0"/>
    <w:rsid w:val="008A2DCC"/>
    <w:rsid w:val="008A2EBB"/>
    <w:rsid w:val="008A3A3D"/>
    <w:rsid w:val="008A3F4B"/>
    <w:rsid w:val="008A3FA7"/>
    <w:rsid w:val="008A4149"/>
    <w:rsid w:val="008A47B1"/>
    <w:rsid w:val="008A4A12"/>
    <w:rsid w:val="008A4D49"/>
    <w:rsid w:val="008A5A76"/>
    <w:rsid w:val="008A784B"/>
    <w:rsid w:val="008B07DC"/>
    <w:rsid w:val="008B0D24"/>
    <w:rsid w:val="008B436A"/>
    <w:rsid w:val="008B5EBA"/>
    <w:rsid w:val="008B6AE1"/>
    <w:rsid w:val="008C013A"/>
    <w:rsid w:val="008C0F11"/>
    <w:rsid w:val="008C48AD"/>
    <w:rsid w:val="008C6263"/>
    <w:rsid w:val="008C6C6D"/>
    <w:rsid w:val="008C6F2B"/>
    <w:rsid w:val="008D0249"/>
    <w:rsid w:val="008D030D"/>
    <w:rsid w:val="008D1ACC"/>
    <w:rsid w:val="008D26DB"/>
    <w:rsid w:val="008D2AB3"/>
    <w:rsid w:val="008D3F24"/>
    <w:rsid w:val="008D5508"/>
    <w:rsid w:val="008D5C7E"/>
    <w:rsid w:val="008D7107"/>
    <w:rsid w:val="008D724E"/>
    <w:rsid w:val="008D7802"/>
    <w:rsid w:val="008D7A46"/>
    <w:rsid w:val="008E03CA"/>
    <w:rsid w:val="008E3BD0"/>
    <w:rsid w:val="008E53A8"/>
    <w:rsid w:val="008E5523"/>
    <w:rsid w:val="008E6A2C"/>
    <w:rsid w:val="008E6F41"/>
    <w:rsid w:val="008E70C9"/>
    <w:rsid w:val="008E7C7C"/>
    <w:rsid w:val="008F0DF1"/>
    <w:rsid w:val="008F1F83"/>
    <w:rsid w:val="008F36FF"/>
    <w:rsid w:val="008F3BBA"/>
    <w:rsid w:val="008F3C97"/>
    <w:rsid w:val="008F421C"/>
    <w:rsid w:val="008F5CC2"/>
    <w:rsid w:val="008F650F"/>
    <w:rsid w:val="008F6E66"/>
    <w:rsid w:val="009006B8"/>
    <w:rsid w:val="00900719"/>
    <w:rsid w:val="00900ED4"/>
    <w:rsid w:val="00902DD3"/>
    <w:rsid w:val="00904D9B"/>
    <w:rsid w:val="009051BD"/>
    <w:rsid w:val="00906E90"/>
    <w:rsid w:val="00907332"/>
    <w:rsid w:val="00912F80"/>
    <w:rsid w:val="0091327A"/>
    <w:rsid w:val="00913494"/>
    <w:rsid w:val="00913D26"/>
    <w:rsid w:val="0091642B"/>
    <w:rsid w:val="00917451"/>
    <w:rsid w:val="00920A9A"/>
    <w:rsid w:val="00922028"/>
    <w:rsid w:val="00923C62"/>
    <w:rsid w:val="0092654E"/>
    <w:rsid w:val="00926D6A"/>
    <w:rsid w:val="00927C28"/>
    <w:rsid w:val="009305A7"/>
    <w:rsid w:val="00931818"/>
    <w:rsid w:val="009318E4"/>
    <w:rsid w:val="00931910"/>
    <w:rsid w:val="00931DF5"/>
    <w:rsid w:val="00932F3F"/>
    <w:rsid w:val="009345B9"/>
    <w:rsid w:val="0093477C"/>
    <w:rsid w:val="009365AB"/>
    <w:rsid w:val="00937EBB"/>
    <w:rsid w:val="00937F99"/>
    <w:rsid w:val="00940237"/>
    <w:rsid w:val="00941AE1"/>
    <w:rsid w:val="00941AFF"/>
    <w:rsid w:val="0094571D"/>
    <w:rsid w:val="00945830"/>
    <w:rsid w:val="00945DC7"/>
    <w:rsid w:val="00946551"/>
    <w:rsid w:val="00950050"/>
    <w:rsid w:val="0095214B"/>
    <w:rsid w:val="00952BE6"/>
    <w:rsid w:val="009567CE"/>
    <w:rsid w:val="009568B6"/>
    <w:rsid w:val="00956C49"/>
    <w:rsid w:val="00956EAB"/>
    <w:rsid w:val="00957335"/>
    <w:rsid w:val="00960B50"/>
    <w:rsid w:val="00961180"/>
    <w:rsid w:val="009616E5"/>
    <w:rsid w:val="00961CB7"/>
    <w:rsid w:val="0096399B"/>
    <w:rsid w:val="00963B51"/>
    <w:rsid w:val="00964774"/>
    <w:rsid w:val="00964DCA"/>
    <w:rsid w:val="00965166"/>
    <w:rsid w:val="00965678"/>
    <w:rsid w:val="00965EB7"/>
    <w:rsid w:val="0096698C"/>
    <w:rsid w:val="009671E3"/>
    <w:rsid w:val="00967F09"/>
    <w:rsid w:val="00970070"/>
    <w:rsid w:val="009714E4"/>
    <w:rsid w:val="009719EC"/>
    <w:rsid w:val="00972058"/>
    <w:rsid w:val="009750CA"/>
    <w:rsid w:val="00977EDC"/>
    <w:rsid w:val="00983A9A"/>
    <w:rsid w:val="00983CA4"/>
    <w:rsid w:val="0098426F"/>
    <w:rsid w:val="009863B8"/>
    <w:rsid w:val="0098680C"/>
    <w:rsid w:val="0098759F"/>
    <w:rsid w:val="00987C58"/>
    <w:rsid w:val="0099111D"/>
    <w:rsid w:val="0099127F"/>
    <w:rsid w:val="0099399B"/>
    <w:rsid w:val="00993A8F"/>
    <w:rsid w:val="00993FFC"/>
    <w:rsid w:val="00994C0D"/>
    <w:rsid w:val="00995A24"/>
    <w:rsid w:val="00995B30"/>
    <w:rsid w:val="0099629C"/>
    <w:rsid w:val="009963DE"/>
    <w:rsid w:val="009965A7"/>
    <w:rsid w:val="009974F9"/>
    <w:rsid w:val="009978E8"/>
    <w:rsid w:val="00997DF1"/>
    <w:rsid w:val="009A05E9"/>
    <w:rsid w:val="009A0F20"/>
    <w:rsid w:val="009A110C"/>
    <w:rsid w:val="009A1439"/>
    <w:rsid w:val="009A4299"/>
    <w:rsid w:val="009A42CE"/>
    <w:rsid w:val="009A44DE"/>
    <w:rsid w:val="009A4ED0"/>
    <w:rsid w:val="009A74E8"/>
    <w:rsid w:val="009B0009"/>
    <w:rsid w:val="009B4F05"/>
    <w:rsid w:val="009B6728"/>
    <w:rsid w:val="009B6859"/>
    <w:rsid w:val="009B6F81"/>
    <w:rsid w:val="009B78B1"/>
    <w:rsid w:val="009C1B53"/>
    <w:rsid w:val="009C1BFD"/>
    <w:rsid w:val="009C2617"/>
    <w:rsid w:val="009C2AD1"/>
    <w:rsid w:val="009C3AB7"/>
    <w:rsid w:val="009C5845"/>
    <w:rsid w:val="009C5A04"/>
    <w:rsid w:val="009C5ECC"/>
    <w:rsid w:val="009D16D0"/>
    <w:rsid w:val="009D1BCF"/>
    <w:rsid w:val="009D1BEE"/>
    <w:rsid w:val="009D2CE3"/>
    <w:rsid w:val="009D3889"/>
    <w:rsid w:val="009D44E0"/>
    <w:rsid w:val="009D66DD"/>
    <w:rsid w:val="009D66EF"/>
    <w:rsid w:val="009D6759"/>
    <w:rsid w:val="009D6DF7"/>
    <w:rsid w:val="009E065C"/>
    <w:rsid w:val="009E09A3"/>
    <w:rsid w:val="009E0E6A"/>
    <w:rsid w:val="009E149F"/>
    <w:rsid w:val="009E1A74"/>
    <w:rsid w:val="009E1E9B"/>
    <w:rsid w:val="009E3C37"/>
    <w:rsid w:val="009E3E3E"/>
    <w:rsid w:val="009E47B7"/>
    <w:rsid w:val="009E5426"/>
    <w:rsid w:val="009E54CC"/>
    <w:rsid w:val="009E63EC"/>
    <w:rsid w:val="009F109F"/>
    <w:rsid w:val="009F2C2F"/>
    <w:rsid w:val="009F5004"/>
    <w:rsid w:val="009F5BB6"/>
    <w:rsid w:val="009F5CF0"/>
    <w:rsid w:val="009F5F2C"/>
    <w:rsid w:val="009F6836"/>
    <w:rsid w:val="009F71FD"/>
    <w:rsid w:val="009F72E1"/>
    <w:rsid w:val="009F7DD3"/>
    <w:rsid w:val="00A00DDA"/>
    <w:rsid w:val="00A01165"/>
    <w:rsid w:val="00A01222"/>
    <w:rsid w:val="00A01EB2"/>
    <w:rsid w:val="00A03DC3"/>
    <w:rsid w:val="00A03E06"/>
    <w:rsid w:val="00A04335"/>
    <w:rsid w:val="00A05C87"/>
    <w:rsid w:val="00A06F2A"/>
    <w:rsid w:val="00A07E10"/>
    <w:rsid w:val="00A10109"/>
    <w:rsid w:val="00A11884"/>
    <w:rsid w:val="00A123EB"/>
    <w:rsid w:val="00A128F8"/>
    <w:rsid w:val="00A13318"/>
    <w:rsid w:val="00A13F2F"/>
    <w:rsid w:val="00A166B3"/>
    <w:rsid w:val="00A208A0"/>
    <w:rsid w:val="00A20D0B"/>
    <w:rsid w:val="00A2187F"/>
    <w:rsid w:val="00A229D1"/>
    <w:rsid w:val="00A22B68"/>
    <w:rsid w:val="00A24490"/>
    <w:rsid w:val="00A2468E"/>
    <w:rsid w:val="00A24869"/>
    <w:rsid w:val="00A250CA"/>
    <w:rsid w:val="00A2719B"/>
    <w:rsid w:val="00A27779"/>
    <w:rsid w:val="00A277EA"/>
    <w:rsid w:val="00A304D8"/>
    <w:rsid w:val="00A30BE8"/>
    <w:rsid w:val="00A30D9F"/>
    <w:rsid w:val="00A30F1A"/>
    <w:rsid w:val="00A31036"/>
    <w:rsid w:val="00A3120D"/>
    <w:rsid w:val="00A31DC1"/>
    <w:rsid w:val="00A32845"/>
    <w:rsid w:val="00A331D2"/>
    <w:rsid w:val="00A37291"/>
    <w:rsid w:val="00A373D9"/>
    <w:rsid w:val="00A37507"/>
    <w:rsid w:val="00A4198F"/>
    <w:rsid w:val="00A419EF"/>
    <w:rsid w:val="00A41BB5"/>
    <w:rsid w:val="00A42293"/>
    <w:rsid w:val="00A4291E"/>
    <w:rsid w:val="00A43355"/>
    <w:rsid w:val="00A43532"/>
    <w:rsid w:val="00A43BFE"/>
    <w:rsid w:val="00A44DE6"/>
    <w:rsid w:val="00A45295"/>
    <w:rsid w:val="00A45470"/>
    <w:rsid w:val="00A47E75"/>
    <w:rsid w:val="00A5099A"/>
    <w:rsid w:val="00A51CBB"/>
    <w:rsid w:val="00A54A46"/>
    <w:rsid w:val="00A55843"/>
    <w:rsid w:val="00A55BBA"/>
    <w:rsid w:val="00A55CB3"/>
    <w:rsid w:val="00A56456"/>
    <w:rsid w:val="00A61040"/>
    <w:rsid w:val="00A62128"/>
    <w:rsid w:val="00A621EB"/>
    <w:rsid w:val="00A62353"/>
    <w:rsid w:val="00A63873"/>
    <w:rsid w:val="00A6436B"/>
    <w:rsid w:val="00A643BA"/>
    <w:rsid w:val="00A70185"/>
    <w:rsid w:val="00A70582"/>
    <w:rsid w:val="00A70C3A"/>
    <w:rsid w:val="00A72B93"/>
    <w:rsid w:val="00A7514B"/>
    <w:rsid w:val="00A7564C"/>
    <w:rsid w:val="00A75937"/>
    <w:rsid w:val="00A802D1"/>
    <w:rsid w:val="00A80674"/>
    <w:rsid w:val="00A825BC"/>
    <w:rsid w:val="00A8275D"/>
    <w:rsid w:val="00A82ABE"/>
    <w:rsid w:val="00A82C35"/>
    <w:rsid w:val="00A83DC0"/>
    <w:rsid w:val="00A856AA"/>
    <w:rsid w:val="00A858CA"/>
    <w:rsid w:val="00A861B7"/>
    <w:rsid w:val="00A87B70"/>
    <w:rsid w:val="00A92391"/>
    <w:rsid w:val="00A92CCD"/>
    <w:rsid w:val="00A93A83"/>
    <w:rsid w:val="00A94038"/>
    <w:rsid w:val="00A944A8"/>
    <w:rsid w:val="00A9500F"/>
    <w:rsid w:val="00A9627E"/>
    <w:rsid w:val="00A97507"/>
    <w:rsid w:val="00AA1C6D"/>
    <w:rsid w:val="00AA2032"/>
    <w:rsid w:val="00AA2635"/>
    <w:rsid w:val="00AA2757"/>
    <w:rsid w:val="00AA2930"/>
    <w:rsid w:val="00AA3D84"/>
    <w:rsid w:val="00AA3EBE"/>
    <w:rsid w:val="00AA4A64"/>
    <w:rsid w:val="00AA4D42"/>
    <w:rsid w:val="00AA5F08"/>
    <w:rsid w:val="00AB24A3"/>
    <w:rsid w:val="00AB31F4"/>
    <w:rsid w:val="00AB42BF"/>
    <w:rsid w:val="00AB42D9"/>
    <w:rsid w:val="00AB48C0"/>
    <w:rsid w:val="00AB4AC7"/>
    <w:rsid w:val="00AB684B"/>
    <w:rsid w:val="00AB6B91"/>
    <w:rsid w:val="00AB6BFD"/>
    <w:rsid w:val="00AB75C4"/>
    <w:rsid w:val="00AB7739"/>
    <w:rsid w:val="00AB799D"/>
    <w:rsid w:val="00AC00D9"/>
    <w:rsid w:val="00AC18C3"/>
    <w:rsid w:val="00AC2ECE"/>
    <w:rsid w:val="00AC3F63"/>
    <w:rsid w:val="00AC4036"/>
    <w:rsid w:val="00AC40C8"/>
    <w:rsid w:val="00AC4374"/>
    <w:rsid w:val="00AC6B42"/>
    <w:rsid w:val="00AC7782"/>
    <w:rsid w:val="00AC78A5"/>
    <w:rsid w:val="00AC7F6C"/>
    <w:rsid w:val="00ACD0FD"/>
    <w:rsid w:val="00AD1864"/>
    <w:rsid w:val="00AD1EE9"/>
    <w:rsid w:val="00AD3027"/>
    <w:rsid w:val="00AD33A4"/>
    <w:rsid w:val="00AD5C3D"/>
    <w:rsid w:val="00AD6109"/>
    <w:rsid w:val="00AD6D93"/>
    <w:rsid w:val="00AD72C5"/>
    <w:rsid w:val="00AD74ED"/>
    <w:rsid w:val="00AD7BE6"/>
    <w:rsid w:val="00AE0531"/>
    <w:rsid w:val="00AE1063"/>
    <w:rsid w:val="00AE11E6"/>
    <w:rsid w:val="00AE2642"/>
    <w:rsid w:val="00AE2F1D"/>
    <w:rsid w:val="00AE4A95"/>
    <w:rsid w:val="00AE4CFE"/>
    <w:rsid w:val="00AE6965"/>
    <w:rsid w:val="00AE7C2E"/>
    <w:rsid w:val="00AF23E6"/>
    <w:rsid w:val="00AF43BA"/>
    <w:rsid w:val="00AF46B1"/>
    <w:rsid w:val="00AF700B"/>
    <w:rsid w:val="00AF700C"/>
    <w:rsid w:val="00B00E19"/>
    <w:rsid w:val="00B015C7"/>
    <w:rsid w:val="00B047AE"/>
    <w:rsid w:val="00B05CA0"/>
    <w:rsid w:val="00B062FE"/>
    <w:rsid w:val="00B114BB"/>
    <w:rsid w:val="00B12ECA"/>
    <w:rsid w:val="00B12FC3"/>
    <w:rsid w:val="00B13E1C"/>
    <w:rsid w:val="00B1491F"/>
    <w:rsid w:val="00B150C9"/>
    <w:rsid w:val="00B16214"/>
    <w:rsid w:val="00B16D1C"/>
    <w:rsid w:val="00B22524"/>
    <w:rsid w:val="00B23DE7"/>
    <w:rsid w:val="00B26082"/>
    <w:rsid w:val="00B2662F"/>
    <w:rsid w:val="00B27717"/>
    <w:rsid w:val="00B27DF3"/>
    <w:rsid w:val="00B33293"/>
    <w:rsid w:val="00B35BF0"/>
    <w:rsid w:val="00B36561"/>
    <w:rsid w:val="00B36B55"/>
    <w:rsid w:val="00B36E2D"/>
    <w:rsid w:val="00B372B1"/>
    <w:rsid w:val="00B406E0"/>
    <w:rsid w:val="00B44C7D"/>
    <w:rsid w:val="00B47CC7"/>
    <w:rsid w:val="00B47E6B"/>
    <w:rsid w:val="00B501DB"/>
    <w:rsid w:val="00B508BA"/>
    <w:rsid w:val="00B509D4"/>
    <w:rsid w:val="00B50C09"/>
    <w:rsid w:val="00B52E80"/>
    <w:rsid w:val="00B54307"/>
    <w:rsid w:val="00B5548F"/>
    <w:rsid w:val="00B572B8"/>
    <w:rsid w:val="00B577A7"/>
    <w:rsid w:val="00B57DF4"/>
    <w:rsid w:val="00B608A0"/>
    <w:rsid w:val="00B63DEC"/>
    <w:rsid w:val="00B64A62"/>
    <w:rsid w:val="00B7013E"/>
    <w:rsid w:val="00B706D9"/>
    <w:rsid w:val="00B70AEE"/>
    <w:rsid w:val="00B71228"/>
    <w:rsid w:val="00B72104"/>
    <w:rsid w:val="00B72531"/>
    <w:rsid w:val="00B729CD"/>
    <w:rsid w:val="00B72CF4"/>
    <w:rsid w:val="00B73D79"/>
    <w:rsid w:val="00B74309"/>
    <w:rsid w:val="00B83912"/>
    <w:rsid w:val="00B83F29"/>
    <w:rsid w:val="00B905F1"/>
    <w:rsid w:val="00B9094E"/>
    <w:rsid w:val="00B90A2F"/>
    <w:rsid w:val="00B90F9F"/>
    <w:rsid w:val="00B910EF"/>
    <w:rsid w:val="00B91E51"/>
    <w:rsid w:val="00B921D5"/>
    <w:rsid w:val="00B94615"/>
    <w:rsid w:val="00B96D21"/>
    <w:rsid w:val="00B975A3"/>
    <w:rsid w:val="00B97A97"/>
    <w:rsid w:val="00B97BE7"/>
    <w:rsid w:val="00BA0EBA"/>
    <w:rsid w:val="00BA1261"/>
    <w:rsid w:val="00BA2163"/>
    <w:rsid w:val="00BA2BA6"/>
    <w:rsid w:val="00BA2BF5"/>
    <w:rsid w:val="00BA7C79"/>
    <w:rsid w:val="00BB0FFD"/>
    <w:rsid w:val="00BB147B"/>
    <w:rsid w:val="00BB2148"/>
    <w:rsid w:val="00BB21C9"/>
    <w:rsid w:val="00BB30C9"/>
    <w:rsid w:val="00BB470C"/>
    <w:rsid w:val="00BB50EC"/>
    <w:rsid w:val="00BC25E9"/>
    <w:rsid w:val="00BC4187"/>
    <w:rsid w:val="00BC51DB"/>
    <w:rsid w:val="00BC5BAB"/>
    <w:rsid w:val="00BD05E1"/>
    <w:rsid w:val="00BD17B0"/>
    <w:rsid w:val="00BD3B35"/>
    <w:rsid w:val="00BD3B87"/>
    <w:rsid w:val="00BD497B"/>
    <w:rsid w:val="00BD5895"/>
    <w:rsid w:val="00BE1E63"/>
    <w:rsid w:val="00BE2991"/>
    <w:rsid w:val="00BE2C6E"/>
    <w:rsid w:val="00BE45B5"/>
    <w:rsid w:val="00BE4807"/>
    <w:rsid w:val="00BE66B0"/>
    <w:rsid w:val="00BEA624"/>
    <w:rsid w:val="00BF0106"/>
    <w:rsid w:val="00BF01F9"/>
    <w:rsid w:val="00BF0F09"/>
    <w:rsid w:val="00BF101B"/>
    <w:rsid w:val="00BF10F6"/>
    <w:rsid w:val="00BF42FB"/>
    <w:rsid w:val="00BF4950"/>
    <w:rsid w:val="00BF506A"/>
    <w:rsid w:val="00BF5CC0"/>
    <w:rsid w:val="00BF6590"/>
    <w:rsid w:val="00BF68BD"/>
    <w:rsid w:val="00BF75F2"/>
    <w:rsid w:val="00BF796B"/>
    <w:rsid w:val="00BF7A78"/>
    <w:rsid w:val="00C01682"/>
    <w:rsid w:val="00C01B04"/>
    <w:rsid w:val="00C034D7"/>
    <w:rsid w:val="00C047DA"/>
    <w:rsid w:val="00C06984"/>
    <w:rsid w:val="00C119B9"/>
    <w:rsid w:val="00C13B38"/>
    <w:rsid w:val="00C13D97"/>
    <w:rsid w:val="00C15715"/>
    <w:rsid w:val="00C171DA"/>
    <w:rsid w:val="00C179E3"/>
    <w:rsid w:val="00C17EEA"/>
    <w:rsid w:val="00C2035E"/>
    <w:rsid w:val="00C20DF1"/>
    <w:rsid w:val="00C22755"/>
    <w:rsid w:val="00C241C7"/>
    <w:rsid w:val="00C24243"/>
    <w:rsid w:val="00C2669F"/>
    <w:rsid w:val="00C30204"/>
    <w:rsid w:val="00C30659"/>
    <w:rsid w:val="00C30733"/>
    <w:rsid w:val="00C31201"/>
    <w:rsid w:val="00C31982"/>
    <w:rsid w:val="00C32C6A"/>
    <w:rsid w:val="00C334EA"/>
    <w:rsid w:val="00C3669B"/>
    <w:rsid w:val="00C36F5D"/>
    <w:rsid w:val="00C37551"/>
    <w:rsid w:val="00C3792D"/>
    <w:rsid w:val="00C41E9D"/>
    <w:rsid w:val="00C43C37"/>
    <w:rsid w:val="00C43D19"/>
    <w:rsid w:val="00C43D69"/>
    <w:rsid w:val="00C44A02"/>
    <w:rsid w:val="00C44AD0"/>
    <w:rsid w:val="00C4572C"/>
    <w:rsid w:val="00C46466"/>
    <w:rsid w:val="00C4685B"/>
    <w:rsid w:val="00C46916"/>
    <w:rsid w:val="00C50288"/>
    <w:rsid w:val="00C51D63"/>
    <w:rsid w:val="00C52486"/>
    <w:rsid w:val="00C535BC"/>
    <w:rsid w:val="00C55ADE"/>
    <w:rsid w:val="00C5613E"/>
    <w:rsid w:val="00C57DB1"/>
    <w:rsid w:val="00C603AF"/>
    <w:rsid w:val="00C60B67"/>
    <w:rsid w:val="00C626D2"/>
    <w:rsid w:val="00C62E1A"/>
    <w:rsid w:val="00C630E5"/>
    <w:rsid w:val="00C63D92"/>
    <w:rsid w:val="00C64165"/>
    <w:rsid w:val="00C64C2D"/>
    <w:rsid w:val="00C66010"/>
    <w:rsid w:val="00C6685D"/>
    <w:rsid w:val="00C6732F"/>
    <w:rsid w:val="00C702FF"/>
    <w:rsid w:val="00C71106"/>
    <w:rsid w:val="00C71335"/>
    <w:rsid w:val="00C7291B"/>
    <w:rsid w:val="00C7338B"/>
    <w:rsid w:val="00C73723"/>
    <w:rsid w:val="00C74E6F"/>
    <w:rsid w:val="00C75F12"/>
    <w:rsid w:val="00C7736C"/>
    <w:rsid w:val="00C80FE5"/>
    <w:rsid w:val="00C83114"/>
    <w:rsid w:val="00C833E5"/>
    <w:rsid w:val="00C851B0"/>
    <w:rsid w:val="00C868C0"/>
    <w:rsid w:val="00C926DA"/>
    <w:rsid w:val="00C92AD7"/>
    <w:rsid w:val="00C941B9"/>
    <w:rsid w:val="00C956C8"/>
    <w:rsid w:val="00C95C02"/>
    <w:rsid w:val="00CA0705"/>
    <w:rsid w:val="00CA206B"/>
    <w:rsid w:val="00CA2461"/>
    <w:rsid w:val="00CA354B"/>
    <w:rsid w:val="00CA3647"/>
    <w:rsid w:val="00CA4094"/>
    <w:rsid w:val="00CA41ED"/>
    <w:rsid w:val="00CA4937"/>
    <w:rsid w:val="00CA515C"/>
    <w:rsid w:val="00CA54D2"/>
    <w:rsid w:val="00CA5822"/>
    <w:rsid w:val="00CA752C"/>
    <w:rsid w:val="00CA7980"/>
    <w:rsid w:val="00CB0D51"/>
    <w:rsid w:val="00CB137E"/>
    <w:rsid w:val="00CB207F"/>
    <w:rsid w:val="00CB4EBF"/>
    <w:rsid w:val="00CB5B7C"/>
    <w:rsid w:val="00CB6572"/>
    <w:rsid w:val="00CB70A4"/>
    <w:rsid w:val="00CB7DD6"/>
    <w:rsid w:val="00CC1071"/>
    <w:rsid w:val="00CC12E6"/>
    <w:rsid w:val="00CC23F9"/>
    <w:rsid w:val="00CC2D52"/>
    <w:rsid w:val="00CC562A"/>
    <w:rsid w:val="00CC576E"/>
    <w:rsid w:val="00CC64EC"/>
    <w:rsid w:val="00CC660C"/>
    <w:rsid w:val="00CD0139"/>
    <w:rsid w:val="00CD0D04"/>
    <w:rsid w:val="00CD4D3B"/>
    <w:rsid w:val="00CD4E9B"/>
    <w:rsid w:val="00CD602F"/>
    <w:rsid w:val="00CD7AD6"/>
    <w:rsid w:val="00CD7E7D"/>
    <w:rsid w:val="00CE0ACD"/>
    <w:rsid w:val="00CE1328"/>
    <w:rsid w:val="00CE50C6"/>
    <w:rsid w:val="00CE5271"/>
    <w:rsid w:val="00CE6E04"/>
    <w:rsid w:val="00CE7250"/>
    <w:rsid w:val="00CF32FD"/>
    <w:rsid w:val="00CF3686"/>
    <w:rsid w:val="00CF3C79"/>
    <w:rsid w:val="00CF41E0"/>
    <w:rsid w:val="00CF48C6"/>
    <w:rsid w:val="00CF7759"/>
    <w:rsid w:val="00D00CFB"/>
    <w:rsid w:val="00D0149B"/>
    <w:rsid w:val="00D034FA"/>
    <w:rsid w:val="00D03ED9"/>
    <w:rsid w:val="00D04E57"/>
    <w:rsid w:val="00D0562A"/>
    <w:rsid w:val="00D07E4E"/>
    <w:rsid w:val="00D12519"/>
    <w:rsid w:val="00D13962"/>
    <w:rsid w:val="00D14306"/>
    <w:rsid w:val="00D145F4"/>
    <w:rsid w:val="00D152DA"/>
    <w:rsid w:val="00D15BA2"/>
    <w:rsid w:val="00D15E59"/>
    <w:rsid w:val="00D160DA"/>
    <w:rsid w:val="00D1618A"/>
    <w:rsid w:val="00D166F5"/>
    <w:rsid w:val="00D20E1C"/>
    <w:rsid w:val="00D222CC"/>
    <w:rsid w:val="00D2243D"/>
    <w:rsid w:val="00D22981"/>
    <w:rsid w:val="00D22CF8"/>
    <w:rsid w:val="00D230F7"/>
    <w:rsid w:val="00D232B8"/>
    <w:rsid w:val="00D2642F"/>
    <w:rsid w:val="00D26B8F"/>
    <w:rsid w:val="00D2718C"/>
    <w:rsid w:val="00D273C1"/>
    <w:rsid w:val="00D27A5C"/>
    <w:rsid w:val="00D30E01"/>
    <w:rsid w:val="00D323FD"/>
    <w:rsid w:val="00D33CA0"/>
    <w:rsid w:val="00D33CF4"/>
    <w:rsid w:val="00D341C4"/>
    <w:rsid w:val="00D3614A"/>
    <w:rsid w:val="00D36859"/>
    <w:rsid w:val="00D36957"/>
    <w:rsid w:val="00D3783F"/>
    <w:rsid w:val="00D37B1D"/>
    <w:rsid w:val="00D41276"/>
    <w:rsid w:val="00D41842"/>
    <w:rsid w:val="00D41B70"/>
    <w:rsid w:val="00D42C3B"/>
    <w:rsid w:val="00D43046"/>
    <w:rsid w:val="00D43F3E"/>
    <w:rsid w:val="00D4460E"/>
    <w:rsid w:val="00D44D46"/>
    <w:rsid w:val="00D46003"/>
    <w:rsid w:val="00D4639D"/>
    <w:rsid w:val="00D46524"/>
    <w:rsid w:val="00D509CC"/>
    <w:rsid w:val="00D50FAD"/>
    <w:rsid w:val="00D521C9"/>
    <w:rsid w:val="00D52484"/>
    <w:rsid w:val="00D52A7E"/>
    <w:rsid w:val="00D534F8"/>
    <w:rsid w:val="00D54198"/>
    <w:rsid w:val="00D5429E"/>
    <w:rsid w:val="00D56268"/>
    <w:rsid w:val="00D56DC4"/>
    <w:rsid w:val="00D5781D"/>
    <w:rsid w:val="00D64F29"/>
    <w:rsid w:val="00D65F55"/>
    <w:rsid w:val="00D6650B"/>
    <w:rsid w:val="00D701CC"/>
    <w:rsid w:val="00D70ACB"/>
    <w:rsid w:val="00D7293F"/>
    <w:rsid w:val="00D75023"/>
    <w:rsid w:val="00D76B04"/>
    <w:rsid w:val="00D77055"/>
    <w:rsid w:val="00D77397"/>
    <w:rsid w:val="00D8000D"/>
    <w:rsid w:val="00D80036"/>
    <w:rsid w:val="00D81150"/>
    <w:rsid w:val="00D81BA0"/>
    <w:rsid w:val="00D81FE0"/>
    <w:rsid w:val="00D820AC"/>
    <w:rsid w:val="00D82872"/>
    <w:rsid w:val="00D82CEF"/>
    <w:rsid w:val="00D84542"/>
    <w:rsid w:val="00D84563"/>
    <w:rsid w:val="00D84770"/>
    <w:rsid w:val="00D850E6"/>
    <w:rsid w:val="00D8519F"/>
    <w:rsid w:val="00D85D59"/>
    <w:rsid w:val="00D86D7C"/>
    <w:rsid w:val="00D9160A"/>
    <w:rsid w:val="00D921B7"/>
    <w:rsid w:val="00D92572"/>
    <w:rsid w:val="00D9537D"/>
    <w:rsid w:val="00D95F72"/>
    <w:rsid w:val="00D96329"/>
    <w:rsid w:val="00DA475C"/>
    <w:rsid w:val="00DA4843"/>
    <w:rsid w:val="00DA4A6D"/>
    <w:rsid w:val="00DA6BD2"/>
    <w:rsid w:val="00DB044F"/>
    <w:rsid w:val="00DB08DF"/>
    <w:rsid w:val="00DB368F"/>
    <w:rsid w:val="00DB67D8"/>
    <w:rsid w:val="00DB6824"/>
    <w:rsid w:val="00DB71FA"/>
    <w:rsid w:val="00DB7903"/>
    <w:rsid w:val="00DC03B7"/>
    <w:rsid w:val="00DC07CE"/>
    <w:rsid w:val="00DC309D"/>
    <w:rsid w:val="00DC5772"/>
    <w:rsid w:val="00DC5F10"/>
    <w:rsid w:val="00DC75AE"/>
    <w:rsid w:val="00DC9673"/>
    <w:rsid w:val="00DD05B0"/>
    <w:rsid w:val="00DD2127"/>
    <w:rsid w:val="00DD2EC5"/>
    <w:rsid w:val="00DD4D31"/>
    <w:rsid w:val="00DD4DD0"/>
    <w:rsid w:val="00DD7717"/>
    <w:rsid w:val="00DD79F0"/>
    <w:rsid w:val="00DE307C"/>
    <w:rsid w:val="00DE3EFA"/>
    <w:rsid w:val="00DE485E"/>
    <w:rsid w:val="00DE639A"/>
    <w:rsid w:val="00DE6C78"/>
    <w:rsid w:val="00DF5149"/>
    <w:rsid w:val="00DF726C"/>
    <w:rsid w:val="00DF791A"/>
    <w:rsid w:val="00DF7CA2"/>
    <w:rsid w:val="00E000E2"/>
    <w:rsid w:val="00E00A07"/>
    <w:rsid w:val="00E00B36"/>
    <w:rsid w:val="00E039E1"/>
    <w:rsid w:val="00E03CC3"/>
    <w:rsid w:val="00E041F8"/>
    <w:rsid w:val="00E042FE"/>
    <w:rsid w:val="00E04564"/>
    <w:rsid w:val="00E04835"/>
    <w:rsid w:val="00E04948"/>
    <w:rsid w:val="00E075E6"/>
    <w:rsid w:val="00E11440"/>
    <w:rsid w:val="00E11A2E"/>
    <w:rsid w:val="00E11B22"/>
    <w:rsid w:val="00E15408"/>
    <w:rsid w:val="00E15F4F"/>
    <w:rsid w:val="00E16F48"/>
    <w:rsid w:val="00E2023A"/>
    <w:rsid w:val="00E20C05"/>
    <w:rsid w:val="00E20F4E"/>
    <w:rsid w:val="00E210DB"/>
    <w:rsid w:val="00E22120"/>
    <w:rsid w:val="00E22795"/>
    <w:rsid w:val="00E22E4F"/>
    <w:rsid w:val="00E24488"/>
    <w:rsid w:val="00E247D2"/>
    <w:rsid w:val="00E24A25"/>
    <w:rsid w:val="00E24F8D"/>
    <w:rsid w:val="00E2569B"/>
    <w:rsid w:val="00E27712"/>
    <w:rsid w:val="00E27F3C"/>
    <w:rsid w:val="00E27FD2"/>
    <w:rsid w:val="00E323B5"/>
    <w:rsid w:val="00E328E0"/>
    <w:rsid w:val="00E335F8"/>
    <w:rsid w:val="00E33861"/>
    <w:rsid w:val="00E3406C"/>
    <w:rsid w:val="00E348AF"/>
    <w:rsid w:val="00E3521B"/>
    <w:rsid w:val="00E35BEB"/>
    <w:rsid w:val="00E37725"/>
    <w:rsid w:val="00E415A2"/>
    <w:rsid w:val="00E42654"/>
    <w:rsid w:val="00E44293"/>
    <w:rsid w:val="00E45331"/>
    <w:rsid w:val="00E45F94"/>
    <w:rsid w:val="00E46F2F"/>
    <w:rsid w:val="00E501F0"/>
    <w:rsid w:val="00E50498"/>
    <w:rsid w:val="00E511B4"/>
    <w:rsid w:val="00E516AB"/>
    <w:rsid w:val="00E51EE9"/>
    <w:rsid w:val="00E52254"/>
    <w:rsid w:val="00E529E8"/>
    <w:rsid w:val="00E52BEE"/>
    <w:rsid w:val="00E538A5"/>
    <w:rsid w:val="00E555FD"/>
    <w:rsid w:val="00E57126"/>
    <w:rsid w:val="00E57401"/>
    <w:rsid w:val="00E600B1"/>
    <w:rsid w:val="00E60F70"/>
    <w:rsid w:val="00E621EF"/>
    <w:rsid w:val="00E629B6"/>
    <w:rsid w:val="00E639FD"/>
    <w:rsid w:val="00E64551"/>
    <w:rsid w:val="00E6583D"/>
    <w:rsid w:val="00E662AC"/>
    <w:rsid w:val="00E6634B"/>
    <w:rsid w:val="00E66B3F"/>
    <w:rsid w:val="00E71527"/>
    <w:rsid w:val="00E72421"/>
    <w:rsid w:val="00E73D64"/>
    <w:rsid w:val="00E7400E"/>
    <w:rsid w:val="00E74948"/>
    <w:rsid w:val="00E77B60"/>
    <w:rsid w:val="00E77E75"/>
    <w:rsid w:val="00E8033B"/>
    <w:rsid w:val="00E811BB"/>
    <w:rsid w:val="00E82319"/>
    <w:rsid w:val="00E825C7"/>
    <w:rsid w:val="00E853BE"/>
    <w:rsid w:val="00E85BB0"/>
    <w:rsid w:val="00E8678F"/>
    <w:rsid w:val="00E869BE"/>
    <w:rsid w:val="00E87E19"/>
    <w:rsid w:val="00E905B0"/>
    <w:rsid w:val="00E90CB3"/>
    <w:rsid w:val="00E91C53"/>
    <w:rsid w:val="00E931C6"/>
    <w:rsid w:val="00E93AF1"/>
    <w:rsid w:val="00E93FB5"/>
    <w:rsid w:val="00E95072"/>
    <w:rsid w:val="00EA0262"/>
    <w:rsid w:val="00EA317D"/>
    <w:rsid w:val="00EA31FC"/>
    <w:rsid w:val="00EA3EB2"/>
    <w:rsid w:val="00EA44EF"/>
    <w:rsid w:val="00EA579B"/>
    <w:rsid w:val="00EA5DC7"/>
    <w:rsid w:val="00EA6727"/>
    <w:rsid w:val="00EA785F"/>
    <w:rsid w:val="00EB3B1D"/>
    <w:rsid w:val="00EB3D08"/>
    <w:rsid w:val="00EB529C"/>
    <w:rsid w:val="00EB7DB6"/>
    <w:rsid w:val="00EC1F95"/>
    <w:rsid w:val="00EC2F6C"/>
    <w:rsid w:val="00EC3676"/>
    <w:rsid w:val="00EC4430"/>
    <w:rsid w:val="00EC5C63"/>
    <w:rsid w:val="00EC61E3"/>
    <w:rsid w:val="00EC6B87"/>
    <w:rsid w:val="00EC7E7D"/>
    <w:rsid w:val="00ED0AAA"/>
    <w:rsid w:val="00ED1DE1"/>
    <w:rsid w:val="00ED1EBA"/>
    <w:rsid w:val="00ED23C2"/>
    <w:rsid w:val="00ED2900"/>
    <w:rsid w:val="00ED2CAF"/>
    <w:rsid w:val="00ED377A"/>
    <w:rsid w:val="00ED3799"/>
    <w:rsid w:val="00ED3911"/>
    <w:rsid w:val="00ED5DC3"/>
    <w:rsid w:val="00ED6826"/>
    <w:rsid w:val="00EE0204"/>
    <w:rsid w:val="00EE29D7"/>
    <w:rsid w:val="00EE310F"/>
    <w:rsid w:val="00EE374A"/>
    <w:rsid w:val="00EE3B16"/>
    <w:rsid w:val="00EE580B"/>
    <w:rsid w:val="00EE64D6"/>
    <w:rsid w:val="00EE69A8"/>
    <w:rsid w:val="00EE7593"/>
    <w:rsid w:val="00EE7767"/>
    <w:rsid w:val="00EF081F"/>
    <w:rsid w:val="00EF1391"/>
    <w:rsid w:val="00EF22DC"/>
    <w:rsid w:val="00EF27D5"/>
    <w:rsid w:val="00EF3A43"/>
    <w:rsid w:val="00EF47BD"/>
    <w:rsid w:val="00EF6B9E"/>
    <w:rsid w:val="00EF79A7"/>
    <w:rsid w:val="00F002CC"/>
    <w:rsid w:val="00F00FF9"/>
    <w:rsid w:val="00F01BD8"/>
    <w:rsid w:val="00F02324"/>
    <w:rsid w:val="00F05F3E"/>
    <w:rsid w:val="00F10252"/>
    <w:rsid w:val="00F108AA"/>
    <w:rsid w:val="00F11979"/>
    <w:rsid w:val="00F125D7"/>
    <w:rsid w:val="00F13EFB"/>
    <w:rsid w:val="00F1489D"/>
    <w:rsid w:val="00F14D4E"/>
    <w:rsid w:val="00F14D74"/>
    <w:rsid w:val="00F1532A"/>
    <w:rsid w:val="00F15432"/>
    <w:rsid w:val="00F17F7E"/>
    <w:rsid w:val="00F20E7C"/>
    <w:rsid w:val="00F25203"/>
    <w:rsid w:val="00F26577"/>
    <w:rsid w:val="00F27614"/>
    <w:rsid w:val="00F32030"/>
    <w:rsid w:val="00F324F7"/>
    <w:rsid w:val="00F329E6"/>
    <w:rsid w:val="00F3322F"/>
    <w:rsid w:val="00F34952"/>
    <w:rsid w:val="00F366DF"/>
    <w:rsid w:val="00F40608"/>
    <w:rsid w:val="00F40EFC"/>
    <w:rsid w:val="00F411EB"/>
    <w:rsid w:val="00F41A99"/>
    <w:rsid w:val="00F41C4C"/>
    <w:rsid w:val="00F41E7E"/>
    <w:rsid w:val="00F43546"/>
    <w:rsid w:val="00F4360E"/>
    <w:rsid w:val="00F44D26"/>
    <w:rsid w:val="00F5124B"/>
    <w:rsid w:val="00F51356"/>
    <w:rsid w:val="00F5234B"/>
    <w:rsid w:val="00F5261F"/>
    <w:rsid w:val="00F52969"/>
    <w:rsid w:val="00F53C45"/>
    <w:rsid w:val="00F54167"/>
    <w:rsid w:val="00F55730"/>
    <w:rsid w:val="00F571DF"/>
    <w:rsid w:val="00F61565"/>
    <w:rsid w:val="00F61B23"/>
    <w:rsid w:val="00F6366A"/>
    <w:rsid w:val="00F657C2"/>
    <w:rsid w:val="00F65ECA"/>
    <w:rsid w:val="00F66932"/>
    <w:rsid w:val="00F67078"/>
    <w:rsid w:val="00F67BC2"/>
    <w:rsid w:val="00F67C65"/>
    <w:rsid w:val="00F67D56"/>
    <w:rsid w:val="00F70184"/>
    <w:rsid w:val="00F7143F"/>
    <w:rsid w:val="00F71FF7"/>
    <w:rsid w:val="00F72210"/>
    <w:rsid w:val="00F72807"/>
    <w:rsid w:val="00F72837"/>
    <w:rsid w:val="00F72895"/>
    <w:rsid w:val="00F73F53"/>
    <w:rsid w:val="00F75169"/>
    <w:rsid w:val="00F7756F"/>
    <w:rsid w:val="00F8223F"/>
    <w:rsid w:val="00F83AF6"/>
    <w:rsid w:val="00F841D7"/>
    <w:rsid w:val="00F84FED"/>
    <w:rsid w:val="00F85B9B"/>
    <w:rsid w:val="00F86AB4"/>
    <w:rsid w:val="00F87039"/>
    <w:rsid w:val="00F8714B"/>
    <w:rsid w:val="00F8758B"/>
    <w:rsid w:val="00F9110F"/>
    <w:rsid w:val="00F91DFC"/>
    <w:rsid w:val="00F936F1"/>
    <w:rsid w:val="00F93CD6"/>
    <w:rsid w:val="00F9655B"/>
    <w:rsid w:val="00FA104D"/>
    <w:rsid w:val="00FA2739"/>
    <w:rsid w:val="00FA2AD1"/>
    <w:rsid w:val="00FA52FD"/>
    <w:rsid w:val="00FA59BE"/>
    <w:rsid w:val="00FA5FA6"/>
    <w:rsid w:val="00FB01FF"/>
    <w:rsid w:val="00FB1661"/>
    <w:rsid w:val="00FB1E98"/>
    <w:rsid w:val="00FB2A32"/>
    <w:rsid w:val="00FB4641"/>
    <w:rsid w:val="00FB4B58"/>
    <w:rsid w:val="00FB540F"/>
    <w:rsid w:val="00FB5519"/>
    <w:rsid w:val="00FB5C6E"/>
    <w:rsid w:val="00FB64AD"/>
    <w:rsid w:val="00FC02DD"/>
    <w:rsid w:val="00FC08FE"/>
    <w:rsid w:val="00FC19AC"/>
    <w:rsid w:val="00FC2F15"/>
    <w:rsid w:val="00FC31DD"/>
    <w:rsid w:val="00FC3DC7"/>
    <w:rsid w:val="00FC4200"/>
    <w:rsid w:val="00FC480A"/>
    <w:rsid w:val="00FC555A"/>
    <w:rsid w:val="00FC5AEC"/>
    <w:rsid w:val="00FC7143"/>
    <w:rsid w:val="00FC71F6"/>
    <w:rsid w:val="00FC76F6"/>
    <w:rsid w:val="00FC7A05"/>
    <w:rsid w:val="00FD010E"/>
    <w:rsid w:val="00FD03FA"/>
    <w:rsid w:val="00FD0507"/>
    <w:rsid w:val="00FD1E4E"/>
    <w:rsid w:val="00FD234B"/>
    <w:rsid w:val="00FD3A13"/>
    <w:rsid w:val="00FD4270"/>
    <w:rsid w:val="00FD6769"/>
    <w:rsid w:val="00FD68B0"/>
    <w:rsid w:val="00FD7076"/>
    <w:rsid w:val="00FD7BD2"/>
    <w:rsid w:val="00FDB2F0"/>
    <w:rsid w:val="00FE033F"/>
    <w:rsid w:val="00FE0B59"/>
    <w:rsid w:val="00FE0BAD"/>
    <w:rsid w:val="00FE32B5"/>
    <w:rsid w:val="00FE3DFF"/>
    <w:rsid w:val="00FE4157"/>
    <w:rsid w:val="00FE4476"/>
    <w:rsid w:val="00FE6394"/>
    <w:rsid w:val="00FE6C93"/>
    <w:rsid w:val="00FE7A73"/>
    <w:rsid w:val="00FE7E4A"/>
    <w:rsid w:val="00FF115F"/>
    <w:rsid w:val="00FF151D"/>
    <w:rsid w:val="00FF310C"/>
    <w:rsid w:val="00FF3CC7"/>
    <w:rsid w:val="00FF45E5"/>
    <w:rsid w:val="00FF4CF6"/>
    <w:rsid w:val="00FF61D5"/>
    <w:rsid w:val="00FF715A"/>
    <w:rsid w:val="00FF7A38"/>
    <w:rsid w:val="011D4B59"/>
    <w:rsid w:val="0133E9FA"/>
    <w:rsid w:val="014DFF1C"/>
    <w:rsid w:val="014F1F8C"/>
    <w:rsid w:val="015C2992"/>
    <w:rsid w:val="015E47E4"/>
    <w:rsid w:val="0162F58A"/>
    <w:rsid w:val="0167D343"/>
    <w:rsid w:val="016EEC04"/>
    <w:rsid w:val="01924B2C"/>
    <w:rsid w:val="019FB4CE"/>
    <w:rsid w:val="01C2EF0F"/>
    <w:rsid w:val="01CE828D"/>
    <w:rsid w:val="01DFF3A8"/>
    <w:rsid w:val="01F966C5"/>
    <w:rsid w:val="0206C5D8"/>
    <w:rsid w:val="02260DF4"/>
    <w:rsid w:val="022F4DF1"/>
    <w:rsid w:val="0232E90A"/>
    <w:rsid w:val="023ADE57"/>
    <w:rsid w:val="0256FC35"/>
    <w:rsid w:val="025C8F0B"/>
    <w:rsid w:val="026B9ACF"/>
    <w:rsid w:val="0276B1D6"/>
    <w:rsid w:val="027AA18F"/>
    <w:rsid w:val="027D61DB"/>
    <w:rsid w:val="0282F351"/>
    <w:rsid w:val="028E88BE"/>
    <w:rsid w:val="02AE76E2"/>
    <w:rsid w:val="02B5FA88"/>
    <w:rsid w:val="02B6E131"/>
    <w:rsid w:val="02B75E68"/>
    <w:rsid w:val="02C5E15F"/>
    <w:rsid w:val="02C8FBF6"/>
    <w:rsid w:val="02C9B64D"/>
    <w:rsid w:val="02D0F1F5"/>
    <w:rsid w:val="02F4FB1A"/>
    <w:rsid w:val="02FB82CA"/>
    <w:rsid w:val="032848A6"/>
    <w:rsid w:val="0331A368"/>
    <w:rsid w:val="03608290"/>
    <w:rsid w:val="036135CE"/>
    <w:rsid w:val="03653BD6"/>
    <w:rsid w:val="0368B737"/>
    <w:rsid w:val="03F17AE4"/>
    <w:rsid w:val="03F60C84"/>
    <w:rsid w:val="04061BE6"/>
    <w:rsid w:val="0406B0DA"/>
    <w:rsid w:val="0439F9E4"/>
    <w:rsid w:val="044CD585"/>
    <w:rsid w:val="0458EF2C"/>
    <w:rsid w:val="046688E5"/>
    <w:rsid w:val="04A8C4C7"/>
    <w:rsid w:val="04B56899"/>
    <w:rsid w:val="04C68CD2"/>
    <w:rsid w:val="04D3095E"/>
    <w:rsid w:val="04D360FE"/>
    <w:rsid w:val="04E16FF1"/>
    <w:rsid w:val="04E182C8"/>
    <w:rsid w:val="04E91B79"/>
    <w:rsid w:val="04EF473C"/>
    <w:rsid w:val="04F10DFF"/>
    <w:rsid w:val="04F5AFBA"/>
    <w:rsid w:val="05052A74"/>
    <w:rsid w:val="052CE355"/>
    <w:rsid w:val="053F0F0A"/>
    <w:rsid w:val="0541C72B"/>
    <w:rsid w:val="054639F9"/>
    <w:rsid w:val="055D7B70"/>
    <w:rsid w:val="057CC6E9"/>
    <w:rsid w:val="058BF80C"/>
    <w:rsid w:val="058F7D52"/>
    <w:rsid w:val="059C93CA"/>
    <w:rsid w:val="05ABE1B4"/>
    <w:rsid w:val="05C1A4AE"/>
    <w:rsid w:val="05CF8749"/>
    <w:rsid w:val="05DB3C45"/>
    <w:rsid w:val="060B0C4E"/>
    <w:rsid w:val="061899F7"/>
    <w:rsid w:val="0624EF2C"/>
    <w:rsid w:val="0653D35B"/>
    <w:rsid w:val="065D0A46"/>
    <w:rsid w:val="065E2456"/>
    <w:rsid w:val="06665201"/>
    <w:rsid w:val="069971EF"/>
    <w:rsid w:val="06A0FAD5"/>
    <w:rsid w:val="06A79CC9"/>
    <w:rsid w:val="06C067CD"/>
    <w:rsid w:val="06C13C38"/>
    <w:rsid w:val="06C70E95"/>
    <w:rsid w:val="06DDD5CA"/>
    <w:rsid w:val="0706BA4C"/>
    <w:rsid w:val="071BC7A9"/>
    <w:rsid w:val="071CE6CD"/>
    <w:rsid w:val="0748876F"/>
    <w:rsid w:val="0752BB36"/>
    <w:rsid w:val="079C39A9"/>
    <w:rsid w:val="07BCABE5"/>
    <w:rsid w:val="07C9B7CA"/>
    <w:rsid w:val="07D29BA2"/>
    <w:rsid w:val="07DC4012"/>
    <w:rsid w:val="07FF63DF"/>
    <w:rsid w:val="0807620B"/>
    <w:rsid w:val="08088187"/>
    <w:rsid w:val="080B01C0"/>
    <w:rsid w:val="08246D2A"/>
    <w:rsid w:val="0836AEB0"/>
    <w:rsid w:val="08506A8C"/>
    <w:rsid w:val="08692A15"/>
    <w:rsid w:val="08947AB6"/>
    <w:rsid w:val="08A927E6"/>
    <w:rsid w:val="08B955E6"/>
    <w:rsid w:val="08CA3E52"/>
    <w:rsid w:val="08E4D40F"/>
    <w:rsid w:val="08E90E63"/>
    <w:rsid w:val="090D8024"/>
    <w:rsid w:val="090E8F4C"/>
    <w:rsid w:val="09145C99"/>
    <w:rsid w:val="0914DCEB"/>
    <w:rsid w:val="094BDDD2"/>
    <w:rsid w:val="094D0035"/>
    <w:rsid w:val="0985AA49"/>
    <w:rsid w:val="098B741D"/>
    <w:rsid w:val="098EDF0A"/>
    <w:rsid w:val="0999FDF5"/>
    <w:rsid w:val="09A94064"/>
    <w:rsid w:val="09C8B4CD"/>
    <w:rsid w:val="09CBA5A1"/>
    <w:rsid w:val="09D0FD58"/>
    <w:rsid w:val="09E059CA"/>
    <w:rsid w:val="0A0881C3"/>
    <w:rsid w:val="0A0ADA95"/>
    <w:rsid w:val="0A113D74"/>
    <w:rsid w:val="0A36A704"/>
    <w:rsid w:val="0A3835E3"/>
    <w:rsid w:val="0A41AAB2"/>
    <w:rsid w:val="0A60893C"/>
    <w:rsid w:val="0A67679F"/>
    <w:rsid w:val="0A680036"/>
    <w:rsid w:val="0A6A717B"/>
    <w:rsid w:val="0A8296DA"/>
    <w:rsid w:val="0AA80764"/>
    <w:rsid w:val="0AAB2DF2"/>
    <w:rsid w:val="0AB27777"/>
    <w:rsid w:val="0AB6F298"/>
    <w:rsid w:val="0AB96644"/>
    <w:rsid w:val="0AC2BF4C"/>
    <w:rsid w:val="0AC8A89E"/>
    <w:rsid w:val="0AF911E6"/>
    <w:rsid w:val="0B0D3955"/>
    <w:rsid w:val="0B102F62"/>
    <w:rsid w:val="0B157DF2"/>
    <w:rsid w:val="0B36F56D"/>
    <w:rsid w:val="0B3944D6"/>
    <w:rsid w:val="0B619BE1"/>
    <w:rsid w:val="0B6DE033"/>
    <w:rsid w:val="0B6E4F72"/>
    <w:rsid w:val="0B7C2A2B"/>
    <w:rsid w:val="0B8338A8"/>
    <w:rsid w:val="0B8B331B"/>
    <w:rsid w:val="0B901C7F"/>
    <w:rsid w:val="0B90E27B"/>
    <w:rsid w:val="0B9E7F30"/>
    <w:rsid w:val="0BAB5D44"/>
    <w:rsid w:val="0BB76D1B"/>
    <w:rsid w:val="0C058EF6"/>
    <w:rsid w:val="0C23EDBD"/>
    <w:rsid w:val="0C490162"/>
    <w:rsid w:val="0C526874"/>
    <w:rsid w:val="0C56B5DF"/>
    <w:rsid w:val="0C84EA56"/>
    <w:rsid w:val="0C8C50C5"/>
    <w:rsid w:val="0C91ED2A"/>
    <w:rsid w:val="0C9DD358"/>
    <w:rsid w:val="0CABAB53"/>
    <w:rsid w:val="0CC311BC"/>
    <w:rsid w:val="0CE58C52"/>
    <w:rsid w:val="0CFC1E15"/>
    <w:rsid w:val="0D007BCC"/>
    <w:rsid w:val="0D02284F"/>
    <w:rsid w:val="0D065706"/>
    <w:rsid w:val="0D1A7595"/>
    <w:rsid w:val="0D21D729"/>
    <w:rsid w:val="0D435F4C"/>
    <w:rsid w:val="0D4376B3"/>
    <w:rsid w:val="0D7C1FE7"/>
    <w:rsid w:val="0D7FEF83"/>
    <w:rsid w:val="0D92FBC7"/>
    <w:rsid w:val="0DE69299"/>
    <w:rsid w:val="0E059725"/>
    <w:rsid w:val="0E2C4A5E"/>
    <w:rsid w:val="0E3BD066"/>
    <w:rsid w:val="0E51F24E"/>
    <w:rsid w:val="0E63D0FA"/>
    <w:rsid w:val="0E6FAF57"/>
    <w:rsid w:val="0E8ACE67"/>
    <w:rsid w:val="0E9ED361"/>
    <w:rsid w:val="0EAA24BE"/>
    <w:rsid w:val="0ED6A699"/>
    <w:rsid w:val="0EDA7BA5"/>
    <w:rsid w:val="0EF47B90"/>
    <w:rsid w:val="0F1FB269"/>
    <w:rsid w:val="0F22A425"/>
    <w:rsid w:val="0F24F086"/>
    <w:rsid w:val="0F2FFFAA"/>
    <w:rsid w:val="0F6947FF"/>
    <w:rsid w:val="0F73BD08"/>
    <w:rsid w:val="0F757284"/>
    <w:rsid w:val="0FA50D2A"/>
    <w:rsid w:val="0FACDBFA"/>
    <w:rsid w:val="0FBF0507"/>
    <w:rsid w:val="0FD80940"/>
    <w:rsid w:val="0FDAE1FB"/>
    <w:rsid w:val="0FFAB5A1"/>
    <w:rsid w:val="0FFBBF01"/>
    <w:rsid w:val="1024D333"/>
    <w:rsid w:val="10368493"/>
    <w:rsid w:val="10388A46"/>
    <w:rsid w:val="10690728"/>
    <w:rsid w:val="106E3867"/>
    <w:rsid w:val="107216C4"/>
    <w:rsid w:val="10B34C71"/>
    <w:rsid w:val="10B54FCD"/>
    <w:rsid w:val="10DE22D2"/>
    <w:rsid w:val="10E1DD8A"/>
    <w:rsid w:val="10E202BF"/>
    <w:rsid w:val="10EE34F6"/>
    <w:rsid w:val="10EE7894"/>
    <w:rsid w:val="10FB4D1D"/>
    <w:rsid w:val="110D10A7"/>
    <w:rsid w:val="1122BB99"/>
    <w:rsid w:val="1122EE8A"/>
    <w:rsid w:val="11232304"/>
    <w:rsid w:val="112728CC"/>
    <w:rsid w:val="1160C148"/>
    <w:rsid w:val="1160E985"/>
    <w:rsid w:val="1193FA2D"/>
    <w:rsid w:val="11A75019"/>
    <w:rsid w:val="11ADA725"/>
    <w:rsid w:val="11C56623"/>
    <w:rsid w:val="11C59557"/>
    <w:rsid w:val="1215EE57"/>
    <w:rsid w:val="127B2AD9"/>
    <w:rsid w:val="128DA8BF"/>
    <w:rsid w:val="12B1C8AE"/>
    <w:rsid w:val="12B8970C"/>
    <w:rsid w:val="12BA03BC"/>
    <w:rsid w:val="12D2D10F"/>
    <w:rsid w:val="130A0909"/>
    <w:rsid w:val="130ABC7C"/>
    <w:rsid w:val="131630BF"/>
    <w:rsid w:val="1329B6C9"/>
    <w:rsid w:val="136B1977"/>
    <w:rsid w:val="138E2AEA"/>
    <w:rsid w:val="139CE78B"/>
    <w:rsid w:val="13AC91B7"/>
    <w:rsid w:val="13AE35EE"/>
    <w:rsid w:val="13B687BB"/>
    <w:rsid w:val="13BAE4A4"/>
    <w:rsid w:val="13C70EC8"/>
    <w:rsid w:val="13C8E2A6"/>
    <w:rsid w:val="13DCDED4"/>
    <w:rsid w:val="13F5D8BB"/>
    <w:rsid w:val="1423135E"/>
    <w:rsid w:val="1427B88F"/>
    <w:rsid w:val="14443554"/>
    <w:rsid w:val="144D096A"/>
    <w:rsid w:val="14763831"/>
    <w:rsid w:val="14778113"/>
    <w:rsid w:val="148B2797"/>
    <w:rsid w:val="14A7FF1C"/>
    <w:rsid w:val="14A9AD32"/>
    <w:rsid w:val="14B763FF"/>
    <w:rsid w:val="14CE26C4"/>
    <w:rsid w:val="14DBFDBC"/>
    <w:rsid w:val="14F2A707"/>
    <w:rsid w:val="14FDEC1C"/>
    <w:rsid w:val="150B8F44"/>
    <w:rsid w:val="151E4339"/>
    <w:rsid w:val="1525FC61"/>
    <w:rsid w:val="15313734"/>
    <w:rsid w:val="1549480E"/>
    <w:rsid w:val="154A36DD"/>
    <w:rsid w:val="156181CA"/>
    <w:rsid w:val="1575FFB9"/>
    <w:rsid w:val="158DCE4E"/>
    <w:rsid w:val="158E3FA7"/>
    <w:rsid w:val="159CB97F"/>
    <w:rsid w:val="15C49821"/>
    <w:rsid w:val="15CDC152"/>
    <w:rsid w:val="15D0738F"/>
    <w:rsid w:val="15D8DACB"/>
    <w:rsid w:val="15E0AE00"/>
    <w:rsid w:val="15FCA113"/>
    <w:rsid w:val="160B4DA2"/>
    <w:rsid w:val="161B5B82"/>
    <w:rsid w:val="162422E3"/>
    <w:rsid w:val="1628FC45"/>
    <w:rsid w:val="163E8D3A"/>
    <w:rsid w:val="16457D93"/>
    <w:rsid w:val="165F58A0"/>
    <w:rsid w:val="166797E8"/>
    <w:rsid w:val="1690156A"/>
    <w:rsid w:val="16A480DF"/>
    <w:rsid w:val="16AB0DCC"/>
    <w:rsid w:val="16C38206"/>
    <w:rsid w:val="16C40644"/>
    <w:rsid w:val="1724C8CD"/>
    <w:rsid w:val="17589662"/>
    <w:rsid w:val="175AB420"/>
    <w:rsid w:val="17688B52"/>
    <w:rsid w:val="1783B593"/>
    <w:rsid w:val="17A774BE"/>
    <w:rsid w:val="17DE5819"/>
    <w:rsid w:val="17E3184A"/>
    <w:rsid w:val="1802D5BD"/>
    <w:rsid w:val="18056839"/>
    <w:rsid w:val="180CEB0D"/>
    <w:rsid w:val="183980C5"/>
    <w:rsid w:val="183F6D40"/>
    <w:rsid w:val="18533179"/>
    <w:rsid w:val="18B51135"/>
    <w:rsid w:val="18C22E0F"/>
    <w:rsid w:val="18C86482"/>
    <w:rsid w:val="18E49B11"/>
    <w:rsid w:val="18F5142F"/>
    <w:rsid w:val="18F6B848"/>
    <w:rsid w:val="192FD105"/>
    <w:rsid w:val="1960CA96"/>
    <w:rsid w:val="197A1ED9"/>
    <w:rsid w:val="197E5E87"/>
    <w:rsid w:val="19878AA5"/>
    <w:rsid w:val="19A52B4E"/>
    <w:rsid w:val="19EA0E24"/>
    <w:rsid w:val="1A0780A8"/>
    <w:rsid w:val="1A0C667C"/>
    <w:rsid w:val="1A22D53E"/>
    <w:rsid w:val="1A2A45CD"/>
    <w:rsid w:val="1A30EDF0"/>
    <w:rsid w:val="1A5C3DC2"/>
    <w:rsid w:val="1A7D022B"/>
    <w:rsid w:val="1A8C5B8F"/>
    <w:rsid w:val="1A8E4DE8"/>
    <w:rsid w:val="1AD127C1"/>
    <w:rsid w:val="1AD4AA3F"/>
    <w:rsid w:val="1AEA6C09"/>
    <w:rsid w:val="1B11D768"/>
    <w:rsid w:val="1B42FDDA"/>
    <w:rsid w:val="1B575601"/>
    <w:rsid w:val="1B6DDE1A"/>
    <w:rsid w:val="1B8BBC84"/>
    <w:rsid w:val="1B930920"/>
    <w:rsid w:val="1B98553F"/>
    <w:rsid w:val="1BA588E5"/>
    <w:rsid w:val="1BAF1A28"/>
    <w:rsid w:val="1BB3BD6F"/>
    <w:rsid w:val="1BC57FEA"/>
    <w:rsid w:val="1BC61175"/>
    <w:rsid w:val="1BCB0901"/>
    <w:rsid w:val="1BD91C19"/>
    <w:rsid w:val="1BDB22C3"/>
    <w:rsid w:val="1BECD8BB"/>
    <w:rsid w:val="1BEE6EB1"/>
    <w:rsid w:val="1BF17745"/>
    <w:rsid w:val="1BF3C79E"/>
    <w:rsid w:val="1C0B1FD3"/>
    <w:rsid w:val="1C1B62A8"/>
    <w:rsid w:val="1C50E5EC"/>
    <w:rsid w:val="1C6529F2"/>
    <w:rsid w:val="1C74289C"/>
    <w:rsid w:val="1C74C72F"/>
    <w:rsid w:val="1C77944E"/>
    <w:rsid w:val="1C78362F"/>
    <w:rsid w:val="1C821FCF"/>
    <w:rsid w:val="1C8A8B76"/>
    <w:rsid w:val="1C8E1453"/>
    <w:rsid w:val="1CA6E245"/>
    <w:rsid w:val="1CABFF69"/>
    <w:rsid w:val="1CCB4D17"/>
    <w:rsid w:val="1CDADC02"/>
    <w:rsid w:val="1CFD9C83"/>
    <w:rsid w:val="1D0A3554"/>
    <w:rsid w:val="1D16FEC7"/>
    <w:rsid w:val="1D28261F"/>
    <w:rsid w:val="1D453DB3"/>
    <w:rsid w:val="1D4D9B2E"/>
    <w:rsid w:val="1D5D7598"/>
    <w:rsid w:val="1D66B9C8"/>
    <w:rsid w:val="1D9249D6"/>
    <w:rsid w:val="1DB3D33F"/>
    <w:rsid w:val="1DBE5ED9"/>
    <w:rsid w:val="1DCEF872"/>
    <w:rsid w:val="1DDE07FE"/>
    <w:rsid w:val="1E0C2D16"/>
    <w:rsid w:val="1E368A5E"/>
    <w:rsid w:val="1E49C62E"/>
    <w:rsid w:val="1E73D94B"/>
    <w:rsid w:val="1E84C823"/>
    <w:rsid w:val="1E89F449"/>
    <w:rsid w:val="1E8D40E9"/>
    <w:rsid w:val="1E9624BD"/>
    <w:rsid w:val="1EB29F69"/>
    <w:rsid w:val="1EB538E9"/>
    <w:rsid w:val="1EBD64AD"/>
    <w:rsid w:val="1EC37F5D"/>
    <w:rsid w:val="1ECB4C2E"/>
    <w:rsid w:val="1EF3BD0F"/>
    <w:rsid w:val="1F1FD530"/>
    <w:rsid w:val="1F30481D"/>
    <w:rsid w:val="1F626C9C"/>
    <w:rsid w:val="1F780F8F"/>
    <w:rsid w:val="1F8BB3A4"/>
    <w:rsid w:val="1F8C192E"/>
    <w:rsid w:val="1F96C16A"/>
    <w:rsid w:val="1F96FDFA"/>
    <w:rsid w:val="1F9977E2"/>
    <w:rsid w:val="1F998B88"/>
    <w:rsid w:val="1FA389DA"/>
    <w:rsid w:val="1FCB5B6F"/>
    <w:rsid w:val="1FF54F5C"/>
    <w:rsid w:val="1FF98249"/>
    <w:rsid w:val="2003E606"/>
    <w:rsid w:val="201B0A17"/>
    <w:rsid w:val="2031D7A2"/>
    <w:rsid w:val="203A7CDF"/>
    <w:rsid w:val="2059F35A"/>
    <w:rsid w:val="2064A3FF"/>
    <w:rsid w:val="2074FB79"/>
    <w:rsid w:val="209D9945"/>
    <w:rsid w:val="209EC17C"/>
    <w:rsid w:val="20A358C8"/>
    <w:rsid w:val="20AE99C0"/>
    <w:rsid w:val="20C673FF"/>
    <w:rsid w:val="20CE6C57"/>
    <w:rsid w:val="20E74ECD"/>
    <w:rsid w:val="20F3950B"/>
    <w:rsid w:val="2106D6BE"/>
    <w:rsid w:val="2107DE44"/>
    <w:rsid w:val="2108B936"/>
    <w:rsid w:val="212AE62C"/>
    <w:rsid w:val="21378DF3"/>
    <w:rsid w:val="2148C5C4"/>
    <w:rsid w:val="215BB79B"/>
    <w:rsid w:val="217B1692"/>
    <w:rsid w:val="2198BBC8"/>
    <w:rsid w:val="219ADC54"/>
    <w:rsid w:val="219B661E"/>
    <w:rsid w:val="21BAA94B"/>
    <w:rsid w:val="21BD6AD7"/>
    <w:rsid w:val="21CA7735"/>
    <w:rsid w:val="21F03DDC"/>
    <w:rsid w:val="21F99A87"/>
    <w:rsid w:val="221386C5"/>
    <w:rsid w:val="2226112B"/>
    <w:rsid w:val="222AB1A5"/>
    <w:rsid w:val="223CD4B3"/>
    <w:rsid w:val="22549E34"/>
    <w:rsid w:val="22704A6C"/>
    <w:rsid w:val="22787624"/>
    <w:rsid w:val="2298D794"/>
    <w:rsid w:val="22A2A266"/>
    <w:rsid w:val="22A754B1"/>
    <w:rsid w:val="22C3DB5B"/>
    <w:rsid w:val="22DC2A30"/>
    <w:rsid w:val="22DF9E7D"/>
    <w:rsid w:val="22E5D406"/>
    <w:rsid w:val="232329FC"/>
    <w:rsid w:val="233F116F"/>
    <w:rsid w:val="2351E42B"/>
    <w:rsid w:val="23543393"/>
    <w:rsid w:val="23832982"/>
    <w:rsid w:val="2385219F"/>
    <w:rsid w:val="238EA00C"/>
    <w:rsid w:val="239688BB"/>
    <w:rsid w:val="23DBCDB6"/>
    <w:rsid w:val="23DD2213"/>
    <w:rsid w:val="23E46FB5"/>
    <w:rsid w:val="240C84A4"/>
    <w:rsid w:val="2411D9EC"/>
    <w:rsid w:val="241DE2AB"/>
    <w:rsid w:val="24249033"/>
    <w:rsid w:val="245F228C"/>
    <w:rsid w:val="24697DD6"/>
    <w:rsid w:val="2490404E"/>
    <w:rsid w:val="24B81CAB"/>
    <w:rsid w:val="24D2490E"/>
    <w:rsid w:val="24F06452"/>
    <w:rsid w:val="24F5DA08"/>
    <w:rsid w:val="24F5FB17"/>
    <w:rsid w:val="2521B765"/>
    <w:rsid w:val="2530E4BF"/>
    <w:rsid w:val="25394F51"/>
    <w:rsid w:val="253FD7CB"/>
    <w:rsid w:val="2541DB8C"/>
    <w:rsid w:val="2559E83A"/>
    <w:rsid w:val="257BDC24"/>
    <w:rsid w:val="257DDA80"/>
    <w:rsid w:val="25896D83"/>
    <w:rsid w:val="25969719"/>
    <w:rsid w:val="25B47325"/>
    <w:rsid w:val="25E03CFD"/>
    <w:rsid w:val="25ED07DF"/>
    <w:rsid w:val="261CD8D4"/>
    <w:rsid w:val="262011D9"/>
    <w:rsid w:val="262319F3"/>
    <w:rsid w:val="262DFFFD"/>
    <w:rsid w:val="2630D06C"/>
    <w:rsid w:val="263A16E2"/>
    <w:rsid w:val="26456C05"/>
    <w:rsid w:val="264A2131"/>
    <w:rsid w:val="264C7895"/>
    <w:rsid w:val="2692909E"/>
    <w:rsid w:val="269E1C7B"/>
    <w:rsid w:val="26A98C99"/>
    <w:rsid w:val="26B10ED9"/>
    <w:rsid w:val="26B607E1"/>
    <w:rsid w:val="26C0455B"/>
    <w:rsid w:val="26C7A95A"/>
    <w:rsid w:val="26CD57E1"/>
    <w:rsid w:val="26DC8A8B"/>
    <w:rsid w:val="26EE00DA"/>
    <w:rsid w:val="26FB6302"/>
    <w:rsid w:val="270B35DF"/>
    <w:rsid w:val="27187EBE"/>
    <w:rsid w:val="271BA081"/>
    <w:rsid w:val="273288AE"/>
    <w:rsid w:val="27B33696"/>
    <w:rsid w:val="27C0CE9D"/>
    <w:rsid w:val="27D4D651"/>
    <w:rsid w:val="27E5B37C"/>
    <w:rsid w:val="281DDE4C"/>
    <w:rsid w:val="281E726A"/>
    <w:rsid w:val="284530C3"/>
    <w:rsid w:val="285A02C9"/>
    <w:rsid w:val="287E333F"/>
    <w:rsid w:val="2880D52B"/>
    <w:rsid w:val="28A1199B"/>
    <w:rsid w:val="28B50EE2"/>
    <w:rsid w:val="28C1D6CF"/>
    <w:rsid w:val="28D5FC80"/>
    <w:rsid w:val="28E46937"/>
    <w:rsid w:val="28E6E5F1"/>
    <w:rsid w:val="2906CBCE"/>
    <w:rsid w:val="2917503B"/>
    <w:rsid w:val="293C1F0A"/>
    <w:rsid w:val="293CEEF9"/>
    <w:rsid w:val="293E688B"/>
    <w:rsid w:val="29441CBD"/>
    <w:rsid w:val="2946F823"/>
    <w:rsid w:val="294F8B01"/>
    <w:rsid w:val="297C872E"/>
    <w:rsid w:val="298A861C"/>
    <w:rsid w:val="299E8B5E"/>
    <w:rsid w:val="29A2DBB3"/>
    <w:rsid w:val="29D1207C"/>
    <w:rsid w:val="29E3C26D"/>
    <w:rsid w:val="29ECCEF5"/>
    <w:rsid w:val="2A0B8C7C"/>
    <w:rsid w:val="2A0D9368"/>
    <w:rsid w:val="2A144B73"/>
    <w:rsid w:val="2A32D635"/>
    <w:rsid w:val="2A3B582B"/>
    <w:rsid w:val="2A4512C8"/>
    <w:rsid w:val="2AB2C901"/>
    <w:rsid w:val="2AB4222F"/>
    <w:rsid w:val="2ACA77EF"/>
    <w:rsid w:val="2ADADF40"/>
    <w:rsid w:val="2AF3EAB7"/>
    <w:rsid w:val="2AF7AD1D"/>
    <w:rsid w:val="2B111D0F"/>
    <w:rsid w:val="2B1FB78C"/>
    <w:rsid w:val="2B5EC77E"/>
    <w:rsid w:val="2B60A4D8"/>
    <w:rsid w:val="2B7085C5"/>
    <w:rsid w:val="2B74581A"/>
    <w:rsid w:val="2B797E30"/>
    <w:rsid w:val="2B7B1646"/>
    <w:rsid w:val="2B808994"/>
    <w:rsid w:val="2B855535"/>
    <w:rsid w:val="2BAB6BFD"/>
    <w:rsid w:val="2BCE9964"/>
    <w:rsid w:val="2C015ED5"/>
    <w:rsid w:val="2C03240D"/>
    <w:rsid w:val="2C2269C2"/>
    <w:rsid w:val="2C2E26A8"/>
    <w:rsid w:val="2C34FC63"/>
    <w:rsid w:val="2C479683"/>
    <w:rsid w:val="2C66D638"/>
    <w:rsid w:val="2C684D3C"/>
    <w:rsid w:val="2CB5F0BB"/>
    <w:rsid w:val="2CB72159"/>
    <w:rsid w:val="2CF3CA68"/>
    <w:rsid w:val="2D006EBD"/>
    <w:rsid w:val="2D154E91"/>
    <w:rsid w:val="2D308A46"/>
    <w:rsid w:val="2D51A462"/>
    <w:rsid w:val="2D78B89D"/>
    <w:rsid w:val="2D87B8B9"/>
    <w:rsid w:val="2D938BB4"/>
    <w:rsid w:val="2DBDAF93"/>
    <w:rsid w:val="2DD9370F"/>
    <w:rsid w:val="2DDD048A"/>
    <w:rsid w:val="2DE3389D"/>
    <w:rsid w:val="2DED9AFD"/>
    <w:rsid w:val="2E08809D"/>
    <w:rsid w:val="2E15C28E"/>
    <w:rsid w:val="2E1B252A"/>
    <w:rsid w:val="2E28BDD6"/>
    <w:rsid w:val="2E40AAC3"/>
    <w:rsid w:val="2E7DB975"/>
    <w:rsid w:val="2E851014"/>
    <w:rsid w:val="2E91BD41"/>
    <w:rsid w:val="2E97BE44"/>
    <w:rsid w:val="2E9A4F7E"/>
    <w:rsid w:val="2EA3E471"/>
    <w:rsid w:val="2ECB27AF"/>
    <w:rsid w:val="2ED14037"/>
    <w:rsid w:val="2EE776AC"/>
    <w:rsid w:val="2EEB8A2E"/>
    <w:rsid w:val="2F05E409"/>
    <w:rsid w:val="2F0DBE4B"/>
    <w:rsid w:val="2F0E8B6D"/>
    <w:rsid w:val="2F13EBC3"/>
    <w:rsid w:val="2F19708E"/>
    <w:rsid w:val="2F3196A7"/>
    <w:rsid w:val="2F4BBA28"/>
    <w:rsid w:val="2F4C99D8"/>
    <w:rsid w:val="2F527219"/>
    <w:rsid w:val="2F6DB4F0"/>
    <w:rsid w:val="2F80F10A"/>
    <w:rsid w:val="2F8E5ECA"/>
    <w:rsid w:val="2F9B9244"/>
    <w:rsid w:val="2FB13E25"/>
    <w:rsid w:val="2FD8A9FD"/>
    <w:rsid w:val="2FFCB94A"/>
    <w:rsid w:val="30029717"/>
    <w:rsid w:val="301BA60B"/>
    <w:rsid w:val="301ED897"/>
    <w:rsid w:val="30268C75"/>
    <w:rsid w:val="303C7CA6"/>
    <w:rsid w:val="30412F19"/>
    <w:rsid w:val="3047C93D"/>
    <w:rsid w:val="305AFC3B"/>
    <w:rsid w:val="306164D4"/>
    <w:rsid w:val="306DB65F"/>
    <w:rsid w:val="30786EF1"/>
    <w:rsid w:val="309A9705"/>
    <w:rsid w:val="309F7AEB"/>
    <w:rsid w:val="30BD4382"/>
    <w:rsid w:val="30D3CB3F"/>
    <w:rsid w:val="30E84782"/>
    <w:rsid w:val="30EF0336"/>
    <w:rsid w:val="30F7EC36"/>
    <w:rsid w:val="3104B7A2"/>
    <w:rsid w:val="31083F60"/>
    <w:rsid w:val="31131FAB"/>
    <w:rsid w:val="312A3A6A"/>
    <w:rsid w:val="3143E2D6"/>
    <w:rsid w:val="314E9A23"/>
    <w:rsid w:val="3151FA76"/>
    <w:rsid w:val="31563AD5"/>
    <w:rsid w:val="317EB02D"/>
    <w:rsid w:val="318B017B"/>
    <w:rsid w:val="319EB78C"/>
    <w:rsid w:val="31B192BF"/>
    <w:rsid w:val="31B72EAB"/>
    <w:rsid w:val="31CFF454"/>
    <w:rsid w:val="31F9CB1D"/>
    <w:rsid w:val="320E09CA"/>
    <w:rsid w:val="324D86FF"/>
    <w:rsid w:val="32598F8D"/>
    <w:rsid w:val="326185A6"/>
    <w:rsid w:val="3269D11B"/>
    <w:rsid w:val="3281DE1D"/>
    <w:rsid w:val="32B5240F"/>
    <w:rsid w:val="32B88385"/>
    <w:rsid w:val="32E0B8C9"/>
    <w:rsid w:val="32EE964D"/>
    <w:rsid w:val="32F1933A"/>
    <w:rsid w:val="3300FD63"/>
    <w:rsid w:val="33025DF9"/>
    <w:rsid w:val="330C5CEE"/>
    <w:rsid w:val="3316D7B8"/>
    <w:rsid w:val="3321DED3"/>
    <w:rsid w:val="333ED9FB"/>
    <w:rsid w:val="3343791D"/>
    <w:rsid w:val="335BB442"/>
    <w:rsid w:val="336D9B78"/>
    <w:rsid w:val="336F93B4"/>
    <w:rsid w:val="339A53DB"/>
    <w:rsid w:val="3402EB57"/>
    <w:rsid w:val="34070F65"/>
    <w:rsid w:val="3419FFA3"/>
    <w:rsid w:val="3420BF35"/>
    <w:rsid w:val="343B5FC9"/>
    <w:rsid w:val="344A3655"/>
    <w:rsid w:val="344B5611"/>
    <w:rsid w:val="344E8B56"/>
    <w:rsid w:val="345B46F8"/>
    <w:rsid w:val="348F385D"/>
    <w:rsid w:val="3491AE74"/>
    <w:rsid w:val="34AEEBAC"/>
    <w:rsid w:val="34CE4BC8"/>
    <w:rsid w:val="34D7B4DA"/>
    <w:rsid w:val="34E59854"/>
    <w:rsid w:val="34F4F0A7"/>
    <w:rsid w:val="34FE6798"/>
    <w:rsid w:val="352C5F78"/>
    <w:rsid w:val="3539E98A"/>
    <w:rsid w:val="354DBD0C"/>
    <w:rsid w:val="35A25C90"/>
    <w:rsid w:val="35AFB894"/>
    <w:rsid w:val="35CB1F15"/>
    <w:rsid w:val="35DF6349"/>
    <w:rsid w:val="35F971DA"/>
    <w:rsid w:val="3601E219"/>
    <w:rsid w:val="3619DA69"/>
    <w:rsid w:val="36257E8E"/>
    <w:rsid w:val="362B4C12"/>
    <w:rsid w:val="362CD31F"/>
    <w:rsid w:val="363DC772"/>
    <w:rsid w:val="364D307B"/>
    <w:rsid w:val="36600F46"/>
    <w:rsid w:val="3663599D"/>
    <w:rsid w:val="369EAE5C"/>
    <w:rsid w:val="36A7A254"/>
    <w:rsid w:val="36AA43DA"/>
    <w:rsid w:val="36D2D53B"/>
    <w:rsid w:val="36D80410"/>
    <w:rsid w:val="36DD3FFB"/>
    <w:rsid w:val="36E04FA8"/>
    <w:rsid w:val="36F45658"/>
    <w:rsid w:val="3714A18A"/>
    <w:rsid w:val="37353A04"/>
    <w:rsid w:val="376F7E54"/>
    <w:rsid w:val="37747EB5"/>
    <w:rsid w:val="37824DF5"/>
    <w:rsid w:val="379BE259"/>
    <w:rsid w:val="37BFD1C9"/>
    <w:rsid w:val="37C33C6B"/>
    <w:rsid w:val="3809F922"/>
    <w:rsid w:val="380B995E"/>
    <w:rsid w:val="38154F9E"/>
    <w:rsid w:val="381EC772"/>
    <w:rsid w:val="3834109F"/>
    <w:rsid w:val="3836B408"/>
    <w:rsid w:val="3843443D"/>
    <w:rsid w:val="3855FC6D"/>
    <w:rsid w:val="38606AC6"/>
    <w:rsid w:val="3874ADB4"/>
    <w:rsid w:val="387F8037"/>
    <w:rsid w:val="388F6D12"/>
    <w:rsid w:val="38A83836"/>
    <w:rsid w:val="38BBD5B9"/>
    <w:rsid w:val="38D0A847"/>
    <w:rsid w:val="38E57CE9"/>
    <w:rsid w:val="3906F21C"/>
    <w:rsid w:val="3909F8B1"/>
    <w:rsid w:val="391AB805"/>
    <w:rsid w:val="393EB52C"/>
    <w:rsid w:val="396F4ED7"/>
    <w:rsid w:val="3971EBF3"/>
    <w:rsid w:val="397B4C3F"/>
    <w:rsid w:val="3987D8AF"/>
    <w:rsid w:val="399ED14E"/>
    <w:rsid w:val="39AEA9FF"/>
    <w:rsid w:val="39D115CA"/>
    <w:rsid w:val="39D33335"/>
    <w:rsid w:val="39D3D745"/>
    <w:rsid w:val="39EF31CC"/>
    <w:rsid w:val="39F04765"/>
    <w:rsid w:val="3A1B6C52"/>
    <w:rsid w:val="3A50153C"/>
    <w:rsid w:val="3A66AEF2"/>
    <w:rsid w:val="3A7B8DED"/>
    <w:rsid w:val="3AA0505E"/>
    <w:rsid w:val="3AB50BAB"/>
    <w:rsid w:val="3AB9F73B"/>
    <w:rsid w:val="3AD033D7"/>
    <w:rsid w:val="3AECC5AF"/>
    <w:rsid w:val="3B09A5A3"/>
    <w:rsid w:val="3B111379"/>
    <w:rsid w:val="3B1E79F2"/>
    <w:rsid w:val="3B3476CD"/>
    <w:rsid w:val="3B36C0E0"/>
    <w:rsid w:val="3B38ED27"/>
    <w:rsid w:val="3B4DEF69"/>
    <w:rsid w:val="3B6D4A18"/>
    <w:rsid w:val="3B7F83A2"/>
    <w:rsid w:val="3B83C170"/>
    <w:rsid w:val="3B8F0BBB"/>
    <w:rsid w:val="3BA67E32"/>
    <w:rsid w:val="3BC3B131"/>
    <w:rsid w:val="3BE14624"/>
    <w:rsid w:val="3BE31B32"/>
    <w:rsid w:val="3BE74976"/>
    <w:rsid w:val="3BF71466"/>
    <w:rsid w:val="3C0823A1"/>
    <w:rsid w:val="3C2E447D"/>
    <w:rsid w:val="3C3FAE03"/>
    <w:rsid w:val="3C41BC8A"/>
    <w:rsid w:val="3C4C37F8"/>
    <w:rsid w:val="3C648E3C"/>
    <w:rsid w:val="3C9C5B4F"/>
    <w:rsid w:val="3CB37975"/>
    <w:rsid w:val="3CB8E1F0"/>
    <w:rsid w:val="3D17B22B"/>
    <w:rsid w:val="3D423BB6"/>
    <w:rsid w:val="3D64DAD8"/>
    <w:rsid w:val="3D6CB417"/>
    <w:rsid w:val="3D7A3DEB"/>
    <w:rsid w:val="3D893B86"/>
    <w:rsid w:val="3D944DDF"/>
    <w:rsid w:val="3DA72095"/>
    <w:rsid w:val="3DD5502A"/>
    <w:rsid w:val="3DDDA8FA"/>
    <w:rsid w:val="3DE82892"/>
    <w:rsid w:val="3DEE3530"/>
    <w:rsid w:val="3E19F148"/>
    <w:rsid w:val="3E465C41"/>
    <w:rsid w:val="3E4781E3"/>
    <w:rsid w:val="3E6B429D"/>
    <w:rsid w:val="3E6C6608"/>
    <w:rsid w:val="3E81C0AA"/>
    <w:rsid w:val="3E8845B5"/>
    <w:rsid w:val="3EA97A92"/>
    <w:rsid w:val="3EAF8D27"/>
    <w:rsid w:val="3EB92E22"/>
    <w:rsid w:val="3EF0712A"/>
    <w:rsid w:val="3F00ECA0"/>
    <w:rsid w:val="3F045D7D"/>
    <w:rsid w:val="3F245366"/>
    <w:rsid w:val="3F4052F9"/>
    <w:rsid w:val="3F53B26D"/>
    <w:rsid w:val="3F68A631"/>
    <w:rsid w:val="3F874933"/>
    <w:rsid w:val="3FA71411"/>
    <w:rsid w:val="3FB26CA9"/>
    <w:rsid w:val="3FBE78A1"/>
    <w:rsid w:val="3FC846CF"/>
    <w:rsid w:val="3FCF8D31"/>
    <w:rsid w:val="3FD9059C"/>
    <w:rsid w:val="3FE3069B"/>
    <w:rsid w:val="3FE62A0D"/>
    <w:rsid w:val="3FF3D0DE"/>
    <w:rsid w:val="40363282"/>
    <w:rsid w:val="404BF5FE"/>
    <w:rsid w:val="405E7350"/>
    <w:rsid w:val="409663E4"/>
    <w:rsid w:val="409D4224"/>
    <w:rsid w:val="40E6857E"/>
    <w:rsid w:val="411BE75C"/>
    <w:rsid w:val="4163EFDD"/>
    <w:rsid w:val="4170D73C"/>
    <w:rsid w:val="418750CE"/>
    <w:rsid w:val="419071F8"/>
    <w:rsid w:val="419E352D"/>
    <w:rsid w:val="41CED5AD"/>
    <w:rsid w:val="41D8AE19"/>
    <w:rsid w:val="41DF50A5"/>
    <w:rsid w:val="41E3E972"/>
    <w:rsid w:val="41EB9064"/>
    <w:rsid w:val="41EE732E"/>
    <w:rsid w:val="41F950E0"/>
    <w:rsid w:val="42066706"/>
    <w:rsid w:val="42330F4E"/>
    <w:rsid w:val="423763F5"/>
    <w:rsid w:val="42396F32"/>
    <w:rsid w:val="423A408A"/>
    <w:rsid w:val="423BA5DB"/>
    <w:rsid w:val="423DF659"/>
    <w:rsid w:val="424D7045"/>
    <w:rsid w:val="42535A48"/>
    <w:rsid w:val="42552A34"/>
    <w:rsid w:val="425DDAC7"/>
    <w:rsid w:val="426F72F7"/>
    <w:rsid w:val="427BB97A"/>
    <w:rsid w:val="4281DA75"/>
    <w:rsid w:val="42943D76"/>
    <w:rsid w:val="4297081E"/>
    <w:rsid w:val="429CB849"/>
    <w:rsid w:val="429D4F92"/>
    <w:rsid w:val="42A90A4D"/>
    <w:rsid w:val="42B0696F"/>
    <w:rsid w:val="42B7AE29"/>
    <w:rsid w:val="42CC4393"/>
    <w:rsid w:val="42D03BD3"/>
    <w:rsid w:val="42D241D3"/>
    <w:rsid w:val="42E08978"/>
    <w:rsid w:val="42E9480B"/>
    <w:rsid w:val="42F8E435"/>
    <w:rsid w:val="430ECA89"/>
    <w:rsid w:val="434323B3"/>
    <w:rsid w:val="4377E005"/>
    <w:rsid w:val="43892CCE"/>
    <w:rsid w:val="439ACC71"/>
    <w:rsid w:val="43AC3677"/>
    <w:rsid w:val="43B8C50D"/>
    <w:rsid w:val="43CBCFD5"/>
    <w:rsid w:val="441725C7"/>
    <w:rsid w:val="4419E07E"/>
    <w:rsid w:val="441C9817"/>
    <w:rsid w:val="441EBE83"/>
    <w:rsid w:val="44296D51"/>
    <w:rsid w:val="442D2282"/>
    <w:rsid w:val="44337863"/>
    <w:rsid w:val="4447050D"/>
    <w:rsid w:val="445CFCEF"/>
    <w:rsid w:val="445D633B"/>
    <w:rsid w:val="44A78FF3"/>
    <w:rsid w:val="44B4AF43"/>
    <w:rsid w:val="44C5148A"/>
    <w:rsid w:val="44C8D546"/>
    <w:rsid w:val="44CE0073"/>
    <w:rsid w:val="44E42639"/>
    <w:rsid w:val="44EFDAF3"/>
    <w:rsid w:val="44F057E6"/>
    <w:rsid w:val="4504BC91"/>
    <w:rsid w:val="450DAB04"/>
    <w:rsid w:val="45115E19"/>
    <w:rsid w:val="4520D4A9"/>
    <w:rsid w:val="4524937A"/>
    <w:rsid w:val="453AA112"/>
    <w:rsid w:val="453DDCA2"/>
    <w:rsid w:val="455C1A2C"/>
    <w:rsid w:val="4568828F"/>
    <w:rsid w:val="45702FF7"/>
    <w:rsid w:val="45927889"/>
    <w:rsid w:val="459C68C9"/>
    <w:rsid w:val="45C23431"/>
    <w:rsid w:val="45D920F9"/>
    <w:rsid w:val="45E56CEA"/>
    <w:rsid w:val="460129ED"/>
    <w:rsid w:val="46250F05"/>
    <w:rsid w:val="462E5A40"/>
    <w:rsid w:val="465C49C5"/>
    <w:rsid w:val="46608C55"/>
    <w:rsid w:val="466D45E4"/>
    <w:rsid w:val="4680524C"/>
    <w:rsid w:val="469288B1"/>
    <w:rsid w:val="46AC7E4A"/>
    <w:rsid w:val="46AD023D"/>
    <w:rsid w:val="46B2C1C8"/>
    <w:rsid w:val="46B33E8F"/>
    <w:rsid w:val="46BCB269"/>
    <w:rsid w:val="46BD27B4"/>
    <w:rsid w:val="46BE1CE9"/>
    <w:rsid w:val="46E344A6"/>
    <w:rsid w:val="46E9BC50"/>
    <w:rsid w:val="46FD733D"/>
    <w:rsid w:val="470272EA"/>
    <w:rsid w:val="471CC06B"/>
    <w:rsid w:val="473B99BD"/>
    <w:rsid w:val="474D2BD0"/>
    <w:rsid w:val="47780568"/>
    <w:rsid w:val="478A7EF3"/>
    <w:rsid w:val="47CD22F8"/>
    <w:rsid w:val="47D756B2"/>
    <w:rsid w:val="47D9335B"/>
    <w:rsid w:val="47E06857"/>
    <w:rsid w:val="4803C26E"/>
    <w:rsid w:val="481600BA"/>
    <w:rsid w:val="483C0844"/>
    <w:rsid w:val="485F3912"/>
    <w:rsid w:val="4881F17E"/>
    <w:rsid w:val="489B4A50"/>
    <w:rsid w:val="48A7F5B5"/>
    <w:rsid w:val="48A9567A"/>
    <w:rsid w:val="48AC977F"/>
    <w:rsid w:val="48B3F0C8"/>
    <w:rsid w:val="48B7D255"/>
    <w:rsid w:val="48C03231"/>
    <w:rsid w:val="48D4A603"/>
    <w:rsid w:val="48E22F4E"/>
    <w:rsid w:val="48E48FDD"/>
    <w:rsid w:val="4921ED4C"/>
    <w:rsid w:val="4938CD1F"/>
    <w:rsid w:val="493A7A19"/>
    <w:rsid w:val="49482271"/>
    <w:rsid w:val="494E9CB4"/>
    <w:rsid w:val="494EA166"/>
    <w:rsid w:val="49546BB9"/>
    <w:rsid w:val="49569CAE"/>
    <w:rsid w:val="49699C84"/>
    <w:rsid w:val="496C318C"/>
    <w:rsid w:val="4970CCE2"/>
    <w:rsid w:val="4977D59E"/>
    <w:rsid w:val="49792FFE"/>
    <w:rsid w:val="497BE921"/>
    <w:rsid w:val="49889988"/>
    <w:rsid w:val="49AE1BFA"/>
    <w:rsid w:val="49B170D1"/>
    <w:rsid w:val="49BD0B8F"/>
    <w:rsid w:val="49C66A6A"/>
    <w:rsid w:val="49D480E6"/>
    <w:rsid w:val="49D8B37E"/>
    <w:rsid w:val="49EA628A"/>
    <w:rsid w:val="49ECCEC0"/>
    <w:rsid w:val="49F98C83"/>
    <w:rsid w:val="4A0975F9"/>
    <w:rsid w:val="4A09AF18"/>
    <w:rsid w:val="4A188369"/>
    <w:rsid w:val="4A2BF76D"/>
    <w:rsid w:val="4A5C8A77"/>
    <w:rsid w:val="4A731F86"/>
    <w:rsid w:val="4A79BA5A"/>
    <w:rsid w:val="4A91967A"/>
    <w:rsid w:val="4AA81CB9"/>
    <w:rsid w:val="4AAC4102"/>
    <w:rsid w:val="4AAC4B4A"/>
    <w:rsid w:val="4AB6793D"/>
    <w:rsid w:val="4ABDE26E"/>
    <w:rsid w:val="4ACE1A44"/>
    <w:rsid w:val="4AEF22EB"/>
    <w:rsid w:val="4AF227C3"/>
    <w:rsid w:val="4AF657C9"/>
    <w:rsid w:val="4B1218D8"/>
    <w:rsid w:val="4B17B982"/>
    <w:rsid w:val="4B20E5CA"/>
    <w:rsid w:val="4B420F1D"/>
    <w:rsid w:val="4B6147A3"/>
    <w:rsid w:val="4B67FD30"/>
    <w:rsid w:val="4B8726AA"/>
    <w:rsid w:val="4B877ADC"/>
    <w:rsid w:val="4B93BCBE"/>
    <w:rsid w:val="4BAE207F"/>
    <w:rsid w:val="4BB18B4B"/>
    <w:rsid w:val="4BC115E4"/>
    <w:rsid w:val="4BC5887A"/>
    <w:rsid w:val="4BCA9BB1"/>
    <w:rsid w:val="4BE6CF4F"/>
    <w:rsid w:val="4BE78777"/>
    <w:rsid w:val="4BE9F934"/>
    <w:rsid w:val="4BFF7D33"/>
    <w:rsid w:val="4C01B59D"/>
    <w:rsid w:val="4C0B71C3"/>
    <w:rsid w:val="4C10BE82"/>
    <w:rsid w:val="4C1733A4"/>
    <w:rsid w:val="4C25DAF7"/>
    <w:rsid w:val="4C354E09"/>
    <w:rsid w:val="4C42E64B"/>
    <w:rsid w:val="4C484E80"/>
    <w:rsid w:val="4C4BD528"/>
    <w:rsid w:val="4C4E1931"/>
    <w:rsid w:val="4C4E23A6"/>
    <w:rsid w:val="4C504001"/>
    <w:rsid w:val="4C557EE8"/>
    <w:rsid w:val="4C76A1FD"/>
    <w:rsid w:val="4C9AD1C6"/>
    <w:rsid w:val="4CC8F925"/>
    <w:rsid w:val="4CCB08BB"/>
    <w:rsid w:val="4CD09758"/>
    <w:rsid w:val="4CD8B44D"/>
    <w:rsid w:val="4CD9E472"/>
    <w:rsid w:val="4CE32119"/>
    <w:rsid w:val="4CF7936B"/>
    <w:rsid w:val="4D19B11F"/>
    <w:rsid w:val="4D1A0B04"/>
    <w:rsid w:val="4D1B6CEF"/>
    <w:rsid w:val="4D280932"/>
    <w:rsid w:val="4D3638B0"/>
    <w:rsid w:val="4D405622"/>
    <w:rsid w:val="4D44C5BE"/>
    <w:rsid w:val="4D6802E7"/>
    <w:rsid w:val="4D7C84EF"/>
    <w:rsid w:val="4D87637B"/>
    <w:rsid w:val="4D919A52"/>
    <w:rsid w:val="4D94570E"/>
    <w:rsid w:val="4D99F635"/>
    <w:rsid w:val="4DFB8E01"/>
    <w:rsid w:val="4E2B1DF2"/>
    <w:rsid w:val="4E7BD1F2"/>
    <w:rsid w:val="4EAED99C"/>
    <w:rsid w:val="4EB13977"/>
    <w:rsid w:val="4ED3E8AB"/>
    <w:rsid w:val="4ED8C6B9"/>
    <w:rsid w:val="4EF0288A"/>
    <w:rsid w:val="4F088180"/>
    <w:rsid w:val="4F275AE9"/>
    <w:rsid w:val="4F2B11B7"/>
    <w:rsid w:val="4F3CFB88"/>
    <w:rsid w:val="4F533124"/>
    <w:rsid w:val="4F661918"/>
    <w:rsid w:val="4F7F1F06"/>
    <w:rsid w:val="4FC81B7A"/>
    <w:rsid w:val="4FCDC4E2"/>
    <w:rsid w:val="4FCFE976"/>
    <w:rsid w:val="4FD76346"/>
    <w:rsid w:val="4FE81FBE"/>
    <w:rsid w:val="4FF45835"/>
    <w:rsid w:val="5008381A"/>
    <w:rsid w:val="500DEACE"/>
    <w:rsid w:val="5020B5A8"/>
    <w:rsid w:val="5029963B"/>
    <w:rsid w:val="50332436"/>
    <w:rsid w:val="50575A3B"/>
    <w:rsid w:val="505B6EBD"/>
    <w:rsid w:val="50704223"/>
    <w:rsid w:val="5087C4ED"/>
    <w:rsid w:val="5096BCD7"/>
    <w:rsid w:val="509C5DB1"/>
    <w:rsid w:val="50A66C3C"/>
    <w:rsid w:val="50C64D32"/>
    <w:rsid w:val="50D3E9B1"/>
    <w:rsid w:val="50FAAA57"/>
    <w:rsid w:val="51029746"/>
    <w:rsid w:val="51177CFE"/>
    <w:rsid w:val="51179C26"/>
    <w:rsid w:val="51218F23"/>
    <w:rsid w:val="513170D7"/>
    <w:rsid w:val="51384776"/>
    <w:rsid w:val="5164B749"/>
    <w:rsid w:val="516F0D3A"/>
    <w:rsid w:val="5173025C"/>
    <w:rsid w:val="519A22F8"/>
    <w:rsid w:val="51B280C1"/>
    <w:rsid w:val="51C1047F"/>
    <w:rsid w:val="51C4A156"/>
    <w:rsid w:val="51D8BAF6"/>
    <w:rsid w:val="52092E2F"/>
    <w:rsid w:val="525DB2A1"/>
    <w:rsid w:val="525EBD19"/>
    <w:rsid w:val="525FA276"/>
    <w:rsid w:val="526B8195"/>
    <w:rsid w:val="52BAFA7E"/>
    <w:rsid w:val="52BD1694"/>
    <w:rsid w:val="52BFE40B"/>
    <w:rsid w:val="52C60E16"/>
    <w:rsid w:val="52D47988"/>
    <w:rsid w:val="52EA2566"/>
    <w:rsid w:val="53134B65"/>
    <w:rsid w:val="5317D342"/>
    <w:rsid w:val="53251FC1"/>
    <w:rsid w:val="53253F43"/>
    <w:rsid w:val="532774FD"/>
    <w:rsid w:val="532939D2"/>
    <w:rsid w:val="532B4F37"/>
    <w:rsid w:val="5330C5D1"/>
    <w:rsid w:val="53336096"/>
    <w:rsid w:val="5360EAC0"/>
    <w:rsid w:val="5374E589"/>
    <w:rsid w:val="5381AED2"/>
    <w:rsid w:val="5388E34F"/>
    <w:rsid w:val="539E20D8"/>
    <w:rsid w:val="53AC37DC"/>
    <w:rsid w:val="53B87496"/>
    <w:rsid w:val="53D89E41"/>
    <w:rsid w:val="54467741"/>
    <w:rsid w:val="54476781"/>
    <w:rsid w:val="544C20A9"/>
    <w:rsid w:val="5465512C"/>
    <w:rsid w:val="5471F084"/>
    <w:rsid w:val="5473C397"/>
    <w:rsid w:val="549A6B29"/>
    <w:rsid w:val="549B5B2F"/>
    <w:rsid w:val="54BAEDD6"/>
    <w:rsid w:val="54F8F720"/>
    <w:rsid w:val="552A81A0"/>
    <w:rsid w:val="55327CCA"/>
    <w:rsid w:val="556645F5"/>
    <w:rsid w:val="5572A214"/>
    <w:rsid w:val="559039E8"/>
    <w:rsid w:val="55A32257"/>
    <w:rsid w:val="55CB6191"/>
    <w:rsid w:val="55E0DC17"/>
    <w:rsid w:val="55E1775B"/>
    <w:rsid w:val="55E3EA54"/>
    <w:rsid w:val="5600E010"/>
    <w:rsid w:val="5615CF78"/>
    <w:rsid w:val="5615EA0E"/>
    <w:rsid w:val="562680E5"/>
    <w:rsid w:val="563CCF79"/>
    <w:rsid w:val="563F56CA"/>
    <w:rsid w:val="5640B961"/>
    <w:rsid w:val="5643B6FC"/>
    <w:rsid w:val="564D361A"/>
    <w:rsid w:val="565094A5"/>
    <w:rsid w:val="56533D59"/>
    <w:rsid w:val="56A537D6"/>
    <w:rsid w:val="56AF07F8"/>
    <w:rsid w:val="56C08BB9"/>
    <w:rsid w:val="5701AFBF"/>
    <w:rsid w:val="5703F628"/>
    <w:rsid w:val="570B27E3"/>
    <w:rsid w:val="574FB9EB"/>
    <w:rsid w:val="575796E2"/>
    <w:rsid w:val="575E9CAE"/>
    <w:rsid w:val="5762F0DF"/>
    <w:rsid w:val="576A61DF"/>
    <w:rsid w:val="57705BFD"/>
    <w:rsid w:val="57747095"/>
    <w:rsid w:val="5788A269"/>
    <w:rsid w:val="57A5DEB2"/>
    <w:rsid w:val="57B683A4"/>
    <w:rsid w:val="57CE8457"/>
    <w:rsid w:val="57DB25D8"/>
    <w:rsid w:val="57E6EF26"/>
    <w:rsid w:val="57F663C8"/>
    <w:rsid w:val="584609F8"/>
    <w:rsid w:val="5847B090"/>
    <w:rsid w:val="5864A9F4"/>
    <w:rsid w:val="586E4FC6"/>
    <w:rsid w:val="587787B2"/>
    <w:rsid w:val="5881DEA6"/>
    <w:rsid w:val="58844CE9"/>
    <w:rsid w:val="589918DA"/>
    <w:rsid w:val="58A0978D"/>
    <w:rsid w:val="58AB6B1D"/>
    <w:rsid w:val="58C3488F"/>
    <w:rsid w:val="58CB3919"/>
    <w:rsid w:val="58D414F6"/>
    <w:rsid w:val="58E0179D"/>
    <w:rsid w:val="590A88D9"/>
    <w:rsid w:val="590E6773"/>
    <w:rsid w:val="591E79A9"/>
    <w:rsid w:val="59544D55"/>
    <w:rsid w:val="595DFE95"/>
    <w:rsid w:val="59653F40"/>
    <w:rsid w:val="5973AE04"/>
    <w:rsid w:val="597CDC1D"/>
    <w:rsid w:val="59885308"/>
    <w:rsid w:val="59A4094F"/>
    <w:rsid w:val="59B3DCF4"/>
    <w:rsid w:val="59BB747B"/>
    <w:rsid w:val="59BC828D"/>
    <w:rsid w:val="59C603D2"/>
    <w:rsid w:val="59CC4504"/>
    <w:rsid w:val="5A030EAA"/>
    <w:rsid w:val="5A0806E6"/>
    <w:rsid w:val="5A0BB90B"/>
    <w:rsid w:val="5A288AAA"/>
    <w:rsid w:val="5A53E149"/>
    <w:rsid w:val="5A63129E"/>
    <w:rsid w:val="5A71FB4A"/>
    <w:rsid w:val="5A93F75B"/>
    <w:rsid w:val="5AB15D57"/>
    <w:rsid w:val="5AB1B11E"/>
    <w:rsid w:val="5AB45576"/>
    <w:rsid w:val="5AB7EBEC"/>
    <w:rsid w:val="5ACDB77A"/>
    <w:rsid w:val="5ACEF85F"/>
    <w:rsid w:val="5AD13EFE"/>
    <w:rsid w:val="5AF7D35F"/>
    <w:rsid w:val="5AFDB650"/>
    <w:rsid w:val="5AFEB734"/>
    <w:rsid w:val="5B2B5045"/>
    <w:rsid w:val="5B2E1491"/>
    <w:rsid w:val="5B3B5150"/>
    <w:rsid w:val="5B43C6CF"/>
    <w:rsid w:val="5B4DFDBF"/>
    <w:rsid w:val="5B6148D3"/>
    <w:rsid w:val="5B7A73DC"/>
    <w:rsid w:val="5B92690F"/>
    <w:rsid w:val="5BA42926"/>
    <w:rsid w:val="5BA60EEA"/>
    <w:rsid w:val="5BC51B66"/>
    <w:rsid w:val="5BC8FA1B"/>
    <w:rsid w:val="5C0DBA78"/>
    <w:rsid w:val="5C1AD77F"/>
    <w:rsid w:val="5C34EBDB"/>
    <w:rsid w:val="5C3EDDDF"/>
    <w:rsid w:val="5C3F2D19"/>
    <w:rsid w:val="5C443DBA"/>
    <w:rsid w:val="5C4A7953"/>
    <w:rsid w:val="5C80211F"/>
    <w:rsid w:val="5C809E38"/>
    <w:rsid w:val="5CA78B39"/>
    <w:rsid w:val="5CD5C053"/>
    <w:rsid w:val="5D21399F"/>
    <w:rsid w:val="5D260DA5"/>
    <w:rsid w:val="5D39F1C5"/>
    <w:rsid w:val="5D41DF4B"/>
    <w:rsid w:val="5D4DBD4A"/>
    <w:rsid w:val="5D78A10E"/>
    <w:rsid w:val="5D86A1B2"/>
    <w:rsid w:val="5DA61E3A"/>
    <w:rsid w:val="5DA697CF"/>
    <w:rsid w:val="5DB04645"/>
    <w:rsid w:val="5DC4B8BD"/>
    <w:rsid w:val="5DE41AB9"/>
    <w:rsid w:val="5DF5CFA5"/>
    <w:rsid w:val="5E059E65"/>
    <w:rsid w:val="5E1D4A1F"/>
    <w:rsid w:val="5E28C0A3"/>
    <w:rsid w:val="5E299707"/>
    <w:rsid w:val="5E38B5DD"/>
    <w:rsid w:val="5E3DCCCB"/>
    <w:rsid w:val="5E40DBFF"/>
    <w:rsid w:val="5E5C5DAA"/>
    <w:rsid w:val="5E5FC1A2"/>
    <w:rsid w:val="5E690365"/>
    <w:rsid w:val="5E6C0F5B"/>
    <w:rsid w:val="5E83EF68"/>
    <w:rsid w:val="5E88A50B"/>
    <w:rsid w:val="5E88AA60"/>
    <w:rsid w:val="5E9682E2"/>
    <w:rsid w:val="5E992440"/>
    <w:rsid w:val="5EC70CF4"/>
    <w:rsid w:val="5EDBFF67"/>
    <w:rsid w:val="5EF5DC9D"/>
    <w:rsid w:val="5F04672A"/>
    <w:rsid w:val="5F0D6FA2"/>
    <w:rsid w:val="5F1F554C"/>
    <w:rsid w:val="5F283ED1"/>
    <w:rsid w:val="5F3B44B9"/>
    <w:rsid w:val="5F5CF1F3"/>
    <w:rsid w:val="5F7DBEF4"/>
    <w:rsid w:val="5F87112D"/>
    <w:rsid w:val="5F88AD4B"/>
    <w:rsid w:val="5F93D0AE"/>
    <w:rsid w:val="5F9E1DBD"/>
    <w:rsid w:val="5FDEC0E5"/>
    <w:rsid w:val="5FFFE0D4"/>
    <w:rsid w:val="6008A8F1"/>
    <w:rsid w:val="601F96B9"/>
    <w:rsid w:val="602AE21F"/>
    <w:rsid w:val="602DAB02"/>
    <w:rsid w:val="602E6ABC"/>
    <w:rsid w:val="6033A638"/>
    <w:rsid w:val="6048D45E"/>
    <w:rsid w:val="605F2F35"/>
    <w:rsid w:val="608ABAE4"/>
    <w:rsid w:val="60929DFC"/>
    <w:rsid w:val="60F0A70E"/>
    <w:rsid w:val="6127F925"/>
    <w:rsid w:val="612A2957"/>
    <w:rsid w:val="613526FB"/>
    <w:rsid w:val="6143CC11"/>
    <w:rsid w:val="6158B3A0"/>
    <w:rsid w:val="6163B75E"/>
    <w:rsid w:val="6172ED56"/>
    <w:rsid w:val="6173DF52"/>
    <w:rsid w:val="617CB758"/>
    <w:rsid w:val="6189CECC"/>
    <w:rsid w:val="619B6198"/>
    <w:rsid w:val="61B980FE"/>
    <w:rsid w:val="61C0A7BA"/>
    <w:rsid w:val="61D3BB0C"/>
    <w:rsid w:val="61D87DD4"/>
    <w:rsid w:val="61E1F7F8"/>
    <w:rsid w:val="6203ADE9"/>
    <w:rsid w:val="6215506E"/>
    <w:rsid w:val="62189CEB"/>
    <w:rsid w:val="621CAF90"/>
    <w:rsid w:val="6228C907"/>
    <w:rsid w:val="6241A69E"/>
    <w:rsid w:val="6258511C"/>
    <w:rsid w:val="625E9109"/>
    <w:rsid w:val="626E442D"/>
    <w:rsid w:val="627700E5"/>
    <w:rsid w:val="62940D08"/>
    <w:rsid w:val="62A5EF1C"/>
    <w:rsid w:val="62B66E59"/>
    <w:rsid w:val="62C78A3F"/>
    <w:rsid w:val="62C9DC52"/>
    <w:rsid w:val="62D315DC"/>
    <w:rsid w:val="62DF9C72"/>
    <w:rsid w:val="6314BE92"/>
    <w:rsid w:val="63286D02"/>
    <w:rsid w:val="6330E0A2"/>
    <w:rsid w:val="6336AFB4"/>
    <w:rsid w:val="6344901D"/>
    <w:rsid w:val="63468A8D"/>
    <w:rsid w:val="6364449F"/>
    <w:rsid w:val="63B120CF"/>
    <w:rsid w:val="63B54BF8"/>
    <w:rsid w:val="63C67ED3"/>
    <w:rsid w:val="63C84658"/>
    <w:rsid w:val="63D21ABF"/>
    <w:rsid w:val="64008F59"/>
    <w:rsid w:val="642318C4"/>
    <w:rsid w:val="6456CC16"/>
    <w:rsid w:val="6458A3BA"/>
    <w:rsid w:val="64617300"/>
    <w:rsid w:val="64755E77"/>
    <w:rsid w:val="64879F0D"/>
    <w:rsid w:val="649552EB"/>
    <w:rsid w:val="64A7AF1E"/>
    <w:rsid w:val="64B71F17"/>
    <w:rsid w:val="64BAC283"/>
    <w:rsid w:val="64CF2088"/>
    <w:rsid w:val="64D0E2DF"/>
    <w:rsid w:val="64E8B029"/>
    <w:rsid w:val="64E97B88"/>
    <w:rsid w:val="64EDAB56"/>
    <w:rsid w:val="64F3D541"/>
    <w:rsid w:val="64F7FACE"/>
    <w:rsid w:val="64F833C5"/>
    <w:rsid w:val="650689C2"/>
    <w:rsid w:val="6517614E"/>
    <w:rsid w:val="6531FE24"/>
    <w:rsid w:val="65819663"/>
    <w:rsid w:val="65880CC5"/>
    <w:rsid w:val="659CA5EA"/>
    <w:rsid w:val="65AA10C0"/>
    <w:rsid w:val="65AB1CC2"/>
    <w:rsid w:val="65F32F1D"/>
    <w:rsid w:val="6607A9A3"/>
    <w:rsid w:val="6627057D"/>
    <w:rsid w:val="662C8550"/>
    <w:rsid w:val="66315692"/>
    <w:rsid w:val="6633A405"/>
    <w:rsid w:val="663C814A"/>
    <w:rsid w:val="6683BAAD"/>
    <w:rsid w:val="66A95506"/>
    <w:rsid w:val="66ADDD41"/>
    <w:rsid w:val="66B8D5D3"/>
    <w:rsid w:val="66BEA373"/>
    <w:rsid w:val="66D46E95"/>
    <w:rsid w:val="66D5183D"/>
    <w:rsid w:val="66D83F07"/>
    <w:rsid w:val="66E33084"/>
    <w:rsid w:val="67018254"/>
    <w:rsid w:val="67041F04"/>
    <w:rsid w:val="670B3FBE"/>
    <w:rsid w:val="670DE05B"/>
    <w:rsid w:val="671517C1"/>
    <w:rsid w:val="67214B31"/>
    <w:rsid w:val="67590C7A"/>
    <w:rsid w:val="6763AAB1"/>
    <w:rsid w:val="677877EF"/>
    <w:rsid w:val="677EC5EE"/>
    <w:rsid w:val="67B037BF"/>
    <w:rsid w:val="6851788B"/>
    <w:rsid w:val="685E5DC4"/>
    <w:rsid w:val="686B5DF6"/>
    <w:rsid w:val="68705CF6"/>
    <w:rsid w:val="687CA46C"/>
    <w:rsid w:val="6887544F"/>
    <w:rsid w:val="688A410C"/>
    <w:rsid w:val="689D36FC"/>
    <w:rsid w:val="68CD9B2F"/>
    <w:rsid w:val="68DF4123"/>
    <w:rsid w:val="68F6D012"/>
    <w:rsid w:val="68FAD598"/>
    <w:rsid w:val="691C424D"/>
    <w:rsid w:val="6939E496"/>
    <w:rsid w:val="69560A7C"/>
    <w:rsid w:val="6997AC72"/>
    <w:rsid w:val="69A88CFE"/>
    <w:rsid w:val="69ABAFC2"/>
    <w:rsid w:val="69B54F0A"/>
    <w:rsid w:val="69BA7D33"/>
    <w:rsid w:val="6A048BAD"/>
    <w:rsid w:val="6A095F90"/>
    <w:rsid w:val="6A30B4AF"/>
    <w:rsid w:val="6A33742C"/>
    <w:rsid w:val="6A3D3249"/>
    <w:rsid w:val="6A59DB1A"/>
    <w:rsid w:val="6A5F3346"/>
    <w:rsid w:val="6A897E5E"/>
    <w:rsid w:val="6A89C126"/>
    <w:rsid w:val="6A91AE4D"/>
    <w:rsid w:val="6AC91C86"/>
    <w:rsid w:val="6AE8974F"/>
    <w:rsid w:val="6B28E5E2"/>
    <w:rsid w:val="6B2A0407"/>
    <w:rsid w:val="6B4CC215"/>
    <w:rsid w:val="6B5D60C3"/>
    <w:rsid w:val="6B68FC11"/>
    <w:rsid w:val="6B6D5B75"/>
    <w:rsid w:val="6B7B2D97"/>
    <w:rsid w:val="6B7C2C90"/>
    <w:rsid w:val="6B80F950"/>
    <w:rsid w:val="6BA4E118"/>
    <w:rsid w:val="6BBD8C80"/>
    <w:rsid w:val="6BC719EF"/>
    <w:rsid w:val="6BFA6B0D"/>
    <w:rsid w:val="6C00B3AC"/>
    <w:rsid w:val="6C032B4E"/>
    <w:rsid w:val="6C035A7D"/>
    <w:rsid w:val="6C2D7EAE"/>
    <w:rsid w:val="6C414A25"/>
    <w:rsid w:val="6C48B59E"/>
    <w:rsid w:val="6C4A22E9"/>
    <w:rsid w:val="6C58AEC7"/>
    <w:rsid w:val="6C6F691F"/>
    <w:rsid w:val="6C786C63"/>
    <w:rsid w:val="6C846894"/>
    <w:rsid w:val="6CC0C439"/>
    <w:rsid w:val="6CC997AD"/>
    <w:rsid w:val="6CCB9B60"/>
    <w:rsid w:val="6CCBF99C"/>
    <w:rsid w:val="6CE938FE"/>
    <w:rsid w:val="6CFD3F37"/>
    <w:rsid w:val="6D088DAD"/>
    <w:rsid w:val="6D17F43D"/>
    <w:rsid w:val="6D1CF884"/>
    <w:rsid w:val="6D36084D"/>
    <w:rsid w:val="6D37755D"/>
    <w:rsid w:val="6D463A5D"/>
    <w:rsid w:val="6D4A88EE"/>
    <w:rsid w:val="6D4FFB1D"/>
    <w:rsid w:val="6D6223DE"/>
    <w:rsid w:val="6D67AAC8"/>
    <w:rsid w:val="6D84D614"/>
    <w:rsid w:val="6D8768D9"/>
    <w:rsid w:val="6D92A36E"/>
    <w:rsid w:val="6D9679CD"/>
    <w:rsid w:val="6D9BCB14"/>
    <w:rsid w:val="6DA08A98"/>
    <w:rsid w:val="6DA2C7F3"/>
    <w:rsid w:val="6DAE2594"/>
    <w:rsid w:val="6DD862BF"/>
    <w:rsid w:val="6DE0A69B"/>
    <w:rsid w:val="6E143596"/>
    <w:rsid w:val="6E1D22F8"/>
    <w:rsid w:val="6E1E6921"/>
    <w:rsid w:val="6E1F01C5"/>
    <w:rsid w:val="6E31FF4B"/>
    <w:rsid w:val="6E3A8D40"/>
    <w:rsid w:val="6E43E5E9"/>
    <w:rsid w:val="6E4F25D2"/>
    <w:rsid w:val="6E7BA355"/>
    <w:rsid w:val="6E8D9B65"/>
    <w:rsid w:val="6EC6A3CC"/>
    <w:rsid w:val="6ED6CDE6"/>
    <w:rsid w:val="6ED9785E"/>
    <w:rsid w:val="6F38D6AB"/>
    <w:rsid w:val="6F491567"/>
    <w:rsid w:val="6F5D0BD1"/>
    <w:rsid w:val="6F9D01F8"/>
    <w:rsid w:val="6FA00D12"/>
    <w:rsid w:val="6FA042A4"/>
    <w:rsid w:val="6FDCFD0E"/>
    <w:rsid w:val="6FF3468C"/>
    <w:rsid w:val="70020559"/>
    <w:rsid w:val="7022DDE0"/>
    <w:rsid w:val="70296BC6"/>
    <w:rsid w:val="703EB3D2"/>
    <w:rsid w:val="7043DDB2"/>
    <w:rsid w:val="704609F8"/>
    <w:rsid w:val="7051BED9"/>
    <w:rsid w:val="70607565"/>
    <w:rsid w:val="706E66CB"/>
    <w:rsid w:val="70A6C25B"/>
    <w:rsid w:val="70AA99DD"/>
    <w:rsid w:val="70C74C1A"/>
    <w:rsid w:val="70F480AB"/>
    <w:rsid w:val="7158D3EE"/>
    <w:rsid w:val="715B42E9"/>
    <w:rsid w:val="71611C51"/>
    <w:rsid w:val="716B92C9"/>
    <w:rsid w:val="71824456"/>
    <w:rsid w:val="7198F2F5"/>
    <w:rsid w:val="71A47B9F"/>
    <w:rsid w:val="71ACC342"/>
    <w:rsid w:val="71B46FBA"/>
    <w:rsid w:val="71C23256"/>
    <w:rsid w:val="71C28AA2"/>
    <w:rsid w:val="71CCA765"/>
    <w:rsid w:val="71E43F86"/>
    <w:rsid w:val="71E9C518"/>
    <w:rsid w:val="71F752BA"/>
    <w:rsid w:val="71FB3614"/>
    <w:rsid w:val="71FD8ACB"/>
    <w:rsid w:val="71FE1DA3"/>
    <w:rsid w:val="72194896"/>
    <w:rsid w:val="72476C05"/>
    <w:rsid w:val="724AA564"/>
    <w:rsid w:val="725226DD"/>
    <w:rsid w:val="725566AC"/>
    <w:rsid w:val="7270776D"/>
    <w:rsid w:val="72893E86"/>
    <w:rsid w:val="72970F35"/>
    <w:rsid w:val="729D21B6"/>
    <w:rsid w:val="72B58DE4"/>
    <w:rsid w:val="72E66E2A"/>
    <w:rsid w:val="72F3E13A"/>
    <w:rsid w:val="72FD2D3D"/>
    <w:rsid w:val="730A5D6A"/>
    <w:rsid w:val="73177706"/>
    <w:rsid w:val="7323A36B"/>
    <w:rsid w:val="734E7F74"/>
    <w:rsid w:val="735AECBC"/>
    <w:rsid w:val="73683610"/>
    <w:rsid w:val="738B529C"/>
    <w:rsid w:val="738BBDC8"/>
    <w:rsid w:val="7397B52E"/>
    <w:rsid w:val="739887AD"/>
    <w:rsid w:val="739E3F87"/>
    <w:rsid w:val="73A2F56D"/>
    <w:rsid w:val="73A3F145"/>
    <w:rsid w:val="73A47EEA"/>
    <w:rsid w:val="73B0EFF2"/>
    <w:rsid w:val="73B5EE55"/>
    <w:rsid w:val="73D3B02E"/>
    <w:rsid w:val="73D3E34B"/>
    <w:rsid w:val="73D58905"/>
    <w:rsid w:val="73F6E0BB"/>
    <w:rsid w:val="73F8F391"/>
    <w:rsid w:val="740E4F8D"/>
    <w:rsid w:val="7413C148"/>
    <w:rsid w:val="74208D2D"/>
    <w:rsid w:val="74261629"/>
    <w:rsid w:val="74419573"/>
    <w:rsid w:val="7459D2B8"/>
    <w:rsid w:val="7473DA70"/>
    <w:rsid w:val="74BFED0E"/>
    <w:rsid w:val="74CDE639"/>
    <w:rsid w:val="74E3E66A"/>
    <w:rsid w:val="74E80B03"/>
    <w:rsid w:val="74FAAAB8"/>
    <w:rsid w:val="7507A87D"/>
    <w:rsid w:val="75131807"/>
    <w:rsid w:val="75147110"/>
    <w:rsid w:val="7515F5BB"/>
    <w:rsid w:val="75253CF4"/>
    <w:rsid w:val="75393A46"/>
    <w:rsid w:val="755543EC"/>
    <w:rsid w:val="7566AC7C"/>
    <w:rsid w:val="756D29C5"/>
    <w:rsid w:val="7588603C"/>
    <w:rsid w:val="758D50BB"/>
    <w:rsid w:val="75926EA0"/>
    <w:rsid w:val="75D4566C"/>
    <w:rsid w:val="75DE46B8"/>
    <w:rsid w:val="75E820EB"/>
    <w:rsid w:val="75EC6769"/>
    <w:rsid w:val="75F94584"/>
    <w:rsid w:val="761E6C07"/>
    <w:rsid w:val="763CD23D"/>
    <w:rsid w:val="765A37B7"/>
    <w:rsid w:val="765E04ED"/>
    <w:rsid w:val="767B2EFC"/>
    <w:rsid w:val="76A553C0"/>
    <w:rsid w:val="76A69913"/>
    <w:rsid w:val="76B12BD4"/>
    <w:rsid w:val="76CEAEA8"/>
    <w:rsid w:val="76DFDB23"/>
    <w:rsid w:val="770162C5"/>
    <w:rsid w:val="7704888A"/>
    <w:rsid w:val="7719AB16"/>
    <w:rsid w:val="77299B8B"/>
    <w:rsid w:val="773D1DB4"/>
    <w:rsid w:val="7746D96C"/>
    <w:rsid w:val="774EF675"/>
    <w:rsid w:val="775554B3"/>
    <w:rsid w:val="77753740"/>
    <w:rsid w:val="77866D34"/>
    <w:rsid w:val="77B5AE77"/>
    <w:rsid w:val="77BBFF4E"/>
    <w:rsid w:val="77BC9EAC"/>
    <w:rsid w:val="77BFAB9E"/>
    <w:rsid w:val="77C8AAFF"/>
    <w:rsid w:val="77CBAE0C"/>
    <w:rsid w:val="77D02423"/>
    <w:rsid w:val="77D0BC62"/>
    <w:rsid w:val="780E491C"/>
    <w:rsid w:val="78146621"/>
    <w:rsid w:val="78182E20"/>
    <w:rsid w:val="782CAC85"/>
    <w:rsid w:val="782E56BC"/>
    <w:rsid w:val="783BE8E9"/>
    <w:rsid w:val="7841BAE8"/>
    <w:rsid w:val="78463531"/>
    <w:rsid w:val="78572FD3"/>
    <w:rsid w:val="787B28DD"/>
    <w:rsid w:val="7887D3F1"/>
    <w:rsid w:val="7895480B"/>
    <w:rsid w:val="7898A527"/>
    <w:rsid w:val="78A31876"/>
    <w:rsid w:val="78A44651"/>
    <w:rsid w:val="78DF1317"/>
    <w:rsid w:val="78E89FED"/>
    <w:rsid w:val="78FFA263"/>
    <w:rsid w:val="7907BF61"/>
    <w:rsid w:val="79220C50"/>
    <w:rsid w:val="7979213C"/>
    <w:rsid w:val="799413D8"/>
    <w:rsid w:val="79987151"/>
    <w:rsid w:val="79BFD6E7"/>
    <w:rsid w:val="79E1B552"/>
    <w:rsid w:val="79EE0015"/>
    <w:rsid w:val="79F7D782"/>
    <w:rsid w:val="79FBD457"/>
    <w:rsid w:val="7A0EE194"/>
    <w:rsid w:val="7A17782B"/>
    <w:rsid w:val="7A2952F4"/>
    <w:rsid w:val="7A295A01"/>
    <w:rsid w:val="7A437BE4"/>
    <w:rsid w:val="7A475034"/>
    <w:rsid w:val="7A4B5A2F"/>
    <w:rsid w:val="7A656415"/>
    <w:rsid w:val="7A680327"/>
    <w:rsid w:val="7A70063F"/>
    <w:rsid w:val="7A74BE76"/>
    <w:rsid w:val="7A75831B"/>
    <w:rsid w:val="7AA8E012"/>
    <w:rsid w:val="7AAD6543"/>
    <w:rsid w:val="7AC77F6F"/>
    <w:rsid w:val="7AD7246A"/>
    <w:rsid w:val="7ADE85CD"/>
    <w:rsid w:val="7AE39005"/>
    <w:rsid w:val="7AF81804"/>
    <w:rsid w:val="7B1B166F"/>
    <w:rsid w:val="7B1EC894"/>
    <w:rsid w:val="7B22A308"/>
    <w:rsid w:val="7B307A68"/>
    <w:rsid w:val="7B3DCBC0"/>
    <w:rsid w:val="7B3E4638"/>
    <w:rsid w:val="7B3EA4AE"/>
    <w:rsid w:val="7B40F0B0"/>
    <w:rsid w:val="7B46B142"/>
    <w:rsid w:val="7B6A27B0"/>
    <w:rsid w:val="7B858338"/>
    <w:rsid w:val="7B9CBA01"/>
    <w:rsid w:val="7B9F2712"/>
    <w:rsid w:val="7BA03E46"/>
    <w:rsid w:val="7BC26FDD"/>
    <w:rsid w:val="7BC2A3BD"/>
    <w:rsid w:val="7BD8277A"/>
    <w:rsid w:val="7C06BDE2"/>
    <w:rsid w:val="7C084BC1"/>
    <w:rsid w:val="7C123740"/>
    <w:rsid w:val="7C1FC071"/>
    <w:rsid w:val="7C40869F"/>
    <w:rsid w:val="7C44DB99"/>
    <w:rsid w:val="7C464FB5"/>
    <w:rsid w:val="7C6C45D2"/>
    <w:rsid w:val="7C6DC463"/>
    <w:rsid w:val="7C7A534C"/>
    <w:rsid w:val="7C89A4F5"/>
    <w:rsid w:val="7C93C8B7"/>
    <w:rsid w:val="7CC983D3"/>
    <w:rsid w:val="7CD08DE8"/>
    <w:rsid w:val="7CD9FEF5"/>
    <w:rsid w:val="7CF305B4"/>
    <w:rsid w:val="7CF7AA49"/>
    <w:rsid w:val="7CFB35FA"/>
    <w:rsid w:val="7D02297E"/>
    <w:rsid w:val="7D0451CA"/>
    <w:rsid w:val="7D176D93"/>
    <w:rsid w:val="7D2FDB86"/>
    <w:rsid w:val="7D66161E"/>
    <w:rsid w:val="7D71C6BE"/>
    <w:rsid w:val="7D73934B"/>
    <w:rsid w:val="7D89BD7F"/>
    <w:rsid w:val="7D8FE0F6"/>
    <w:rsid w:val="7D9257A9"/>
    <w:rsid w:val="7DB698A3"/>
    <w:rsid w:val="7DE2240D"/>
    <w:rsid w:val="7DF8A966"/>
    <w:rsid w:val="7E2A8D68"/>
    <w:rsid w:val="7E80AA24"/>
    <w:rsid w:val="7E8A779A"/>
    <w:rsid w:val="7EA84BF3"/>
    <w:rsid w:val="7EB4A142"/>
    <w:rsid w:val="7ED16BE6"/>
    <w:rsid w:val="7EEF34A2"/>
    <w:rsid w:val="7F09F740"/>
    <w:rsid w:val="7F125CF8"/>
    <w:rsid w:val="7F1AC157"/>
    <w:rsid w:val="7F1E777E"/>
    <w:rsid w:val="7F2F073C"/>
    <w:rsid w:val="7F4495C4"/>
    <w:rsid w:val="7F4CCBFB"/>
    <w:rsid w:val="7F654306"/>
    <w:rsid w:val="7FA5131C"/>
    <w:rsid w:val="7FA52BDC"/>
    <w:rsid w:val="7FB04974"/>
    <w:rsid w:val="7FC9F688"/>
    <w:rsid w:val="7FEC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D1A0B04"/>
    <w:pPr>
      <w:spacing w:after="200" w:line="276" w:lineRule="auto"/>
    </w:pPr>
    <w:rPr>
      <w:rFonts w:cs="Calibri"/>
      <w:sz w:val="22"/>
      <w:szCs w:val="22"/>
      <w:lang w:val="es-MX" w:eastAsia="es-US"/>
    </w:rPr>
  </w:style>
  <w:style w:type="paragraph" w:styleId="Heading1">
    <w:name w:val="heading 1"/>
    <w:basedOn w:val="Normal"/>
    <w:next w:val="Normal"/>
    <w:link w:val="Heading1Char"/>
    <w:uiPriority w:val="9"/>
    <w:qFormat/>
    <w:rsid w:val="4D1A0B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D1A0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nhideWhenUsed/>
    <w:qFormat/>
    <w:rsid w:val="4D1A0B04"/>
    <w:pPr>
      <w:numPr>
        <w:numId w:val="2"/>
      </w:numPr>
      <w:spacing w:before="360" w:after="240"/>
      <w:jc w:val="both"/>
      <w:outlineLvl w:val="2"/>
    </w:pPr>
    <w:rPr>
      <w:rFonts w:ascii="Cambria" w:eastAsia="Yu Gothic Light" w:hAnsi="Cambria"/>
      <w:b/>
      <w:bCs/>
    </w:rPr>
  </w:style>
  <w:style w:type="paragraph" w:styleId="Heading4">
    <w:name w:val="heading 4"/>
    <w:basedOn w:val="Normal"/>
    <w:next w:val="Normal"/>
    <w:link w:val="Heading4Char"/>
    <w:uiPriority w:val="9"/>
    <w:unhideWhenUsed/>
    <w:qFormat/>
    <w:rsid w:val="4D1A0B04"/>
    <w:pPr>
      <w:keepNext/>
      <w:keepLines/>
      <w:spacing w:before="40" w:after="0"/>
      <w:outlineLvl w:val="3"/>
    </w:pPr>
    <w:rPr>
      <w:rFonts w:asciiTheme="majorHAnsi" w:eastAsiaTheme="majorEastAsia" w:hAnsiTheme="majorHAnsi" w:cstheme="majorBidi"/>
      <w:i/>
      <w:iCs/>
      <w:color w:val="2F5496" w:themeColor="accent1" w:themeShade="BF"/>
      <w:sz w:val="24"/>
      <w:szCs w:val="24"/>
      <w:lang w:val="es-US" w:eastAsia="en-US"/>
    </w:rPr>
  </w:style>
  <w:style w:type="paragraph" w:styleId="Heading5">
    <w:name w:val="heading 5"/>
    <w:basedOn w:val="Normal"/>
    <w:next w:val="Normal"/>
    <w:link w:val="Heading5Char"/>
    <w:uiPriority w:val="9"/>
    <w:unhideWhenUsed/>
    <w:qFormat/>
    <w:rsid w:val="4D1A0B0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D1A0B0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D1A0B0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D1A0B0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D1A0B0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4D1A0B04"/>
    <w:pPr>
      <w:tabs>
        <w:tab w:val="center" w:pos="4680"/>
        <w:tab w:val="right" w:pos="9360"/>
      </w:tabs>
    </w:pPr>
  </w:style>
  <w:style w:type="character" w:customStyle="1" w:styleId="HeaderChar">
    <w:name w:val="Header Char"/>
    <w:basedOn w:val="DefaultParagraphFont"/>
    <w:link w:val="Header"/>
    <w:uiPriority w:val="99"/>
    <w:rsid w:val="4D1A0B04"/>
    <w:rPr>
      <w:noProof w:val="0"/>
      <w:lang w:val="es-MX"/>
    </w:rPr>
  </w:style>
  <w:style w:type="paragraph" w:styleId="Footer">
    <w:name w:val="footer"/>
    <w:basedOn w:val="Normal"/>
    <w:link w:val="FooterChar"/>
    <w:uiPriority w:val="99"/>
    <w:unhideWhenUsed/>
    <w:rsid w:val="4D1A0B04"/>
    <w:pPr>
      <w:tabs>
        <w:tab w:val="center" w:pos="4680"/>
        <w:tab w:val="right" w:pos="9360"/>
      </w:tabs>
    </w:pPr>
  </w:style>
  <w:style w:type="character" w:customStyle="1" w:styleId="FooterChar">
    <w:name w:val="Footer Char"/>
    <w:basedOn w:val="DefaultParagraphFont"/>
    <w:link w:val="Footer"/>
    <w:uiPriority w:val="99"/>
    <w:rsid w:val="4D1A0B04"/>
    <w:rPr>
      <w:noProof w:val="0"/>
      <w:lang w:val="es-MX"/>
    </w:rPr>
  </w:style>
  <w:style w:type="paragraph" w:styleId="Title">
    <w:name w:val="Title"/>
    <w:basedOn w:val="Normal"/>
    <w:next w:val="Normal"/>
    <w:link w:val="TitleChar"/>
    <w:uiPriority w:val="10"/>
    <w:qFormat/>
    <w:rsid w:val="4D1A0B04"/>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4D1A0B04"/>
    <w:rPr>
      <w:rFonts w:asciiTheme="majorHAnsi" w:eastAsiaTheme="majorEastAsia" w:hAnsiTheme="majorHAnsi" w:cstheme="majorBidi"/>
      <w:noProof w:val="0"/>
      <w:sz w:val="56"/>
      <w:szCs w:val="56"/>
      <w:lang w:val="es-MX"/>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4D1A0B04"/>
    <w:rPr>
      <w:rFonts w:asciiTheme="majorHAnsi" w:eastAsiaTheme="majorEastAsia" w:hAnsiTheme="majorHAnsi" w:cstheme="majorBidi"/>
      <w:noProof w:val="0"/>
      <w:color w:val="2F5496" w:themeColor="accent1" w:themeShade="BF"/>
      <w:sz w:val="32"/>
      <w:szCs w:val="32"/>
      <w:lang w:val="es-MX"/>
    </w:rPr>
  </w:style>
  <w:style w:type="paragraph" w:styleId="ListParagraph">
    <w:name w:val="List Paragraph"/>
    <w:basedOn w:val="Normal"/>
    <w:uiPriority w:val="34"/>
    <w:qFormat/>
    <w:rsid w:val="4D1A0B04"/>
    <w:pPr>
      <w:ind w:left="720"/>
      <w:contextualSpacing/>
    </w:pPr>
  </w:style>
  <w:style w:type="paragraph" w:styleId="Subtitle">
    <w:name w:val="Subtitle"/>
    <w:basedOn w:val="Normal"/>
    <w:next w:val="Normal"/>
    <w:link w:val="SubtitleChar"/>
    <w:uiPriority w:val="11"/>
    <w:qFormat/>
    <w:rsid w:val="4D1A0B04"/>
    <w:pPr>
      <w:spacing w:after="160"/>
    </w:pPr>
    <w:rPr>
      <w:rFonts w:eastAsiaTheme="minorEastAsia"/>
      <w:color w:val="5A5A5A"/>
    </w:rPr>
  </w:style>
  <w:style w:type="character" w:customStyle="1" w:styleId="SubtitleChar">
    <w:name w:val="Subtitle Char"/>
    <w:basedOn w:val="DefaultParagraphFont"/>
    <w:link w:val="Subtitle"/>
    <w:uiPriority w:val="11"/>
    <w:rsid w:val="4D1A0B04"/>
    <w:rPr>
      <w:rFonts w:asciiTheme="minorHAnsi" w:eastAsiaTheme="minorEastAsia" w:hAnsiTheme="minorHAnsi" w:cstheme="minorBidi"/>
      <w:noProof w:val="0"/>
      <w:color w:val="5A5A5A"/>
      <w:sz w:val="22"/>
      <w:szCs w:val="22"/>
      <w:lang w:val="es-MX"/>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qFormat/>
    <w:rsid w:val="4D1A0B04"/>
    <w:pPr>
      <w:spacing w:after="0"/>
    </w:pPr>
    <w:rPr>
      <w:rFonts w:ascii="Cambria" w:hAnsi="Cambria"/>
      <w:sz w:val="16"/>
      <w:szCs w:val="16"/>
    </w:rPr>
  </w:style>
  <w:style w:type="character" w:customStyle="1" w:styleId="FootnoteTextChar">
    <w:name w:val="Footnote Text Char"/>
    <w:basedOn w:val="DefaultParagraphFont"/>
    <w:link w:val="FootnoteText"/>
    <w:uiPriority w:val="99"/>
    <w:rsid w:val="4D1A0B04"/>
    <w:rPr>
      <w:rFonts w:ascii="Cambria" w:eastAsia="Calibri" w:hAnsi="Cambria" w:cs="Calibri"/>
      <w:noProof w:val="0"/>
      <w:sz w:val="16"/>
      <w:szCs w:val="16"/>
      <w:lang w:val="es-MX" w:eastAsia="es-US"/>
    </w:rPr>
  </w:style>
  <w:style w:type="character" w:styleId="FootnoteReference">
    <w:name w:val="footnote reference"/>
    <w:basedOn w:val="DefaultParagraphFont"/>
    <w:link w:val="Refdenotaalpie"/>
    <w:uiPriority w:val="99"/>
    <w:unhideWhenUsed/>
    <w:rsid w:val="4D1A0B04"/>
    <w:rPr>
      <w:noProof w:val="0"/>
      <w:vertAlign w:val="superscript"/>
    </w:rPr>
  </w:style>
  <w:style w:type="paragraph" w:styleId="Caption">
    <w:name w:val="caption"/>
    <w:basedOn w:val="Normal"/>
    <w:next w:val="Normal"/>
    <w:uiPriority w:val="35"/>
    <w:unhideWhenUsed/>
    <w:qFormat/>
    <w:rsid w:val="4D1A0B04"/>
    <w:rPr>
      <w:i/>
      <w:iCs/>
      <w:color w:val="44546A" w:themeColor="text2"/>
      <w:sz w:val="18"/>
      <w:szCs w:val="18"/>
    </w:rPr>
  </w:style>
  <w:style w:type="character" w:customStyle="1" w:styleId="Heading3Char">
    <w:name w:val="Heading 3 Char"/>
    <w:basedOn w:val="DefaultParagraphFont"/>
    <w:link w:val="Heading3"/>
    <w:rsid w:val="4D1A0B04"/>
    <w:rPr>
      <w:rFonts w:ascii="Cambria" w:eastAsia="Yu Gothic Light" w:hAnsi="Cambria" w:cs="Calibri"/>
      <w:b/>
      <w:bCs/>
      <w:noProof w:val="0"/>
      <w:sz w:val="22"/>
      <w:szCs w:val="22"/>
      <w:lang w:val="es-MX" w:eastAsia="es-US"/>
    </w:rPr>
  </w:style>
  <w:style w:type="character" w:styleId="Hyperlink">
    <w:name w:val="Hyperlink"/>
    <w:aliases w:val="http://www.fantaproject.org/sites/default/files/resources/Guatemala-municipal-brief-English-June30.pdf"/>
    <w:uiPriority w:val="99"/>
    <w:unhideWhenUsed/>
    <w:rsid w:val="003F7C70"/>
    <w:rPr>
      <w:color w:val="0000FF"/>
      <w:u w:val="single"/>
    </w:rPr>
  </w:style>
  <w:style w:type="paragraph" w:customStyle="1" w:styleId="Refdenotaalpie">
    <w:name w:val="Ref. de nota al pie."/>
    <w:basedOn w:val="Normal"/>
    <w:link w:val="FootnoteReference"/>
    <w:uiPriority w:val="99"/>
    <w:rsid w:val="4D1A0B04"/>
    <w:pPr>
      <w:spacing w:before="200" w:after="160" w:line="240" w:lineRule="exact"/>
    </w:pPr>
    <w:rPr>
      <w:sz w:val="24"/>
      <w:szCs w:val="24"/>
      <w:vertAlign w:val="superscript"/>
      <w:lang w:val="en-US" w:eastAsia="en-US"/>
    </w:rPr>
  </w:style>
  <w:style w:type="character" w:customStyle="1" w:styleId="Heading2Char">
    <w:name w:val="Heading 2 Char"/>
    <w:basedOn w:val="DefaultParagraphFont"/>
    <w:link w:val="Heading2"/>
    <w:uiPriority w:val="9"/>
    <w:rsid w:val="4D1A0B04"/>
    <w:rPr>
      <w:rFonts w:asciiTheme="majorHAnsi" w:eastAsiaTheme="majorEastAsia" w:hAnsiTheme="majorHAnsi" w:cstheme="majorBidi"/>
      <w:noProof w:val="0"/>
      <w:color w:val="2F5496" w:themeColor="accent1" w:themeShade="BF"/>
      <w:sz w:val="26"/>
      <w:szCs w:val="26"/>
      <w:lang w:val="es-MX" w:eastAsia="es-US"/>
    </w:rPr>
  </w:style>
  <w:style w:type="character" w:customStyle="1" w:styleId="Heading4Char">
    <w:name w:val="Heading 4 Char"/>
    <w:basedOn w:val="DefaultParagraphFont"/>
    <w:link w:val="Heading4"/>
    <w:uiPriority w:val="9"/>
    <w:rsid w:val="4D1A0B04"/>
    <w:rPr>
      <w:rFonts w:asciiTheme="majorHAnsi" w:eastAsiaTheme="majorEastAsia" w:hAnsiTheme="majorHAnsi" w:cstheme="majorBidi"/>
      <w:i/>
      <w:iCs/>
      <w:noProof w:val="0"/>
      <w:color w:val="2F5496" w:themeColor="accent1" w:themeShade="BF"/>
      <w:lang w:val="es-US"/>
    </w:rPr>
  </w:style>
  <w:style w:type="character" w:customStyle="1" w:styleId="apple-converted-space">
    <w:name w:val="apple-converted-space"/>
    <w:basedOn w:val="DefaultParagraphFont"/>
    <w:rsid w:val="00C2669F"/>
  </w:style>
  <w:style w:type="character" w:styleId="FollowedHyperlink">
    <w:name w:val="FollowedHyperlink"/>
    <w:basedOn w:val="DefaultParagraphFont"/>
    <w:uiPriority w:val="99"/>
    <w:semiHidden/>
    <w:unhideWhenUsed/>
    <w:rsid w:val="006A09FE"/>
    <w:rPr>
      <w:color w:val="954F72" w:themeColor="followedHyperlink"/>
      <w:u w:val="single"/>
    </w:rPr>
  </w:style>
  <w:style w:type="character" w:styleId="UnresolvedMention">
    <w:name w:val="Unresolved Mention"/>
    <w:basedOn w:val="DefaultParagraphFont"/>
    <w:uiPriority w:val="99"/>
    <w:semiHidden/>
    <w:unhideWhenUsed/>
    <w:rsid w:val="006A09FE"/>
    <w:rPr>
      <w:color w:val="605E5C"/>
      <w:shd w:val="clear" w:color="auto" w:fill="E1DFDD"/>
    </w:rPr>
  </w:style>
  <w:style w:type="paragraph" w:styleId="NormalWeb">
    <w:name w:val="Normal (Web)"/>
    <w:basedOn w:val="Normal"/>
    <w:uiPriority w:val="99"/>
    <w:unhideWhenUsed/>
    <w:rsid w:val="4D1A0B04"/>
    <w:pPr>
      <w:spacing w:beforeAutospacing="1" w:afterAutospacing="1"/>
    </w:pPr>
    <w:rPr>
      <w:rFonts w:ascii="Times New Roman" w:eastAsia="Times New Roman" w:hAnsi="Times New Roman" w:cs="Times New Roman"/>
      <w:sz w:val="24"/>
      <w:szCs w:val="24"/>
      <w:lang w:val="es-US" w:eastAsia="es-MX"/>
    </w:rPr>
  </w:style>
  <w:style w:type="paragraph" w:styleId="NoSpacing">
    <w:name w:val="No Spacing"/>
    <w:uiPriority w:val="1"/>
    <w:qFormat/>
    <w:rsid w:val="0007778A"/>
    <w:rPr>
      <w:rFonts w:ascii="Calibri" w:eastAsia="Calibri" w:hAnsi="Calibri" w:cs="Calibri"/>
      <w:sz w:val="22"/>
      <w:szCs w:val="22"/>
      <w:lang w:val="es-ES" w:eastAsia="es-US"/>
    </w:rPr>
  </w:style>
  <w:style w:type="character" w:styleId="CommentReference">
    <w:name w:val="annotation reference"/>
    <w:basedOn w:val="DefaultParagraphFont"/>
    <w:uiPriority w:val="99"/>
    <w:semiHidden/>
    <w:unhideWhenUsed/>
    <w:rsid w:val="0080524A"/>
    <w:rPr>
      <w:sz w:val="16"/>
      <w:szCs w:val="16"/>
    </w:rPr>
  </w:style>
  <w:style w:type="paragraph" w:styleId="CommentText">
    <w:name w:val="annotation text"/>
    <w:basedOn w:val="Normal"/>
    <w:link w:val="CommentTextChar"/>
    <w:uiPriority w:val="99"/>
    <w:unhideWhenUsed/>
    <w:rsid w:val="4D1A0B04"/>
    <w:rPr>
      <w:sz w:val="20"/>
      <w:szCs w:val="20"/>
    </w:rPr>
  </w:style>
  <w:style w:type="character" w:customStyle="1" w:styleId="CommentTextChar">
    <w:name w:val="Comment Text Char"/>
    <w:basedOn w:val="DefaultParagraphFont"/>
    <w:link w:val="CommentText"/>
    <w:uiPriority w:val="99"/>
    <w:rsid w:val="4D1A0B04"/>
    <w:rPr>
      <w:rFonts w:ascii="Calibri" w:eastAsia="Calibri" w:hAnsi="Calibri" w:cs="Calibri"/>
      <w:noProof w:val="0"/>
      <w:sz w:val="20"/>
      <w:szCs w:val="20"/>
      <w:lang w:val="es-MX" w:eastAsia="es-US"/>
    </w:rPr>
  </w:style>
  <w:style w:type="paragraph" w:styleId="CommentSubject">
    <w:name w:val="annotation subject"/>
    <w:basedOn w:val="CommentText"/>
    <w:next w:val="CommentText"/>
    <w:link w:val="CommentSubjectChar"/>
    <w:uiPriority w:val="99"/>
    <w:semiHidden/>
    <w:unhideWhenUsed/>
    <w:rsid w:val="4D1A0B04"/>
    <w:rPr>
      <w:b/>
      <w:bCs/>
    </w:rPr>
  </w:style>
  <w:style w:type="character" w:customStyle="1" w:styleId="CommentSubjectChar">
    <w:name w:val="Comment Subject Char"/>
    <w:basedOn w:val="CommentTextChar"/>
    <w:link w:val="CommentSubject"/>
    <w:uiPriority w:val="99"/>
    <w:semiHidden/>
    <w:rsid w:val="4D1A0B04"/>
    <w:rPr>
      <w:rFonts w:ascii="Calibri" w:eastAsia="Calibri" w:hAnsi="Calibri" w:cs="Calibri"/>
      <w:b/>
      <w:bCs/>
      <w:noProof w:val="0"/>
      <w:sz w:val="20"/>
      <w:szCs w:val="20"/>
      <w:lang w:val="es-MX" w:eastAsia="es-US"/>
    </w:rPr>
  </w:style>
  <w:style w:type="paragraph" w:customStyle="1" w:styleId="jsx-3954459878">
    <w:name w:val="jsx-3954459878"/>
    <w:basedOn w:val="Normal"/>
    <w:uiPriority w:val="1"/>
    <w:rsid w:val="4D1A0B04"/>
    <w:pPr>
      <w:spacing w:beforeAutospacing="1"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A0FDE"/>
  </w:style>
  <w:style w:type="character" w:customStyle="1" w:styleId="eop">
    <w:name w:val="eop"/>
    <w:basedOn w:val="DefaultParagraphFont"/>
    <w:rsid w:val="004A0FDE"/>
  </w:style>
  <w:style w:type="paragraph" w:customStyle="1" w:styleId="parrafos">
    <w:name w:val="parrafos"/>
    <w:basedOn w:val="Normal"/>
    <w:link w:val="parrafosChar"/>
    <w:uiPriority w:val="1"/>
    <w:qFormat/>
    <w:rsid w:val="4D1A0B04"/>
    <w:pPr>
      <w:numPr>
        <w:numId w:val="20"/>
      </w:numPr>
      <w:spacing w:after="0"/>
      <w:jc w:val="both"/>
    </w:pPr>
    <w:rPr>
      <w:rFonts w:ascii="Cambria" w:eastAsia="Cambria" w:hAnsi="Cambria" w:cs="Cambria"/>
      <w:color w:val="000000" w:themeColor="text1"/>
      <w:sz w:val="20"/>
      <w:szCs w:val="20"/>
      <w:lang w:eastAsia="es-MX"/>
    </w:rPr>
  </w:style>
  <w:style w:type="character" w:customStyle="1" w:styleId="parrafosChar">
    <w:name w:val="parrafos Char"/>
    <w:link w:val="parrafos"/>
    <w:uiPriority w:val="1"/>
    <w:rsid w:val="4D1A0B04"/>
    <w:rPr>
      <w:rFonts w:ascii="Cambria" w:eastAsia="Cambria" w:hAnsi="Cambria" w:cs="Cambria"/>
      <w:noProof w:val="0"/>
      <w:color w:val="000000" w:themeColor="text1"/>
      <w:sz w:val="20"/>
      <w:szCs w:val="20"/>
      <w:lang w:val="es-MX" w:eastAsia="es-MX"/>
    </w:rPr>
  </w:style>
  <w:style w:type="paragraph" w:customStyle="1" w:styleId="paragraph">
    <w:name w:val="paragraph"/>
    <w:basedOn w:val="Normal"/>
    <w:uiPriority w:val="1"/>
    <w:rsid w:val="4D1A0B04"/>
    <w:pPr>
      <w:spacing w:beforeAutospacing="1" w:afterAutospacing="1"/>
    </w:pPr>
    <w:rPr>
      <w:rFonts w:ascii="Times New Roman" w:eastAsia="Times New Roman" w:hAnsi="Times New Roman" w:cs="Times New Roman"/>
      <w:sz w:val="24"/>
      <w:szCs w:val="24"/>
      <w:lang w:val="es-US" w:eastAsia="es-MX"/>
    </w:rPr>
  </w:style>
  <w:style w:type="paragraph" w:styleId="Revision">
    <w:name w:val="Revision"/>
    <w:hidden/>
    <w:uiPriority w:val="99"/>
    <w:semiHidden/>
    <w:rsid w:val="001258B3"/>
    <w:rPr>
      <w:rFonts w:ascii="Calibri" w:eastAsia="Calibri" w:hAnsi="Calibri" w:cs="Calibri"/>
      <w:sz w:val="22"/>
      <w:szCs w:val="22"/>
      <w:lang w:val="es-ES" w:eastAsia="es-US"/>
    </w:rPr>
  </w:style>
  <w:style w:type="character" w:styleId="Mention">
    <w:name w:val="Mention"/>
    <w:basedOn w:val="DefaultParagraphFont"/>
    <w:uiPriority w:val="99"/>
    <w:unhideWhenUsed/>
    <w:rsid w:val="002906DA"/>
    <w:rPr>
      <w:color w:val="2B579A"/>
      <w:shd w:val="clear" w:color="auto" w:fill="E6E6E6"/>
    </w:rPr>
  </w:style>
  <w:style w:type="paragraph" w:customStyle="1" w:styleId="BVIfnrCar1CarCarCarCar">
    <w:name w:val="BVI fnr Car1 Car Car Car Car"/>
    <w:basedOn w:val="Normal"/>
    <w:uiPriority w:val="99"/>
    <w:rsid w:val="4D1A0B04"/>
    <w:pPr>
      <w:spacing w:before="200" w:after="160" w:line="240" w:lineRule="exact"/>
    </w:pPr>
    <w:rPr>
      <w:sz w:val="24"/>
      <w:szCs w:val="24"/>
      <w:vertAlign w:val="superscript"/>
      <w:lang w:eastAsia="en-US"/>
    </w:rPr>
  </w:style>
  <w:style w:type="paragraph" w:styleId="Quote">
    <w:name w:val="Quote"/>
    <w:basedOn w:val="Normal"/>
    <w:next w:val="Normal"/>
    <w:link w:val="QuoteChar"/>
    <w:uiPriority w:val="29"/>
    <w:qFormat/>
    <w:rsid w:val="4D1A0B0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D1A0B04"/>
    <w:pPr>
      <w:spacing w:before="360" w:after="360"/>
      <w:ind w:left="864" w:right="864"/>
      <w:jc w:val="center"/>
    </w:pPr>
    <w:rPr>
      <w:i/>
      <w:iCs/>
      <w:color w:val="4472C4" w:themeColor="accent1"/>
    </w:rPr>
  </w:style>
  <w:style w:type="character" w:customStyle="1" w:styleId="Heading5Char">
    <w:name w:val="Heading 5 Char"/>
    <w:basedOn w:val="DefaultParagraphFont"/>
    <w:link w:val="Heading5"/>
    <w:uiPriority w:val="9"/>
    <w:rsid w:val="4D1A0B04"/>
    <w:rPr>
      <w:rFonts w:asciiTheme="majorHAnsi" w:eastAsiaTheme="majorEastAsia" w:hAnsiTheme="majorHAnsi" w:cstheme="majorBidi"/>
      <w:noProof w:val="0"/>
      <w:color w:val="2F5496" w:themeColor="accent1" w:themeShade="BF"/>
      <w:lang w:val="es-MX"/>
    </w:rPr>
  </w:style>
  <w:style w:type="character" w:customStyle="1" w:styleId="Heading6Char">
    <w:name w:val="Heading 6 Char"/>
    <w:basedOn w:val="DefaultParagraphFont"/>
    <w:link w:val="Heading6"/>
    <w:uiPriority w:val="9"/>
    <w:rsid w:val="4D1A0B04"/>
    <w:rPr>
      <w:rFonts w:asciiTheme="majorHAnsi" w:eastAsiaTheme="majorEastAsia" w:hAnsiTheme="majorHAnsi" w:cstheme="majorBidi"/>
      <w:noProof w:val="0"/>
      <w:color w:val="1F3763"/>
      <w:lang w:val="es-MX"/>
    </w:rPr>
  </w:style>
  <w:style w:type="character" w:customStyle="1" w:styleId="Heading7Char">
    <w:name w:val="Heading 7 Char"/>
    <w:basedOn w:val="DefaultParagraphFont"/>
    <w:link w:val="Heading7"/>
    <w:uiPriority w:val="9"/>
    <w:rsid w:val="4D1A0B04"/>
    <w:rPr>
      <w:rFonts w:asciiTheme="majorHAnsi" w:eastAsiaTheme="majorEastAsia" w:hAnsiTheme="majorHAnsi" w:cstheme="majorBidi"/>
      <w:i/>
      <w:iCs/>
      <w:noProof w:val="0"/>
      <w:color w:val="1F3763"/>
      <w:lang w:val="es-MX"/>
    </w:rPr>
  </w:style>
  <w:style w:type="character" w:customStyle="1" w:styleId="Heading8Char">
    <w:name w:val="Heading 8 Char"/>
    <w:basedOn w:val="DefaultParagraphFont"/>
    <w:link w:val="Heading8"/>
    <w:uiPriority w:val="9"/>
    <w:rsid w:val="4D1A0B04"/>
    <w:rPr>
      <w:rFonts w:asciiTheme="majorHAnsi" w:eastAsiaTheme="majorEastAsia" w:hAnsiTheme="majorHAnsi" w:cstheme="majorBidi"/>
      <w:noProof w:val="0"/>
      <w:color w:val="272727"/>
      <w:sz w:val="21"/>
      <w:szCs w:val="21"/>
      <w:lang w:val="es-MX"/>
    </w:rPr>
  </w:style>
  <w:style w:type="character" w:customStyle="1" w:styleId="Heading9Char">
    <w:name w:val="Heading 9 Char"/>
    <w:basedOn w:val="DefaultParagraphFont"/>
    <w:link w:val="Heading9"/>
    <w:uiPriority w:val="9"/>
    <w:rsid w:val="4D1A0B04"/>
    <w:rPr>
      <w:rFonts w:asciiTheme="majorHAnsi" w:eastAsiaTheme="majorEastAsia" w:hAnsiTheme="majorHAnsi" w:cstheme="majorBidi"/>
      <w:i/>
      <w:iCs/>
      <w:noProof w:val="0"/>
      <w:color w:val="272727"/>
      <w:sz w:val="21"/>
      <w:szCs w:val="21"/>
      <w:lang w:val="es-MX"/>
    </w:rPr>
  </w:style>
  <w:style w:type="character" w:customStyle="1" w:styleId="QuoteChar">
    <w:name w:val="Quote Char"/>
    <w:basedOn w:val="DefaultParagraphFont"/>
    <w:link w:val="Quote"/>
    <w:uiPriority w:val="29"/>
    <w:rsid w:val="4D1A0B04"/>
    <w:rPr>
      <w:i/>
      <w:iCs/>
      <w:noProof w:val="0"/>
      <w:color w:val="404040" w:themeColor="text1" w:themeTint="BF"/>
      <w:lang w:val="es-MX"/>
    </w:rPr>
  </w:style>
  <w:style w:type="character" w:customStyle="1" w:styleId="IntenseQuoteChar">
    <w:name w:val="Intense Quote Char"/>
    <w:basedOn w:val="DefaultParagraphFont"/>
    <w:link w:val="IntenseQuote"/>
    <w:uiPriority w:val="30"/>
    <w:rsid w:val="4D1A0B04"/>
    <w:rPr>
      <w:i/>
      <w:iCs/>
      <w:noProof w:val="0"/>
      <w:color w:val="4472C4" w:themeColor="accent1"/>
      <w:lang w:val="es-MX"/>
    </w:rPr>
  </w:style>
  <w:style w:type="paragraph" w:styleId="TOC1">
    <w:name w:val="toc 1"/>
    <w:basedOn w:val="Normal"/>
    <w:next w:val="Normal"/>
    <w:uiPriority w:val="39"/>
    <w:unhideWhenUsed/>
    <w:rsid w:val="4D1A0B04"/>
    <w:pPr>
      <w:spacing w:after="100"/>
    </w:pPr>
  </w:style>
  <w:style w:type="paragraph" w:styleId="TOC2">
    <w:name w:val="toc 2"/>
    <w:basedOn w:val="Normal"/>
    <w:next w:val="Normal"/>
    <w:uiPriority w:val="39"/>
    <w:unhideWhenUsed/>
    <w:rsid w:val="4D1A0B04"/>
    <w:pPr>
      <w:spacing w:after="100"/>
      <w:ind w:left="220"/>
    </w:pPr>
  </w:style>
  <w:style w:type="paragraph" w:styleId="TOC3">
    <w:name w:val="toc 3"/>
    <w:basedOn w:val="Normal"/>
    <w:next w:val="Normal"/>
    <w:uiPriority w:val="39"/>
    <w:unhideWhenUsed/>
    <w:rsid w:val="4D1A0B04"/>
    <w:pPr>
      <w:spacing w:after="100"/>
      <w:ind w:left="440"/>
    </w:pPr>
  </w:style>
  <w:style w:type="paragraph" w:styleId="TOC4">
    <w:name w:val="toc 4"/>
    <w:basedOn w:val="Normal"/>
    <w:next w:val="Normal"/>
    <w:uiPriority w:val="39"/>
    <w:unhideWhenUsed/>
    <w:rsid w:val="4D1A0B04"/>
    <w:pPr>
      <w:spacing w:after="100"/>
      <w:ind w:left="660"/>
    </w:pPr>
  </w:style>
  <w:style w:type="paragraph" w:styleId="TOC5">
    <w:name w:val="toc 5"/>
    <w:basedOn w:val="Normal"/>
    <w:next w:val="Normal"/>
    <w:uiPriority w:val="39"/>
    <w:unhideWhenUsed/>
    <w:rsid w:val="4D1A0B04"/>
    <w:pPr>
      <w:spacing w:after="100"/>
      <w:ind w:left="880"/>
    </w:pPr>
  </w:style>
  <w:style w:type="paragraph" w:styleId="TOC6">
    <w:name w:val="toc 6"/>
    <w:basedOn w:val="Normal"/>
    <w:next w:val="Normal"/>
    <w:uiPriority w:val="39"/>
    <w:unhideWhenUsed/>
    <w:rsid w:val="4D1A0B04"/>
    <w:pPr>
      <w:spacing w:after="100"/>
      <w:ind w:left="1100"/>
    </w:pPr>
  </w:style>
  <w:style w:type="paragraph" w:styleId="TOC7">
    <w:name w:val="toc 7"/>
    <w:basedOn w:val="Normal"/>
    <w:next w:val="Normal"/>
    <w:uiPriority w:val="39"/>
    <w:unhideWhenUsed/>
    <w:rsid w:val="4D1A0B04"/>
    <w:pPr>
      <w:spacing w:after="100"/>
      <w:ind w:left="1320"/>
    </w:pPr>
  </w:style>
  <w:style w:type="paragraph" w:styleId="TOC8">
    <w:name w:val="toc 8"/>
    <w:basedOn w:val="Normal"/>
    <w:next w:val="Normal"/>
    <w:uiPriority w:val="39"/>
    <w:unhideWhenUsed/>
    <w:rsid w:val="4D1A0B04"/>
    <w:pPr>
      <w:spacing w:after="100"/>
      <w:ind w:left="1540"/>
    </w:pPr>
  </w:style>
  <w:style w:type="paragraph" w:styleId="TOC9">
    <w:name w:val="toc 9"/>
    <w:basedOn w:val="Normal"/>
    <w:next w:val="Normal"/>
    <w:uiPriority w:val="39"/>
    <w:unhideWhenUsed/>
    <w:rsid w:val="4D1A0B04"/>
    <w:pPr>
      <w:spacing w:after="100"/>
      <w:ind w:left="1760"/>
    </w:pPr>
  </w:style>
  <w:style w:type="paragraph" w:styleId="EndnoteText">
    <w:name w:val="endnote text"/>
    <w:basedOn w:val="Normal"/>
    <w:link w:val="EndnoteTextChar"/>
    <w:uiPriority w:val="99"/>
    <w:semiHidden/>
    <w:unhideWhenUsed/>
    <w:rsid w:val="4D1A0B04"/>
    <w:pPr>
      <w:spacing w:after="0"/>
    </w:pPr>
    <w:rPr>
      <w:sz w:val="20"/>
      <w:szCs w:val="20"/>
    </w:rPr>
  </w:style>
  <w:style w:type="character" w:customStyle="1" w:styleId="EndnoteTextChar">
    <w:name w:val="Endnote Text Char"/>
    <w:basedOn w:val="DefaultParagraphFont"/>
    <w:link w:val="EndnoteText"/>
    <w:uiPriority w:val="99"/>
    <w:semiHidden/>
    <w:rsid w:val="4D1A0B04"/>
    <w:rPr>
      <w:noProof w:val="0"/>
      <w:sz w:val="20"/>
      <w:szCs w:val="20"/>
      <w:lang w:val="es-MX"/>
    </w:rPr>
  </w:style>
  <w:style w:type="character" w:customStyle="1" w:styleId="cf01">
    <w:name w:val="cf01"/>
    <w:basedOn w:val="DefaultParagraphFont"/>
    <w:rsid w:val="00086C08"/>
    <w:rPr>
      <w:rFonts w:ascii="Segoe UI" w:hAnsi="Segoe UI" w:cs="Segoe UI" w:hint="default"/>
      <w:sz w:val="18"/>
      <w:szCs w:val="18"/>
    </w:rPr>
  </w:style>
  <w:style w:type="paragraph" w:customStyle="1" w:styleId="pf0">
    <w:name w:val="pf0"/>
    <w:basedOn w:val="Normal"/>
    <w:rsid w:val="00086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21">
    <w:name w:val="cf21"/>
    <w:basedOn w:val="DefaultParagraphFont"/>
    <w:rsid w:val="00BE2C6E"/>
    <w:rPr>
      <w:rFonts w:ascii="Segoe UI" w:hAnsi="Segoe UI" w:cs="Segoe UI" w:hint="default"/>
      <w:b/>
      <w:bCs/>
      <w:sz w:val="18"/>
      <w:szCs w:val="18"/>
    </w:rPr>
  </w:style>
  <w:style w:type="character" w:customStyle="1" w:styleId="cf31">
    <w:name w:val="cf31"/>
    <w:basedOn w:val="DefaultParagraphFont"/>
    <w:rsid w:val="00BE2C6E"/>
    <w:rPr>
      <w:rFonts w:ascii="Segoe UI" w:hAnsi="Segoe UI" w:cs="Segoe UI" w:hint="default"/>
      <w:i/>
      <w:iCs/>
      <w:sz w:val="18"/>
      <w:szCs w:val="18"/>
    </w:rPr>
  </w:style>
  <w:style w:type="character" w:customStyle="1" w:styleId="cf41">
    <w:name w:val="cf41"/>
    <w:basedOn w:val="DefaultParagraphFont"/>
    <w:rsid w:val="00BE2C6E"/>
    <w:rPr>
      <w:rFonts w:ascii="Segoe UI" w:hAnsi="Segoe UI" w:cs="Segoe UI" w:hint="default"/>
      <w:b/>
      <w:bCs/>
      <w:i/>
      <w:iCs/>
      <w:sz w:val="18"/>
      <w:szCs w:val="18"/>
    </w:rPr>
  </w:style>
  <w:style w:type="character" w:customStyle="1" w:styleId="cf51">
    <w:name w:val="cf51"/>
    <w:basedOn w:val="DefaultParagraphFont"/>
    <w:rsid w:val="00BE2C6E"/>
    <w:rPr>
      <w:rFonts w:ascii="Segoe UI" w:hAnsi="Segoe UI" w:cs="Segoe UI" w:hint="default"/>
      <w:b/>
      <w:bCs/>
      <w:i/>
      <w:iCs/>
      <w:sz w:val="18"/>
      <w:szCs w:val="18"/>
      <w:u w:val="single"/>
    </w:rPr>
  </w:style>
  <w:style w:type="character" w:customStyle="1" w:styleId="ui-provider">
    <w:name w:val="ui-provider"/>
    <w:basedOn w:val="DefaultParagraphFont"/>
    <w:rsid w:val="007A03E5"/>
  </w:style>
  <w:style w:type="paragraph" w:customStyle="1" w:styleId="TableParagraph">
    <w:name w:val="Table Paragraph"/>
    <w:basedOn w:val="Normal"/>
    <w:uiPriority w:val="1"/>
    <w:qFormat/>
    <w:rsid w:val="00CB7DD6"/>
    <w:pPr>
      <w:widowControl w:val="0"/>
      <w:spacing w:after="0" w:line="240" w:lineRule="auto"/>
    </w:pPr>
    <w:rPr>
      <w:rFonts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73">
      <w:bodyDiv w:val="1"/>
      <w:marLeft w:val="0"/>
      <w:marRight w:val="0"/>
      <w:marTop w:val="0"/>
      <w:marBottom w:val="0"/>
      <w:divBdr>
        <w:top w:val="none" w:sz="0" w:space="0" w:color="auto"/>
        <w:left w:val="none" w:sz="0" w:space="0" w:color="auto"/>
        <w:bottom w:val="none" w:sz="0" w:space="0" w:color="auto"/>
        <w:right w:val="none" w:sz="0" w:space="0" w:color="auto"/>
      </w:divBdr>
      <w:divsChild>
        <w:div w:id="225841073">
          <w:marLeft w:val="0"/>
          <w:marRight w:val="0"/>
          <w:marTop w:val="0"/>
          <w:marBottom w:val="0"/>
          <w:divBdr>
            <w:top w:val="none" w:sz="0" w:space="0" w:color="auto"/>
            <w:left w:val="none" w:sz="0" w:space="0" w:color="auto"/>
            <w:bottom w:val="none" w:sz="0" w:space="0" w:color="auto"/>
            <w:right w:val="none" w:sz="0" w:space="0" w:color="auto"/>
          </w:divBdr>
          <w:divsChild>
            <w:div w:id="82453980">
              <w:marLeft w:val="0"/>
              <w:marRight w:val="0"/>
              <w:marTop w:val="0"/>
              <w:marBottom w:val="0"/>
              <w:divBdr>
                <w:top w:val="none" w:sz="0" w:space="0" w:color="auto"/>
                <w:left w:val="none" w:sz="0" w:space="0" w:color="auto"/>
                <w:bottom w:val="none" w:sz="0" w:space="0" w:color="auto"/>
                <w:right w:val="none" w:sz="0" w:space="0" w:color="auto"/>
              </w:divBdr>
              <w:divsChild>
                <w:div w:id="15998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41">
      <w:bodyDiv w:val="1"/>
      <w:marLeft w:val="0"/>
      <w:marRight w:val="0"/>
      <w:marTop w:val="0"/>
      <w:marBottom w:val="0"/>
      <w:divBdr>
        <w:top w:val="none" w:sz="0" w:space="0" w:color="auto"/>
        <w:left w:val="none" w:sz="0" w:space="0" w:color="auto"/>
        <w:bottom w:val="none" w:sz="0" w:space="0" w:color="auto"/>
        <w:right w:val="none" w:sz="0" w:space="0" w:color="auto"/>
      </w:divBdr>
      <w:divsChild>
        <w:div w:id="11761612">
          <w:marLeft w:val="0"/>
          <w:marRight w:val="0"/>
          <w:marTop w:val="0"/>
          <w:marBottom w:val="0"/>
          <w:divBdr>
            <w:top w:val="none" w:sz="0" w:space="0" w:color="auto"/>
            <w:left w:val="none" w:sz="0" w:space="0" w:color="auto"/>
            <w:bottom w:val="none" w:sz="0" w:space="0" w:color="auto"/>
            <w:right w:val="none" w:sz="0" w:space="0" w:color="auto"/>
          </w:divBdr>
          <w:divsChild>
            <w:div w:id="271716486">
              <w:marLeft w:val="0"/>
              <w:marRight w:val="0"/>
              <w:marTop w:val="0"/>
              <w:marBottom w:val="0"/>
              <w:divBdr>
                <w:top w:val="none" w:sz="0" w:space="0" w:color="auto"/>
                <w:left w:val="none" w:sz="0" w:space="0" w:color="auto"/>
                <w:bottom w:val="none" w:sz="0" w:space="0" w:color="auto"/>
                <w:right w:val="none" w:sz="0" w:space="0" w:color="auto"/>
              </w:divBdr>
              <w:divsChild>
                <w:div w:id="1483423378">
                  <w:marLeft w:val="0"/>
                  <w:marRight w:val="0"/>
                  <w:marTop w:val="0"/>
                  <w:marBottom w:val="0"/>
                  <w:divBdr>
                    <w:top w:val="none" w:sz="0" w:space="0" w:color="auto"/>
                    <w:left w:val="none" w:sz="0" w:space="0" w:color="auto"/>
                    <w:bottom w:val="none" w:sz="0" w:space="0" w:color="auto"/>
                    <w:right w:val="none" w:sz="0" w:space="0" w:color="auto"/>
                  </w:divBdr>
                  <w:divsChild>
                    <w:div w:id="19624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005">
      <w:bodyDiv w:val="1"/>
      <w:marLeft w:val="0"/>
      <w:marRight w:val="0"/>
      <w:marTop w:val="0"/>
      <w:marBottom w:val="0"/>
      <w:divBdr>
        <w:top w:val="none" w:sz="0" w:space="0" w:color="auto"/>
        <w:left w:val="none" w:sz="0" w:space="0" w:color="auto"/>
        <w:bottom w:val="none" w:sz="0" w:space="0" w:color="auto"/>
        <w:right w:val="none" w:sz="0" w:space="0" w:color="auto"/>
      </w:divBdr>
      <w:divsChild>
        <w:div w:id="1515339970">
          <w:marLeft w:val="0"/>
          <w:marRight w:val="0"/>
          <w:marTop w:val="0"/>
          <w:marBottom w:val="0"/>
          <w:divBdr>
            <w:top w:val="none" w:sz="0" w:space="0" w:color="auto"/>
            <w:left w:val="none" w:sz="0" w:space="0" w:color="auto"/>
            <w:bottom w:val="none" w:sz="0" w:space="0" w:color="auto"/>
            <w:right w:val="none" w:sz="0" w:space="0" w:color="auto"/>
          </w:divBdr>
          <w:divsChild>
            <w:div w:id="1069813426">
              <w:marLeft w:val="0"/>
              <w:marRight w:val="0"/>
              <w:marTop w:val="0"/>
              <w:marBottom w:val="0"/>
              <w:divBdr>
                <w:top w:val="none" w:sz="0" w:space="0" w:color="auto"/>
                <w:left w:val="none" w:sz="0" w:space="0" w:color="auto"/>
                <w:bottom w:val="none" w:sz="0" w:space="0" w:color="auto"/>
                <w:right w:val="none" w:sz="0" w:space="0" w:color="auto"/>
              </w:divBdr>
              <w:divsChild>
                <w:div w:id="1159351183">
                  <w:marLeft w:val="0"/>
                  <w:marRight w:val="0"/>
                  <w:marTop w:val="0"/>
                  <w:marBottom w:val="0"/>
                  <w:divBdr>
                    <w:top w:val="none" w:sz="0" w:space="0" w:color="auto"/>
                    <w:left w:val="none" w:sz="0" w:space="0" w:color="auto"/>
                    <w:bottom w:val="none" w:sz="0" w:space="0" w:color="auto"/>
                    <w:right w:val="none" w:sz="0" w:space="0" w:color="auto"/>
                  </w:divBdr>
                  <w:divsChild>
                    <w:div w:id="453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590">
      <w:bodyDiv w:val="1"/>
      <w:marLeft w:val="0"/>
      <w:marRight w:val="0"/>
      <w:marTop w:val="0"/>
      <w:marBottom w:val="0"/>
      <w:divBdr>
        <w:top w:val="none" w:sz="0" w:space="0" w:color="auto"/>
        <w:left w:val="none" w:sz="0" w:space="0" w:color="auto"/>
        <w:bottom w:val="none" w:sz="0" w:space="0" w:color="auto"/>
        <w:right w:val="none" w:sz="0" w:space="0" w:color="auto"/>
      </w:divBdr>
      <w:divsChild>
        <w:div w:id="108739818">
          <w:marLeft w:val="0"/>
          <w:marRight w:val="0"/>
          <w:marTop w:val="0"/>
          <w:marBottom w:val="0"/>
          <w:divBdr>
            <w:top w:val="none" w:sz="0" w:space="0" w:color="auto"/>
            <w:left w:val="none" w:sz="0" w:space="0" w:color="auto"/>
            <w:bottom w:val="none" w:sz="0" w:space="0" w:color="auto"/>
            <w:right w:val="none" w:sz="0" w:space="0" w:color="auto"/>
          </w:divBdr>
          <w:divsChild>
            <w:div w:id="871066298">
              <w:marLeft w:val="0"/>
              <w:marRight w:val="0"/>
              <w:marTop w:val="0"/>
              <w:marBottom w:val="0"/>
              <w:divBdr>
                <w:top w:val="none" w:sz="0" w:space="0" w:color="auto"/>
                <w:left w:val="none" w:sz="0" w:space="0" w:color="auto"/>
                <w:bottom w:val="none" w:sz="0" w:space="0" w:color="auto"/>
                <w:right w:val="none" w:sz="0" w:space="0" w:color="auto"/>
              </w:divBdr>
              <w:divsChild>
                <w:div w:id="7946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095">
      <w:bodyDiv w:val="1"/>
      <w:marLeft w:val="0"/>
      <w:marRight w:val="0"/>
      <w:marTop w:val="0"/>
      <w:marBottom w:val="0"/>
      <w:divBdr>
        <w:top w:val="none" w:sz="0" w:space="0" w:color="auto"/>
        <w:left w:val="none" w:sz="0" w:space="0" w:color="auto"/>
        <w:bottom w:val="none" w:sz="0" w:space="0" w:color="auto"/>
        <w:right w:val="none" w:sz="0" w:space="0" w:color="auto"/>
      </w:divBdr>
      <w:divsChild>
        <w:div w:id="1903366318">
          <w:marLeft w:val="0"/>
          <w:marRight w:val="0"/>
          <w:marTop w:val="0"/>
          <w:marBottom w:val="0"/>
          <w:divBdr>
            <w:top w:val="none" w:sz="0" w:space="0" w:color="auto"/>
            <w:left w:val="none" w:sz="0" w:space="0" w:color="auto"/>
            <w:bottom w:val="none" w:sz="0" w:space="0" w:color="auto"/>
            <w:right w:val="none" w:sz="0" w:space="0" w:color="auto"/>
          </w:divBdr>
          <w:divsChild>
            <w:div w:id="157578461">
              <w:marLeft w:val="0"/>
              <w:marRight w:val="0"/>
              <w:marTop w:val="0"/>
              <w:marBottom w:val="0"/>
              <w:divBdr>
                <w:top w:val="none" w:sz="0" w:space="0" w:color="auto"/>
                <w:left w:val="none" w:sz="0" w:space="0" w:color="auto"/>
                <w:bottom w:val="none" w:sz="0" w:space="0" w:color="auto"/>
                <w:right w:val="none" w:sz="0" w:space="0" w:color="auto"/>
              </w:divBdr>
              <w:divsChild>
                <w:div w:id="1375154316">
                  <w:marLeft w:val="0"/>
                  <w:marRight w:val="0"/>
                  <w:marTop w:val="0"/>
                  <w:marBottom w:val="0"/>
                  <w:divBdr>
                    <w:top w:val="none" w:sz="0" w:space="0" w:color="auto"/>
                    <w:left w:val="none" w:sz="0" w:space="0" w:color="auto"/>
                    <w:bottom w:val="none" w:sz="0" w:space="0" w:color="auto"/>
                    <w:right w:val="none" w:sz="0" w:space="0" w:color="auto"/>
                  </w:divBdr>
                  <w:divsChild>
                    <w:div w:id="1242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0911">
      <w:bodyDiv w:val="1"/>
      <w:marLeft w:val="0"/>
      <w:marRight w:val="0"/>
      <w:marTop w:val="0"/>
      <w:marBottom w:val="0"/>
      <w:divBdr>
        <w:top w:val="none" w:sz="0" w:space="0" w:color="auto"/>
        <w:left w:val="none" w:sz="0" w:space="0" w:color="auto"/>
        <w:bottom w:val="none" w:sz="0" w:space="0" w:color="auto"/>
        <w:right w:val="none" w:sz="0" w:space="0" w:color="auto"/>
      </w:divBdr>
    </w:div>
    <w:div w:id="31851226">
      <w:bodyDiv w:val="1"/>
      <w:marLeft w:val="0"/>
      <w:marRight w:val="0"/>
      <w:marTop w:val="0"/>
      <w:marBottom w:val="0"/>
      <w:divBdr>
        <w:top w:val="none" w:sz="0" w:space="0" w:color="auto"/>
        <w:left w:val="none" w:sz="0" w:space="0" w:color="auto"/>
        <w:bottom w:val="none" w:sz="0" w:space="0" w:color="auto"/>
        <w:right w:val="none" w:sz="0" w:space="0" w:color="auto"/>
      </w:divBdr>
      <w:divsChild>
        <w:div w:id="1536580204">
          <w:marLeft w:val="0"/>
          <w:marRight w:val="0"/>
          <w:marTop w:val="0"/>
          <w:marBottom w:val="0"/>
          <w:divBdr>
            <w:top w:val="none" w:sz="0" w:space="0" w:color="auto"/>
            <w:left w:val="none" w:sz="0" w:space="0" w:color="auto"/>
            <w:bottom w:val="none" w:sz="0" w:space="0" w:color="auto"/>
            <w:right w:val="none" w:sz="0" w:space="0" w:color="auto"/>
          </w:divBdr>
          <w:divsChild>
            <w:div w:id="810680713">
              <w:marLeft w:val="0"/>
              <w:marRight w:val="0"/>
              <w:marTop w:val="0"/>
              <w:marBottom w:val="0"/>
              <w:divBdr>
                <w:top w:val="none" w:sz="0" w:space="0" w:color="auto"/>
                <w:left w:val="none" w:sz="0" w:space="0" w:color="auto"/>
                <w:bottom w:val="none" w:sz="0" w:space="0" w:color="auto"/>
                <w:right w:val="none" w:sz="0" w:space="0" w:color="auto"/>
              </w:divBdr>
              <w:divsChild>
                <w:div w:id="1198198636">
                  <w:marLeft w:val="0"/>
                  <w:marRight w:val="0"/>
                  <w:marTop w:val="0"/>
                  <w:marBottom w:val="0"/>
                  <w:divBdr>
                    <w:top w:val="none" w:sz="0" w:space="0" w:color="auto"/>
                    <w:left w:val="none" w:sz="0" w:space="0" w:color="auto"/>
                    <w:bottom w:val="none" w:sz="0" w:space="0" w:color="auto"/>
                    <w:right w:val="none" w:sz="0" w:space="0" w:color="auto"/>
                  </w:divBdr>
                  <w:divsChild>
                    <w:div w:id="1265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5184">
      <w:bodyDiv w:val="1"/>
      <w:marLeft w:val="0"/>
      <w:marRight w:val="0"/>
      <w:marTop w:val="0"/>
      <w:marBottom w:val="0"/>
      <w:divBdr>
        <w:top w:val="none" w:sz="0" w:space="0" w:color="auto"/>
        <w:left w:val="none" w:sz="0" w:space="0" w:color="auto"/>
        <w:bottom w:val="none" w:sz="0" w:space="0" w:color="auto"/>
        <w:right w:val="none" w:sz="0" w:space="0" w:color="auto"/>
      </w:divBdr>
      <w:divsChild>
        <w:div w:id="1262883918">
          <w:marLeft w:val="0"/>
          <w:marRight w:val="0"/>
          <w:marTop w:val="0"/>
          <w:marBottom w:val="0"/>
          <w:divBdr>
            <w:top w:val="none" w:sz="0" w:space="0" w:color="auto"/>
            <w:left w:val="none" w:sz="0" w:space="0" w:color="auto"/>
            <w:bottom w:val="none" w:sz="0" w:space="0" w:color="auto"/>
            <w:right w:val="none" w:sz="0" w:space="0" w:color="auto"/>
          </w:divBdr>
          <w:divsChild>
            <w:div w:id="880675582">
              <w:marLeft w:val="0"/>
              <w:marRight w:val="0"/>
              <w:marTop w:val="0"/>
              <w:marBottom w:val="0"/>
              <w:divBdr>
                <w:top w:val="none" w:sz="0" w:space="0" w:color="auto"/>
                <w:left w:val="none" w:sz="0" w:space="0" w:color="auto"/>
                <w:bottom w:val="none" w:sz="0" w:space="0" w:color="auto"/>
                <w:right w:val="none" w:sz="0" w:space="0" w:color="auto"/>
              </w:divBdr>
              <w:divsChild>
                <w:div w:id="1126774199">
                  <w:marLeft w:val="0"/>
                  <w:marRight w:val="0"/>
                  <w:marTop w:val="0"/>
                  <w:marBottom w:val="0"/>
                  <w:divBdr>
                    <w:top w:val="none" w:sz="0" w:space="0" w:color="auto"/>
                    <w:left w:val="none" w:sz="0" w:space="0" w:color="auto"/>
                    <w:bottom w:val="none" w:sz="0" w:space="0" w:color="auto"/>
                    <w:right w:val="none" w:sz="0" w:space="0" w:color="auto"/>
                  </w:divBdr>
                  <w:divsChild>
                    <w:div w:id="2759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7452">
      <w:bodyDiv w:val="1"/>
      <w:marLeft w:val="0"/>
      <w:marRight w:val="0"/>
      <w:marTop w:val="0"/>
      <w:marBottom w:val="0"/>
      <w:divBdr>
        <w:top w:val="none" w:sz="0" w:space="0" w:color="auto"/>
        <w:left w:val="none" w:sz="0" w:space="0" w:color="auto"/>
        <w:bottom w:val="none" w:sz="0" w:space="0" w:color="auto"/>
        <w:right w:val="none" w:sz="0" w:space="0" w:color="auto"/>
      </w:divBdr>
      <w:divsChild>
        <w:div w:id="187719954">
          <w:marLeft w:val="0"/>
          <w:marRight w:val="0"/>
          <w:marTop w:val="0"/>
          <w:marBottom w:val="0"/>
          <w:divBdr>
            <w:top w:val="none" w:sz="0" w:space="0" w:color="auto"/>
            <w:left w:val="none" w:sz="0" w:space="0" w:color="auto"/>
            <w:bottom w:val="none" w:sz="0" w:space="0" w:color="auto"/>
            <w:right w:val="none" w:sz="0" w:space="0" w:color="auto"/>
          </w:divBdr>
          <w:divsChild>
            <w:div w:id="708993131">
              <w:marLeft w:val="0"/>
              <w:marRight w:val="0"/>
              <w:marTop w:val="0"/>
              <w:marBottom w:val="0"/>
              <w:divBdr>
                <w:top w:val="none" w:sz="0" w:space="0" w:color="auto"/>
                <w:left w:val="none" w:sz="0" w:space="0" w:color="auto"/>
                <w:bottom w:val="none" w:sz="0" w:space="0" w:color="auto"/>
                <w:right w:val="none" w:sz="0" w:space="0" w:color="auto"/>
              </w:divBdr>
              <w:divsChild>
                <w:div w:id="17167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5060">
      <w:bodyDiv w:val="1"/>
      <w:marLeft w:val="0"/>
      <w:marRight w:val="0"/>
      <w:marTop w:val="0"/>
      <w:marBottom w:val="0"/>
      <w:divBdr>
        <w:top w:val="none" w:sz="0" w:space="0" w:color="auto"/>
        <w:left w:val="none" w:sz="0" w:space="0" w:color="auto"/>
        <w:bottom w:val="none" w:sz="0" w:space="0" w:color="auto"/>
        <w:right w:val="none" w:sz="0" w:space="0" w:color="auto"/>
      </w:divBdr>
      <w:divsChild>
        <w:div w:id="1367412870">
          <w:marLeft w:val="0"/>
          <w:marRight w:val="0"/>
          <w:marTop w:val="0"/>
          <w:marBottom w:val="0"/>
          <w:divBdr>
            <w:top w:val="none" w:sz="0" w:space="0" w:color="auto"/>
            <w:left w:val="none" w:sz="0" w:space="0" w:color="auto"/>
            <w:bottom w:val="none" w:sz="0" w:space="0" w:color="auto"/>
            <w:right w:val="none" w:sz="0" w:space="0" w:color="auto"/>
          </w:divBdr>
          <w:divsChild>
            <w:div w:id="1072849372">
              <w:marLeft w:val="0"/>
              <w:marRight w:val="0"/>
              <w:marTop w:val="0"/>
              <w:marBottom w:val="0"/>
              <w:divBdr>
                <w:top w:val="none" w:sz="0" w:space="0" w:color="auto"/>
                <w:left w:val="none" w:sz="0" w:space="0" w:color="auto"/>
                <w:bottom w:val="none" w:sz="0" w:space="0" w:color="auto"/>
                <w:right w:val="none" w:sz="0" w:space="0" w:color="auto"/>
              </w:divBdr>
              <w:divsChild>
                <w:div w:id="1247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248">
      <w:bodyDiv w:val="1"/>
      <w:marLeft w:val="0"/>
      <w:marRight w:val="0"/>
      <w:marTop w:val="0"/>
      <w:marBottom w:val="0"/>
      <w:divBdr>
        <w:top w:val="none" w:sz="0" w:space="0" w:color="auto"/>
        <w:left w:val="none" w:sz="0" w:space="0" w:color="auto"/>
        <w:bottom w:val="none" w:sz="0" w:space="0" w:color="auto"/>
        <w:right w:val="none" w:sz="0" w:space="0" w:color="auto"/>
      </w:divBdr>
      <w:divsChild>
        <w:div w:id="723215981">
          <w:marLeft w:val="0"/>
          <w:marRight w:val="0"/>
          <w:marTop w:val="0"/>
          <w:marBottom w:val="0"/>
          <w:divBdr>
            <w:top w:val="none" w:sz="0" w:space="0" w:color="auto"/>
            <w:left w:val="none" w:sz="0" w:space="0" w:color="auto"/>
            <w:bottom w:val="none" w:sz="0" w:space="0" w:color="auto"/>
            <w:right w:val="none" w:sz="0" w:space="0" w:color="auto"/>
          </w:divBdr>
          <w:divsChild>
            <w:div w:id="133641578">
              <w:marLeft w:val="0"/>
              <w:marRight w:val="0"/>
              <w:marTop w:val="0"/>
              <w:marBottom w:val="0"/>
              <w:divBdr>
                <w:top w:val="none" w:sz="0" w:space="0" w:color="auto"/>
                <w:left w:val="none" w:sz="0" w:space="0" w:color="auto"/>
                <w:bottom w:val="none" w:sz="0" w:space="0" w:color="auto"/>
                <w:right w:val="none" w:sz="0" w:space="0" w:color="auto"/>
              </w:divBdr>
              <w:divsChild>
                <w:div w:id="118305737">
                  <w:marLeft w:val="0"/>
                  <w:marRight w:val="0"/>
                  <w:marTop w:val="0"/>
                  <w:marBottom w:val="0"/>
                  <w:divBdr>
                    <w:top w:val="none" w:sz="0" w:space="0" w:color="auto"/>
                    <w:left w:val="none" w:sz="0" w:space="0" w:color="auto"/>
                    <w:bottom w:val="none" w:sz="0" w:space="0" w:color="auto"/>
                    <w:right w:val="none" w:sz="0" w:space="0" w:color="auto"/>
                  </w:divBdr>
                  <w:divsChild>
                    <w:div w:id="207688275">
                      <w:marLeft w:val="0"/>
                      <w:marRight w:val="0"/>
                      <w:marTop w:val="0"/>
                      <w:marBottom w:val="0"/>
                      <w:divBdr>
                        <w:top w:val="none" w:sz="0" w:space="0" w:color="auto"/>
                        <w:left w:val="none" w:sz="0" w:space="0" w:color="auto"/>
                        <w:bottom w:val="none" w:sz="0" w:space="0" w:color="auto"/>
                        <w:right w:val="none" w:sz="0" w:space="0" w:color="auto"/>
                      </w:divBdr>
                    </w:div>
                  </w:divsChild>
                </w:div>
                <w:div w:id="858664106">
                  <w:marLeft w:val="0"/>
                  <w:marRight w:val="0"/>
                  <w:marTop w:val="0"/>
                  <w:marBottom w:val="0"/>
                  <w:divBdr>
                    <w:top w:val="none" w:sz="0" w:space="0" w:color="auto"/>
                    <w:left w:val="none" w:sz="0" w:space="0" w:color="auto"/>
                    <w:bottom w:val="none" w:sz="0" w:space="0" w:color="auto"/>
                    <w:right w:val="none" w:sz="0" w:space="0" w:color="auto"/>
                  </w:divBdr>
                  <w:divsChild>
                    <w:div w:id="1206602338">
                      <w:marLeft w:val="0"/>
                      <w:marRight w:val="0"/>
                      <w:marTop w:val="0"/>
                      <w:marBottom w:val="0"/>
                      <w:divBdr>
                        <w:top w:val="none" w:sz="0" w:space="0" w:color="auto"/>
                        <w:left w:val="none" w:sz="0" w:space="0" w:color="auto"/>
                        <w:bottom w:val="none" w:sz="0" w:space="0" w:color="auto"/>
                        <w:right w:val="none" w:sz="0" w:space="0" w:color="auto"/>
                      </w:divBdr>
                    </w:div>
                  </w:divsChild>
                </w:div>
                <w:div w:id="1593390224">
                  <w:marLeft w:val="0"/>
                  <w:marRight w:val="0"/>
                  <w:marTop w:val="0"/>
                  <w:marBottom w:val="0"/>
                  <w:divBdr>
                    <w:top w:val="none" w:sz="0" w:space="0" w:color="auto"/>
                    <w:left w:val="none" w:sz="0" w:space="0" w:color="auto"/>
                    <w:bottom w:val="none" w:sz="0" w:space="0" w:color="auto"/>
                    <w:right w:val="none" w:sz="0" w:space="0" w:color="auto"/>
                  </w:divBdr>
                  <w:divsChild>
                    <w:div w:id="2060589994">
                      <w:marLeft w:val="0"/>
                      <w:marRight w:val="0"/>
                      <w:marTop w:val="0"/>
                      <w:marBottom w:val="0"/>
                      <w:divBdr>
                        <w:top w:val="none" w:sz="0" w:space="0" w:color="auto"/>
                        <w:left w:val="none" w:sz="0" w:space="0" w:color="auto"/>
                        <w:bottom w:val="none" w:sz="0" w:space="0" w:color="auto"/>
                        <w:right w:val="none" w:sz="0" w:space="0" w:color="auto"/>
                      </w:divBdr>
                    </w:div>
                  </w:divsChild>
                </w:div>
                <w:div w:id="1997565930">
                  <w:marLeft w:val="0"/>
                  <w:marRight w:val="0"/>
                  <w:marTop w:val="0"/>
                  <w:marBottom w:val="0"/>
                  <w:divBdr>
                    <w:top w:val="none" w:sz="0" w:space="0" w:color="auto"/>
                    <w:left w:val="none" w:sz="0" w:space="0" w:color="auto"/>
                    <w:bottom w:val="none" w:sz="0" w:space="0" w:color="auto"/>
                    <w:right w:val="none" w:sz="0" w:space="0" w:color="auto"/>
                  </w:divBdr>
                  <w:divsChild>
                    <w:div w:id="14296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9401">
      <w:bodyDiv w:val="1"/>
      <w:marLeft w:val="0"/>
      <w:marRight w:val="0"/>
      <w:marTop w:val="0"/>
      <w:marBottom w:val="0"/>
      <w:divBdr>
        <w:top w:val="none" w:sz="0" w:space="0" w:color="auto"/>
        <w:left w:val="none" w:sz="0" w:space="0" w:color="auto"/>
        <w:bottom w:val="none" w:sz="0" w:space="0" w:color="auto"/>
        <w:right w:val="none" w:sz="0" w:space="0" w:color="auto"/>
      </w:divBdr>
      <w:divsChild>
        <w:div w:id="511996763">
          <w:marLeft w:val="0"/>
          <w:marRight w:val="0"/>
          <w:marTop w:val="0"/>
          <w:marBottom w:val="0"/>
          <w:divBdr>
            <w:top w:val="none" w:sz="0" w:space="0" w:color="auto"/>
            <w:left w:val="none" w:sz="0" w:space="0" w:color="auto"/>
            <w:bottom w:val="none" w:sz="0" w:space="0" w:color="auto"/>
            <w:right w:val="none" w:sz="0" w:space="0" w:color="auto"/>
          </w:divBdr>
          <w:divsChild>
            <w:div w:id="1514032327">
              <w:marLeft w:val="0"/>
              <w:marRight w:val="0"/>
              <w:marTop w:val="0"/>
              <w:marBottom w:val="0"/>
              <w:divBdr>
                <w:top w:val="none" w:sz="0" w:space="0" w:color="auto"/>
                <w:left w:val="none" w:sz="0" w:space="0" w:color="auto"/>
                <w:bottom w:val="none" w:sz="0" w:space="0" w:color="auto"/>
                <w:right w:val="none" w:sz="0" w:space="0" w:color="auto"/>
              </w:divBdr>
              <w:divsChild>
                <w:div w:id="1769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805">
      <w:bodyDiv w:val="1"/>
      <w:marLeft w:val="0"/>
      <w:marRight w:val="0"/>
      <w:marTop w:val="0"/>
      <w:marBottom w:val="0"/>
      <w:divBdr>
        <w:top w:val="none" w:sz="0" w:space="0" w:color="auto"/>
        <w:left w:val="none" w:sz="0" w:space="0" w:color="auto"/>
        <w:bottom w:val="none" w:sz="0" w:space="0" w:color="auto"/>
        <w:right w:val="none" w:sz="0" w:space="0" w:color="auto"/>
      </w:divBdr>
      <w:divsChild>
        <w:div w:id="261256327">
          <w:marLeft w:val="0"/>
          <w:marRight w:val="0"/>
          <w:marTop w:val="0"/>
          <w:marBottom w:val="0"/>
          <w:divBdr>
            <w:top w:val="none" w:sz="0" w:space="0" w:color="auto"/>
            <w:left w:val="none" w:sz="0" w:space="0" w:color="auto"/>
            <w:bottom w:val="none" w:sz="0" w:space="0" w:color="auto"/>
            <w:right w:val="none" w:sz="0" w:space="0" w:color="auto"/>
          </w:divBdr>
          <w:divsChild>
            <w:div w:id="689834846">
              <w:marLeft w:val="0"/>
              <w:marRight w:val="0"/>
              <w:marTop w:val="0"/>
              <w:marBottom w:val="0"/>
              <w:divBdr>
                <w:top w:val="none" w:sz="0" w:space="0" w:color="auto"/>
                <w:left w:val="none" w:sz="0" w:space="0" w:color="auto"/>
                <w:bottom w:val="none" w:sz="0" w:space="0" w:color="auto"/>
                <w:right w:val="none" w:sz="0" w:space="0" w:color="auto"/>
              </w:divBdr>
              <w:divsChild>
                <w:div w:id="11155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2820">
      <w:bodyDiv w:val="1"/>
      <w:marLeft w:val="0"/>
      <w:marRight w:val="0"/>
      <w:marTop w:val="0"/>
      <w:marBottom w:val="0"/>
      <w:divBdr>
        <w:top w:val="none" w:sz="0" w:space="0" w:color="auto"/>
        <w:left w:val="none" w:sz="0" w:space="0" w:color="auto"/>
        <w:bottom w:val="none" w:sz="0" w:space="0" w:color="auto"/>
        <w:right w:val="none" w:sz="0" w:space="0" w:color="auto"/>
      </w:divBdr>
      <w:divsChild>
        <w:div w:id="1824082302">
          <w:marLeft w:val="0"/>
          <w:marRight w:val="0"/>
          <w:marTop w:val="0"/>
          <w:marBottom w:val="0"/>
          <w:divBdr>
            <w:top w:val="none" w:sz="0" w:space="0" w:color="auto"/>
            <w:left w:val="none" w:sz="0" w:space="0" w:color="auto"/>
            <w:bottom w:val="none" w:sz="0" w:space="0" w:color="auto"/>
            <w:right w:val="none" w:sz="0" w:space="0" w:color="auto"/>
          </w:divBdr>
          <w:divsChild>
            <w:div w:id="564297182">
              <w:marLeft w:val="0"/>
              <w:marRight w:val="0"/>
              <w:marTop w:val="0"/>
              <w:marBottom w:val="0"/>
              <w:divBdr>
                <w:top w:val="none" w:sz="0" w:space="0" w:color="auto"/>
                <w:left w:val="none" w:sz="0" w:space="0" w:color="auto"/>
                <w:bottom w:val="none" w:sz="0" w:space="0" w:color="auto"/>
                <w:right w:val="none" w:sz="0" w:space="0" w:color="auto"/>
              </w:divBdr>
              <w:divsChild>
                <w:div w:id="10940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9600">
      <w:bodyDiv w:val="1"/>
      <w:marLeft w:val="0"/>
      <w:marRight w:val="0"/>
      <w:marTop w:val="0"/>
      <w:marBottom w:val="0"/>
      <w:divBdr>
        <w:top w:val="none" w:sz="0" w:space="0" w:color="auto"/>
        <w:left w:val="none" w:sz="0" w:space="0" w:color="auto"/>
        <w:bottom w:val="none" w:sz="0" w:space="0" w:color="auto"/>
        <w:right w:val="none" w:sz="0" w:space="0" w:color="auto"/>
      </w:divBdr>
      <w:divsChild>
        <w:div w:id="653606591">
          <w:marLeft w:val="0"/>
          <w:marRight w:val="0"/>
          <w:marTop w:val="0"/>
          <w:marBottom w:val="0"/>
          <w:divBdr>
            <w:top w:val="none" w:sz="0" w:space="0" w:color="auto"/>
            <w:left w:val="none" w:sz="0" w:space="0" w:color="auto"/>
            <w:bottom w:val="none" w:sz="0" w:space="0" w:color="auto"/>
            <w:right w:val="none" w:sz="0" w:space="0" w:color="auto"/>
          </w:divBdr>
          <w:divsChild>
            <w:div w:id="1834174673">
              <w:marLeft w:val="0"/>
              <w:marRight w:val="0"/>
              <w:marTop w:val="0"/>
              <w:marBottom w:val="0"/>
              <w:divBdr>
                <w:top w:val="none" w:sz="0" w:space="0" w:color="auto"/>
                <w:left w:val="none" w:sz="0" w:space="0" w:color="auto"/>
                <w:bottom w:val="none" w:sz="0" w:space="0" w:color="auto"/>
                <w:right w:val="none" w:sz="0" w:space="0" w:color="auto"/>
              </w:divBdr>
              <w:divsChild>
                <w:div w:id="1888879491">
                  <w:marLeft w:val="0"/>
                  <w:marRight w:val="0"/>
                  <w:marTop w:val="0"/>
                  <w:marBottom w:val="0"/>
                  <w:divBdr>
                    <w:top w:val="none" w:sz="0" w:space="0" w:color="auto"/>
                    <w:left w:val="none" w:sz="0" w:space="0" w:color="auto"/>
                    <w:bottom w:val="none" w:sz="0" w:space="0" w:color="auto"/>
                    <w:right w:val="none" w:sz="0" w:space="0" w:color="auto"/>
                  </w:divBdr>
                  <w:divsChild>
                    <w:div w:id="1743287988">
                      <w:marLeft w:val="0"/>
                      <w:marRight w:val="0"/>
                      <w:marTop w:val="0"/>
                      <w:marBottom w:val="0"/>
                      <w:divBdr>
                        <w:top w:val="none" w:sz="0" w:space="0" w:color="auto"/>
                        <w:left w:val="none" w:sz="0" w:space="0" w:color="auto"/>
                        <w:bottom w:val="none" w:sz="0" w:space="0" w:color="auto"/>
                        <w:right w:val="none" w:sz="0" w:space="0" w:color="auto"/>
                      </w:divBdr>
                    </w:div>
                  </w:divsChild>
                </w:div>
                <w:div w:id="2051765342">
                  <w:marLeft w:val="0"/>
                  <w:marRight w:val="0"/>
                  <w:marTop w:val="0"/>
                  <w:marBottom w:val="0"/>
                  <w:divBdr>
                    <w:top w:val="none" w:sz="0" w:space="0" w:color="auto"/>
                    <w:left w:val="none" w:sz="0" w:space="0" w:color="auto"/>
                    <w:bottom w:val="none" w:sz="0" w:space="0" w:color="auto"/>
                    <w:right w:val="none" w:sz="0" w:space="0" w:color="auto"/>
                  </w:divBdr>
                  <w:divsChild>
                    <w:div w:id="1273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6950">
          <w:marLeft w:val="0"/>
          <w:marRight w:val="0"/>
          <w:marTop w:val="0"/>
          <w:marBottom w:val="0"/>
          <w:divBdr>
            <w:top w:val="none" w:sz="0" w:space="0" w:color="auto"/>
            <w:left w:val="none" w:sz="0" w:space="0" w:color="auto"/>
            <w:bottom w:val="none" w:sz="0" w:space="0" w:color="auto"/>
            <w:right w:val="none" w:sz="0" w:space="0" w:color="auto"/>
          </w:divBdr>
          <w:divsChild>
            <w:div w:id="191043850">
              <w:marLeft w:val="0"/>
              <w:marRight w:val="0"/>
              <w:marTop w:val="0"/>
              <w:marBottom w:val="0"/>
              <w:divBdr>
                <w:top w:val="none" w:sz="0" w:space="0" w:color="auto"/>
                <w:left w:val="none" w:sz="0" w:space="0" w:color="auto"/>
                <w:bottom w:val="none" w:sz="0" w:space="0" w:color="auto"/>
                <w:right w:val="none" w:sz="0" w:space="0" w:color="auto"/>
              </w:divBdr>
              <w:divsChild>
                <w:div w:id="1822456387">
                  <w:marLeft w:val="0"/>
                  <w:marRight w:val="0"/>
                  <w:marTop w:val="0"/>
                  <w:marBottom w:val="0"/>
                  <w:divBdr>
                    <w:top w:val="none" w:sz="0" w:space="0" w:color="auto"/>
                    <w:left w:val="none" w:sz="0" w:space="0" w:color="auto"/>
                    <w:bottom w:val="none" w:sz="0" w:space="0" w:color="auto"/>
                    <w:right w:val="none" w:sz="0" w:space="0" w:color="auto"/>
                  </w:divBdr>
                  <w:divsChild>
                    <w:div w:id="9044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0436">
      <w:bodyDiv w:val="1"/>
      <w:marLeft w:val="0"/>
      <w:marRight w:val="0"/>
      <w:marTop w:val="0"/>
      <w:marBottom w:val="0"/>
      <w:divBdr>
        <w:top w:val="none" w:sz="0" w:space="0" w:color="auto"/>
        <w:left w:val="none" w:sz="0" w:space="0" w:color="auto"/>
        <w:bottom w:val="none" w:sz="0" w:space="0" w:color="auto"/>
        <w:right w:val="none" w:sz="0" w:space="0" w:color="auto"/>
      </w:divBdr>
    </w:div>
    <w:div w:id="73861168">
      <w:bodyDiv w:val="1"/>
      <w:marLeft w:val="0"/>
      <w:marRight w:val="0"/>
      <w:marTop w:val="0"/>
      <w:marBottom w:val="0"/>
      <w:divBdr>
        <w:top w:val="none" w:sz="0" w:space="0" w:color="auto"/>
        <w:left w:val="none" w:sz="0" w:space="0" w:color="auto"/>
        <w:bottom w:val="none" w:sz="0" w:space="0" w:color="auto"/>
        <w:right w:val="none" w:sz="0" w:space="0" w:color="auto"/>
      </w:divBdr>
      <w:divsChild>
        <w:div w:id="1964336952">
          <w:marLeft w:val="0"/>
          <w:marRight w:val="0"/>
          <w:marTop w:val="0"/>
          <w:marBottom w:val="0"/>
          <w:divBdr>
            <w:top w:val="none" w:sz="0" w:space="0" w:color="auto"/>
            <w:left w:val="none" w:sz="0" w:space="0" w:color="auto"/>
            <w:bottom w:val="none" w:sz="0" w:space="0" w:color="auto"/>
            <w:right w:val="none" w:sz="0" w:space="0" w:color="auto"/>
          </w:divBdr>
          <w:divsChild>
            <w:div w:id="1841314603">
              <w:marLeft w:val="0"/>
              <w:marRight w:val="0"/>
              <w:marTop w:val="0"/>
              <w:marBottom w:val="0"/>
              <w:divBdr>
                <w:top w:val="none" w:sz="0" w:space="0" w:color="auto"/>
                <w:left w:val="none" w:sz="0" w:space="0" w:color="auto"/>
                <w:bottom w:val="none" w:sz="0" w:space="0" w:color="auto"/>
                <w:right w:val="none" w:sz="0" w:space="0" w:color="auto"/>
              </w:divBdr>
              <w:divsChild>
                <w:div w:id="80102147">
                  <w:marLeft w:val="0"/>
                  <w:marRight w:val="0"/>
                  <w:marTop w:val="0"/>
                  <w:marBottom w:val="0"/>
                  <w:divBdr>
                    <w:top w:val="none" w:sz="0" w:space="0" w:color="auto"/>
                    <w:left w:val="none" w:sz="0" w:space="0" w:color="auto"/>
                    <w:bottom w:val="none" w:sz="0" w:space="0" w:color="auto"/>
                    <w:right w:val="none" w:sz="0" w:space="0" w:color="auto"/>
                  </w:divBdr>
                  <w:divsChild>
                    <w:div w:id="3446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0892">
      <w:bodyDiv w:val="1"/>
      <w:marLeft w:val="0"/>
      <w:marRight w:val="0"/>
      <w:marTop w:val="0"/>
      <w:marBottom w:val="0"/>
      <w:divBdr>
        <w:top w:val="none" w:sz="0" w:space="0" w:color="auto"/>
        <w:left w:val="none" w:sz="0" w:space="0" w:color="auto"/>
        <w:bottom w:val="none" w:sz="0" w:space="0" w:color="auto"/>
        <w:right w:val="none" w:sz="0" w:space="0" w:color="auto"/>
      </w:divBdr>
      <w:divsChild>
        <w:div w:id="1990018977">
          <w:marLeft w:val="0"/>
          <w:marRight w:val="0"/>
          <w:marTop w:val="0"/>
          <w:marBottom w:val="0"/>
          <w:divBdr>
            <w:top w:val="none" w:sz="0" w:space="0" w:color="auto"/>
            <w:left w:val="none" w:sz="0" w:space="0" w:color="auto"/>
            <w:bottom w:val="none" w:sz="0" w:space="0" w:color="auto"/>
            <w:right w:val="none" w:sz="0" w:space="0" w:color="auto"/>
          </w:divBdr>
          <w:divsChild>
            <w:div w:id="744717597">
              <w:marLeft w:val="0"/>
              <w:marRight w:val="0"/>
              <w:marTop w:val="0"/>
              <w:marBottom w:val="0"/>
              <w:divBdr>
                <w:top w:val="none" w:sz="0" w:space="0" w:color="auto"/>
                <w:left w:val="none" w:sz="0" w:space="0" w:color="auto"/>
                <w:bottom w:val="none" w:sz="0" w:space="0" w:color="auto"/>
                <w:right w:val="none" w:sz="0" w:space="0" w:color="auto"/>
              </w:divBdr>
              <w:divsChild>
                <w:div w:id="587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2820">
      <w:bodyDiv w:val="1"/>
      <w:marLeft w:val="0"/>
      <w:marRight w:val="0"/>
      <w:marTop w:val="0"/>
      <w:marBottom w:val="0"/>
      <w:divBdr>
        <w:top w:val="none" w:sz="0" w:space="0" w:color="auto"/>
        <w:left w:val="none" w:sz="0" w:space="0" w:color="auto"/>
        <w:bottom w:val="none" w:sz="0" w:space="0" w:color="auto"/>
        <w:right w:val="none" w:sz="0" w:space="0" w:color="auto"/>
      </w:divBdr>
      <w:divsChild>
        <w:div w:id="1184788768">
          <w:marLeft w:val="0"/>
          <w:marRight w:val="0"/>
          <w:marTop w:val="0"/>
          <w:marBottom w:val="0"/>
          <w:divBdr>
            <w:top w:val="none" w:sz="0" w:space="0" w:color="auto"/>
            <w:left w:val="none" w:sz="0" w:space="0" w:color="auto"/>
            <w:bottom w:val="none" w:sz="0" w:space="0" w:color="auto"/>
            <w:right w:val="none" w:sz="0" w:space="0" w:color="auto"/>
          </w:divBdr>
          <w:divsChild>
            <w:div w:id="1514101795">
              <w:marLeft w:val="0"/>
              <w:marRight w:val="0"/>
              <w:marTop w:val="0"/>
              <w:marBottom w:val="0"/>
              <w:divBdr>
                <w:top w:val="none" w:sz="0" w:space="0" w:color="auto"/>
                <w:left w:val="none" w:sz="0" w:space="0" w:color="auto"/>
                <w:bottom w:val="none" w:sz="0" w:space="0" w:color="auto"/>
                <w:right w:val="none" w:sz="0" w:space="0" w:color="auto"/>
              </w:divBdr>
              <w:divsChild>
                <w:div w:id="2722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3642">
      <w:bodyDiv w:val="1"/>
      <w:marLeft w:val="0"/>
      <w:marRight w:val="0"/>
      <w:marTop w:val="0"/>
      <w:marBottom w:val="0"/>
      <w:divBdr>
        <w:top w:val="none" w:sz="0" w:space="0" w:color="auto"/>
        <w:left w:val="none" w:sz="0" w:space="0" w:color="auto"/>
        <w:bottom w:val="none" w:sz="0" w:space="0" w:color="auto"/>
        <w:right w:val="none" w:sz="0" w:space="0" w:color="auto"/>
      </w:divBdr>
      <w:divsChild>
        <w:div w:id="1719551414">
          <w:marLeft w:val="0"/>
          <w:marRight w:val="0"/>
          <w:marTop w:val="0"/>
          <w:marBottom w:val="0"/>
          <w:divBdr>
            <w:top w:val="none" w:sz="0" w:space="0" w:color="auto"/>
            <w:left w:val="none" w:sz="0" w:space="0" w:color="auto"/>
            <w:bottom w:val="none" w:sz="0" w:space="0" w:color="auto"/>
            <w:right w:val="none" w:sz="0" w:space="0" w:color="auto"/>
          </w:divBdr>
          <w:divsChild>
            <w:div w:id="2059552379">
              <w:marLeft w:val="0"/>
              <w:marRight w:val="0"/>
              <w:marTop w:val="0"/>
              <w:marBottom w:val="0"/>
              <w:divBdr>
                <w:top w:val="none" w:sz="0" w:space="0" w:color="auto"/>
                <w:left w:val="none" w:sz="0" w:space="0" w:color="auto"/>
                <w:bottom w:val="none" w:sz="0" w:space="0" w:color="auto"/>
                <w:right w:val="none" w:sz="0" w:space="0" w:color="auto"/>
              </w:divBdr>
              <w:divsChild>
                <w:div w:id="107438133">
                  <w:marLeft w:val="0"/>
                  <w:marRight w:val="0"/>
                  <w:marTop w:val="0"/>
                  <w:marBottom w:val="0"/>
                  <w:divBdr>
                    <w:top w:val="none" w:sz="0" w:space="0" w:color="auto"/>
                    <w:left w:val="none" w:sz="0" w:space="0" w:color="auto"/>
                    <w:bottom w:val="none" w:sz="0" w:space="0" w:color="auto"/>
                    <w:right w:val="none" w:sz="0" w:space="0" w:color="auto"/>
                  </w:divBdr>
                  <w:divsChild>
                    <w:div w:id="20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1887">
      <w:bodyDiv w:val="1"/>
      <w:marLeft w:val="0"/>
      <w:marRight w:val="0"/>
      <w:marTop w:val="0"/>
      <w:marBottom w:val="0"/>
      <w:divBdr>
        <w:top w:val="none" w:sz="0" w:space="0" w:color="auto"/>
        <w:left w:val="none" w:sz="0" w:space="0" w:color="auto"/>
        <w:bottom w:val="none" w:sz="0" w:space="0" w:color="auto"/>
        <w:right w:val="none" w:sz="0" w:space="0" w:color="auto"/>
      </w:divBdr>
      <w:divsChild>
        <w:div w:id="1552885793">
          <w:marLeft w:val="0"/>
          <w:marRight w:val="0"/>
          <w:marTop w:val="0"/>
          <w:marBottom w:val="0"/>
          <w:divBdr>
            <w:top w:val="none" w:sz="0" w:space="0" w:color="auto"/>
            <w:left w:val="none" w:sz="0" w:space="0" w:color="auto"/>
            <w:bottom w:val="none" w:sz="0" w:space="0" w:color="auto"/>
            <w:right w:val="none" w:sz="0" w:space="0" w:color="auto"/>
          </w:divBdr>
          <w:divsChild>
            <w:div w:id="1786727558">
              <w:marLeft w:val="0"/>
              <w:marRight w:val="0"/>
              <w:marTop w:val="0"/>
              <w:marBottom w:val="0"/>
              <w:divBdr>
                <w:top w:val="none" w:sz="0" w:space="0" w:color="auto"/>
                <w:left w:val="none" w:sz="0" w:space="0" w:color="auto"/>
                <w:bottom w:val="none" w:sz="0" w:space="0" w:color="auto"/>
                <w:right w:val="none" w:sz="0" w:space="0" w:color="auto"/>
              </w:divBdr>
              <w:divsChild>
                <w:div w:id="347098107">
                  <w:marLeft w:val="0"/>
                  <w:marRight w:val="0"/>
                  <w:marTop w:val="0"/>
                  <w:marBottom w:val="0"/>
                  <w:divBdr>
                    <w:top w:val="none" w:sz="0" w:space="0" w:color="auto"/>
                    <w:left w:val="none" w:sz="0" w:space="0" w:color="auto"/>
                    <w:bottom w:val="none" w:sz="0" w:space="0" w:color="auto"/>
                    <w:right w:val="none" w:sz="0" w:space="0" w:color="auto"/>
                  </w:divBdr>
                  <w:divsChild>
                    <w:div w:id="1492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878">
      <w:bodyDiv w:val="1"/>
      <w:marLeft w:val="0"/>
      <w:marRight w:val="0"/>
      <w:marTop w:val="0"/>
      <w:marBottom w:val="0"/>
      <w:divBdr>
        <w:top w:val="none" w:sz="0" w:space="0" w:color="auto"/>
        <w:left w:val="none" w:sz="0" w:space="0" w:color="auto"/>
        <w:bottom w:val="none" w:sz="0" w:space="0" w:color="auto"/>
        <w:right w:val="none" w:sz="0" w:space="0" w:color="auto"/>
      </w:divBdr>
      <w:divsChild>
        <w:div w:id="1486317322">
          <w:marLeft w:val="0"/>
          <w:marRight w:val="0"/>
          <w:marTop w:val="0"/>
          <w:marBottom w:val="0"/>
          <w:divBdr>
            <w:top w:val="none" w:sz="0" w:space="0" w:color="auto"/>
            <w:left w:val="none" w:sz="0" w:space="0" w:color="auto"/>
            <w:bottom w:val="none" w:sz="0" w:space="0" w:color="auto"/>
            <w:right w:val="none" w:sz="0" w:space="0" w:color="auto"/>
          </w:divBdr>
          <w:divsChild>
            <w:div w:id="1102337663">
              <w:marLeft w:val="0"/>
              <w:marRight w:val="0"/>
              <w:marTop w:val="0"/>
              <w:marBottom w:val="0"/>
              <w:divBdr>
                <w:top w:val="none" w:sz="0" w:space="0" w:color="auto"/>
                <w:left w:val="none" w:sz="0" w:space="0" w:color="auto"/>
                <w:bottom w:val="none" w:sz="0" w:space="0" w:color="auto"/>
                <w:right w:val="none" w:sz="0" w:space="0" w:color="auto"/>
              </w:divBdr>
              <w:divsChild>
                <w:div w:id="919945402">
                  <w:marLeft w:val="0"/>
                  <w:marRight w:val="0"/>
                  <w:marTop w:val="0"/>
                  <w:marBottom w:val="0"/>
                  <w:divBdr>
                    <w:top w:val="none" w:sz="0" w:space="0" w:color="auto"/>
                    <w:left w:val="none" w:sz="0" w:space="0" w:color="auto"/>
                    <w:bottom w:val="none" w:sz="0" w:space="0" w:color="auto"/>
                    <w:right w:val="none" w:sz="0" w:space="0" w:color="auto"/>
                  </w:divBdr>
                  <w:divsChild>
                    <w:div w:id="591359509">
                      <w:marLeft w:val="0"/>
                      <w:marRight w:val="0"/>
                      <w:marTop w:val="0"/>
                      <w:marBottom w:val="0"/>
                      <w:divBdr>
                        <w:top w:val="none" w:sz="0" w:space="0" w:color="auto"/>
                        <w:left w:val="none" w:sz="0" w:space="0" w:color="auto"/>
                        <w:bottom w:val="none" w:sz="0" w:space="0" w:color="auto"/>
                        <w:right w:val="none" w:sz="0" w:space="0" w:color="auto"/>
                      </w:divBdr>
                    </w:div>
                  </w:divsChild>
                </w:div>
                <w:div w:id="2017418345">
                  <w:marLeft w:val="0"/>
                  <w:marRight w:val="0"/>
                  <w:marTop w:val="0"/>
                  <w:marBottom w:val="0"/>
                  <w:divBdr>
                    <w:top w:val="none" w:sz="0" w:space="0" w:color="auto"/>
                    <w:left w:val="none" w:sz="0" w:space="0" w:color="auto"/>
                    <w:bottom w:val="none" w:sz="0" w:space="0" w:color="auto"/>
                    <w:right w:val="none" w:sz="0" w:space="0" w:color="auto"/>
                  </w:divBdr>
                  <w:divsChild>
                    <w:div w:id="1241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3813">
          <w:marLeft w:val="0"/>
          <w:marRight w:val="0"/>
          <w:marTop w:val="0"/>
          <w:marBottom w:val="0"/>
          <w:divBdr>
            <w:top w:val="none" w:sz="0" w:space="0" w:color="auto"/>
            <w:left w:val="none" w:sz="0" w:space="0" w:color="auto"/>
            <w:bottom w:val="none" w:sz="0" w:space="0" w:color="auto"/>
            <w:right w:val="none" w:sz="0" w:space="0" w:color="auto"/>
          </w:divBdr>
          <w:divsChild>
            <w:div w:id="2142648887">
              <w:marLeft w:val="0"/>
              <w:marRight w:val="0"/>
              <w:marTop w:val="0"/>
              <w:marBottom w:val="0"/>
              <w:divBdr>
                <w:top w:val="none" w:sz="0" w:space="0" w:color="auto"/>
                <w:left w:val="none" w:sz="0" w:space="0" w:color="auto"/>
                <w:bottom w:val="none" w:sz="0" w:space="0" w:color="auto"/>
                <w:right w:val="none" w:sz="0" w:space="0" w:color="auto"/>
              </w:divBdr>
              <w:divsChild>
                <w:div w:id="1463958052">
                  <w:marLeft w:val="0"/>
                  <w:marRight w:val="0"/>
                  <w:marTop w:val="0"/>
                  <w:marBottom w:val="0"/>
                  <w:divBdr>
                    <w:top w:val="none" w:sz="0" w:space="0" w:color="auto"/>
                    <w:left w:val="none" w:sz="0" w:space="0" w:color="auto"/>
                    <w:bottom w:val="none" w:sz="0" w:space="0" w:color="auto"/>
                    <w:right w:val="none" w:sz="0" w:space="0" w:color="auto"/>
                  </w:divBdr>
                  <w:divsChild>
                    <w:div w:id="4029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1617">
      <w:bodyDiv w:val="1"/>
      <w:marLeft w:val="0"/>
      <w:marRight w:val="0"/>
      <w:marTop w:val="0"/>
      <w:marBottom w:val="0"/>
      <w:divBdr>
        <w:top w:val="none" w:sz="0" w:space="0" w:color="auto"/>
        <w:left w:val="none" w:sz="0" w:space="0" w:color="auto"/>
        <w:bottom w:val="none" w:sz="0" w:space="0" w:color="auto"/>
        <w:right w:val="none" w:sz="0" w:space="0" w:color="auto"/>
      </w:divBdr>
      <w:divsChild>
        <w:div w:id="1819955146">
          <w:marLeft w:val="0"/>
          <w:marRight w:val="0"/>
          <w:marTop w:val="0"/>
          <w:marBottom w:val="0"/>
          <w:divBdr>
            <w:top w:val="none" w:sz="0" w:space="0" w:color="auto"/>
            <w:left w:val="none" w:sz="0" w:space="0" w:color="auto"/>
            <w:bottom w:val="none" w:sz="0" w:space="0" w:color="auto"/>
            <w:right w:val="none" w:sz="0" w:space="0" w:color="auto"/>
          </w:divBdr>
          <w:divsChild>
            <w:div w:id="47999927">
              <w:marLeft w:val="0"/>
              <w:marRight w:val="0"/>
              <w:marTop w:val="0"/>
              <w:marBottom w:val="0"/>
              <w:divBdr>
                <w:top w:val="none" w:sz="0" w:space="0" w:color="auto"/>
                <w:left w:val="none" w:sz="0" w:space="0" w:color="auto"/>
                <w:bottom w:val="none" w:sz="0" w:space="0" w:color="auto"/>
                <w:right w:val="none" w:sz="0" w:space="0" w:color="auto"/>
              </w:divBdr>
              <w:divsChild>
                <w:div w:id="19457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1643">
      <w:bodyDiv w:val="1"/>
      <w:marLeft w:val="0"/>
      <w:marRight w:val="0"/>
      <w:marTop w:val="0"/>
      <w:marBottom w:val="0"/>
      <w:divBdr>
        <w:top w:val="none" w:sz="0" w:space="0" w:color="auto"/>
        <w:left w:val="none" w:sz="0" w:space="0" w:color="auto"/>
        <w:bottom w:val="none" w:sz="0" w:space="0" w:color="auto"/>
        <w:right w:val="none" w:sz="0" w:space="0" w:color="auto"/>
      </w:divBdr>
      <w:divsChild>
        <w:div w:id="535851256">
          <w:marLeft w:val="0"/>
          <w:marRight w:val="0"/>
          <w:marTop w:val="0"/>
          <w:marBottom w:val="0"/>
          <w:divBdr>
            <w:top w:val="none" w:sz="0" w:space="0" w:color="auto"/>
            <w:left w:val="none" w:sz="0" w:space="0" w:color="auto"/>
            <w:bottom w:val="none" w:sz="0" w:space="0" w:color="auto"/>
            <w:right w:val="none" w:sz="0" w:space="0" w:color="auto"/>
          </w:divBdr>
          <w:divsChild>
            <w:div w:id="502936797">
              <w:marLeft w:val="0"/>
              <w:marRight w:val="0"/>
              <w:marTop w:val="0"/>
              <w:marBottom w:val="0"/>
              <w:divBdr>
                <w:top w:val="none" w:sz="0" w:space="0" w:color="auto"/>
                <w:left w:val="none" w:sz="0" w:space="0" w:color="auto"/>
                <w:bottom w:val="none" w:sz="0" w:space="0" w:color="auto"/>
                <w:right w:val="none" w:sz="0" w:space="0" w:color="auto"/>
              </w:divBdr>
              <w:divsChild>
                <w:div w:id="12866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380">
      <w:bodyDiv w:val="1"/>
      <w:marLeft w:val="0"/>
      <w:marRight w:val="0"/>
      <w:marTop w:val="0"/>
      <w:marBottom w:val="0"/>
      <w:divBdr>
        <w:top w:val="none" w:sz="0" w:space="0" w:color="auto"/>
        <w:left w:val="none" w:sz="0" w:space="0" w:color="auto"/>
        <w:bottom w:val="none" w:sz="0" w:space="0" w:color="auto"/>
        <w:right w:val="none" w:sz="0" w:space="0" w:color="auto"/>
      </w:divBdr>
      <w:divsChild>
        <w:div w:id="163013432">
          <w:marLeft w:val="0"/>
          <w:marRight w:val="0"/>
          <w:marTop w:val="0"/>
          <w:marBottom w:val="0"/>
          <w:divBdr>
            <w:top w:val="none" w:sz="0" w:space="0" w:color="auto"/>
            <w:left w:val="none" w:sz="0" w:space="0" w:color="auto"/>
            <w:bottom w:val="none" w:sz="0" w:space="0" w:color="auto"/>
            <w:right w:val="none" w:sz="0" w:space="0" w:color="auto"/>
          </w:divBdr>
          <w:divsChild>
            <w:div w:id="81877542">
              <w:marLeft w:val="0"/>
              <w:marRight w:val="0"/>
              <w:marTop w:val="0"/>
              <w:marBottom w:val="0"/>
              <w:divBdr>
                <w:top w:val="none" w:sz="0" w:space="0" w:color="auto"/>
                <w:left w:val="none" w:sz="0" w:space="0" w:color="auto"/>
                <w:bottom w:val="none" w:sz="0" w:space="0" w:color="auto"/>
                <w:right w:val="none" w:sz="0" w:space="0" w:color="auto"/>
              </w:divBdr>
              <w:divsChild>
                <w:div w:id="1175463021">
                  <w:marLeft w:val="0"/>
                  <w:marRight w:val="0"/>
                  <w:marTop w:val="0"/>
                  <w:marBottom w:val="0"/>
                  <w:divBdr>
                    <w:top w:val="none" w:sz="0" w:space="0" w:color="auto"/>
                    <w:left w:val="none" w:sz="0" w:space="0" w:color="auto"/>
                    <w:bottom w:val="none" w:sz="0" w:space="0" w:color="auto"/>
                    <w:right w:val="none" w:sz="0" w:space="0" w:color="auto"/>
                  </w:divBdr>
                  <w:divsChild>
                    <w:div w:id="91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975">
      <w:bodyDiv w:val="1"/>
      <w:marLeft w:val="0"/>
      <w:marRight w:val="0"/>
      <w:marTop w:val="0"/>
      <w:marBottom w:val="0"/>
      <w:divBdr>
        <w:top w:val="none" w:sz="0" w:space="0" w:color="auto"/>
        <w:left w:val="none" w:sz="0" w:space="0" w:color="auto"/>
        <w:bottom w:val="none" w:sz="0" w:space="0" w:color="auto"/>
        <w:right w:val="none" w:sz="0" w:space="0" w:color="auto"/>
      </w:divBdr>
      <w:divsChild>
        <w:div w:id="755051403">
          <w:marLeft w:val="0"/>
          <w:marRight w:val="0"/>
          <w:marTop w:val="0"/>
          <w:marBottom w:val="0"/>
          <w:divBdr>
            <w:top w:val="none" w:sz="0" w:space="0" w:color="auto"/>
            <w:left w:val="none" w:sz="0" w:space="0" w:color="auto"/>
            <w:bottom w:val="none" w:sz="0" w:space="0" w:color="auto"/>
            <w:right w:val="none" w:sz="0" w:space="0" w:color="auto"/>
          </w:divBdr>
          <w:divsChild>
            <w:div w:id="1382434829">
              <w:marLeft w:val="0"/>
              <w:marRight w:val="0"/>
              <w:marTop w:val="0"/>
              <w:marBottom w:val="0"/>
              <w:divBdr>
                <w:top w:val="none" w:sz="0" w:space="0" w:color="auto"/>
                <w:left w:val="none" w:sz="0" w:space="0" w:color="auto"/>
                <w:bottom w:val="none" w:sz="0" w:space="0" w:color="auto"/>
                <w:right w:val="none" w:sz="0" w:space="0" w:color="auto"/>
              </w:divBdr>
              <w:divsChild>
                <w:div w:id="842666674">
                  <w:marLeft w:val="0"/>
                  <w:marRight w:val="0"/>
                  <w:marTop w:val="0"/>
                  <w:marBottom w:val="0"/>
                  <w:divBdr>
                    <w:top w:val="none" w:sz="0" w:space="0" w:color="auto"/>
                    <w:left w:val="none" w:sz="0" w:space="0" w:color="auto"/>
                    <w:bottom w:val="none" w:sz="0" w:space="0" w:color="auto"/>
                    <w:right w:val="none" w:sz="0" w:space="0" w:color="auto"/>
                  </w:divBdr>
                  <w:divsChild>
                    <w:div w:id="577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864">
      <w:bodyDiv w:val="1"/>
      <w:marLeft w:val="0"/>
      <w:marRight w:val="0"/>
      <w:marTop w:val="0"/>
      <w:marBottom w:val="0"/>
      <w:divBdr>
        <w:top w:val="none" w:sz="0" w:space="0" w:color="auto"/>
        <w:left w:val="none" w:sz="0" w:space="0" w:color="auto"/>
        <w:bottom w:val="none" w:sz="0" w:space="0" w:color="auto"/>
        <w:right w:val="none" w:sz="0" w:space="0" w:color="auto"/>
      </w:divBdr>
      <w:divsChild>
        <w:div w:id="1656881436">
          <w:marLeft w:val="0"/>
          <w:marRight w:val="0"/>
          <w:marTop w:val="0"/>
          <w:marBottom w:val="0"/>
          <w:divBdr>
            <w:top w:val="none" w:sz="0" w:space="0" w:color="auto"/>
            <w:left w:val="none" w:sz="0" w:space="0" w:color="auto"/>
            <w:bottom w:val="none" w:sz="0" w:space="0" w:color="auto"/>
            <w:right w:val="none" w:sz="0" w:space="0" w:color="auto"/>
          </w:divBdr>
          <w:divsChild>
            <w:div w:id="1380787849">
              <w:marLeft w:val="0"/>
              <w:marRight w:val="0"/>
              <w:marTop w:val="0"/>
              <w:marBottom w:val="0"/>
              <w:divBdr>
                <w:top w:val="none" w:sz="0" w:space="0" w:color="auto"/>
                <w:left w:val="none" w:sz="0" w:space="0" w:color="auto"/>
                <w:bottom w:val="none" w:sz="0" w:space="0" w:color="auto"/>
                <w:right w:val="none" w:sz="0" w:space="0" w:color="auto"/>
              </w:divBdr>
              <w:divsChild>
                <w:div w:id="173230941">
                  <w:marLeft w:val="0"/>
                  <w:marRight w:val="0"/>
                  <w:marTop w:val="0"/>
                  <w:marBottom w:val="0"/>
                  <w:divBdr>
                    <w:top w:val="none" w:sz="0" w:space="0" w:color="auto"/>
                    <w:left w:val="none" w:sz="0" w:space="0" w:color="auto"/>
                    <w:bottom w:val="none" w:sz="0" w:space="0" w:color="auto"/>
                    <w:right w:val="none" w:sz="0" w:space="0" w:color="auto"/>
                  </w:divBdr>
                  <w:divsChild>
                    <w:div w:id="1525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49">
      <w:bodyDiv w:val="1"/>
      <w:marLeft w:val="0"/>
      <w:marRight w:val="0"/>
      <w:marTop w:val="0"/>
      <w:marBottom w:val="0"/>
      <w:divBdr>
        <w:top w:val="none" w:sz="0" w:space="0" w:color="auto"/>
        <w:left w:val="none" w:sz="0" w:space="0" w:color="auto"/>
        <w:bottom w:val="none" w:sz="0" w:space="0" w:color="auto"/>
        <w:right w:val="none" w:sz="0" w:space="0" w:color="auto"/>
      </w:divBdr>
      <w:divsChild>
        <w:div w:id="1905873449">
          <w:marLeft w:val="0"/>
          <w:marRight w:val="0"/>
          <w:marTop w:val="0"/>
          <w:marBottom w:val="0"/>
          <w:divBdr>
            <w:top w:val="none" w:sz="0" w:space="0" w:color="auto"/>
            <w:left w:val="none" w:sz="0" w:space="0" w:color="auto"/>
            <w:bottom w:val="none" w:sz="0" w:space="0" w:color="auto"/>
            <w:right w:val="none" w:sz="0" w:space="0" w:color="auto"/>
          </w:divBdr>
          <w:divsChild>
            <w:div w:id="1517423483">
              <w:marLeft w:val="0"/>
              <w:marRight w:val="0"/>
              <w:marTop w:val="0"/>
              <w:marBottom w:val="0"/>
              <w:divBdr>
                <w:top w:val="none" w:sz="0" w:space="0" w:color="auto"/>
                <w:left w:val="none" w:sz="0" w:space="0" w:color="auto"/>
                <w:bottom w:val="none" w:sz="0" w:space="0" w:color="auto"/>
                <w:right w:val="none" w:sz="0" w:space="0" w:color="auto"/>
              </w:divBdr>
              <w:divsChild>
                <w:div w:id="1424835881">
                  <w:marLeft w:val="0"/>
                  <w:marRight w:val="0"/>
                  <w:marTop w:val="0"/>
                  <w:marBottom w:val="0"/>
                  <w:divBdr>
                    <w:top w:val="none" w:sz="0" w:space="0" w:color="auto"/>
                    <w:left w:val="none" w:sz="0" w:space="0" w:color="auto"/>
                    <w:bottom w:val="none" w:sz="0" w:space="0" w:color="auto"/>
                    <w:right w:val="none" w:sz="0" w:space="0" w:color="auto"/>
                  </w:divBdr>
                  <w:divsChild>
                    <w:div w:id="7865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5103">
      <w:bodyDiv w:val="1"/>
      <w:marLeft w:val="0"/>
      <w:marRight w:val="0"/>
      <w:marTop w:val="0"/>
      <w:marBottom w:val="0"/>
      <w:divBdr>
        <w:top w:val="none" w:sz="0" w:space="0" w:color="auto"/>
        <w:left w:val="none" w:sz="0" w:space="0" w:color="auto"/>
        <w:bottom w:val="none" w:sz="0" w:space="0" w:color="auto"/>
        <w:right w:val="none" w:sz="0" w:space="0" w:color="auto"/>
      </w:divBdr>
      <w:divsChild>
        <w:div w:id="183516384">
          <w:marLeft w:val="0"/>
          <w:marRight w:val="0"/>
          <w:marTop w:val="0"/>
          <w:marBottom w:val="0"/>
          <w:divBdr>
            <w:top w:val="none" w:sz="0" w:space="0" w:color="auto"/>
            <w:left w:val="none" w:sz="0" w:space="0" w:color="auto"/>
            <w:bottom w:val="none" w:sz="0" w:space="0" w:color="auto"/>
            <w:right w:val="none" w:sz="0" w:space="0" w:color="auto"/>
          </w:divBdr>
          <w:divsChild>
            <w:div w:id="142897006">
              <w:marLeft w:val="0"/>
              <w:marRight w:val="0"/>
              <w:marTop w:val="0"/>
              <w:marBottom w:val="0"/>
              <w:divBdr>
                <w:top w:val="none" w:sz="0" w:space="0" w:color="auto"/>
                <w:left w:val="none" w:sz="0" w:space="0" w:color="auto"/>
                <w:bottom w:val="none" w:sz="0" w:space="0" w:color="auto"/>
                <w:right w:val="none" w:sz="0" w:space="0" w:color="auto"/>
              </w:divBdr>
              <w:divsChild>
                <w:div w:id="853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7037">
      <w:bodyDiv w:val="1"/>
      <w:marLeft w:val="0"/>
      <w:marRight w:val="0"/>
      <w:marTop w:val="0"/>
      <w:marBottom w:val="0"/>
      <w:divBdr>
        <w:top w:val="none" w:sz="0" w:space="0" w:color="auto"/>
        <w:left w:val="none" w:sz="0" w:space="0" w:color="auto"/>
        <w:bottom w:val="none" w:sz="0" w:space="0" w:color="auto"/>
        <w:right w:val="none" w:sz="0" w:space="0" w:color="auto"/>
      </w:divBdr>
      <w:divsChild>
        <w:div w:id="1264068371">
          <w:marLeft w:val="0"/>
          <w:marRight w:val="0"/>
          <w:marTop w:val="0"/>
          <w:marBottom w:val="0"/>
          <w:divBdr>
            <w:top w:val="none" w:sz="0" w:space="0" w:color="auto"/>
            <w:left w:val="none" w:sz="0" w:space="0" w:color="auto"/>
            <w:bottom w:val="none" w:sz="0" w:space="0" w:color="auto"/>
            <w:right w:val="none" w:sz="0" w:space="0" w:color="auto"/>
          </w:divBdr>
          <w:divsChild>
            <w:div w:id="578101786">
              <w:marLeft w:val="0"/>
              <w:marRight w:val="0"/>
              <w:marTop w:val="0"/>
              <w:marBottom w:val="0"/>
              <w:divBdr>
                <w:top w:val="none" w:sz="0" w:space="0" w:color="auto"/>
                <w:left w:val="none" w:sz="0" w:space="0" w:color="auto"/>
                <w:bottom w:val="none" w:sz="0" w:space="0" w:color="auto"/>
                <w:right w:val="none" w:sz="0" w:space="0" w:color="auto"/>
              </w:divBdr>
              <w:divsChild>
                <w:div w:id="479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1502">
      <w:bodyDiv w:val="1"/>
      <w:marLeft w:val="0"/>
      <w:marRight w:val="0"/>
      <w:marTop w:val="0"/>
      <w:marBottom w:val="0"/>
      <w:divBdr>
        <w:top w:val="none" w:sz="0" w:space="0" w:color="auto"/>
        <w:left w:val="none" w:sz="0" w:space="0" w:color="auto"/>
        <w:bottom w:val="none" w:sz="0" w:space="0" w:color="auto"/>
        <w:right w:val="none" w:sz="0" w:space="0" w:color="auto"/>
      </w:divBdr>
      <w:divsChild>
        <w:div w:id="477381170">
          <w:marLeft w:val="0"/>
          <w:marRight w:val="0"/>
          <w:marTop w:val="0"/>
          <w:marBottom w:val="0"/>
          <w:divBdr>
            <w:top w:val="none" w:sz="0" w:space="0" w:color="auto"/>
            <w:left w:val="none" w:sz="0" w:space="0" w:color="auto"/>
            <w:bottom w:val="none" w:sz="0" w:space="0" w:color="auto"/>
            <w:right w:val="none" w:sz="0" w:space="0" w:color="auto"/>
          </w:divBdr>
          <w:divsChild>
            <w:div w:id="1303190450">
              <w:marLeft w:val="0"/>
              <w:marRight w:val="0"/>
              <w:marTop w:val="0"/>
              <w:marBottom w:val="0"/>
              <w:divBdr>
                <w:top w:val="none" w:sz="0" w:space="0" w:color="auto"/>
                <w:left w:val="none" w:sz="0" w:space="0" w:color="auto"/>
                <w:bottom w:val="none" w:sz="0" w:space="0" w:color="auto"/>
                <w:right w:val="none" w:sz="0" w:space="0" w:color="auto"/>
              </w:divBdr>
              <w:divsChild>
                <w:div w:id="879244020">
                  <w:marLeft w:val="0"/>
                  <w:marRight w:val="0"/>
                  <w:marTop w:val="0"/>
                  <w:marBottom w:val="0"/>
                  <w:divBdr>
                    <w:top w:val="none" w:sz="0" w:space="0" w:color="auto"/>
                    <w:left w:val="none" w:sz="0" w:space="0" w:color="auto"/>
                    <w:bottom w:val="none" w:sz="0" w:space="0" w:color="auto"/>
                    <w:right w:val="none" w:sz="0" w:space="0" w:color="auto"/>
                  </w:divBdr>
                  <w:divsChild>
                    <w:div w:id="1235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5829">
      <w:bodyDiv w:val="1"/>
      <w:marLeft w:val="0"/>
      <w:marRight w:val="0"/>
      <w:marTop w:val="0"/>
      <w:marBottom w:val="0"/>
      <w:divBdr>
        <w:top w:val="none" w:sz="0" w:space="0" w:color="auto"/>
        <w:left w:val="none" w:sz="0" w:space="0" w:color="auto"/>
        <w:bottom w:val="none" w:sz="0" w:space="0" w:color="auto"/>
        <w:right w:val="none" w:sz="0" w:space="0" w:color="auto"/>
      </w:divBdr>
    </w:div>
    <w:div w:id="176963313">
      <w:bodyDiv w:val="1"/>
      <w:marLeft w:val="0"/>
      <w:marRight w:val="0"/>
      <w:marTop w:val="0"/>
      <w:marBottom w:val="0"/>
      <w:divBdr>
        <w:top w:val="none" w:sz="0" w:space="0" w:color="auto"/>
        <w:left w:val="none" w:sz="0" w:space="0" w:color="auto"/>
        <w:bottom w:val="none" w:sz="0" w:space="0" w:color="auto"/>
        <w:right w:val="none" w:sz="0" w:space="0" w:color="auto"/>
      </w:divBdr>
      <w:divsChild>
        <w:div w:id="518471124">
          <w:marLeft w:val="0"/>
          <w:marRight w:val="0"/>
          <w:marTop w:val="0"/>
          <w:marBottom w:val="0"/>
          <w:divBdr>
            <w:top w:val="none" w:sz="0" w:space="0" w:color="auto"/>
            <w:left w:val="none" w:sz="0" w:space="0" w:color="auto"/>
            <w:bottom w:val="none" w:sz="0" w:space="0" w:color="auto"/>
            <w:right w:val="none" w:sz="0" w:space="0" w:color="auto"/>
          </w:divBdr>
          <w:divsChild>
            <w:div w:id="1548908680">
              <w:marLeft w:val="0"/>
              <w:marRight w:val="0"/>
              <w:marTop w:val="0"/>
              <w:marBottom w:val="0"/>
              <w:divBdr>
                <w:top w:val="none" w:sz="0" w:space="0" w:color="auto"/>
                <w:left w:val="none" w:sz="0" w:space="0" w:color="auto"/>
                <w:bottom w:val="none" w:sz="0" w:space="0" w:color="auto"/>
                <w:right w:val="none" w:sz="0" w:space="0" w:color="auto"/>
              </w:divBdr>
              <w:divsChild>
                <w:div w:id="1241214179">
                  <w:marLeft w:val="0"/>
                  <w:marRight w:val="0"/>
                  <w:marTop w:val="0"/>
                  <w:marBottom w:val="0"/>
                  <w:divBdr>
                    <w:top w:val="none" w:sz="0" w:space="0" w:color="auto"/>
                    <w:left w:val="none" w:sz="0" w:space="0" w:color="auto"/>
                    <w:bottom w:val="none" w:sz="0" w:space="0" w:color="auto"/>
                    <w:right w:val="none" w:sz="0" w:space="0" w:color="auto"/>
                  </w:divBdr>
                  <w:divsChild>
                    <w:div w:id="21311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937">
      <w:bodyDiv w:val="1"/>
      <w:marLeft w:val="0"/>
      <w:marRight w:val="0"/>
      <w:marTop w:val="0"/>
      <w:marBottom w:val="0"/>
      <w:divBdr>
        <w:top w:val="none" w:sz="0" w:space="0" w:color="auto"/>
        <w:left w:val="none" w:sz="0" w:space="0" w:color="auto"/>
        <w:bottom w:val="none" w:sz="0" w:space="0" w:color="auto"/>
        <w:right w:val="none" w:sz="0" w:space="0" w:color="auto"/>
      </w:divBdr>
      <w:divsChild>
        <w:div w:id="288173440">
          <w:marLeft w:val="0"/>
          <w:marRight w:val="0"/>
          <w:marTop w:val="0"/>
          <w:marBottom w:val="0"/>
          <w:divBdr>
            <w:top w:val="none" w:sz="0" w:space="0" w:color="auto"/>
            <w:left w:val="none" w:sz="0" w:space="0" w:color="auto"/>
            <w:bottom w:val="none" w:sz="0" w:space="0" w:color="auto"/>
            <w:right w:val="none" w:sz="0" w:space="0" w:color="auto"/>
          </w:divBdr>
          <w:divsChild>
            <w:div w:id="1235239564">
              <w:marLeft w:val="0"/>
              <w:marRight w:val="0"/>
              <w:marTop w:val="0"/>
              <w:marBottom w:val="0"/>
              <w:divBdr>
                <w:top w:val="none" w:sz="0" w:space="0" w:color="auto"/>
                <w:left w:val="none" w:sz="0" w:space="0" w:color="auto"/>
                <w:bottom w:val="none" w:sz="0" w:space="0" w:color="auto"/>
                <w:right w:val="none" w:sz="0" w:space="0" w:color="auto"/>
              </w:divBdr>
              <w:divsChild>
                <w:div w:id="1835492701">
                  <w:marLeft w:val="0"/>
                  <w:marRight w:val="0"/>
                  <w:marTop w:val="0"/>
                  <w:marBottom w:val="0"/>
                  <w:divBdr>
                    <w:top w:val="none" w:sz="0" w:space="0" w:color="auto"/>
                    <w:left w:val="none" w:sz="0" w:space="0" w:color="auto"/>
                    <w:bottom w:val="none" w:sz="0" w:space="0" w:color="auto"/>
                    <w:right w:val="none" w:sz="0" w:space="0" w:color="auto"/>
                  </w:divBdr>
                  <w:divsChild>
                    <w:div w:id="9171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2807">
      <w:bodyDiv w:val="1"/>
      <w:marLeft w:val="0"/>
      <w:marRight w:val="0"/>
      <w:marTop w:val="0"/>
      <w:marBottom w:val="0"/>
      <w:divBdr>
        <w:top w:val="none" w:sz="0" w:space="0" w:color="auto"/>
        <w:left w:val="none" w:sz="0" w:space="0" w:color="auto"/>
        <w:bottom w:val="none" w:sz="0" w:space="0" w:color="auto"/>
        <w:right w:val="none" w:sz="0" w:space="0" w:color="auto"/>
      </w:divBdr>
      <w:divsChild>
        <w:div w:id="2104105452">
          <w:marLeft w:val="0"/>
          <w:marRight w:val="0"/>
          <w:marTop w:val="0"/>
          <w:marBottom w:val="0"/>
          <w:divBdr>
            <w:top w:val="none" w:sz="0" w:space="0" w:color="auto"/>
            <w:left w:val="none" w:sz="0" w:space="0" w:color="auto"/>
            <w:bottom w:val="none" w:sz="0" w:space="0" w:color="auto"/>
            <w:right w:val="none" w:sz="0" w:space="0" w:color="auto"/>
          </w:divBdr>
          <w:divsChild>
            <w:div w:id="1237864820">
              <w:marLeft w:val="0"/>
              <w:marRight w:val="0"/>
              <w:marTop w:val="0"/>
              <w:marBottom w:val="0"/>
              <w:divBdr>
                <w:top w:val="none" w:sz="0" w:space="0" w:color="auto"/>
                <w:left w:val="none" w:sz="0" w:space="0" w:color="auto"/>
                <w:bottom w:val="none" w:sz="0" w:space="0" w:color="auto"/>
                <w:right w:val="none" w:sz="0" w:space="0" w:color="auto"/>
              </w:divBdr>
              <w:divsChild>
                <w:div w:id="2126266341">
                  <w:marLeft w:val="0"/>
                  <w:marRight w:val="0"/>
                  <w:marTop w:val="0"/>
                  <w:marBottom w:val="0"/>
                  <w:divBdr>
                    <w:top w:val="none" w:sz="0" w:space="0" w:color="auto"/>
                    <w:left w:val="none" w:sz="0" w:space="0" w:color="auto"/>
                    <w:bottom w:val="none" w:sz="0" w:space="0" w:color="auto"/>
                    <w:right w:val="none" w:sz="0" w:space="0" w:color="auto"/>
                  </w:divBdr>
                  <w:divsChild>
                    <w:div w:id="1688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180">
      <w:bodyDiv w:val="1"/>
      <w:marLeft w:val="0"/>
      <w:marRight w:val="0"/>
      <w:marTop w:val="0"/>
      <w:marBottom w:val="0"/>
      <w:divBdr>
        <w:top w:val="none" w:sz="0" w:space="0" w:color="auto"/>
        <w:left w:val="none" w:sz="0" w:space="0" w:color="auto"/>
        <w:bottom w:val="none" w:sz="0" w:space="0" w:color="auto"/>
        <w:right w:val="none" w:sz="0" w:space="0" w:color="auto"/>
      </w:divBdr>
      <w:divsChild>
        <w:div w:id="595477145">
          <w:marLeft w:val="0"/>
          <w:marRight w:val="0"/>
          <w:marTop w:val="0"/>
          <w:marBottom w:val="0"/>
          <w:divBdr>
            <w:top w:val="none" w:sz="0" w:space="0" w:color="auto"/>
            <w:left w:val="none" w:sz="0" w:space="0" w:color="auto"/>
            <w:bottom w:val="none" w:sz="0" w:space="0" w:color="auto"/>
            <w:right w:val="none" w:sz="0" w:space="0" w:color="auto"/>
          </w:divBdr>
          <w:divsChild>
            <w:div w:id="1912228697">
              <w:marLeft w:val="0"/>
              <w:marRight w:val="0"/>
              <w:marTop w:val="0"/>
              <w:marBottom w:val="0"/>
              <w:divBdr>
                <w:top w:val="none" w:sz="0" w:space="0" w:color="auto"/>
                <w:left w:val="none" w:sz="0" w:space="0" w:color="auto"/>
                <w:bottom w:val="none" w:sz="0" w:space="0" w:color="auto"/>
                <w:right w:val="none" w:sz="0" w:space="0" w:color="auto"/>
              </w:divBdr>
              <w:divsChild>
                <w:div w:id="1750542008">
                  <w:marLeft w:val="0"/>
                  <w:marRight w:val="0"/>
                  <w:marTop w:val="0"/>
                  <w:marBottom w:val="0"/>
                  <w:divBdr>
                    <w:top w:val="none" w:sz="0" w:space="0" w:color="auto"/>
                    <w:left w:val="none" w:sz="0" w:space="0" w:color="auto"/>
                    <w:bottom w:val="none" w:sz="0" w:space="0" w:color="auto"/>
                    <w:right w:val="none" w:sz="0" w:space="0" w:color="auto"/>
                  </w:divBdr>
                  <w:divsChild>
                    <w:div w:id="14050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569">
      <w:bodyDiv w:val="1"/>
      <w:marLeft w:val="0"/>
      <w:marRight w:val="0"/>
      <w:marTop w:val="0"/>
      <w:marBottom w:val="0"/>
      <w:divBdr>
        <w:top w:val="none" w:sz="0" w:space="0" w:color="auto"/>
        <w:left w:val="none" w:sz="0" w:space="0" w:color="auto"/>
        <w:bottom w:val="none" w:sz="0" w:space="0" w:color="auto"/>
        <w:right w:val="none" w:sz="0" w:space="0" w:color="auto"/>
      </w:divBdr>
      <w:divsChild>
        <w:div w:id="1582518485">
          <w:marLeft w:val="0"/>
          <w:marRight w:val="0"/>
          <w:marTop w:val="0"/>
          <w:marBottom w:val="0"/>
          <w:divBdr>
            <w:top w:val="none" w:sz="0" w:space="0" w:color="auto"/>
            <w:left w:val="none" w:sz="0" w:space="0" w:color="auto"/>
            <w:bottom w:val="none" w:sz="0" w:space="0" w:color="auto"/>
            <w:right w:val="none" w:sz="0" w:space="0" w:color="auto"/>
          </w:divBdr>
          <w:divsChild>
            <w:div w:id="975186182">
              <w:marLeft w:val="0"/>
              <w:marRight w:val="0"/>
              <w:marTop w:val="0"/>
              <w:marBottom w:val="0"/>
              <w:divBdr>
                <w:top w:val="none" w:sz="0" w:space="0" w:color="auto"/>
                <w:left w:val="none" w:sz="0" w:space="0" w:color="auto"/>
                <w:bottom w:val="none" w:sz="0" w:space="0" w:color="auto"/>
                <w:right w:val="none" w:sz="0" w:space="0" w:color="auto"/>
              </w:divBdr>
              <w:divsChild>
                <w:div w:id="7311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1972">
      <w:bodyDiv w:val="1"/>
      <w:marLeft w:val="0"/>
      <w:marRight w:val="0"/>
      <w:marTop w:val="0"/>
      <w:marBottom w:val="0"/>
      <w:divBdr>
        <w:top w:val="none" w:sz="0" w:space="0" w:color="auto"/>
        <w:left w:val="none" w:sz="0" w:space="0" w:color="auto"/>
        <w:bottom w:val="none" w:sz="0" w:space="0" w:color="auto"/>
        <w:right w:val="none" w:sz="0" w:space="0" w:color="auto"/>
      </w:divBdr>
      <w:divsChild>
        <w:div w:id="1258900118">
          <w:marLeft w:val="0"/>
          <w:marRight w:val="0"/>
          <w:marTop w:val="0"/>
          <w:marBottom w:val="0"/>
          <w:divBdr>
            <w:top w:val="none" w:sz="0" w:space="0" w:color="auto"/>
            <w:left w:val="none" w:sz="0" w:space="0" w:color="auto"/>
            <w:bottom w:val="none" w:sz="0" w:space="0" w:color="auto"/>
            <w:right w:val="none" w:sz="0" w:space="0" w:color="auto"/>
          </w:divBdr>
          <w:divsChild>
            <w:div w:id="10109341">
              <w:marLeft w:val="0"/>
              <w:marRight w:val="0"/>
              <w:marTop w:val="0"/>
              <w:marBottom w:val="0"/>
              <w:divBdr>
                <w:top w:val="none" w:sz="0" w:space="0" w:color="auto"/>
                <w:left w:val="none" w:sz="0" w:space="0" w:color="auto"/>
                <w:bottom w:val="none" w:sz="0" w:space="0" w:color="auto"/>
                <w:right w:val="none" w:sz="0" w:space="0" w:color="auto"/>
              </w:divBdr>
              <w:divsChild>
                <w:div w:id="2057772488">
                  <w:marLeft w:val="0"/>
                  <w:marRight w:val="0"/>
                  <w:marTop w:val="0"/>
                  <w:marBottom w:val="0"/>
                  <w:divBdr>
                    <w:top w:val="none" w:sz="0" w:space="0" w:color="auto"/>
                    <w:left w:val="none" w:sz="0" w:space="0" w:color="auto"/>
                    <w:bottom w:val="none" w:sz="0" w:space="0" w:color="auto"/>
                    <w:right w:val="none" w:sz="0" w:space="0" w:color="auto"/>
                  </w:divBdr>
                  <w:divsChild>
                    <w:div w:id="19205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609">
      <w:bodyDiv w:val="1"/>
      <w:marLeft w:val="0"/>
      <w:marRight w:val="0"/>
      <w:marTop w:val="0"/>
      <w:marBottom w:val="0"/>
      <w:divBdr>
        <w:top w:val="none" w:sz="0" w:space="0" w:color="auto"/>
        <w:left w:val="none" w:sz="0" w:space="0" w:color="auto"/>
        <w:bottom w:val="none" w:sz="0" w:space="0" w:color="auto"/>
        <w:right w:val="none" w:sz="0" w:space="0" w:color="auto"/>
      </w:divBdr>
      <w:divsChild>
        <w:div w:id="312953344">
          <w:marLeft w:val="0"/>
          <w:marRight w:val="0"/>
          <w:marTop w:val="0"/>
          <w:marBottom w:val="0"/>
          <w:divBdr>
            <w:top w:val="none" w:sz="0" w:space="0" w:color="auto"/>
            <w:left w:val="none" w:sz="0" w:space="0" w:color="auto"/>
            <w:bottom w:val="none" w:sz="0" w:space="0" w:color="auto"/>
            <w:right w:val="none" w:sz="0" w:space="0" w:color="auto"/>
          </w:divBdr>
          <w:divsChild>
            <w:div w:id="319387183">
              <w:marLeft w:val="0"/>
              <w:marRight w:val="0"/>
              <w:marTop w:val="0"/>
              <w:marBottom w:val="0"/>
              <w:divBdr>
                <w:top w:val="none" w:sz="0" w:space="0" w:color="auto"/>
                <w:left w:val="none" w:sz="0" w:space="0" w:color="auto"/>
                <w:bottom w:val="none" w:sz="0" w:space="0" w:color="auto"/>
                <w:right w:val="none" w:sz="0" w:space="0" w:color="auto"/>
              </w:divBdr>
              <w:divsChild>
                <w:div w:id="1903131607">
                  <w:marLeft w:val="0"/>
                  <w:marRight w:val="0"/>
                  <w:marTop w:val="0"/>
                  <w:marBottom w:val="0"/>
                  <w:divBdr>
                    <w:top w:val="none" w:sz="0" w:space="0" w:color="auto"/>
                    <w:left w:val="none" w:sz="0" w:space="0" w:color="auto"/>
                    <w:bottom w:val="none" w:sz="0" w:space="0" w:color="auto"/>
                    <w:right w:val="none" w:sz="0" w:space="0" w:color="auto"/>
                  </w:divBdr>
                  <w:divsChild>
                    <w:div w:id="15575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6670">
      <w:bodyDiv w:val="1"/>
      <w:marLeft w:val="0"/>
      <w:marRight w:val="0"/>
      <w:marTop w:val="0"/>
      <w:marBottom w:val="0"/>
      <w:divBdr>
        <w:top w:val="none" w:sz="0" w:space="0" w:color="auto"/>
        <w:left w:val="none" w:sz="0" w:space="0" w:color="auto"/>
        <w:bottom w:val="none" w:sz="0" w:space="0" w:color="auto"/>
        <w:right w:val="none" w:sz="0" w:space="0" w:color="auto"/>
      </w:divBdr>
    </w:div>
    <w:div w:id="230699305">
      <w:bodyDiv w:val="1"/>
      <w:marLeft w:val="0"/>
      <w:marRight w:val="0"/>
      <w:marTop w:val="0"/>
      <w:marBottom w:val="0"/>
      <w:divBdr>
        <w:top w:val="none" w:sz="0" w:space="0" w:color="auto"/>
        <w:left w:val="none" w:sz="0" w:space="0" w:color="auto"/>
        <w:bottom w:val="none" w:sz="0" w:space="0" w:color="auto"/>
        <w:right w:val="none" w:sz="0" w:space="0" w:color="auto"/>
      </w:divBdr>
      <w:divsChild>
        <w:div w:id="285281298">
          <w:marLeft w:val="0"/>
          <w:marRight w:val="0"/>
          <w:marTop w:val="0"/>
          <w:marBottom w:val="0"/>
          <w:divBdr>
            <w:top w:val="none" w:sz="0" w:space="0" w:color="auto"/>
            <w:left w:val="none" w:sz="0" w:space="0" w:color="auto"/>
            <w:bottom w:val="none" w:sz="0" w:space="0" w:color="auto"/>
            <w:right w:val="none" w:sz="0" w:space="0" w:color="auto"/>
          </w:divBdr>
          <w:divsChild>
            <w:div w:id="1466392780">
              <w:marLeft w:val="0"/>
              <w:marRight w:val="0"/>
              <w:marTop w:val="0"/>
              <w:marBottom w:val="0"/>
              <w:divBdr>
                <w:top w:val="none" w:sz="0" w:space="0" w:color="auto"/>
                <w:left w:val="none" w:sz="0" w:space="0" w:color="auto"/>
                <w:bottom w:val="none" w:sz="0" w:space="0" w:color="auto"/>
                <w:right w:val="none" w:sz="0" w:space="0" w:color="auto"/>
              </w:divBdr>
              <w:divsChild>
                <w:div w:id="383677587">
                  <w:marLeft w:val="0"/>
                  <w:marRight w:val="0"/>
                  <w:marTop w:val="0"/>
                  <w:marBottom w:val="0"/>
                  <w:divBdr>
                    <w:top w:val="none" w:sz="0" w:space="0" w:color="auto"/>
                    <w:left w:val="none" w:sz="0" w:space="0" w:color="auto"/>
                    <w:bottom w:val="none" w:sz="0" w:space="0" w:color="auto"/>
                    <w:right w:val="none" w:sz="0" w:space="0" w:color="auto"/>
                  </w:divBdr>
                  <w:divsChild>
                    <w:div w:id="15456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21574">
      <w:bodyDiv w:val="1"/>
      <w:marLeft w:val="0"/>
      <w:marRight w:val="0"/>
      <w:marTop w:val="0"/>
      <w:marBottom w:val="0"/>
      <w:divBdr>
        <w:top w:val="none" w:sz="0" w:space="0" w:color="auto"/>
        <w:left w:val="none" w:sz="0" w:space="0" w:color="auto"/>
        <w:bottom w:val="none" w:sz="0" w:space="0" w:color="auto"/>
        <w:right w:val="none" w:sz="0" w:space="0" w:color="auto"/>
      </w:divBdr>
    </w:div>
    <w:div w:id="240218709">
      <w:bodyDiv w:val="1"/>
      <w:marLeft w:val="0"/>
      <w:marRight w:val="0"/>
      <w:marTop w:val="0"/>
      <w:marBottom w:val="0"/>
      <w:divBdr>
        <w:top w:val="none" w:sz="0" w:space="0" w:color="auto"/>
        <w:left w:val="none" w:sz="0" w:space="0" w:color="auto"/>
        <w:bottom w:val="none" w:sz="0" w:space="0" w:color="auto"/>
        <w:right w:val="none" w:sz="0" w:space="0" w:color="auto"/>
      </w:divBdr>
      <w:divsChild>
        <w:div w:id="1532375454">
          <w:marLeft w:val="0"/>
          <w:marRight w:val="0"/>
          <w:marTop w:val="0"/>
          <w:marBottom w:val="0"/>
          <w:divBdr>
            <w:top w:val="none" w:sz="0" w:space="0" w:color="auto"/>
            <w:left w:val="none" w:sz="0" w:space="0" w:color="auto"/>
            <w:bottom w:val="none" w:sz="0" w:space="0" w:color="auto"/>
            <w:right w:val="none" w:sz="0" w:space="0" w:color="auto"/>
          </w:divBdr>
          <w:divsChild>
            <w:div w:id="742920305">
              <w:marLeft w:val="0"/>
              <w:marRight w:val="0"/>
              <w:marTop w:val="0"/>
              <w:marBottom w:val="0"/>
              <w:divBdr>
                <w:top w:val="none" w:sz="0" w:space="0" w:color="auto"/>
                <w:left w:val="none" w:sz="0" w:space="0" w:color="auto"/>
                <w:bottom w:val="none" w:sz="0" w:space="0" w:color="auto"/>
                <w:right w:val="none" w:sz="0" w:space="0" w:color="auto"/>
              </w:divBdr>
              <w:divsChild>
                <w:div w:id="522866014">
                  <w:marLeft w:val="0"/>
                  <w:marRight w:val="0"/>
                  <w:marTop w:val="0"/>
                  <w:marBottom w:val="0"/>
                  <w:divBdr>
                    <w:top w:val="none" w:sz="0" w:space="0" w:color="auto"/>
                    <w:left w:val="none" w:sz="0" w:space="0" w:color="auto"/>
                    <w:bottom w:val="none" w:sz="0" w:space="0" w:color="auto"/>
                    <w:right w:val="none" w:sz="0" w:space="0" w:color="auto"/>
                  </w:divBdr>
                  <w:divsChild>
                    <w:div w:id="5249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1317">
      <w:bodyDiv w:val="1"/>
      <w:marLeft w:val="0"/>
      <w:marRight w:val="0"/>
      <w:marTop w:val="0"/>
      <w:marBottom w:val="0"/>
      <w:divBdr>
        <w:top w:val="none" w:sz="0" w:space="0" w:color="auto"/>
        <w:left w:val="none" w:sz="0" w:space="0" w:color="auto"/>
        <w:bottom w:val="none" w:sz="0" w:space="0" w:color="auto"/>
        <w:right w:val="none" w:sz="0" w:space="0" w:color="auto"/>
      </w:divBdr>
      <w:divsChild>
        <w:div w:id="1286883734">
          <w:marLeft w:val="0"/>
          <w:marRight w:val="0"/>
          <w:marTop w:val="0"/>
          <w:marBottom w:val="0"/>
          <w:divBdr>
            <w:top w:val="none" w:sz="0" w:space="0" w:color="auto"/>
            <w:left w:val="none" w:sz="0" w:space="0" w:color="auto"/>
            <w:bottom w:val="none" w:sz="0" w:space="0" w:color="auto"/>
            <w:right w:val="none" w:sz="0" w:space="0" w:color="auto"/>
          </w:divBdr>
          <w:divsChild>
            <w:div w:id="1863202468">
              <w:marLeft w:val="0"/>
              <w:marRight w:val="0"/>
              <w:marTop w:val="0"/>
              <w:marBottom w:val="0"/>
              <w:divBdr>
                <w:top w:val="none" w:sz="0" w:space="0" w:color="auto"/>
                <w:left w:val="none" w:sz="0" w:space="0" w:color="auto"/>
                <w:bottom w:val="none" w:sz="0" w:space="0" w:color="auto"/>
                <w:right w:val="none" w:sz="0" w:space="0" w:color="auto"/>
              </w:divBdr>
              <w:divsChild>
                <w:div w:id="2003312308">
                  <w:marLeft w:val="0"/>
                  <w:marRight w:val="0"/>
                  <w:marTop w:val="0"/>
                  <w:marBottom w:val="0"/>
                  <w:divBdr>
                    <w:top w:val="none" w:sz="0" w:space="0" w:color="auto"/>
                    <w:left w:val="none" w:sz="0" w:space="0" w:color="auto"/>
                    <w:bottom w:val="none" w:sz="0" w:space="0" w:color="auto"/>
                    <w:right w:val="none" w:sz="0" w:space="0" w:color="auto"/>
                  </w:divBdr>
                  <w:divsChild>
                    <w:div w:id="3767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4508">
      <w:bodyDiv w:val="1"/>
      <w:marLeft w:val="0"/>
      <w:marRight w:val="0"/>
      <w:marTop w:val="0"/>
      <w:marBottom w:val="0"/>
      <w:divBdr>
        <w:top w:val="none" w:sz="0" w:space="0" w:color="auto"/>
        <w:left w:val="none" w:sz="0" w:space="0" w:color="auto"/>
        <w:bottom w:val="none" w:sz="0" w:space="0" w:color="auto"/>
        <w:right w:val="none" w:sz="0" w:space="0" w:color="auto"/>
      </w:divBdr>
      <w:divsChild>
        <w:div w:id="437915519">
          <w:marLeft w:val="0"/>
          <w:marRight w:val="0"/>
          <w:marTop w:val="0"/>
          <w:marBottom w:val="0"/>
          <w:divBdr>
            <w:top w:val="none" w:sz="0" w:space="0" w:color="auto"/>
            <w:left w:val="none" w:sz="0" w:space="0" w:color="auto"/>
            <w:bottom w:val="none" w:sz="0" w:space="0" w:color="auto"/>
            <w:right w:val="none" w:sz="0" w:space="0" w:color="auto"/>
          </w:divBdr>
          <w:divsChild>
            <w:div w:id="407773344">
              <w:marLeft w:val="0"/>
              <w:marRight w:val="0"/>
              <w:marTop w:val="0"/>
              <w:marBottom w:val="0"/>
              <w:divBdr>
                <w:top w:val="none" w:sz="0" w:space="0" w:color="auto"/>
                <w:left w:val="none" w:sz="0" w:space="0" w:color="auto"/>
                <w:bottom w:val="none" w:sz="0" w:space="0" w:color="auto"/>
                <w:right w:val="none" w:sz="0" w:space="0" w:color="auto"/>
              </w:divBdr>
              <w:divsChild>
                <w:div w:id="755638365">
                  <w:marLeft w:val="0"/>
                  <w:marRight w:val="0"/>
                  <w:marTop w:val="0"/>
                  <w:marBottom w:val="0"/>
                  <w:divBdr>
                    <w:top w:val="none" w:sz="0" w:space="0" w:color="auto"/>
                    <w:left w:val="none" w:sz="0" w:space="0" w:color="auto"/>
                    <w:bottom w:val="none" w:sz="0" w:space="0" w:color="auto"/>
                    <w:right w:val="none" w:sz="0" w:space="0" w:color="auto"/>
                  </w:divBdr>
                  <w:divsChild>
                    <w:div w:id="12277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65994">
      <w:bodyDiv w:val="1"/>
      <w:marLeft w:val="0"/>
      <w:marRight w:val="0"/>
      <w:marTop w:val="0"/>
      <w:marBottom w:val="0"/>
      <w:divBdr>
        <w:top w:val="none" w:sz="0" w:space="0" w:color="auto"/>
        <w:left w:val="none" w:sz="0" w:space="0" w:color="auto"/>
        <w:bottom w:val="none" w:sz="0" w:space="0" w:color="auto"/>
        <w:right w:val="none" w:sz="0" w:space="0" w:color="auto"/>
      </w:divBdr>
      <w:divsChild>
        <w:div w:id="1060712905">
          <w:marLeft w:val="0"/>
          <w:marRight w:val="0"/>
          <w:marTop w:val="0"/>
          <w:marBottom w:val="0"/>
          <w:divBdr>
            <w:top w:val="none" w:sz="0" w:space="0" w:color="auto"/>
            <w:left w:val="none" w:sz="0" w:space="0" w:color="auto"/>
            <w:bottom w:val="none" w:sz="0" w:space="0" w:color="auto"/>
            <w:right w:val="none" w:sz="0" w:space="0" w:color="auto"/>
          </w:divBdr>
          <w:divsChild>
            <w:div w:id="2092466026">
              <w:marLeft w:val="0"/>
              <w:marRight w:val="0"/>
              <w:marTop w:val="0"/>
              <w:marBottom w:val="0"/>
              <w:divBdr>
                <w:top w:val="none" w:sz="0" w:space="0" w:color="auto"/>
                <w:left w:val="none" w:sz="0" w:space="0" w:color="auto"/>
                <w:bottom w:val="none" w:sz="0" w:space="0" w:color="auto"/>
                <w:right w:val="none" w:sz="0" w:space="0" w:color="auto"/>
              </w:divBdr>
              <w:divsChild>
                <w:div w:id="14882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5375">
      <w:bodyDiv w:val="1"/>
      <w:marLeft w:val="0"/>
      <w:marRight w:val="0"/>
      <w:marTop w:val="0"/>
      <w:marBottom w:val="0"/>
      <w:divBdr>
        <w:top w:val="none" w:sz="0" w:space="0" w:color="auto"/>
        <w:left w:val="none" w:sz="0" w:space="0" w:color="auto"/>
        <w:bottom w:val="none" w:sz="0" w:space="0" w:color="auto"/>
        <w:right w:val="none" w:sz="0" w:space="0" w:color="auto"/>
      </w:divBdr>
      <w:divsChild>
        <w:div w:id="1045561988">
          <w:marLeft w:val="0"/>
          <w:marRight w:val="0"/>
          <w:marTop w:val="0"/>
          <w:marBottom w:val="0"/>
          <w:divBdr>
            <w:top w:val="none" w:sz="0" w:space="0" w:color="auto"/>
            <w:left w:val="none" w:sz="0" w:space="0" w:color="auto"/>
            <w:bottom w:val="none" w:sz="0" w:space="0" w:color="auto"/>
            <w:right w:val="none" w:sz="0" w:space="0" w:color="auto"/>
          </w:divBdr>
          <w:divsChild>
            <w:div w:id="77944606">
              <w:marLeft w:val="0"/>
              <w:marRight w:val="0"/>
              <w:marTop w:val="0"/>
              <w:marBottom w:val="0"/>
              <w:divBdr>
                <w:top w:val="none" w:sz="0" w:space="0" w:color="auto"/>
                <w:left w:val="none" w:sz="0" w:space="0" w:color="auto"/>
                <w:bottom w:val="none" w:sz="0" w:space="0" w:color="auto"/>
                <w:right w:val="none" w:sz="0" w:space="0" w:color="auto"/>
              </w:divBdr>
              <w:divsChild>
                <w:div w:id="1888296085">
                  <w:marLeft w:val="0"/>
                  <w:marRight w:val="0"/>
                  <w:marTop w:val="0"/>
                  <w:marBottom w:val="0"/>
                  <w:divBdr>
                    <w:top w:val="none" w:sz="0" w:space="0" w:color="auto"/>
                    <w:left w:val="none" w:sz="0" w:space="0" w:color="auto"/>
                    <w:bottom w:val="none" w:sz="0" w:space="0" w:color="auto"/>
                    <w:right w:val="none" w:sz="0" w:space="0" w:color="auto"/>
                  </w:divBdr>
                  <w:divsChild>
                    <w:div w:id="1208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2853">
      <w:bodyDiv w:val="1"/>
      <w:marLeft w:val="0"/>
      <w:marRight w:val="0"/>
      <w:marTop w:val="0"/>
      <w:marBottom w:val="0"/>
      <w:divBdr>
        <w:top w:val="none" w:sz="0" w:space="0" w:color="auto"/>
        <w:left w:val="none" w:sz="0" w:space="0" w:color="auto"/>
        <w:bottom w:val="none" w:sz="0" w:space="0" w:color="auto"/>
        <w:right w:val="none" w:sz="0" w:space="0" w:color="auto"/>
      </w:divBdr>
      <w:divsChild>
        <w:div w:id="910774638">
          <w:marLeft w:val="0"/>
          <w:marRight w:val="0"/>
          <w:marTop w:val="0"/>
          <w:marBottom w:val="0"/>
          <w:divBdr>
            <w:top w:val="none" w:sz="0" w:space="0" w:color="auto"/>
            <w:left w:val="none" w:sz="0" w:space="0" w:color="auto"/>
            <w:bottom w:val="none" w:sz="0" w:space="0" w:color="auto"/>
            <w:right w:val="none" w:sz="0" w:space="0" w:color="auto"/>
          </w:divBdr>
          <w:divsChild>
            <w:div w:id="381635801">
              <w:marLeft w:val="0"/>
              <w:marRight w:val="0"/>
              <w:marTop w:val="0"/>
              <w:marBottom w:val="0"/>
              <w:divBdr>
                <w:top w:val="none" w:sz="0" w:space="0" w:color="auto"/>
                <w:left w:val="none" w:sz="0" w:space="0" w:color="auto"/>
                <w:bottom w:val="none" w:sz="0" w:space="0" w:color="auto"/>
                <w:right w:val="none" w:sz="0" w:space="0" w:color="auto"/>
              </w:divBdr>
              <w:divsChild>
                <w:div w:id="11038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3946">
      <w:bodyDiv w:val="1"/>
      <w:marLeft w:val="0"/>
      <w:marRight w:val="0"/>
      <w:marTop w:val="0"/>
      <w:marBottom w:val="0"/>
      <w:divBdr>
        <w:top w:val="none" w:sz="0" w:space="0" w:color="auto"/>
        <w:left w:val="none" w:sz="0" w:space="0" w:color="auto"/>
        <w:bottom w:val="none" w:sz="0" w:space="0" w:color="auto"/>
        <w:right w:val="none" w:sz="0" w:space="0" w:color="auto"/>
      </w:divBdr>
      <w:divsChild>
        <w:div w:id="30109000">
          <w:marLeft w:val="0"/>
          <w:marRight w:val="0"/>
          <w:marTop w:val="0"/>
          <w:marBottom w:val="0"/>
          <w:divBdr>
            <w:top w:val="none" w:sz="0" w:space="0" w:color="auto"/>
            <w:left w:val="none" w:sz="0" w:space="0" w:color="auto"/>
            <w:bottom w:val="none" w:sz="0" w:space="0" w:color="auto"/>
            <w:right w:val="none" w:sz="0" w:space="0" w:color="auto"/>
          </w:divBdr>
          <w:divsChild>
            <w:div w:id="1895507670">
              <w:marLeft w:val="0"/>
              <w:marRight w:val="0"/>
              <w:marTop w:val="0"/>
              <w:marBottom w:val="0"/>
              <w:divBdr>
                <w:top w:val="none" w:sz="0" w:space="0" w:color="auto"/>
                <w:left w:val="none" w:sz="0" w:space="0" w:color="auto"/>
                <w:bottom w:val="none" w:sz="0" w:space="0" w:color="auto"/>
                <w:right w:val="none" w:sz="0" w:space="0" w:color="auto"/>
              </w:divBdr>
              <w:divsChild>
                <w:div w:id="15153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0913">
      <w:bodyDiv w:val="1"/>
      <w:marLeft w:val="0"/>
      <w:marRight w:val="0"/>
      <w:marTop w:val="0"/>
      <w:marBottom w:val="0"/>
      <w:divBdr>
        <w:top w:val="none" w:sz="0" w:space="0" w:color="auto"/>
        <w:left w:val="none" w:sz="0" w:space="0" w:color="auto"/>
        <w:bottom w:val="none" w:sz="0" w:space="0" w:color="auto"/>
        <w:right w:val="none" w:sz="0" w:space="0" w:color="auto"/>
      </w:divBdr>
      <w:divsChild>
        <w:div w:id="1332374623">
          <w:marLeft w:val="0"/>
          <w:marRight w:val="0"/>
          <w:marTop w:val="0"/>
          <w:marBottom w:val="0"/>
          <w:divBdr>
            <w:top w:val="none" w:sz="0" w:space="0" w:color="auto"/>
            <w:left w:val="none" w:sz="0" w:space="0" w:color="auto"/>
            <w:bottom w:val="none" w:sz="0" w:space="0" w:color="auto"/>
            <w:right w:val="none" w:sz="0" w:space="0" w:color="auto"/>
          </w:divBdr>
          <w:divsChild>
            <w:div w:id="129369274">
              <w:marLeft w:val="0"/>
              <w:marRight w:val="0"/>
              <w:marTop w:val="0"/>
              <w:marBottom w:val="0"/>
              <w:divBdr>
                <w:top w:val="none" w:sz="0" w:space="0" w:color="auto"/>
                <w:left w:val="none" w:sz="0" w:space="0" w:color="auto"/>
                <w:bottom w:val="none" w:sz="0" w:space="0" w:color="auto"/>
                <w:right w:val="none" w:sz="0" w:space="0" w:color="auto"/>
              </w:divBdr>
              <w:divsChild>
                <w:div w:id="21199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2269">
      <w:bodyDiv w:val="1"/>
      <w:marLeft w:val="0"/>
      <w:marRight w:val="0"/>
      <w:marTop w:val="0"/>
      <w:marBottom w:val="0"/>
      <w:divBdr>
        <w:top w:val="none" w:sz="0" w:space="0" w:color="auto"/>
        <w:left w:val="none" w:sz="0" w:space="0" w:color="auto"/>
        <w:bottom w:val="none" w:sz="0" w:space="0" w:color="auto"/>
        <w:right w:val="none" w:sz="0" w:space="0" w:color="auto"/>
      </w:divBdr>
      <w:divsChild>
        <w:div w:id="2093550403">
          <w:marLeft w:val="0"/>
          <w:marRight w:val="0"/>
          <w:marTop w:val="0"/>
          <w:marBottom w:val="0"/>
          <w:divBdr>
            <w:top w:val="none" w:sz="0" w:space="0" w:color="auto"/>
            <w:left w:val="none" w:sz="0" w:space="0" w:color="auto"/>
            <w:bottom w:val="none" w:sz="0" w:space="0" w:color="auto"/>
            <w:right w:val="none" w:sz="0" w:space="0" w:color="auto"/>
          </w:divBdr>
          <w:divsChild>
            <w:div w:id="1022632148">
              <w:marLeft w:val="0"/>
              <w:marRight w:val="0"/>
              <w:marTop w:val="0"/>
              <w:marBottom w:val="0"/>
              <w:divBdr>
                <w:top w:val="none" w:sz="0" w:space="0" w:color="auto"/>
                <w:left w:val="none" w:sz="0" w:space="0" w:color="auto"/>
                <w:bottom w:val="none" w:sz="0" w:space="0" w:color="auto"/>
                <w:right w:val="none" w:sz="0" w:space="0" w:color="auto"/>
              </w:divBdr>
              <w:divsChild>
                <w:div w:id="400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3193">
      <w:bodyDiv w:val="1"/>
      <w:marLeft w:val="0"/>
      <w:marRight w:val="0"/>
      <w:marTop w:val="0"/>
      <w:marBottom w:val="0"/>
      <w:divBdr>
        <w:top w:val="none" w:sz="0" w:space="0" w:color="auto"/>
        <w:left w:val="none" w:sz="0" w:space="0" w:color="auto"/>
        <w:bottom w:val="none" w:sz="0" w:space="0" w:color="auto"/>
        <w:right w:val="none" w:sz="0" w:space="0" w:color="auto"/>
      </w:divBdr>
      <w:divsChild>
        <w:div w:id="1157383183">
          <w:marLeft w:val="0"/>
          <w:marRight w:val="0"/>
          <w:marTop w:val="0"/>
          <w:marBottom w:val="0"/>
          <w:divBdr>
            <w:top w:val="none" w:sz="0" w:space="0" w:color="auto"/>
            <w:left w:val="none" w:sz="0" w:space="0" w:color="auto"/>
            <w:bottom w:val="none" w:sz="0" w:space="0" w:color="auto"/>
            <w:right w:val="none" w:sz="0" w:space="0" w:color="auto"/>
          </w:divBdr>
          <w:divsChild>
            <w:div w:id="97601756">
              <w:marLeft w:val="0"/>
              <w:marRight w:val="0"/>
              <w:marTop w:val="0"/>
              <w:marBottom w:val="0"/>
              <w:divBdr>
                <w:top w:val="none" w:sz="0" w:space="0" w:color="auto"/>
                <w:left w:val="none" w:sz="0" w:space="0" w:color="auto"/>
                <w:bottom w:val="none" w:sz="0" w:space="0" w:color="auto"/>
                <w:right w:val="none" w:sz="0" w:space="0" w:color="auto"/>
              </w:divBdr>
              <w:divsChild>
                <w:div w:id="1630549283">
                  <w:marLeft w:val="0"/>
                  <w:marRight w:val="0"/>
                  <w:marTop w:val="0"/>
                  <w:marBottom w:val="0"/>
                  <w:divBdr>
                    <w:top w:val="none" w:sz="0" w:space="0" w:color="auto"/>
                    <w:left w:val="none" w:sz="0" w:space="0" w:color="auto"/>
                    <w:bottom w:val="none" w:sz="0" w:space="0" w:color="auto"/>
                    <w:right w:val="none" w:sz="0" w:space="0" w:color="auto"/>
                  </w:divBdr>
                  <w:divsChild>
                    <w:div w:id="7803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22239">
      <w:bodyDiv w:val="1"/>
      <w:marLeft w:val="0"/>
      <w:marRight w:val="0"/>
      <w:marTop w:val="0"/>
      <w:marBottom w:val="0"/>
      <w:divBdr>
        <w:top w:val="none" w:sz="0" w:space="0" w:color="auto"/>
        <w:left w:val="none" w:sz="0" w:space="0" w:color="auto"/>
        <w:bottom w:val="none" w:sz="0" w:space="0" w:color="auto"/>
        <w:right w:val="none" w:sz="0" w:space="0" w:color="auto"/>
      </w:divBdr>
      <w:divsChild>
        <w:div w:id="481889131">
          <w:marLeft w:val="0"/>
          <w:marRight w:val="0"/>
          <w:marTop w:val="0"/>
          <w:marBottom w:val="0"/>
          <w:divBdr>
            <w:top w:val="none" w:sz="0" w:space="0" w:color="auto"/>
            <w:left w:val="none" w:sz="0" w:space="0" w:color="auto"/>
            <w:bottom w:val="none" w:sz="0" w:space="0" w:color="auto"/>
            <w:right w:val="none" w:sz="0" w:space="0" w:color="auto"/>
          </w:divBdr>
          <w:divsChild>
            <w:div w:id="2116825295">
              <w:marLeft w:val="0"/>
              <w:marRight w:val="0"/>
              <w:marTop w:val="0"/>
              <w:marBottom w:val="0"/>
              <w:divBdr>
                <w:top w:val="none" w:sz="0" w:space="0" w:color="auto"/>
                <w:left w:val="none" w:sz="0" w:space="0" w:color="auto"/>
                <w:bottom w:val="none" w:sz="0" w:space="0" w:color="auto"/>
                <w:right w:val="none" w:sz="0" w:space="0" w:color="auto"/>
              </w:divBdr>
              <w:divsChild>
                <w:div w:id="877817387">
                  <w:marLeft w:val="0"/>
                  <w:marRight w:val="0"/>
                  <w:marTop w:val="0"/>
                  <w:marBottom w:val="0"/>
                  <w:divBdr>
                    <w:top w:val="none" w:sz="0" w:space="0" w:color="auto"/>
                    <w:left w:val="none" w:sz="0" w:space="0" w:color="auto"/>
                    <w:bottom w:val="none" w:sz="0" w:space="0" w:color="auto"/>
                    <w:right w:val="none" w:sz="0" w:space="0" w:color="auto"/>
                  </w:divBdr>
                  <w:divsChild>
                    <w:div w:id="1515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3021">
      <w:bodyDiv w:val="1"/>
      <w:marLeft w:val="0"/>
      <w:marRight w:val="0"/>
      <w:marTop w:val="0"/>
      <w:marBottom w:val="0"/>
      <w:divBdr>
        <w:top w:val="none" w:sz="0" w:space="0" w:color="auto"/>
        <w:left w:val="none" w:sz="0" w:space="0" w:color="auto"/>
        <w:bottom w:val="none" w:sz="0" w:space="0" w:color="auto"/>
        <w:right w:val="none" w:sz="0" w:space="0" w:color="auto"/>
      </w:divBdr>
      <w:divsChild>
        <w:div w:id="1632124866">
          <w:marLeft w:val="0"/>
          <w:marRight w:val="0"/>
          <w:marTop w:val="0"/>
          <w:marBottom w:val="0"/>
          <w:divBdr>
            <w:top w:val="none" w:sz="0" w:space="0" w:color="auto"/>
            <w:left w:val="none" w:sz="0" w:space="0" w:color="auto"/>
            <w:bottom w:val="none" w:sz="0" w:space="0" w:color="auto"/>
            <w:right w:val="none" w:sz="0" w:space="0" w:color="auto"/>
          </w:divBdr>
          <w:divsChild>
            <w:div w:id="1150252520">
              <w:marLeft w:val="0"/>
              <w:marRight w:val="0"/>
              <w:marTop w:val="0"/>
              <w:marBottom w:val="0"/>
              <w:divBdr>
                <w:top w:val="none" w:sz="0" w:space="0" w:color="auto"/>
                <w:left w:val="none" w:sz="0" w:space="0" w:color="auto"/>
                <w:bottom w:val="none" w:sz="0" w:space="0" w:color="auto"/>
                <w:right w:val="none" w:sz="0" w:space="0" w:color="auto"/>
              </w:divBdr>
              <w:divsChild>
                <w:div w:id="9128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2838">
      <w:bodyDiv w:val="1"/>
      <w:marLeft w:val="0"/>
      <w:marRight w:val="0"/>
      <w:marTop w:val="0"/>
      <w:marBottom w:val="0"/>
      <w:divBdr>
        <w:top w:val="none" w:sz="0" w:space="0" w:color="auto"/>
        <w:left w:val="none" w:sz="0" w:space="0" w:color="auto"/>
        <w:bottom w:val="none" w:sz="0" w:space="0" w:color="auto"/>
        <w:right w:val="none" w:sz="0" w:space="0" w:color="auto"/>
      </w:divBdr>
      <w:divsChild>
        <w:div w:id="1033962490">
          <w:marLeft w:val="0"/>
          <w:marRight w:val="0"/>
          <w:marTop w:val="0"/>
          <w:marBottom w:val="0"/>
          <w:divBdr>
            <w:top w:val="none" w:sz="0" w:space="0" w:color="auto"/>
            <w:left w:val="none" w:sz="0" w:space="0" w:color="auto"/>
            <w:bottom w:val="none" w:sz="0" w:space="0" w:color="auto"/>
            <w:right w:val="none" w:sz="0" w:space="0" w:color="auto"/>
          </w:divBdr>
          <w:divsChild>
            <w:div w:id="1767269575">
              <w:marLeft w:val="0"/>
              <w:marRight w:val="0"/>
              <w:marTop w:val="0"/>
              <w:marBottom w:val="0"/>
              <w:divBdr>
                <w:top w:val="none" w:sz="0" w:space="0" w:color="auto"/>
                <w:left w:val="none" w:sz="0" w:space="0" w:color="auto"/>
                <w:bottom w:val="none" w:sz="0" w:space="0" w:color="auto"/>
                <w:right w:val="none" w:sz="0" w:space="0" w:color="auto"/>
              </w:divBdr>
              <w:divsChild>
                <w:div w:id="2103259142">
                  <w:marLeft w:val="0"/>
                  <w:marRight w:val="0"/>
                  <w:marTop w:val="0"/>
                  <w:marBottom w:val="0"/>
                  <w:divBdr>
                    <w:top w:val="none" w:sz="0" w:space="0" w:color="auto"/>
                    <w:left w:val="none" w:sz="0" w:space="0" w:color="auto"/>
                    <w:bottom w:val="none" w:sz="0" w:space="0" w:color="auto"/>
                    <w:right w:val="none" w:sz="0" w:space="0" w:color="auto"/>
                  </w:divBdr>
                  <w:divsChild>
                    <w:div w:id="1097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19883">
      <w:bodyDiv w:val="1"/>
      <w:marLeft w:val="0"/>
      <w:marRight w:val="0"/>
      <w:marTop w:val="0"/>
      <w:marBottom w:val="0"/>
      <w:divBdr>
        <w:top w:val="none" w:sz="0" w:space="0" w:color="auto"/>
        <w:left w:val="none" w:sz="0" w:space="0" w:color="auto"/>
        <w:bottom w:val="none" w:sz="0" w:space="0" w:color="auto"/>
        <w:right w:val="none" w:sz="0" w:space="0" w:color="auto"/>
      </w:divBdr>
      <w:divsChild>
        <w:div w:id="499083558">
          <w:marLeft w:val="0"/>
          <w:marRight w:val="0"/>
          <w:marTop w:val="0"/>
          <w:marBottom w:val="0"/>
          <w:divBdr>
            <w:top w:val="none" w:sz="0" w:space="0" w:color="auto"/>
            <w:left w:val="none" w:sz="0" w:space="0" w:color="auto"/>
            <w:bottom w:val="none" w:sz="0" w:space="0" w:color="auto"/>
            <w:right w:val="none" w:sz="0" w:space="0" w:color="auto"/>
          </w:divBdr>
          <w:divsChild>
            <w:div w:id="458960263">
              <w:marLeft w:val="0"/>
              <w:marRight w:val="0"/>
              <w:marTop w:val="0"/>
              <w:marBottom w:val="0"/>
              <w:divBdr>
                <w:top w:val="none" w:sz="0" w:space="0" w:color="auto"/>
                <w:left w:val="none" w:sz="0" w:space="0" w:color="auto"/>
                <w:bottom w:val="none" w:sz="0" w:space="0" w:color="auto"/>
                <w:right w:val="none" w:sz="0" w:space="0" w:color="auto"/>
              </w:divBdr>
              <w:divsChild>
                <w:div w:id="2004310186">
                  <w:marLeft w:val="0"/>
                  <w:marRight w:val="0"/>
                  <w:marTop w:val="0"/>
                  <w:marBottom w:val="0"/>
                  <w:divBdr>
                    <w:top w:val="none" w:sz="0" w:space="0" w:color="auto"/>
                    <w:left w:val="none" w:sz="0" w:space="0" w:color="auto"/>
                    <w:bottom w:val="none" w:sz="0" w:space="0" w:color="auto"/>
                    <w:right w:val="none" w:sz="0" w:space="0" w:color="auto"/>
                  </w:divBdr>
                  <w:divsChild>
                    <w:div w:id="853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5576">
      <w:bodyDiv w:val="1"/>
      <w:marLeft w:val="0"/>
      <w:marRight w:val="0"/>
      <w:marTop w:val="0"/>
      <w:marBottom w:val="0"/>
      <w:divBdr>
        <w:top w:val="none" w:sz="0" w:space="0" w:color="auto"/>
        <w:left w:val="none" w:sz="0" w:space="0" w:color="auto"/>
        <w:bottom w:val="none" w:sz="0" w:space="0" w:color="auto"/>
        <w:right w:val="none" w:sz="0" w:space="0" w:color="auto"/>
      </w:divBdr>
      <w:divsChild>
        <w:div w:id="1875187470">
          <w:marLeft w:val="0"/>
          <w:marRight w:val="0"/>
          <w:marTop w:val="0"/>
          <w:marBottom w:val="0"/>
          <w:divBdr>
            <w:top w:val="none" w:sz="0" w:space="0" w:color="auto"/>
            <w:left w:val="none" w:sz="0" w:space="0" w:color="auto"/>
            <w:bottom w:val="none" w:sz="0" w:space="0" w:color="auto"/>
            <w:right w:val="none" w:sz="0" w:space="0" w:color="auto"/>
          </w:divBdr>
          <w:divsChild>
            <w:div w:id="344209845">
              <w:marLeft w:val="0"/>
              <w:marRight w:val="0"/>
              <w:marTop w:val="0"/>
              <w:marBottom w:val="0"/>
              <w:divBdr>
                <w:top w:val="none" w:sz="0" w:space="0" w:color="auto"/>
                <w:left w:val="none" w:sz="0" w:space="0" w:color="auto"/>
                <w:bottom w:val="none" w:sz="0" w:space="0" w:color="auto"/>
                <w:right w:val="none" w:sz="0" w:space="0" w:color="auto"/>
              </w:divBdr>
              <w:divsChild>
                <w:div w:id="563949668">
                  <w:marLeft w:val="0"/>
                  <w:marRight w:val="0"/>
                  <w:marTop w:val="0"/>
                  <w:marBottom w:val="0"/>
                  <w:divBdr>
                    <w:top w:val="none" w:sz="0" w:space="0" w:color="auto"/>
                    <w:left w:val="none" w:sz="0" w:space="0" w:color="auto"/>
                    <w:bottom w:val="none" w:sz="0" w:space="0" w:color="auto"/>
                    <w:right w:val="none" w:sz="0" w:space="0" w:color="auto"/>
                  </w:divBdr>
                  <w:divsChild>
                    <w:div w:id="1913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71734">
      <w:bodyDiv w:val="1"/>
      <w:marLeft w:val="0"/>
      <w:marRight w:val="0"/>
      <w:marTop w:val="0"/>
      <w:marBottom w:val="0"/>
      <w:divBdr>
        <w:top w:val="none" w:sz="0" w:space="0" w:color="auto"/>
        <w:left w:val="none" w:sz="0" w:space="0" w:color="auto"/>
        <w:bottom w:val="none" w:sz="0" w:space="0" w:color="auto"/>
        <w:right w:val="none" w:sz="0" w:space="0" w:color="auto"/>
      </w:divBdr>
      <w:divsChild>
        <w:div w:id="1359701944">
          <w:marLeft w:val="0"/>
          <w:marRight w:val="0"/>
          <w:marTop w:val="0"/>
          <w:marBottom w:val="0"/>
          <w:divBdr>
            <w:top w:val="none" w:sz="0" w:space="0" w:color="auto"/>
            <w:left w:val="none" w:sz="0" w:space="0" w:color="auto"/>
            <w:bottom w:val="none" w:sz="0" w:space="0" w:color="auto"/>
            <w:right w:val="none" w:sz="0" w:space="0" w:color="auto"/>
          </w:divBdr>
          <w:divsChild>
            <w:div w:id="1926260275">
              <w:marLeft w:val="0"/>
              <w:marRight w:val="0"/>
              <w:marTop w:val="0"/>
              <w:marBottom w:val="0"/>
              <w:divBdr>
                <w:top w:val="none" w:sz="0" w:space="0" w:color="auto"/>
                <w:left w:val="none" w:sz="0" w:space="0" w:color="auto"/>
                <w:bottom w:val="none" w:sz="0" w:space="0" w:color="auto"/>
                <w:right w:val="none" w:sz="0" w:space="0" w:color="auto"/>
              </w:divBdr>
              <w:divsChild>
                <w:div w:id="949556599">
                  <w:marLeft w:val="0"/>
                  <w:marRight w:val="0"/>
                  <w:marTop w:val="0"/>
                  <w:marBottom w:val="0"/>
                  <w:divBdr>
                    <w:top w:val="none" w:sz="0" w:space="0" w:color="auto"/>
                    <w:left w:val="none" w:sz="0" w:space="0" w:color="auto"/>
                    <w:bottom w:val="none" w:sz="0" w:space="0" w:color="auto"/>
                    <w:right w:val="none" w:sz="0" w:space="0" w:color="auto"/>
                  </w:divBdr>
                  <w:divsChild>
                    <w:div w:id="10166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2101">
      <w:bodyDiv w:val="1"/>
      <w:marLeft w:val="0"/>
      <w:marRight w:val="0"/>
      <w:marTop w:val="0"/>
      <w:marBottom w:val="0"/>
      <w:divBdr>
        <w:top w:val="none" w:sz="0" w:space="0" w:color="auto"/>
        <w:left w:val="none" w:sz="0" w:space="0" w:color="auto"/>
        <w:bottom w:val="none" w:sz="0" w:space="0" w:color="auto"/>
        <w:right w:val="none" w:sz="0" w:space="0" w:color="auto"/>
      </w:divBdr>
      <w:divsChild>
        <w:div w:id="1105686089">
          <w:marLeft w:val="0"/>
          <w:marRight w:val="0"/>
          <w:marTop w:val="0"/>
          <w:marBottom w:val="0"/>
          <w:divBdr>
            <w:top w:val="none" w:sz="0" w:space="0" w:color="auto"/>
            <w:left w:val="none" w:sz="0" w:space="0" w:color="auto"/>
            <w:bottom w:val="none" w:sz="0" w:space="0" w:color="auto"/>
            <w:right w:val="none" w:sz="0" w:space="0" w:color="auto"/>
          </w:divBdr>
          <w:divsChild>
            <w:div w:id="1434126809">
              <w:marLeft w:val="0"/>
              <w:marRight w:val="0"/>
              <w:marTop w:val="0"/>
              <w:marBottom w:val="0"/>
              <w:divBdr>
                <w:top w:val="none" w:sz="0" w:space="0" w:color="auto"/>
                <w:left w:val="none" w:sz="0" w:space="0" w:color="auto"/>
                <w:bottom w:val="none" w:sz="0" w:space="0" w:color="auto"/>
                <w:right w:val="none" w:sz="0" w:space="0" w:color="auto"/>
              </w:divBdr>
              <w:divsChild>
                <w:div w:id="869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8987">
      <w:bodyDiv w:val="1"/>
      <w:marLeft w:val="0"/>
      <w:marRight w:val="0"/>
      <w:marTop w:val="0"/>
      <w:marBottom w:val="0"/>
      <w:divBdr>
        <w:top w:val="none" w:sz="0" w:space="0" w:color="auto"/>
        <w:left w:val="none" w:sz="0" w:space="0" w:color="auto"/>
        <w:bottom w:val="none" w:sz="0" w:space="0" w:color="auto"/>
        <w:right w:val="none" w:sz="0" w:space="0" w:color="auto"/>
      </w:divBdr>
      <w:divsChild>
        <w:div w:id="233246862">
          <w:marLeft w:val="0"/>
          <w:marRight w:val="0"/>
          <w:marTop w:val="0"/>
          <w:marBottom w:val="0"/>
          <w:divBdr>
            <w:top w:val="none" w:sz="0" w:space="0" w:color="auto"/>
            <w:left w:val="none" w:sz="0" w:space="0" w:color="auto"/>
            <w:bottom w:val="none" w:sz="0" w:space="0" w:color="auto"/>
            <w:right w:val="none" w:sz="0" w:space="0" w:color="auto"/>
          </w:divBdr>
          <w:divsChild>
            <w:div w:id="697511976">
              <w:marLeft w:val="0"/>
              <w:marRight w:val="0"/>
              <w:marTop w:val="0"/>
              <w:marBottom w:val="0"/>
              <w:divBdr>
                <w:top w:val="none" w:sz="0" w:space="0" w:color="auto"/>
                <w:left w:val="none" w:sz="0" w:space="0" w:color="auto"/>
                <w:bottom w:val="none" w:sz="0" w:space="0" w:color="auto"/>
                <w:right w:val="none" w:sz="0" w:space="0" w:color="auto"/>
              </w:divBdr>
              <w:divsChild>
                <w:div w:id="16656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2672">
      <w:bodyDiv w:val="1"/>
      <w:marLeft w:val="0"/>
      <w:marRight w:val="0"/>
      <w:marTop w:val="0"/>
      <w:marBottom w:val="0"/>
      <w:divBdr>
        <w:top w:val="none" w:sz="0" w:space="0" w:color="auto"/>
        <w:left w:val="none" w:sz="0" w:space="0" w:color="auto"/>
        <w:bottom w:val="none" w:sz="0" w:space="0" w:color="auto"/>
        <w:right w:val="none" w:sz="0" w:space="0" w:color="auto"/>
      </w:divBdr>
      <w:divsChild>
        <w:div w:id="834489660">
          <w:marLeft w:val="0"/>
          <w:marRight w:val="0"/>
          <w:marTop w:val="0"/>
          <w:marBottom w:val="0"/>
          <w:divBdr>
            <w:top w:val="none" w:sz="0" w:space="0" w:color="auto"/>
            <w:left w:val="none" w:sz="0" w:space="0" w:color="auto"/>
            <w:bottom w:val="none" w:sz="0" w:space="0" w:color="auto"/>
            <w:right w:val="none" w:sz="0" w:space="0" w:color="auto"/>
          </w:divBdr>
          <w:divsChild>
            <w:div w:id="136841348">
              <w:marLeft w:val="0"/>
              <w:marRight w:val="0"/>
              <w:marTop w:val="0"/>
              <w:marBottom w:val="0"/>
              <w:divBdr>
                <w:top w:val="none" w:sz="0" w:space="0" w:color="auto"/>
                <w:left w:val="none" w:sz="0" w:space="0" w:color="auto"/>
                <w:bottom w:val="none" w:sz="0" w:space="0" w:color="auto"/>
                <w:right w:val="none" w:sz="0" w:space="0" w:color="auto"/>
              </w:divBdr>
              <w:divsChild>
                <w:div w:id="488984535">
                  <w:marLeft w:val="0"/>
                  <w:marRight w:val="0"/>
                  <w:marTop w:val="0"/>
                  <w:marBottom w:val="0"/>
                  <w:divBdr>
                    <w:top w:val="none" w:sz="0" w:space="0" w:color="auto"/>
                    <w:left w:val="none" w:sz="0" w:space="0" w:color="auto"/>
                    <w:bottom w:val="none" w:sz="0" w:space="0" w:color="auto"/>
                    <w:right w:val="none" w:sz="0" w:space="0" w:color="auto"/>
                  </w:divBdr>
                  <w:divsChild>
                    <w:div w:id="1569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5419">
      <w:bodyDiv w:val="1"/>
      <w:marLeft w:val="0"/>
      <w:marRight w:val="0"/>
      <w:marTop w:val="0"/>
      <w:marBottom w:val="0"/>
      <w:divBdr>
        <w:top w:val="none" w:sz="0" w:space="0" w:color="auto"/>
        <w:left w:val="none" w:sz="0" w:space="0" w:color="auto"/>
        <w:bottom w:val="none" w:sz="0" w:space="0" w:color="auto"/>
        <w:right w:val="none" w:sz="0" w:space="0" w:color="auto"/>
      </w:divBdr>
      <w:divsChild>
        <w:div w:id="1850873998">
          <w:marLeft w:val="0"/>
          <w:marRight w:val="0"/>
          <w:marTop w:val="0"/>
          <w:marBottom w:val="0"/>
          <w:divBdr>
            <w:top w:val="none" w:sz="0" w:space="0" w:color="auto"/>
            <w:left w:val="none" w:sz="0" w:space="0" w:color="auto"/>
            <w:bottom w:val="none" w:sz="0" w:space="0" w:color="auto"/>
            <w:right w:val="none" w:sz="0" w:space="0" w:color="auto"/>
          </w:divBdr>
          <w:divsChild>
            <w:div w:id="762578006">
              <w:marLeft w:val="0"/>
              <w:marRight w:val="0"/>
              <w:marTop w:val="0"/>
              <w:marBottom w:val="0"/>
              <w:divBdr>
                <w:top w:val="none" w:sz="0" w:space="0" w:color="auto"/>
                <w:left w:val="none" w:sz="0" w:space="0" w:color="auto"/>
                <w:bottom w:val="none" w:sz="0" w:space="0" w:color="auto"/>
                <w:right w:val="none" w:sz="0" w:space="0" w:color="auto"/>
              </w:divBdr>
              <w:divsChild>
                <w:div w:id="1048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3803">
      <w:bodyDiv w:val="1"/>
      <w:marLeft w:val="0"/>
      <w:marRight w:val="0"/>
      <w:marTop w:val="0"/>
      <w:marBottom w:val="0"/>
      <w:divBdr>
        <w:top w:val="none" w:sz="0" w:space="0" w:color="auto"/>
        <w:left w:val="none" w:sz="0" w:space="0" w:color="auto"/>
        <w:bottom w:val="none" w:sz="0" w:space="0" w:color="auto"/>
        <w:right w:val="none" w:sz="0" w:space="0" w:color="auto"/>
      </w:divBdr>
      <w:divsChild>
        <w:div w:id="1156189509">
          <w:marLeft w:val="0"/>
          <w:marRight w:val="0"/>
          <w:marTop w:val="0"/>
          <w:marBottom w:val="0"/>
          <w:divBdr>
            <w:top w:val="none" w:sz="0" w:space="0" w:color="auto"/>
            <w:left w:val="none" w:sz="0" w:space="0" w:color="auto"/>
            <w:bottom w:val="none" w:sz="0" w:space="0" w:color="auto"/>
            <w:right w:val="none" w:sz="0" w:space="0" w:color="auto"/>
          </w:divBdr>
          <w:divsChild>
            <w:div w:id="875505712">
              <w:marLeft w:val="0"/>
              <w:marRight w:val="0"/>
              <w:marTop w:val="0"/>
              <w:marBottom w:val="0"/>
              <w:divBdr>
                <w:top w:val="none" w:sz="0" w:space="0" w:color="auto"/>
                <w:left w:val="none" w:sz="0" w:space="0" w:color="auto"/>
                <w:bottom w:val="none" w:sz="0" w:space="0" w:color="auto"/>
                <w:right w:val="none" w:sz="0" w:space="0" w:color="auto"/>
              </w:divBdr>
              <w:divsChild>
                <w:div w:id="325518304">
                  <w:marLeft w:val="0"/>
                  <w:marRight w:val="0"/>
                  <w:marTop w:val="0"/>
                  <w:marBottom w:val="0"/>
                  <w:divBdr>
                    <w:top w:val="none" w:sz="0" w:space="0" w:color="auto"/>
                    <w:left w:val="none" w:sz="0" w:space="0" w:color="auto"/>
                    <w:bottom w:val="none" w:sz="0" w:space="0" w:color="auto"/>
                    <w:right w:val="none" w:sz="0" w:space="0" w:color="auto"/>
                  </w:divBdr>
                  <w:divsChild>
                    <w:div w:id="20895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3248">
      <w:bodyDiv w:val="1"/>
      <w:marLeft w:val="0"/>
      <w:marRight w:val="0"/>
      <w:marTop w:val="0"/>
      <w:marBottom w:val="0"/>
      <w:divBdr>
        <w:top w:val="none" w:sz="0" w:space="0" w:color="auto"/>
        <w:left w:val="none" w:sz="0" w:space="0" w:color="auto"/>
        <w:bottom w:val="none" w:sz="0" w:space="0" w:color="auto"/>
        <w:right w:val="none" w:sz="0" w:space="0" w:color="auto"/>
      </w:divBdr>
      <w:divsChild>
        <w:div w:id="93744873">
          <w:marLeft w:val="0"/>
          <w:marRight w:val="0"/>
          <w:marTop w:val="0"/>
          <w:marBottom w:val="0"/>
          <w:divBdr>
            <w:top w:val="none" w:sz="0" w:space="0" w:color="auto"/>
            <w:left w:val="none" w:sz="0" w:space="0" w:color="auto"/>
            <w:bottom w:val="none" w:sz="0" w:space="0" w:color="auto"/>
            <w:right w:val="none" w:sz="0" w:space="0" w:color="auto"/>
          </w:divBdr>
          <w:divsChild>
            <w:div w:id="484399674">
              <w:marLeft w:val="0"/>
              <w:marRight w:val="0"/>
              <w:marTop w:val="0"/>
              <w:marBottom w:val="0"/>
              <w:divBdr>
                <w:top w:val="none" w:sz="0" w:space="0" w:color="auto"/>
                <w:left w:val="none" w:sz="0" w:space="0" w:color="auto"/>
                <w:bottom w:val="none" w:sz="0" w:space="0" w:color="auto"/>
                <w:right w:val="none" w:sz="0" w:space="0" w:color="auto"/>
              </w:divBdr>
              <w:divsChild>
                <w:div w:id="2076662601">
                  <w:marLeft w:val="0"/>
                  <w:marRight w:val="0"/>
                  <w:marTop w:val="0"/>
                  <w:marBottom w:val="0"/>
                  <w:divBdr>
                    <w:top w:val="none" w:sz="0" w:space="0" w:color="auto"/>
                    <w:left w:val="none" w:sz="0" w:space="0" w:color="auto"/>
                    <w:bottom w:val="none" w:sz="0" w:space="0" w:color="auto"/>
                    <w:right w:val="none" w:sz="0" w:space="0" w:color="auto"/>
                  </w:divBdr>
                  <w:divsChild>
                    <w:div w:id="15037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3975">
      <w:bodyDiv w:val="1"/>
      <w:marLeft w:val="0"/>
      <w:marRight w:val="0"/>
      <w:marTop w:val="0"/>
      <w:marBottom w:val="0"/>
      <w:divBdr>
        <w:top w:val="none" w:sz="0" w:space="0" w:color="auto"/>
        <w:left w:val="none" w:sz="0" w:space="0" w:color="auto"/>
        <w:bottom w:val="none" w:sz="0" w:space="0" w:color="auto"/>
        <w:right w:val="none" w:sz="0" w:space="0" w:color="auto"/>
      </w:divBdr>
      <w:divsChild>
        <w:div w:id="689994874">
          <w:marLeft w:val="0"/>
          <w:marRight w:val="0"/>
          <w:marTop w:val="0"/>
          <w:marBottom w:val="0"/>
          <w:divBdr>
            <w:top w:val="none" w:sz="0" w:space="0" w:color="auto"/>
            <w:left w:val="none" w:sz="0" w:space="0" w:color="auto"/>
            <w:bottom w:val="none" w:sz="0" w:space="0" w:color="auto"/>
            <w:right w:val="none" w:sz="0" w:space="0" w:color="auto"/>
          </w:divBdr>
          <w:divsChild>
            <w:div w:id="212428398">
              <w:marLeft w:val="0"/>
              <w:marRight w:val="0"/>
              <w:marTop w:val="0"/>
              <w:marBottom w:val="0"/>
              <w:divBdr>
                <w:top w:val="none" w:sz="0" w:space="0" w:color="auto"/>
                <w:left w:val="none" w:sz="0" w:space="0" w:color="auto"/>
                <w:bottom w:val="none" w:sz="0" w:space="0" w:color="auto"/>
                <w:right w:val="none" w:sz="0" w:space="0" w:color="auto"/>
              </w:divBdr>
              <w:divsChild>
                <w:div w:id="1666929820">
                  <w:marLeft w:val="0"/>
                  <w:marRight w:val="0"/>
                  <w:marTop w:val="0"/>
                  <w:marBottom w:val="0"/>
                  <w:divBdr>
                    <w:top w:val="none" w:sz="0" w:space="0" w:color="auto"/>
                    <w:left w:val="none" w:sz="0" w:space="0" w:color="auto"/>
                    <w:bottom w:val="none" w:sz="0" w:space="0" w:color="auto"/>
                    <w:right w:val="none" w:sz="0" w:space="0" w:color="auto"/>
                  </w:divBdr>
                  <w:divsChild>
                    <w:div w:id="19708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9527">
      <w:bodyDiv w:val="1"/>
      <w:marLeft w:val="0"/>
      <w:marRight w:val="0"/>
      <w:marTop w:val="0"/>
      <w:marBottom w:val="0"/>
      <w:divBdr>
        <w:top w:val="none" w:sz="0" w:space="0" w:color="auto"/>
        <w:left w:val="none" w:sz="0" w:space="0" w:color="auto"/>
        <w:bottom w:val="none" w:sz="0" w:space="0" w:color="auto"/>
        <w:right w:val="none" w:sz="0" w:space="0" w:color="auto"/>
      </w:divBdr>
    </w:div>
    <w:div w:id="349989447">
      <w:bodyDiv w:val="1"/>
      <w:marLeft w:val="0"/>
      <w:marRight w:val="0"/>
      <w:marTop w:val="0"/>
      <w:marBottom w:val="0"/>
      <w:divBdr>
        <w:top w:val="none" w:sz="0" w:space="0" w:color="auto"/>
        <w:left w:val="none" w:sz="0" w:space="0" w:color="auto"/>
        <w:bottom w:val="none" w:sz="0" w:space="0" w:color="auto"/>
        <w:right w:val="none" w:sz="0" w:space="0" w:color="auto"/>
      </w:divBdr>
      <w:divsChild>
        <w:div w:id="56440376">
          <w:marLeft w:val="0"/>
          <w:marRight w:val="0"/>
          <w:marTop w:val="0"/>
          <w:marBottom w:val="0"/>
          <w:divBdr>
            <w:top w:val="none" w:sz="0" w:space="0" w:color="auto"/>
            <w:left w:val="none" w:sz="0" w:space="0" w:color="auto"/>
            <w:bottom w:val="none" w:sz="0" w:space="0" w:color="auto"/>
            <w:right w:val="none" w:sz="0" w:space="0" w:color="auto"/>
          </w:divBdr>
          <w:divsChild>
            <w:div w:id="1446120128">
              <w:marLeft w:val="0"/>
              <w:marRight w:val="0"/>
              <w:marTop w:val="0"/>
              <w:marBottom w:val="0"/>
              <w:divBdr>
                <w:top w:val="none" w:sz="0" w:space="0" w:color="auto"/>
                <w:left w:val="none" w:sz="0" w:space="0" w:color="auto"/>
                <w:bottom w:val="none" w:sz="0" w:space="0" w:color="auto"/>
                <w:right w:val="none" w:sz="0" w:space="0" w:color="auto"/>
              </w:divBdr>
              <w:divsChild>
                <w:div w:id="1445810898">
                  <w:marLeft w:val="0"/>
                  <w:marRight w:val="0"/>
                  <w:marTop w:val="0"/>
                  <w:marBottom w:val="0"/>
                  <w:divBdr>
                    <w:top w:val="none" w:sz="0" w:space="0" w:color="auto"/>
                    <w:left w:val="none" w:sz="0" w:space="0" w:color="auto"/>
                    <w:bottom w:val="none" w:sz="0" w:space="0" w:color="auto"/>
                    <w:right w:val="none" w:sz="0" w:space="0" w:color="auto"/>
                  </w:divBdr>
                  <w:divsChild>
                    <w:div w:id="1437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2577">
      <w:bodyDiv w:val="1"/>
      <w:marLeft w:val="0"/>
      <w:marRight w:val="0"/>
      <w:marTop w:val="0"/>
      <w:marBottom w:val="0"/>
      <w:divBdr>
        <w:top w:val="none" w:sz="0" w:space="0" w:color="auto"/>
        <w:left w:val="none" w:sz="0" w:space="0" w:color="auto"/>
        <w:bottom w:val="none" w:sz="0" w:space="0" w:color="auto"/>
        <w:right w:val="none" w:sz="0" w:space="0" w:color="auto"/>
      </w:divBdr>
      <w:divsChild>
        <w:div w:id="2069109776">
          <w:marLeft w:val="0"/>
          <w:marRight w:val="0"/>
          <w:marTop w:val="0"/>
          <w:marBottom w:val="0"/>
          <w:divBdr>
            <w:top w:val="none" w:sz="0" w:space="0" w:color="auto"/>
            <w:left w:val="none" w:sz="0" w:space="0" w:color="auto"/>
            <w:bottom w:val="none" w:sz="0" w:space="0" w:color="auto"/>
            <w:right w:val="none" w:sz="0" w:space="0" w:color="auto"/>
          </w:divBdr>
          <w:divsChild>
            <w:div w:id="1029724046">
              <w:marLeft w:val="0"/>
              <w:marRight w:val="0"/>
              <w:marTop w:val="0"/>
              <w:marBottom w:val="0"/>
              <w:divBdr>
                <w:top w:val="none" w:sz="0" w:space="0" w:color="auto"/>
                <w:left w:val="none" w:sz="0" w:space="0" w:color="auto"/>
                <w:bottom w:val="none" w:sz="0" w:space="0" w:color="auto"/>
                <w:right w:val="none" w:sz="0" w:space="0" w:color="auto"/>
              </w:divBdr>
              <w:divsChild>
                <w:div w:id="1549564531">
                  <w:marLeft w:val="0"/>
                  <w:marRight w:val="0"/>
                  <w:marTop w:val="0"/>
                  <w:marBottom w:val="0"/>
                  <w:divBdr>
                    <w:top w:val="none" w:sz="0" w:space="0" w:color="auto"/>
                    <w:left w:val="none" w:sz="0" w:space="0" w:color="auto"/>
                    <w:bottom w:val="none" w:sz="0" w:space="0" w:color="auto"/>
                    <w:right w:val="none" w:sz="0" w:space="0" w:color="auto"/>
                  </w:divBdr>
                  <w:divsChild>
                    <w:div w:id="711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846">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1">
          <w:marLeft w:val="0"/>
          <w:marRight w:val="0"/>
          <w:marTop w:val="0"/>
          <w:marBottom w:val="0"/>
          <w:divBdr>
            <w:top w:val="none" w:sz="0" w:space="0" w:color="auto"/>
            <w:left w:val="none" w:sz="0" w:space="0" w:color="auto"/>
            <w:bottom w:val="none" w:sz="0" w:space="0" w:color="auto"/>
            <w:right w:val="none" w:sz="0" w:space="0" w:color="auto"/>
          </w:divBdr>
          <w:divsChild>
            <w:div w:id="1638027912">
              <w:marLeft w:val="0"/>
              <w:marRight w:val="0"/>
              <w:marTop w:val="0"/>
              <w:marBottom w:val="0"/>
              <w:divBdr>
                <w:top w:val="none" w:sz="0" w:space="0" w:color="auto"/>
                <w:left w:val="none" w:sz="0" w:space="0" w:color="auto"/>
                <w:bottom w:val="none" w:sz="0" w:space="0" w:color="auto"/>
                <w:right w:val="none" w:sz="0" w:space="0" w:color="auto"/>
              </w:divBdr>
              <w:divsChild>
                <w:div w:id="713506029">
                  <w:marLeft w:val="0"/>
                  <w:marRight w:val="0"/>
                  <w:marTop w:val="0"/>
                  <w:marBottom w:val="0"/>
                  <w:divBdr>
                    <w:top w:val="none" w:sz="0" w:space="0" w:color="auto"/>
                    <w:left w:val="none" w:sz="0" w:space="0" w:color="auto"/>
                    <w:bottom w:val="none" w:sz="0" w:space="0" w:color="auto"/>
                    <w:right w:val="none" w:sz="0" w:space="0" w:color="auto"/>
                  </w:divBdr>
                  <w:divsChild>
                    <w:div w:id="3852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15553">
      <w:bodyDiv w:val="1"/>
      <w:marLeft w:val="0"/>
      <w:marRight w:val="0"/>
      <w:marTop w:val="0"/>
      <w:marBottom w:val="0"/>
      <w:divBdr>
        <w:top w:val="none" w:sz="0" w:space="0" w:color="auto"/>
        <w:left w:val="none" w:sz="0" w:space="0" w:color="auto"/>
        <w:bottom w:val="none" w:sz="0" w:space="0" w:color="auto"/>
        <w:right w:val="none" w:sz="0" w:space="0" w:color="auto"/>
      </w:divBdr>
      <w:divsChild>
        <w:div w:id="208493031">
          <w:marLeft w:val="0"/>
          <w:marRight w:val="0"/>
          <w:marTop w:val="0"/>
          <w:marBottom w:val="0"/>
          <w:divBdr>
            <w:top w:val="none" w:sz="0" w:space="0" w:color="auto"/>
            <w:left w:val="none" w:sz="0" w:space="0" w:color="auto"/>
            <w:bottom w:val="none" w:sz="0" w:space="0" w:color="auto"/>
            <w:right w:val="none" w:sz="0" w:space="0" w:color="auto"/>
          </w:divBdr>
          <w:divsChild>
            <w:div w:id="1673533519">
              <w:marLeft w:val="0"/>
              <w:marRight w:val="0"/>
              <w:marTop w:val="0"/>
              <w:marBottom w:val="0"/>
              <w:divBdr>
                <w:top w:val="none" w:sz="0" w:space="0" w:color="auto"/>
                <w:left w:val="none" w:sz="0" w:space="0" w:color="auto"/>
                <w:bottom w:val="none" w:sz="0" w:space="0" w:color="auto"/>
                <w:right w:val="none" w:sz="0" w:space="0" w:color="auto"/>
              </w:divBdr>
              <w:divsChild>
                <w:div w:id="2002350587">
                  <w:marLeft w:val="0"/>
                  <w:marRight w:val="0"/>
                  <w:marTop w:val="0"/>
                  <w:marBottom w:val="0"/>
                  <w:divBdr>
                    <w:top w:val="none" w:sz="0" w:space="0" w:color="auto"/>
                    <w:left w:val="none" w:sz="0" w:space="0" w:color="auto"/>
                    <w:bottom w:val="none" w:sz="0" w:space="0" w:color="auto"/>
                    <w:right w:val="none" w:sz="0" w:space="0" w:color="auto"/>
                  </w:divBdr>
                  <w:divsChild>
                    <w:div w:id="968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52628">
      <w:bodyDiv w:val="1"/>
      <w:marLeft w:val="0"/>
      <w:marRight w:val="0"/>
      <w:marTop w:val="0"/>
      <w:marBottom w:val="0"/>
      <w:divBdr>
        <w:top w:val="none" w:sz="0" w:space="0" w:color="auto"/>
        <w:left w:val="none" w:sz="0" w:space="0" w:color="auto"/>
        <w:bottom w:val="none" w:sz="0" w:space="0" w:color="auto"/>
        <w:right w:val="none" w:sz="0" w:space="0" w:color="auto"/>
      </w:divBdr>
      <w:divsChild>
        <w:div w:id="105464891">
          <w:marLeft w:val="0"/>
          <w:marRight w:val="0"/>
          <w:marTop w:val="0"/>
          <w:marBottom w:val="0"/>
          <w:divBdr>
            <w:top w:val="none" w:sz="0" w:space="0" w:color="auto"/>
            <w:left w:val="none" w:sz="0" w:space="0" w:color="auto"/>
            <w:bottom w:val="none" w:sz="0" w:space="0" w:color="auto"/>
            <w:right w:val="none" w:sz="0" w:space="0" w:color="auto"/>
          </w:divBdr>
          <w:divsChild>
            <w:div w:id="630526180">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0"/>
                  <w:marBottom w:val="0"/>
                  <w:divBdr>
                    <w:top w:val="none" w:sz="0" w:space="0" w:color="auto"/>
                    <w:left w:val="none" w:sz="0" w:space="0" w:color="auto"/>
                    <w:bottom w:val="none" w:sz="0" w:space="0" w:color="auto"/>
                    <w:right w:val="none" w:sz="0" w:space="0" w:color="auto"/>
                  </w:divBdr>
                  <w:divsChild>
                    <w:div w:id="12105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14364">
      <w:bodyDiv w:val="1"/>
      <w:marLeft w:val="0"/>
      <w:marRight w:val="0"/>
      <w:marTop w:val="0"/>
      <w:marBottom w:val="0"/>
      <w:divBdr>
        <w:top w:val="none" w:sz="0" w:space="0" w:color="auto"/>
        <w:left w:val="none" w:sz="0" w:space="0" w:color="auto"/>
        <w:bottom w:val="none" w:sz="0" w:space="0" w:color="auto"/>
        <w:right w:val="none" w:sz="0" w:space="0" w:color="auto"/>
      </w:divBdr>
      <w:divsChild>
        <w:div w:id="1896235774">
          <w:marLeft w:val="0"/>
          <w:marRight w:val="0"/>
          <w:marTop w:val="0"/>
          <w:marBottom w:val="0"/>
          <w:divBdr>
            <w:top w:val="none" w:sz="0" w:space="0" w:color="auto"/>
            <w:left w:val="none" w:sz="0" w:space="0" w:color="auto"/>
            <w:bottom w:val="none" w:sz="0" w:space="0" w:color="auto"/>
            <w:right w:val="none" w:sz="0" w:space="0" w:color="auto"/>
          </w:divBdr>
          <w:divsChild>
            <w:div w:id="208956143">
              <w:marLeft w:val="0"/>
              <w:marRight w:val="0"/>
              <w:marTop w:val="0"/>
              <w:marBottom w:val="0"/>
              <w:divBdr>
                <w:top w:val="none" w:sz="0" w:space="0" w:color="auto"/>
                <w:left w:val="none" w:sz="0" w:space="0" w:color="auto"/>
                <w:bottom w:val="none" w:sz="0" w:space="0" w:color="auto"/>
                <w:right w:val="none" w:sz="0" w:space="0" w:color="auto"/>
              </w:divBdr>
              <w:divsChild>
                <w:div w:id="56319213">
                  <w:marLeft w:val="0"/>
                  <w:marRight w:val="0"/>
                  <w:marTop w:val="0"/>
                  <w:marBottom w:val="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0544">
      <w:bodyDiv w:val="1"/>
      <w:marLeft w:val="0"/>
      <w:marRight w:val="0"/>
      <w:marTop w:val="0"/>
      <w:marBottom w:val="0"/>
      <w:divBdr>
        <w:top w:val="none" w:sz="0" w:space="0" w:color="auto"/>
        <w:left w:val="none" w:sz="0" w:space="0" w:color="auto"/>
        <w:bottom w:val="none" w:sz="0" w:space="0" w:color="auto"/>
        <w:right w:val="none" w:sz="0" w:space="0" w:color="auto"/>
      </w:divBdr>
      <w:divsChild>
        <w:div w:id="815417817">
          <w:marLeft w:val="-225"/>
          <w:marRight w:val="-225"/>
          <w:marTop w:val="0"/>
          <w:marBottom w:val="0"/>
          <w:divBdr>
            <w:top w:val="none" w:sz="0" w:space="0" w:color="auto"/>
            <w:left w:val="none" w:sz="0" w:space="0" w:color="auto"/>
            <w:bottom w:val="none" w:sz="0" w:space="0" w:color="auto"/>
            <w:right w:val="none" w:sz="0" w:space="0" w:color="auto"/>
          </w:divBdr>
          <w:divsChild>
            <w:div w:id="1204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41438">
      <w:bodyDiv w:val="1"/>
      <w:marLeft w:val="0"/>
      <w:marRight w:val="0"/>
      <w:marTop w:val="0"/>
      <w:marBottom w:val="0"/>
      <w:divBdr>
        <w:top w:val="none" w:sz="0" w:space="0" w:color="auto"/>
        <w:left w:val="none" w:sz="0" w:space="0" w:color="auto"/>
        <w:bottom w:val="none" w:sz="0" w:space="0" w:color="auto"/>
        <w:right w:val="none" w:sz="0" w:space="0" w:color="auto"/>
      </w:divBdr>
      <w:divsChild>
        <w:div w:id="1820881708">
          <w:marLeft w:val="0"/>
          <w:marRight w:val="0"/>
          <w:marTop w:val="0"/>
          <w:marBottom w:val="0"/>
          <w:divBdr>
            <w:top w:val="none" w:sz="0" w:space="0" w:color="auto"/>
            <w:left w:val="none" w:sz="0" w:space="0" w:color="auto"/>
            <w:bottom w:val="none" w:sz="0" w:space="0" w:color="auto"/>
            <w:right w:val="none" w:sz="0" w:space="0" w:color="auto"/>
          </w:divBdr>
          <w:divsChild>
            <w:div w:id="1146049548">
              <w:marLeft w:val="0"/>
              <w:marRight w:val="0"/>
              <w:marTop w:val="0"/>
              <w:marBottom w:val="0"/>
              <w:divBdr>
                <w:top w:val="none" w:sz="0" w:space="0" w:color="auto"/>
                <w:left w:val="none" w:sz="0" w:space="0" w:color="auto"/>
                <w:bottom w:val="none" w:sz="0" w:space="0" w:color="auto"/>
                <w:right w:val="none" w:sz="0" w:space="0" w:color="auto"/>
              </w:divBdr>
              <w:divsChild>
                <w:div w:id="16345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0541">
      <w:bodyDiv w:val="1"/>
      <w:marLeft w:val="0"/>
      <w:marRight w:val="0"/>
      <w:marTop w:val="0"/>
      <w:marBottom w:val="0"/>
      <w:divBdr>
        <w:top w:val="none" w:sz="0" w:space="0" w:color="auto"/>
        <w:left w:val="none" w:sz="0" w:space="0" w:color="auto"/>
        <w:bottom w:val="none" w:sz="0" w:space="0" w:color="auto"/>
        <w:right w:val="none" w:sz="0" w:space="0" w:color="auto"/>
      </w:divBdr>
      <w:divsChild>
        <w:div w:id="1571770734">
          <w:marLeft w:val="0"/>
          <w:marRight w:val="0"/>
          <w:marTop w:val="0"/>
          <w:marBottom w:val="0"/>
          <w:divBdr>
            <w:top w:val="none" w:sz="0" w:space="0" w:color="auto"/>
            <w:left w:val="none" w:sz="0" w:space="0" w:color="auto"/>
            <w:bottom w:val="none" w:sz="0" w:space="0" w:color="auto"/>
            <w:right w:val="none" w:sz="0" w:space="0" w:color="auto"/>
          </w:divBdr>
          <w:divsChild>
            <w:div w:id="1045909068">
              <w:marLeft w:val="0"/>
              <w:marRight w:val="0"/>
              <w:marTop w:val="0"/>
              <w:marBottom w:val="0"/>
              <w:divBdr>
                <w:top w:val="none" w:sz="0" w:space="0" w:color="auto"/>
                <w:left w:val="none" w:sz="0" w:space="0" w:color="auto"/>
                <w:bottom w:val="none" w:sz="0" w:space="0" w:color="auto"/>
                <w:right w:val="none" w:sz="0" w:space="0" w:color="auto"/>
              </w:divBdr>
              <w:divsChild>
                <w:div w:id="598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9766">
      <w:bodyDiv w:val="1"/>
      <w:marLeft w:val="0"/>
      <w:marRight w:val="0"/>
      <w:marTop w:val="0"/>
      <w:marBottom w:val="0"/>
      <w:divBdr>
        <w:top w:val="none" w:sz="0" w:space="0" w:color="auto"/>
        <w:left w:val="none" w:sz="0" w:space="0" w:color="auto"/>
        <w:bottom w:val="none" w:sz="0" w:space="0" w:color="auto"/>
        <w:right w:val="none" w:sz="0" w:space="0" w:color="auto"/>
      </w:divBdr>
      <w:divsChild>
        <w:div w:id="1091197322">
          <w:marLeft w:val="0"/>
          <w:marRight w:val="0"/>
          <w:marTop w:val="0"/>
          <w:marBottom w:val="0"/>
          <w:divBdr>
            <w:top w:val="none" w:sz="0" w:space="0" w:color="auto"/>
            <w:left w:val="none" w:sz="0" w:space="0" w:color="auto"/>
            <w:bottom w:val="none" w:sz="0" w:space="0" w:color="auto"/>
            <w:right w:val="none" w:sz="0" w:space="0" w:color="auto"/>
          </w:divBdr>
          <w:divsChild>
            <w:div w:id="527063358">
              <w:marLeft w:val="0"/>
              <w:marRight w:val="0"/>
              <w:marTop w:val="0"/>
              <w:marBottom w:val="0"/>
              <w:divBdr>
                <w:top w:val="none" w:sz="0" w:space="0" w:color="auto"/>
                <w:left w:val="none" w:sz="0" w:space="0" w:color="auto"/>
                <w:bottom w:val="none" w:sz="0" w:space="0" w:color="auto"/>
                <w:right w:val="none" w:sz="0" w:space="0" w:color="auto"/>
              </w:divBdr>
              <w:divsChild>
                <w:div w:id="1117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9277">
      <w:bodyDiv w:val="1"/>
      <w:marLeft w:val="0"/>
      <w:marRight w:val="0"/>
      <w:marTop w:val="0"/>
      <w:marBottom w:val="0"/>
      <w:divBdr>
        <w:top w:val="none" w:sz="0" w:space="0" w:color="auto"/>
        <w:left w:val="none" w:sz="0" w:space="0" w:color="auto"/>
        <w:bottom w:val="none" w:sz="0" w:space="0" w:color="auto"/>
        <w:right w:val="none" w:sz="0" w:space="0" w:color="auto"/>
      </w:divBdr>
      <w:divsChild>
        <w:div w:id="104078255">
          <w:marLeft w:val="0"/>
          <w:marRight w:val="0"/>
          <w:marTop w:val="0"/>
          <w:marBottom w:val="0"/>
          <w:divBdr>
            <w:top w:val="none" w:sz="0" w:space="0" w:color="auto"/>
            <w:left w:val="none" w:sz="0" w:space="0" w:color="auto"/>
            <w:bottom w:val="none" w:sz="0" w:space="0" w:color="auto"/>
            <w:right w:val="none" w:sz="0" w:space="0" w:color="auto"/>
          </w:divBdr>
          <w:divsChild>
            <w:div w:id="177816461">
              <w:marLeft w:val="0"/>
              <w:marRight w:val="0"/>
              <w:marTop w:val="0"/>
              <w:marBottom w:val="0"/>
              <w:divBdr>
                <w:top w:val="none" w:sz="0" w:space="0" w:color="auto"/>
                <w:left w:val="none" w:sz="0" w:space="0" w:color="auto"/>
                <w:bottom w:val="none" w:sz="0" w:space="0" w:color="auto"/>
                <w:right w:val="none" w:sz="0" w:space="0" w:color="auto"/>
              </w:divBdr>
              <w:divsChild>
                <w:div w:id="20661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948">
      <w:bodyDiv w:val="1"/>
      <w:marLeft w:val="0"/>
      <w:marRight w:val="0"/>
      <w:marTop w:val="0"/>
      <w:marBottom w:val="0"/>
      <w:divBdr>
        <w:top w:val="none" w:sz="0" w:space="0" w:color="auto"/>
        <w:left w:val="none" w:sz="0" w:space="0" w:color="auto"/>
        <w:bottom w:val="none" w:sz="0" w:space="0" w:color="auto"/>
        <w:right w:val="none" w:sz="0" w:space="0" w:color="auto"/>
      </w:divBdr>
      <w:divsChild>
        <w:div w:id="1553930979">
          <w:marLeft w:val="0"/>
          <w:marRight w:val="0"/>
          <w:marTop w:val="0"/>
          <w:marBottom w:val="0"/>
          <w:divBdr>
            <w:top w:val="none" w:sz="0" w:space="0" w:color="auto"/>
            <w:left w:val="none" w:sz="0" w:space="0" w:color="auto"/>
            <w:bottom w:val="none" w:sz="0" w:space="0" w:color="auto"/>
            <w:right w:val="none" w:sz="0" w:space="0" w:color="auto"/>
          </w:divBdr>
          <w:divsChild>
            <w:div w:id="234971919">
              <w:marLeft w:val="0"/>
              <w:marRight w:val="0"/>
              <w:marTop w:val="0"/>
              <w:marBottom w:val="0"/>
              <w:divBdr>
                <w:top w:val="none" w:sz="0" w:space="0" w:color="auto"/>
                <w:left w:val="none" w:sz="0" w:space="0" w:color="auto"/>
                <w:bottom w:val="none" w:sz="0" w:space="0" w:color="auto"/>
                <w:right w:val="none" w:sz="0" w:space="0" w:color="auto"/>
              </w:divBdr>
              <w:divsChild>
                <w:div w:id="852495011">
                  <w:marLeft w:val="0"/>
                  <w:marRight w:val="0"/>
                  <w:marTop w:val="0"/>
                  <w:marBottom w:val="0"/>
                  <w:divBdr>
                    <w:top w:val="none" w:sz="0" w:space="0" w:color="auto"/>
                    <w:left w:val="none" w:sz="0" w:space="0" w:color="auto"/>
                    <w:bottom w:val="none" w:sz="0" w:space="0" w:color="auto"/>
                    <w:right w:val="none" w:sz="0" w:space="0" w:color="auto"/>
                  </w:divBdr>
                  <w:divsChild>
                    <w:div w:id="1006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5406">
      <w:bodyDiv w:val="1"/>
      <w:marLeft w:val="0"/>
      <w:marRight w:val="0"/>
      <w:marTop w:val="0"/>
      <w:marBottom w:val="0"/>
      <w:divBdr>
        <w:top w:val="none" w:sz="0" w:space="0" w:color="auto"/>
        <w:left w:val="none" w:sz="0" w:space="0" w:color="auto"/>
        <w:bottom w:val="none" w:sz="0" w:space="0" w:color="auto"/>
        <w:right w:val="none" w:sz="0" w:space="0" w:color="auto"/>
      </w:divBdr>
      <w:divsChild>
        <w:div w:id="176627905">
          <w:marLeft w:val="0"/>
          <w:marRight w:val="0"/>
          <w:marTop w:val="0"/>
          <w:marBottom w:val="0"/>
          <w:divBdr>
            <w:top w:val="none" w:sz="0" w:space="0" w:color="auto"/>
            <w:left w:val="none" w:sz="0" w:space="0" w:color="auto"/>
            <w:bottom w:val="none" w:sz="0" w:space="0" w:color="auto"/>
            <w:right w:val="none" w:sz="0" w:space="0" w:color="auto"/>
          </w:divBdr>
          <w:divsChild>
            <w:div w:id="1470896303">
              <w:marLeft w:val="0"/>
              <w:marRight w:val="0"/>
              <w:marTop w:val="0"/>
              <w:marBottom w:val="0"/>
              <w:divBdr>
                <w:top w:val="none" w:sz="0" w:space="0" w:color="auto"/>
                <w:left w:val="none" w:sz="0" w:space="0" w:color="auto"/>
                <w:bottom w:val="none" w:sz="0" w:space="0" w:color="auto"/>
                <w:right w:val="none" w:sz="0" w:space="0" w:color="auto"/>
              </w:divBdr>
              <w:divsChild>
                <w:div w:id="1064521822">
                  <w:marLeft w:val="0"/>
                  <w:marRight w:val="0"/>
                  <w:marTop w:val="0"/>
                  <w:marBottom w:val="0"/>
                  <w:divBdr>
                    <w:top w:val="none" w:sz="0" w:space="0" w:color="auto"/>
                    <w:left w:val="none" w:sz="0" w:space="0" w:color="auto"/>
                    <w:bottom w:val="none" w:sz="0" w:space="0" w:color="auto"/>
                    <w:right w:val="none" w:sz="0" w:space="0" w:color="auto"/>
                  </w:divBdr>
                  <w:divsChild>
                    <w:div w:id="2491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7252">
      <w:bodyDiv w:val="1"/>
      <w:marLeft w:val="0"/>
      <w:marRight w:val="0"/>
      <w:marTop w:val="0"/>
      <w:marBottom w:val="0"/>
      <w:divBdr>
        <w:top w:val="none" w:sz="0" w:space="0" w:color="auto"/>
        <w:left w:val="none" w:sz="0" w:space="0" w:color="auto"/>
        <w:bottom w:val="none" w:sz="0" w:space="0" w:color="auto"/>
        <w:right w:val="none" w:sz="0" w:space="0" w:color="auto"/>
      </w:divBdr>
      <w:divsChild>
        <w:div w:id="520242291">
          <w:marLeft w:val="0"/>
          <w:marRight w:val="0"/>
          <w:marTop w:val="0"/>
          <w:marBottom w:val="0"/>
          <w:divBdr>
            <w:top w:val="none" w:sz="0" w:space="0" w:color="auto"/>
            <w:left w:val="none" w:sz="0" w:space="0" w:color="auto"/>
            <w:bottom w:val="none" w:sz="0" w:space="0" w:color="auto"/>
            <w:right w:val="none" w:sz="0" w:space="0" w:color="auto"/>
          </w:divBdr>
          <w:divsChild>
            <w:div w:id="1890140809">
              <w:marLeft w:val="0"/>
              <w:marRight w:val="0"/>
              <w:marTop w:val="0"/>
              <w:marBottom w:val="0"/>
              <w:divBdr>
                <w:top w:val="none" w:sz="0" w:space="0" w:color="auto"/>
                <w:left w:val="none" w:sz="0" w:space="0" w:color="auto"/>
                <w:bottom w:val="none" w:sz="0" w:space="0" w:color="auto"/>
                <w:right w:val="none" w:sz="0" w:space="0" w:color="auto"/>
              </w:divBdr>
              <w:divsChild>
                <w:div w:id="285091028">
                  <w:marLeft w:val="0"/>
                  <w:marRight w:val="0"/>
                  <w:marTop w:val="0"/>
                  <w:marBottom w:val="0"/>
                  <w:divBdr>
                    <w:top w:val="none" w:sz="0" w:space="0" w:color="auto"/>
                    <w:left w:val="none" w:sz="0" w:space="0" w:color="auto"/>
                    <w:bottom w:val="none" w:sz="0" w:space="0" w:color="auto"/>
                    <w:right w:val="none" w:sz="0" w:space="0" w:color="auto"/>
                  </w:divBdr>
                  <w:divsChild>
                    <w:div w:id="19622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3280">
      <w:bodyDiv w:val="1"/>
      <w:marLeft w:val="0"/>
      <w:marRight w:val="0"/>
      <w:marTop w:val="0"/>
      <w:marBottom w:val="0"/>
      <w:divBdr>
        <w:top w:val="none" w:sz="0" w:space="0" w:color="auto"/>
        <w:left w:val="none" w:sz="0" w:space="0" w:color="auto"/>
        <w:bottom w:val="none" w:sz="0" w:space="0" w:color="auto"/>
        <w:right w:val="none" w:sz="0" w:space="0" w:color="auto"/>
      </w:divBdr>
      <w:divsChild>
        <w:div w:id="2141803653">
          <w:marLeft w:val="0"/>
          <w:marRight w:val="0"/>
          <w:marTop w:val="0"/>
          <w:marBottom w:val="0"/>
          <w:divBdr>
            <w:top w:val="none" w:sz="0" w:space="0" w:color="auto"/>
            <w:left w:val="none" w:sz="0" w:space="0" w:color="auto"/>
            <w:bottom w:val="none" w:sz="0" w:space="0" w:color="auto"/>
            <w:right w:val="none" w:sz="0" w:space="0" w:color="auto"/>
          </w:divBdr>
          <w:divsChild>
            <w:div w:id="4720480">
              <w:marLeft w:val="0"/>
              <w:marRight w:val="0"/>
              <w:marTop w:val="0"/>
              <w:marBottom w:val="0"/>
              <w:divBdr>
                <w:top w:val="none" w:sz="0" w:space="0" w:color="auto"/>
                <w:left w:val="none" w:sz="0" w:space="0" w:color="auto"/>
                <w:bottom w:val="none" w:sz="0" w:space="0" w:color="auto"/>
                <w:right w:val="none" w:sz="0" w:space="0" w:color="auto"/>
              </w:divBdr>
              <w:divsChild>
                <w:div w:id="131366747">
                  <w:marLeft w:val="0"/>
                  <w:marRight w:val="0"/>
                  <w:marTop w:val="0"/>
                  <w:marBottom w:val="0"/>
                  <w:divBdr>
                    <w:top w:val="none" w:sz="0" w:space="0" w:color="auto"/>
                    <w:left w:val="none" w:sz="0" w:space="0" w:color="auto"/>
                    <w:bottom w:val="none" w:sz="0" w:space="0" w:color="auto"/>
                    <w:right w:val="none" w:sz="0" w:space="0" w:color="auto"/>
                  </w:divBdr>
                  <w:divsChild>
                    <w:div w:id="234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93382">
      <w:bodyDiv w:val="1"/>
      <w:marLeft w:val="0"/>
      <w:marRight w:val="0"/>
      <w:marTop w:val="0"/>
      <w:marBottom w:val="0"/>
      <w:divBdr>
        <w:top w:val="none" w:sz="0" w:space="0" w:color="auto"/>
        <w:left w:val="none" w:sz="0" w:space="0" w:color="auto"/>
        <w:bottom w:val="none" w:sz="0" w:space="0" w:color="auto"/>
        <w:right w:val="none" w:sz="0" w:space="0" w:color="auto"/>
      </w:divBdr>
      <w:divsChild>
        <w:div w:id="1235428889">
          <w:marLeft w:val="0"/>
          <w:marRight w:val="0"/>
          <w:marTop w:val="0"/>
          <w:marBottom w:val="0"/>
          <w:divBdr>
            <w:top w:val="none" w:sz="0" w:space="0" w:color="auto"/>
            <w:left w:val="none" w:sz="0" w:space="0" w:color="auto"/>
            <w:bottom w:val="none" w:sz="0" w:space="0" w:color="auto"/>
            <w:right w:val="none" w:sz="0" w:space="0" w:color="auto"/>
          </w:divBdr>
          <w:divsChild>
            <w:div w:id="2046439623">
              <w:marLeft w:val="0"/>
              <w:marRight w:val="0"/>
              <w:marTop w:val="0"/>
              <w:marBottom w:val="0"/>
              <w:divBdr>
                <w:top w:val="none" w:sz="0" w:space="0" w:color="auto"/>
                <w:left w:val="none" w:sz="0" w:space="0" w:color="auto"/>
                <w:bottom w:val="none" w:sz="0" w:space="0" w:color="auto"/>
                <w:right w:val="none" w:sz="0" w:space="0" w:color="auto"/>
              </w:divBdr>
              <w:divsChild>
                <w:div w:id="1415782766">
                  <w:marLeft w:val="0"/>
                  <w:marRight w:val="0"/>
                  <w:marTop w:val="0"/>
                  <w:marBottom w:val="0"/>
                  <w:divBdr>
                    <w:top w:val="none" w:sz="0" w:space="0" w:color="auto"/>
                    <w:left w:val="none" w:sz="0" w:space="0" w:color="auto"/>
                    <w:bottom w:val="none" w:sz="0" w:space="0" w:color="auto"/>
                    <w:right w:val="none" w:sz="0" w:space="0" w:color="auto"/>
                  </w:divBdr>
                  <w:divsChild>
                    <w:div w:id="12530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9632">
      <w:bodyDiv w:val="1"/>
      <w:marLeft w:val="0"/>
      <w:marRight w:val="0"/>
      <w:marTop w:val="0"/>
      <w:marBottom w:val="0"/>
      <w:divBdr>
        <w:top w:val="none" w:sz="0" w:space="0" w:color="auto"/>
        <w:left w:val="none" w:sz="0" w:space="0" w:color="auto"/>
        <w:bottom w:val="none" w:sz="0" w:space="0" w:color="auto"/>
        <w:right w:val="none" w:sz="0" w:space="0" w:color="auto"/>
      </w:divBdr>
      <w:divsChild>
        <w:div w:id="210267234">
          <w:marLeft w:val="0"/>
          <w:marRight w:val="0"/>
          <w:marTop w:val="0"/>
          <w:marBottom w:val="0"/>
          <w:divBdr>
            <w:top w:val="none" w:sz="0" w:space="0" w:color="auto"/>
            <w:left w:val="none" w:sz="0" w:space="0" w:color="auto"/>
            <w:bottom w:val="none" w:sz="0" w:space="0" w:color="auto"/>
            <w:right w:val="none" w:sz="0" w:space="0" w:color="auto"/>
          </w:divBdr>
          <w:divsChild>
            <w:div w:id="777679944">
              <w:marLeft w:val="0"/>
              <w:marRight w:val="0"/>
              <w:marTop w:val="0"/>
              <w:marBottom w:val="0"/>
              <w:divBdr>
                <w:top w:val="none" w:sz="0" w:space="0" w:color="auto"/>
                <w:left w:val="none" w:sz="0" w:space="0" w:color="auto"/>
                <w:bottom w:val="none" w:sz="0" w:space="0" w:color="auto"/>
                <w:right w:val="none" w:sz="0" w:space="0" w:color="auto"/>
              </w:divBdr>
              <w:divsChild>
                <w:div w:id="2030138487">
                  <w:marLeft w:val="0"/>
                  <w:marRight w:val="0"/>
                  <w:marTop w:val="0"/>
                  <w:marBottom w:val="0"/>
                  <w:divBdr>
                    <w:top w:val="none" w:sz="0" w:space="0" w:color="auto"/>
                    <w:left w:val="none" w:sz="0" w:space="0" w:color="auto"/>
                    <w:bottom w:val="none" w:sz="0" w:space="0" w:color="auto"/>
                    <w:right w:val="none" w:sz="0" w:space="0" w:color="auto"/>
                  </w:divBdr>
                  <w:divsChild>
                    <w:div w:id="129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386">
      <w:bodyDiv w:val="1"/>
      <w:marLeft w:val="0"/>
      <w:marRight w:val="0"/>
      <w:marTop w:val="0"/>
      <w:marBottom w:val="0"/>
      <w:divBdr>
        <w:top w:val="none" w:sz="0" w:space="0" w:color="auto"/>
        <w:left w:val="none" w:sz="0" w:space="0" w:color="auto"/>
        <w:bottom w:val="none" w:sz="0" w:space="0" w:color="auto"/>
        <w:right w:val="none" w:sz="0" w:space="0" w:color="auto"/>
      </w:divBdr>
      <w:divsChild>
        <w:div w:id="358823654">
          <w:marLeft w:val="0"/>
          <w:marRight w:val="0"/>
          <w:marTop w:val="0"/>
          <w:marBottom w:val="0"/>
          <w:divBdr>
            <w:top w:val="none" w:sz="0" w:space="0" w:color="auto"/>
            <w:left w:val="none" w:sz="0" w:space="0" w:color="auto"/>
            <w:bottom w:val="none" w:sz="0" w:space="0" w:color="auto"/>
            <w:right w:val="none" w:sz="0" w:space="0" w:color="auto"/>
          </w:divBdr>
          <w:divsChild>
            <w:div w:id="1487478937">
              <w:marLeft w:val="0"/>
              <w:marRight w:val="0"/>
              <w:marTop w:val="0"/>
              <w:marBottom w:val="0"/>
              <w:divBdr>
                <w:top w:val="none" w:sz="0" w:space="0" w:color="auto"/>
                <w:left w:val="none" w:sz="0" w:space="0" w:color="auto"/>
                <w:bottom w:val="none" w:sz="0" w:space="0" w:color="auto"/>
                <w:right w:val="none" w:sz="0" w:space="0" w:color="auto"/>
              </w:divBdr>
              <w:divsChild>
                <w:div w:id="1471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3161">
      <w:bodyDiv w:val="1"/>
      <w:marLeft w:val="0"/>
      <w:marRight w:val="0"/>
      <w:marTop w:val="0"/>
      <w:marBottom w:val="0"/>
      <w:divBdr>
        <w:top w:val="none" w:sz="0" w:space="0" w:color="auto"/>
        <w:left w:val="none" w:sz="0" w:space="0" w:color="auto"/>
        <w:bottom w:val="none" w:sz="0" w:space="0" w:color="auto"/>
        <w:right w:val="none" w:sz="0" w:space="0" w:color="auto"/>
      </w:divBdr>
      <w:divsChild>
        <w:div w:id="150566134">
          <w:marLeft w:val="0"/>
          <w:marRight w:val="0"/>
          <w:marTop w:val="0"/>
          <w:marBottom w:val="0"/>
          <w:divBdr>
            <w:top w:val="none" w:sz="0" w:space="0" w:color="auto"/>
            <w:left w:val="none" w:sz="0" w:space="0" w:color="auto"/>
            <w:bottom w:val="none" w:sz="0" w:space="0" w:color="auto"/>
            <w:right w:val="none" w:sz="0" w:space="0" w:color="auto"/>
          </w:divBdr>
          <w:divsChild>
            <w:div w:id="1641568516">
              <w:marLeft w:val="0"/>
              <w:marRight w:val="0"/>
              <w:marTop w:val="0"/>
              <w:marBottom w:val="0"/>
              <w:divBdr>
                <w:top w:val="none" w:sz="0" w:space="0" w:color="auto"/>
                <w:left w:val="none" w:sz="0" w:space="0" w:color="auto"/>
                <w:bottom w:val="none" w:sz="0" w:space="0" w:color="auto"/>
                <w:right w:val="none" w:sz="0" w:space="0" w:color="auto"/>
              </w:divBdr>
              <w:divsChild>
                <w:div w:id="150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5124">
      <w:bodyDiv w:val="1"/>
      <w:marLeft w:val="0"/>
      <w:marRight w:val="0"/>
      <w:marTop w:val="0"/>
      <w:marBottom w:val="0"/>
      <w:divBdr>
        <w:top w:val="none" w:sz="0" w:space="0" w:color="auto"/>
        <w:left w:val="none" w:sz="0" w:space="0" w:color="auto"/>
        <w:bottom w:val="none" w:sz="0" w:space="0" w:color="auto"/>
        <w:right w:val="none" w:sz="0" w:space="0" w:color="auto"/>
      </w:divBdr>
      <w:divsChild>
        <w:div w:id="641618990">
          <w:marLeft w:val="0"/>
          <w:marRight w:val="0"/>
          <w:marTop w:val="0"/>
          <w:marBottom w:val="0"/>
          <w:divBdr>
            <w:top w:val="none" w:sz="0" w:space="0" w:color="auto"/>
            <w:left w:val="none" w:sz="0" w:space="0" w:color="auto"/>
            <w:bottom w:val="none" w:sz="0" w:space="0" w:color="auto"/>
            <w:right w:val="none" w:sz="0" w:space="0" w:color="auto"/>
          </w:divBdr>
          <w:divsChild>
            <w:div w:id="880440653">
              <w:marLeft w:val="0"/>
              <w:marRight w:val="0"/>
              <w:marTop w:val="0"/>
              <w:marBottom w:val="0"/>
              <w:divBdr>
                <w:top w:val="none" w:sz="0" w:space="0" w:color="auto"/>
                <w:left w:val="none" w:sz="0" w:space="0" w:color="auto"/>
                <w:bottom w:val="none" w:sz="0" w:space="0" w:color="auto"/>
                <w:right w:val="none" w:sz="0" w:space="0" w:color="auto"/>
              </w:divBdr>
              <w:divsChild>
                <w:div w:id="91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2733">
      <w:bodyDiv w:val="1"/>
      <w:marLeft w:val="0"/>
      <w:marRight w:val="0"/>
      <w:marTop w:val="0"/>
      <w:marBottom w:val="0"/>
      <w:divBdr>
        <w:top w:val="none" w:sz="0" w:space="0" w:color="auto"/>
        <w:left w:val="none" w:sz="0" w:space="0" w:color="auto"/>
        <w:bottom w:val="none" w:sz="0" w:space="0" w:color="auto"/>
        <w:right w:val="none" w:sz="0" w:space="0" w:color="auto"/>
      </w:divBdr>
      <w:divsChild>
        <w:div w:id="159271688">
          <w:marLeft w:val="0"/>
          <w:marRight w:val="0"/>
          <w:marTop w:val="0"/>
          <w:marBottom w:val="0"/>
          <w:divBdr>
            <w:top w:val="none" w:sz="0" w:space="0" w:color="auto"/>
            <w:left w:val="none" w:sz="0" w:space="0" w:color="auto"/>
            <w:bottom w:val="none" w:sz="0" w:space="0" w:color="auto"/>
            <w:right w:val="none" w:sz="0" w:space="0" w:color="auto"/>
          </w:divBdr>
          <w:divsChild>
            <w:div w:id="932320067">
              <w:marLeft w:val="0"/>
              <w:marRight w:val="0"/>
              <w:marTop w:val="0"/>
              <w:marBottom w:val="0"/>
              <w:divBdr>
                <w:top w:val="none" w:sz="0" w:space="0" w:color="auto"/>
                <w:left w:val="none" w:sz="0" w:space="0" w:color="auto"/>
                <w:bottom w:val="none" w:sz="0" w:space="0" w:color="auto"/>
                <w:right w:val="none" w:sz="0" w:space="0" w:color="auto"/>
              </w:divBdr>
              <w:divsChild>
                <w:div w:id="1126505539">
                  <w:marLeft w:val="0"/>
                  <w:marRight w:val="0"/>
                  <w:marTop w:val="0"/>
                  <w:marBottom w:val="0"/>
                  <w:divBdr>
                    <w:top w:val="none" w:sz="0" w:space="0" w:color="auto"/>
                    <w:left w:val="none" w:sz="0" w:space="0" w:color="auto"/>
                    <w:bottom w:val="none" w:sz="0" w:space="0" w:color="auto"/>
                    <w:right w:val="none" w:sz="0" w:space="0" w:color="auto"/>
                  </w:divBdr>
                  <w:divsChild>
                    <w:div w:id="13134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3552">
      <w:bodyDiv w:val="1"/>
      <w:marLeft w:val="0"/>
      <w:marRight w:val="0"/>
      <w:marTop w:val="0"/>
      <w:marBottom w:val="0"/>
      <w:divBdr>
        <w:top w:val="none" w:sz="0" w:space="0" w:color="auto"/>
        <w:left w:val="none" w:sz="0" w:space="0" w:color="auto"/>
        <w:bottom w:val="none" w:sz="0" w:space="0" w:color="auto"/>
        <w:right w:val="none" w:sz="0" w:space="0" w:color="auto"/>
      </w:divBdr>
      <w:divsChild>
        <w:div w:id="1976720711">
          <w:marLeft w:val="0"/>
          <w:marRight w:val="0"/>
          <w:marTop w:val="0"/>
          <w:marBottom w:val="0"/>
          <w:divBdr>
            <w:top w:val="none" w:sz="0" w:space="0" w:color="auto"/>
            <w:left w:val="none" w:sz="0" w:space="0" w:color="auto"/>
            <w:bottom w:val="none" w:sz="0" w:space="0" w:color="auto"/>
            <w:right w:val="none" w:sz="0" w:space="0" w:color="auto"/>
          </w:divBdr>
          <w:divsChild>
            <w:div w:id="818112282">
              <w:marLeft w:val="0"/>
              <w:marRight w:val="0"/>
              <w:marTop w:val="0"/>
              <w:marBottom w:val="0"/>
              <w:divBdr>
                <w:top w:val="none" w:sz="0" w:space="0" w:color="auto"/>
                <w:left w:val="none" w:sz="0" w:space="0" w:color="auto"/>
                <w:bottom w:val="none" w:sz="0" w:space="0" w:color="auto"/>
                <w:right w:val="none" w:sz="0" w:space="0" w:color="auto"/>
              </w:divBdr>
              <w:divsChild>
                <w:div w:id="1067651234">
                  <w:marLeft w:val="0"/>
                  <w:marRight w:val="0"/>
                  <w:marTop w:val="0"/>
                  <w:marBottom w:val="0"/>
                  <w:divBdr>
                    <w:top w:val="none" w:sz="0" w:space="0" w:color="auto"/>
                    <w:left w:val="none" w:sz="0" w:space="0" w:color="auto"/>
                    <w:bottom w:val="none" w:sz="0" w:space="0" w:color="auto"/>
                    <w:right w:val="none" w:sz="0" w:space="0" w:color="auto"/>
                  </w:divBdr>
                </w:div>
              </w:divsChild>
            </w:div>
            <w:div w:id="1789158902">
              <w:marLeft w:val="0"/>
              <w:marRight w:val="0"/>
              <w:marTop w:val="0"/>
              <w:marBottom w:val="0"/>
              <w:divBdr>
                <w:top w:val="none" w:sz="0" w:space="0" w:color="auto"/>
                <w:left w:val="none" w:sz="0" w:space="0" w:color="auto"/>
                <w:bottom w:val="none" w:sz="0" w:space="0" w:color="auto"/>
                <w:right w:val="none" w:sz="0" w:space="0" w:color="auto"/>
              </w:divBdr>
              <w:divsChild>
                <w:div w:id="5997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4664">
      <w:bodyDiv w:val="1"/>
      <w:marLeft w:val="0"/>
      <w:marRight w:val="0"/>
      <w:marTop w:val="0"/>
      <w:marBottom w:val="0"/>
      <w:divBdr>
        <w:top w:val="none" w:sz="0" w:space="0" w:color="auto"/>
        <w:left w:val="none" w:sz="0" w:space="0" w:color="auto"/>
        <w:bottom w:val="none" w:sz="0" w:space="0" w:color="auto"/>
        <w:right w:val="none" w:sz="0" w:space="0" w:color="auto"/>
      </w:divBdr>
      <w:divsChild>
        <w:div w:id="601181423">
          <w:marLeft w:val="0"/>
          <w:marRight w:val="0"/>
          <w:marTop w:val="0"/>
          <w:marBottom w:val="0"/>
          <w:divBdr>
            <w:top w:val="none" w:sz="0" w:space="0" w:color="auto"/>
            <w:left w:val="none" w:sz="0" w:space="0" w:color="auto"/>
            <w:bottom w:val="none" w:sz="0" w:space="0" w:color="auto"/>
            <w:right w:val="none" w:sz="0" w:space="0" w:color="auto"/>
          </w:divBdr>
          <w:divsChild>
            <w:div w:id="511842944">
              <w:marLeft w:val="0"/>
              <w:marRight w:val="0"/>
              <w:marTop w:val="0"/>
              <w:marBottom w:val="0"/>
              <w:divBdr>
                <w:top w:val="none" w:sz="0" w:space="0" w:color="auto"/>
                <w:left w:val="none" w:sz="0" w:space="0" w:color="auto"/>
                <w:bottom w:val="none" w:sz="0" w:space="0" w:color="auto"/>
                <w:right w:val="none" w:sz="0" w:space="0" w:color="auto"/>
              </w:divBdr>
              <w:divsChild>
                <w:div w:id="278924339">
                  <w:marLeft w:val="0"/>
                  <w:marRight w:val="0"/>
                  <w:marTop w:val="0"/>
                  <w:marBottom w:val="0"/>
                  <w:divBdr>
                    <w:top w:val="none" w:sz="0" w:space="0" w:color="auto"/>
                    <w:left w:val="none" w:sz="0" w:space="0" w:color="auto"/>
                    <w:bottom w:val="none" w:sz="0" w:space="0" w:color="auto"/>
                    <w:right w:val="none" w:sz="0" w:space="0" w:color="auto"/>
                  </w:divBdr>
                  <w:divsChild>
                    <w:div w:id="164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6967">
      <w:bodyDiv w:val="1"/>
      <w:marLeft w:val="0"/>
      <w:marRight w:val="0"/>
      <w:marTop w:val="0"/>
      <w:marBottom w:val="0"/>
      <w:divBdr>
        <w:top w:val="none" w:sz="0" w:space="0" w:color="auto"/>
        <w:left w:val="none" w:sz="0" w:space="0" w:color="auto"/>
        <w:bottom w:val="none" w:sz="0" w:space="0" w:color="auto"/>
        <w:right w:val="none" w:sz="0" w:space="0" w:color="auto"/>
      </w:divBdr>
      <w:divsChild>
        <w:div w:id="190382468">
          <w:marLeft w:val="0"/>
          <w:marRight w:val="0"/>
          <w:marTop w:val="0"/>
          <w:marBottom w:val="0"/>
          <w:divBdr>
            <w:top w:val="none" w:sz="0" w:space="0" w:color="auto"/>
            <w:left w:val="none" w:sz="0" w:space="0" w:color="auto"/>
            <w:bottom w:val="none" w:sz="0" w:space="0" w:color="auto"/>
            <w:right w:val="none" w:sz="0" w:space="0" w:color="auto"/>
          </w:divBdr>
          <w:divsChild>
            <w:div w:id="996106761">
              <w:marLeft w:val="0"/>
              <w:marRight w:val="0"/>
              <w:marTop w:val="0"/>
              <w:marBottom w:val="0"/>
              <w:divBdr>
                <w:top w:val="none" w:sz="0" w:space="0" w:color="auto"/>
                <w:left w:val="none" w:sz="0" w:space="0" w:color="auto"/>
                <w:bottom w:val="none" w:sz="0" w:space="0" w:color="auto"/>
                <w:right w:val="none" w:sz="0" w:space="0" w:color="auto"/>
              </w:divBdr>
              <w:divsChild>
                <w:div w:id="1930700297">
                  <w:marLeft w:val="0"/>
                  <w:marRight w:val="0"/>
                  <w:marTop w:val="0"/>
                  <w:marBottom w:val="0"/>
                  <w:divBdr>
                    <w:top w:val="none" w:sz="0" w:space="0" w:color="auto"/>
                    <w:left w:val="none" w:sz="0" w:space="0" w:color="auto"/>
                    <w:bottom w:val="none" w:sz="0" w:space="0" w:color="auto"/>
                    <w:right w:val="none" w:sz="0" w:space="0" w:color="auto"/>
                  </w:divBdr>
                  <w:divsChild>
                    <w:div w:id="131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710">
      <w:bodyDiv w:val="1"/>
      <w:marLeft w:val="0"/>
      <w:marRight w:val="0"/>
      <w:marTop w:val="0"/>
      <w:marBottom w:val="0"/>
      <w:divBdr>
        <w:top w:val="none" w:sz="0" w:space="0" w:color="auto"/>
        <w:left w:val="none" w:sz="0" w:space="0" w:color="auto"/>
        <w:bottom w:val="none" w:sz="0" w:space="0" w:color="auto"/>
        <w:right w:val="none" w:sz="0" w:space="0" w:color="auto"/>
      </w:divBdr>
      <w:divsChild>
        <w:div w:id="1423532920">
          <w:marLeft w:val="0"/>
          <w:marRight w:val="0"/>
          <w:marTop w:val="0"/>
          <w:marBottom w:val="0"/>
          <w:divBdr>
            <w:top w:val="none" w:sz="0" w:space="0" w:color="auto"/>
            <w:left w:val="none" w:sz="0" w:space="0" w:color="auto"/>
            <w:bottom w:val="none" w:sz="0" w:space="0" w:color="auto"/>
            <w:right w:val="none" w:sz="0" w:space="0" w:color="auto"/>
          </w:divBdr>
          <w:divsChild>
            <w:div w:id="948462978">
              <w:marLeft w:val="0"/>
              <w:marRight w:val="0"/>
              <w:marTop w:val="0"/>
              <w:marBottom w:val="0"/>
              <w:divBdr>
                <w:top w:val="none" w:sz="0" w:space="0" w:color="auto"/>
                <w:left w:val="none" w:sz="0" w:space="0" w:color="auto"/>
                <w:bottom w:val="none" w:sz="0" w:space="0" w:color="auto"/>
                <w:right w:val="none" w:sz="0" w:space="0" w:color="auto"/>
              </w:divBdr>
              <w:divsChild>
                <w:div w:id="1555971661">
                  <w:marLeft w:val="0"/>
                  <w:marRight w:val="0"/>
                  <w:marTop w:val="0"/>
                  <w:marBottom w:val="0"/>
                  <w:divBdr>
                    <w:top w:val="none" w:sz="0" w:space="0" w:color="auto"/>
                    <w:left w:val="none" w:sz="0" w:space="0" w:color="auto"/>
                    <w:bottom w:val="none" w:sz="0" w:space="0" w:color="auto"/>
                    <w:right w:val="none" w:sz="0" w:space="0" w:color="auto"/>
                  </w:divBdr>
                  <w:divsChild>
                    <w:div w:id="564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1525">
      <w:bodyDiv w:val="1"/>
      <w:marLeft w:val="0"/>
      <w:marRight w:val="0"/>
      <w:marTop w:val="0"/>
      <w:marBottom w:val="0"/>
      <w:divBdr>
        <w:top w:val="none" w:sz="0" w:space="0" w:color="auto"/>
        <w:left w:val="none" w:sz="0" w:space="0" w:color="auto"/>
        <w:bottom w:val="none" w:sz="0" w:space="0" w:color="auto"/>
        <w:right w:val="none" w:sz="0" w:space="0" w:color="auto"/>
      </w:divBdr>
    </w:div>
    <w:div w:id="494228328">
      <w:bodyDiv w:val="1"/>
      <w:marLeft w:val="0"/>
      <w:marRight w:val="0"/>
      <w:marTop w:val="0"/>
      <w:marBottom w:val="0"/>
      <w:divBdr>
        <w:top w:val="none" w:sz="0" w:space="0" w:color="auto"/>
        <w:left w:val="none" w:sz="0" w:space="0" w:color="auto"/>
        <w:bottom w:val="none" w:sz="0" w:space="0" w:color="auto"/>
        <w:right w:val="none" w:sz="0" w:space="0" w:color="auto"/>
      </w:divBdr>
      <w:divsChild>
        <w:div w:id="2112966926">
          <w:marLeft w:val="0"/>
          <w:marRight w:val="0"/>
          <w:marTop w:val="0"/>
          <w:marBottom w:val="0"/>
          <w:divBdr>
            <w:top w:val="none" w:sz="0" w:space="0" w:color="auto"/>
            <w:left w:val="none" w:sz="0" w:space="0" w:color="auto"/>
            <w:bottom w:val="none" w:sz="0" w:space="0" w:color="auto"/>
            <w:right w:val="none" w:sz="0" w:space="0" w:color="auto"/>
          </w:divBdr>
          <w:divsChild>
            <w:div w:id="496699249">
              <w:marLeft w:val="0"/>
              <w:marRight w:val="0"/>
              <w:marTop w:val="0"/>
              <w:marBottom w:val="0"/>
              <w:divBdr>
                <w:top w:val="none" w:sz="0" w:space="0" w:color="auto"/>
                <w:left w:val="none" w:sz="0" w:space="0" w:color="auto"/>
                <w:bottom w:val="none" w:sz="0" w:space="0" w:color="auto"/>
                <w:right w:val="none" w:sz="0" w:space="0" w:color="auto"/>
              </w:divBdr>
              <w:divsChild>
                <w:div w:id="1981955020">
                  <w:marLeft w:val="0"/>
                  <w:marRight w:val="0"/>
                  <w:marTop w:val="0"/>
                  <w:marBottom w:val="0"/>
                  <w:divBdr>
                    <w:top w:val="none" w:sz="0" w:space="0" w:color="auto"/>
                    <w:left w:val="none" w:sz="0" w:space="0" w:color="auto"/>
                    <w:bottom w:val="none" w:sz="0" w:space="0" w:color="auto"/>
                    <w:right w:val="none" w:sz="0" w:space="0" w:color="auto"/>
                  </w:divBdr>
                  <w:divsChild>
                    <w:div w:id="17398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3795">
      <w:bodyDiv w:val="1"/>
      <w:marLeft w:val="0"/>
      <w:marRight w:val="0"/>
      <w:marTop w:val="0"/>
      <w:marBottom w:val="0"/>
      <w:divBdr>
        <w:top w:val="none" w:sz="0" w:space="0" w:color="auto"/>
        <w:left w:val="none" w:sz="0" w:space="0" w:color="auto"/>
        <w:bottom w:val="none" w:sz="0" w:space="0" w:color="auto"/>
        <w:right w:val="none" w:sz="0" w:space="0" w:color="auto"/>
      </w:divBdr>
      <w:divsChild>
        <w:div w:id="790515835">
          <w:marLeft w:val="0"/>
          <w:marRight w:val="0"/>
          <w:marTop w:val="0"/>
          <w:marBottom w:val="0"/>
          <w:divBdr>
            <w:top w:val="none" w:sz="0" w:space="0" w:color="auto"/>
            <w:left w:val="none" w:sz="0" w:space="0" w:color="auto"/>
            <w:bottom w:val="none" w:sz="0" w:space="0" w:color="auto"/>
            <w:right w:val="none" w:sz="0" w:space="0" w:color="auto"/>
          </w:divBdr>
          <w:divsChild>
            <w:div w:id="279919651">
              <w:marLeft w:val="0"/>
              <w:marRight w:val="0"/>
              <w:marTop w:val="0"/>
              <w:marBottom w:val="0"/>
              <w:divBdr>
                <w:top w:val="none" w:sz="0" w:space="0" w:color="auto"/>
                <w:left w:val="none" w:sz="0" w:space="0" w:color="auto"/>
                <w:bottom w:val="none" w:sz="0" w:space="0" w:color="auto"/>
                <w:right w:val="none" w:sz="0" w:space="0" w:color="auto"/>
              </w:divBdr>
              <w:divsChild>
                <w:div w:id="79566696">
                  <w:marLeft w:val="0"/>
                  <w:marRight w:val="0"/>
                  <w:marTop w:val="0"/>
                  <w:marBottom w:val="0"/>
                  <w:divBdr>
                    <w:top w:val="none" w:sz="0" w:space="0" w:color="auto"/>
                    <w:left w:val="none" w:sz="0" w:space="0" w:color="auto"/>
                    <w:bottom w:val="none" w:sz="0" w:space="0" w:color="auto"/>
                    <w:right w:val="none" w:sz="0" w:space="0" w:color="auto"/>
                  </w:divBdr>
                  <w:divsChild>
                    <w:div w:id="1332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1895">
      <w:bodyDiv w:val="1"/>
      <w:marLeft w:val="0"/>
      <w:marRight w:val="0"/>
      <w:marTop w:val="0"/>
      <w:marBottom w:val="0"/>
      <w:divBdr>
        <w:top w:val="none" w:sz="0" w:space="0" w:color="auto"/>
        <w:left w:val="none" w:sz="0" w:space="0" w:color="auto"/>
        <w:bottom w:val="none" w:sz="0" w:space="0" w:color="auto"/>
        <w:right w:val="none" w:sz="0" w:space="0" w:color="auto"/>
      </w:divBdr>
      <w:divsChild>
        <w:div w:id="1717661951">
          <w:marLeft w:val="0"/>
          <w:marRight w:val="0"/>
          <w:marTop w:val="0"/>
          <w:marBottom w:val="0"/>
          <w:divBdr>
            <w:top w:val="none" w:sz="0" w:space="0" w:color="auto"/>
            <w:left w:val="none" w:sz="0" w:space="0" w:color="auto"/>
            <w:bottom w:val="none" w:sz="0" w:space="0" w:color="auto"/>
            <w:right w:val="none" w:sz="0" w:space="0" w:color="auto"/>
          </w:divBdr>
          <w:divsChild>
            <w:div w:id="1748455025">
              <w:marLeft w:val="0"/>
              <w:marRight w:val="0"/>
              <w:marTop w:val="0"/>
              <w:marBottom w:val="0"/>
              <w:divBdr>
                <w:top w:val="none" w:sz="0" w:space="0" w:color="auto"/>
                <w:left w:val="none" w:sz="0" w:space="0" w:color="auto"/>
                <w:bottom w:val="none" w:sz="0" w:space="0" w:color="auto"/>
                <w:right w:val="none" w:sz="0" w:space="0" w:color="auto"/>
              </w:divBdr>
              <w:divsChild>
                <w:div w:id="1405955385">
                  <w:marLeft w:val="0"/>
                  <w:marRight w:val="0"/>
                  <w:marTop w:val="0"/>
                  <w:marBottom w:val="0"/>
                  <w:divBdr>
                    <w:top w:val="none" w:sz="0" w:space="0" w:color="auto"/>
                    <w:left w:val="none" w:sz="0" w:space="0" w:color="auto"/>
                    <w:bottom w:val="none" w:sz="0" w:space="0" w:color="auto"/>
                    <w:right w:val="none" w:sz="0" w:space="0" w:color="auto"/>
                  </w:divBdr>
                  <w:divsChild>
                    <w:div w:id="16059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70174">
      <w:bodyDiv w:val="1"/>
      <w:marLeft w:val="0"/>
      <w:marRight w:val="0"/>
      <w:marTop w:val="0"/>
      <w:marBottom w:val="0"/>
      <w:divBdr>
        <w:top w:val="none" w:sz="0" w:space="0" w:color="auto"/>
        <w:left w:val="none" w:sz="0" w:space="0" w:color="auto"/>
        <w:bottom w:val="none" w:sz="0" w:space="0" w:color="auto"/>
        <w:right w:val="none" w:sz="0" w:space="0" w:color="auto"/>
      </w:divBdr>
      <w:divsChild>
        <w:div w:id="1787920327">
          <w:marLeft w:val="0"/>
          <w:marRight w:val="0"/>
          <w:marTop w:val="0"/>
          <w:marBottom w:val="0"/>
          <w:divBdr>
            <w:top w:val="none" w:sz="0" w:space="0" w:color="auto"/>
            <w:left w:val="none" w:sz="0" w:space="0" w:color="auto"/>
            <w:bottom w:val="none" w:sz="0" w:space="0" w:color="auto"/>
            <w:right w:val="none" w:sz="0" w:space="0" w:color="auto"/>
          </w:divBdr>
          <w:divsChild>
            <w:div w:id="1667434579">
              <w:marLeft w:val="0"/>
              <w:marRight w:val="0"/>
              <w:marTop w:val="0"/>
              <w:marBottom w:val="0"/>
              <w:divBdr>
                <w:top w:val="none" w:sz="0" w:space="0" w:color="auto"/>
                <w:left w:val="none" w:sz="0" w:space="0" w:color="auto"/>
                <w:bottom w:val="none" w:sz="0" w:space="0" w:color="auto"/>
                <w:right w:val="none" w:sz="0" w:space="0" w:color="auto"/>
              </w:divBdr>
              <w:divsChild>
                <w:div w:id="17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162">
      <w:bodyDiv w:val="1"/>
      <w:marLeft w:val="0"/>
      <w:marRight w:val="0"/>
      <w:marTop w:val="0"/>
      <w:marBottom w:val="0"/>
      <w:divBdr>
        <w:top w:val="none" w:sz="0" w:space="0" w:color="auto"/>
        <w:left w:val="none" w:sz="0" w:space="0" w:color="auto"/>
        <w:bottom w:val="none" w:sz="0" w:space="0" w:color="auto"/>
        <w:right w:val="none" w:sz="0" w:space="0" w:color="auto"/>
      </w:divBdr>
      <w:divsChild>
        <w:div w:id="1179277659">
          <w:marLeft w:val="0"/>
          <w:marRight w:val="0"/>
          <w:marTop w:val="0"/>
          <w:marBottom w:val="0"/>
          <w:divBdr>
            <w:top w:val="none" w:sz="0" w:space="0" w:color="auto"/>
            <w:left w:val="none" w:sz="0" w:space="0" w:color="auto"/>
            <w:bottom w:val="none" w:sz="0" w:space="0" w:color="auto"/>
            <w:right w:val="none" w:sz="0" w:space="0" w:color="auto"/>
          </w:divBdr>
          <w:divsChild>
            <w:div w:id="540554822">
              <w:marLeft w:val="0"/>
              <w:marRight w:val="0"/>
              <w:marTop w:val="0"/>
              <w:marBottom w:val="0"/>
              <w:divBdr>
                <w:top w:val="none" w:sz="0" w:space="0" w:color="auto"/>
                <w:left w:val="none" w:sz="0" w:space="0" w:color="auto"/>
                <w:bottom w:val="none" w:sz="0" w:space="0" w:color="auto"/>
                <w:right w:val="none" w:sz="0" w:space="0" w:color="auto"/>
              </w:divBdr>
              <w:divsChild>
                <w:div w:id="281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4481">
      <w:bodyDiv w:val="1"/>
      <w:marLeft w:val="0"/>
      <w:marRight w:val="0"/>
      <w:marTop w:val="0"/>
      <w:marBottom w:val="0"/>
      <w:divBdr>
        <w:top w:val="none" w:sz="0" w:space="0" w:color="auto"/>
        <w:left w:val="none" w:sz="0" w:space="0" w:color="auto"/>
        <w:bottom w:val="none" w:sz="0" w:space="0" w:color="auto"/>
        <w:right w:val="none" w:sz="0" w:space="0" w:color="auto"/>
      </w:divBdr>
    </w:div>
    <w:div w:id="528369988">
      <w:bodyDiv w:val="1"/>
      <w:marLeft w:val="0"/>
      <w:marRight w:val="0"/>
      <w:marTop w:val="0"/>
      <w:marBottom w:val="0"/>
      <w:divBdr>
        <w:top w:val="none" w:sz="0" w:space="0" w:color="auto"/>
        <w:left w:val="none" w:sz="0" w:space="0" w:color="auto"/>
        <w:bottom w:val="none" w:sz="0" w:space="0" w:color="auto"/>
        <w:right w:val="none" w:sz="0" w:space="0" w:color="auto"/>
      </w:divBdr>
      <w:divsChild>
        <w:div w:id="942301191">
          <w:marLeft w:val="0"/>
          <w:marRight w:val="0"/>
          <w:marTop w:val="0"/>
          <w:marBottom w:val="0"/>
          <w:divBdr>
            <w:top w:val="none" w:sz="0" w:space="0" w:color="auto"/>
            <w:left w:val="none" w:sz="0" w:space="0" w:color="auto"/>
            <w:bottom w:val="none" w:sz="0" w:space="0" w:color="auto"/>
            <w:right w:val="none" w:sz="0" w:space="0" w:color="auto"/>
          </w:divBdr>
          <w:divsChild>
            <w:div w:id="1030061943">
              <w:marLeft w:val="0"/>
              <w:marRight w:val="0"/>
              <w:marTop w:val="0"/>
              <w:marBottom w:val="0"/>
              <w:divBdr>
                <w:top w:val="none" w:sz="0" w:space="0" w:color="auto"/>
                <w:left w:val="none" w:sz="0" w:space="0" w:color="auto"/>
                <w:bottom w:val="none" w:sz="0" w:space="0" w:color="auto"/>
                <w:right w:val="none" w:sz="0" w:space="0" w:color="auto"/>
              </w:divBdr>
              <w:divsChild>
                <w:div w:id="1578974707">
                  <w:marLeft w:val="0"/>
                  <w:marRight w:val="0"/>
                  <w:marTop w:val="0"/>
                  <w:marBottom w:val="0"/>
                  <w:divBdr>
                    <w:top w:val="none" w:sz="0" w:space="0" w:color="auto"/>
                    <w:left w:val="none" w:sz="0" w:space="0" w:color="auto"/>
                    <w:bottom w:val="none" w:sz="0" w:space="0" w:color="auto"/>
                    <w:right w:val="none" w:sz="0" w:space="0" w:color="auto"/>
                  </w:divBdr>
                  <w:divsChild>
                    <w:div w:id="656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2110">
      <w:bodyDiv w:val="1"/>
      <w:marLeft w:val="0"/>
      <w:marRight w:val="0"/>
      <w:marTop w:val="0"/>
      <w:marBottom w:val="0"/>
      <w:divBdr>
        <w:top w:val="none" w:sz="0" w:space="0" w:color="auto"/>
        <w:left w:val="none" w:sz="0" w:space="0" w:color="auto"/>
        <w:bottom w:val="none" w:sz="0" w:space="0" w:color="auto"/>
        <w:right w:val="none" w:sz="0" w:space="0" w:color="auto"/>
      </w:divBdr>
      <w:divsChild>
        <w:div w:id="1600019023">
          <w:marLeft w:val="0"/>
          <w:marRight w:val="0"/>
          <w:marTop w:val="0"/>
          <w:marBottom w:val="0"/>
          <w:divBdr>
            <w:top w:val="none" w:sz="0" w:space="0" w:color="auto"/>
            <w:left w:val="none" w:sz="0" w:space="0" w:color="auto"/>
            <w:bottom w:val="none" w:sz="0" w:space="0" w:color="auto"/>
            <w:right w:val="none" w:sz="0" w:space="0" w:color="auto"/>
          </w:divBdr>
          <w:divsChild>
            <w:div w:id="1790539910">
              <w:marLeft w:val="0"/>
              <w:marRight w:val="0"/>
              <w:marTop w:val="0"/>
              <w:marBottom w:val="0"/>
              <w:divBdr>
                <w:top w:val="none" w:sz="0" w:space="0" w:color="auto"/>
                <w:left w:val="none" w:sz="0" w:space="0" w:color="auto"/>
                <w:bottom w:val="none" w:sz="0" w:space="0" w:color="auto"/>
                <w:right w:val="none" w:sz="0" w:space="0" w:color="auto"/>
              </w:divBdr>
              <w:divsChild>
                <w:div w:id="10633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2217">
      <w:bodyDiv w:val="1"/>
      <w:marLeft w:val="0"/>
      <w:marRight w:val="0"/>
      <w:marTop w:val="0"/>
      <w:marBottom w:val="0"/>
      <w:divBdr>
        <w:top w:val="none" w:sz="0" w:space="0" w:color="auto"/>
        <w:left w:val="none" w:sz="0" w:space="0" w:color="auto"/>
        <w:bottom w:val="none" w:sz="0" w:space="0" w:color="auto"/>
        <w:right w:val="none" w:sz="0" w:space="0" w:color="auto"/>
      </w:divBdr>
      <w:divsChild>
        <w:div w:id="1075397114">
          <w:marLeft w:val="0"/>
          <w:marRight w:val="0"/>
          <w:marTop w:val="0"/>
          <w:marBottom w:val="0"/>
          <w:divBdr>
            <w:top w:val="none" w:sz="0" w:space="0" w:color="auto"/>
            <w:left w:val="none" w:sz="0" w:space="0" w:color="auto"/>
            <w:bottom w:val="none" w:sz="0" w:space="0" w:color="auto"/>
            <w:right w:val="none" w:sz="0" w:space="0" w:color="auto"/>
          </w:divBdr>
          <w:divsChild>
            <w:div w:id="236205969">
              <w:marLeft w:val="0"/>
              <w:marRight w:val="0"/>
              <w:marTop w:val="0"/>
              <w:marBottom w:val="0"/>
              <w:divBdr>
                <w:top w:val="none" w:sz="0" w:space="0" w:color="auto"/>
                <w:left w:val="none" w:sz="0" w:space="0" w:color="auto"/>
                <w:bottom w:val="none" w:sz="0" w:space="0" w:color="auto"/>
                <w:right w:val="none" w:sz="0" w:space="0" w:color="auto"/>
              </w:divBdr>
              <w:divsChild>
                <w:div w:id="2023042699">
                  <w:marLeft w:val="0"/>
                  <w:marRight w:val="0"/>
                  <w:marTop w:val="0"/>
                  <w:marBottom w:val="0"/>
                  <w:divBdr>
                    <w:top w:val="none" w:sz="0" w:space="0" w:color="auto"/>
                    <w:left w:val="none" w:sz="0" w:space="0" w:color="auto"/>
                    <w:bottom w:val="none" w:sz="0" w:space="0" w:color="auto"/>
                    <w:right w:val="none" w:sz="0" w:space="0" w:color="auto"/>
                  </w:divBdr>
                  <w:divsChild>
                    <w:div w:id="2314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29981">
      <w:bodyDiv w:val="1"/>
      <w:marLeft w:val="0"/>
      <w:marRight w:val="0"/>
      <w:marTop w:val="0"/>
      <w:marBottom w:val="0"/>
      <w:divBdr>
        <w:top w:val="none" w:sz="0" w:space="0" w:color="auto"/>
        <w:left w:val="none" w:sz="0" w:space="0" w:color="auto"/>
        <w:bottom w:val="none" w:sz="0" w:space="0" w:color="auto"/>
        <w:right w:val="none" w:sz="0" w:space="0" w:color="auto"/>
      </w:divBdr>
      <w:divsChild>
        <w:div w:id="2018537214">
          <w:marLeft w:val="0"/>
          <w:marRight w:val="0"/>
          <w:marTop w:val="0"/>
          <w:marBottom w:val="0"/>
          <w:divBdr>
            <w:top w:val="none" w:sz="0" w:space="0" w:color="auto"/>
            <w:left w:val="none" w:sz="0" w:space="0" w:color="auto"/>
            <w:bottom w:val="none" w:sz="0" w:space="0" w:color="auto"/>
            <w:right w:val="none" w:sz="0" w:space="0" w:color="auto"/>
          </w:divBdr>
          <w:divsChild>
            <w:div w:id="719015301">
              <w:marLeft w:val="0"/>
              <w:marRight w:val="0"/>
              <w:marTop w:val="0"/>
              <w:marBottom w:val="0"/>
              <w:divBdr>
                <w:top w:val="none" w:sz="0" w:space="0" w:color="auto"/>
                <w:left w:val="none" w:sz="0" w:space="0" w:color="auto"/>
                <w:bottom w:val="none" w:sz="0" w:space="0" w:color="auto"/>
                <w:right w:val="none" w:sz="0" w:space="0" w:color="auto"/>
              </w:divBdr>
              <w:divsChild>
                <w:div w:id="1147940585">
                  <w:marLeft w:val="0"/>
                  <w:marRight w:val="0"/>
                  <w:marTop w:val="0"/>
                  <w:marBottom w:val="0"/>
                  <w:divBdr>
                    <w:top w:val="none" w:sz="0" w:space="0" w:color="auto"/>
                    <w:left w:val="none" w:sz="0" w:space="0" w:color="auto"/>
                    <w:bottom w:val="none" w:sz="0" w:space="0" w:color="auto"/>
                    <w:right w:val="none" w:sz="0" w:space="0" w:color="auto"/>
                  </w:divBdr>
                  <w:divsChild>
                    <w:div w:id="158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5856">
      <w:bodyDiv w:val="1"/>
      <w:marLeft w:val="0"/>
      <w:marRight w:val="0"/>
      <w:marTop w:val="0"/>
      <w:marBottom w:val="0"/>
      <w:divBdr>
        <w:top w:val="none" w:sz="0" w:space="0" w:color="auto"/>
        <w:left w:val="none" w:sz="0" w:space="0" w:color="auto"/>
        <w:bottom w:val="none" w:sz="0" w:space="0" w:color="auto"/>
        <w:right w:val="none" w:sz="0" w:space="0" w:color="auto"/>
      </w:divBdr>
      <w:divsChild>
        <w:div w:id="875897799">
          <w:marLeft w:val="0"/>
          <w:marRight w:val="0"/>
          <w:marTop w:val="0"/>
          <w:marBottom w:val="0"/>
          <w:divBdr>
            <w:top w:val="none" w:sz="0" w:space="0" w:color="auto"/>
            <w:left w:val="none" w:sz="0" w:space="0" w:color="auto"/>
            <w:bottom w:val="none" w:sz="0" w:space="0" w:color="auto"/>
            <w:right w:val="none" w:sz="0" w:space="0" w:color="auto"/>
          </w:divBdr>
          <w:divsChild>
            <w:div w:id="930429480">
              <w:marLeft w:val="0"/>
              <w:marRight w:val="0"/>
              <w:marTop w:val="0"/>
              <w:marBottom w:val="0"/>
              <w:divBdr>
                <w:top w:val="none" w:sz="0" w:space="0" w:color="auto"/>
                <w:left w:val="none" w:sz="0" w:space="0" w:color="auto"/>
                <w:bottom w:val="none" w:sz="0" w:space="0" w:color="auto"/>
                <w:right w:val="none" w:sz="0" w:space="0" w:color="auto"/>
              </w:divBdr>
              <w:divsChild>
                <w:div w:id="5824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3617">
      <w:bodyDiv w:val="1"/>
      <w:marLeft w:val="0"/>
      <w:marRight w:val="0"/>
      <w:marTop w:val="0"/>
      <w:marBottom w:val="0"/>
      <w:divBdr>
        <w:top w:val="none" w:sz="0" w:space="0" w:color="auto"/>
        <w:left w:val="none" w:sz="0" w:space="0" w:color="auto"/>
        <w:bottom w:val="none" w:sz="0" w:space="0" w:color="auto"/>
        <w:right w:val="none" w:sz="0" w:space="0" w:color="auto"/>
      </w:divBdr>
      <w:divsChild>
        <w:div w:id="118302717">
          <w:marLeft w:val="0"/>
          <w:marRight w:val="0"/>
          <w:marTop w:val="0"/>
          <w:marBottom w:val="0"/>
          <w:divBdr>
            <w:top w:val="none" w:sz="0" w:space="0" w:color="auto"/>
            <w:left w:val="none" w:sz="0" w:space="0" w:color="auto"/>
            <w:bottom w:val="none" w:sz="0" w:space="0" w:color="auto"/>
            <w:right w:val="none" w:sz="0" w:space="0" w:color="auto"/>
          </w:divBdr>
          <w:divsChild>
            <w:div w:id="531114997">
              <w:marLeft w:val="0"/>
              <w:marRight w:val="0"/>
              <w:marTop w:val="0"/>
              <w:marBottom w:val="0"/>
              <w:divBdr>
                <w:top w:val="none" w:sz="0" w:space="0" w:color="auto"/>
                <w:left w:val="none" w:sz="0" w:space="0" w:color="auto"/>
                <w:bottom w:val="none" w:sz="0" w:space="0" w:color="auto"/>
                <w:right w:val="none" w:sz="0" w:space="0" w:color="auto"/>
              </w:divBdr>
              <w:divsChild>
                <w:div w:id="51778762">
                  <w:marLeft w:val="0"/>
                  <w:marRight w:val="0"/>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sChild>
                <w:div w:id="503325400">
                  <w:marLeft w:val="0"/>
                  <w:marRight w:val="0"/>
                  <w:marTop w:val="0"/>
                  <w:marBottom w:val="0"/>
                  <w:divBdr>
                    <w:top w:val="none" w:sz="0" w:space="0" w:color="auto"/>
                    <w:left w:val="none" w:sz="0" w:space="0" w:color="auto"/>
                    <w:bottom w:val="none" w:sz="0" w:space="0" w:color="auto"/>
                    <w:right w:val="none" w:sz="0" w:space="0" w:color="auto"/>
                  </w:divBdr>
                </w:div>
              </w:divsChild>
            </w:div>
            <w:div w:id="1494175096">
              <w:marLeft w:val="0"/>
              <w:marRight w:val="0"/>
              <w:marTop w:val="0"/>
              <w:marBottom w:val="0"/>
              <w:divBdr>
                <w:top w:val="none" w:sz="0" w:space="0" w:color="auto"/>
                <w:left w:val="none" w:sz="0" w:space="0" w:color="auto"/>
                <w:bottom w:val="none" w:sz="0" w:space="0" w:color="auto"/>
                <w:right w:val="none" w:sz="0" w:space="0" w:color="auto"/>
              </w:divBdr>
              <w:divsChild>
                <w:div w:id="108665323">
                  <w:marLeft w:val="0"/>
                  <w:marRight w:val="0"/>
                  <w:marTop w:val="0"/>
                  <w:marBottom w:val="0"/>
                  <w:divBdr>
                    <w:top w:val="none" w:sz="0" w:space="0" w:color="auto"/>
                    <w:left w:val="none" w:sz="0" w:space="0" w:color="auto"/>
                    <w:bottom w:val="none" w:sz="0" w:space="0" w:color="auto"/>
                    <w:right w:val="none" w:sz="0" w:space="0" w:color="auto"/>
                  </w:divBdr>
                </w:div>
              </w:divsChild>
            </w:div>
            <w:div w:id="1663121248">
              <w:marLeft w:val="0"/>
              <w:marRight w:val="0"/>
              <w:marTop w:val="0"/>
              <w:marBottom w:val="0"/>
              <w:divBdr>
                <w:top w:val="none" w:sz="0" w:space="0" w:color="auto"/>
                <w:left w:val="none" w:sz="0" w:space="0" w:color="auto"/>
                <w:bottom w:val="none" w:sz="0" w:space="0" w:color="auto"/>
                <w:right w:val="none" w:sz="0" w:space="0" w:color="auto"/>
              </w:divBdr>
              <w:divsChild>
                <w:div w:id="89742634">
                  <w:marLeft w:val="0"/>
                  <w:marRight w:val="0"/>
                  <w:marTop w:val="0"/>
                  <w:marBottom w:val="0"/>
                  <w:divBdr>
                    <w:top w:val="none" w:sz="0" w:space="0" w:color="auto"/>
                    <w:left w:val="none" w:sz="0" w:space="0" w:color="auto"/>
                    <w:bottom w:val="none" w:sz="0" w:space="0" w:color="auto"/>
                    <w:right w:val="none" w:sz="0" w:space="0" w:color="auto"/>
                  </w:divBdr>
                  <w:divsChild>
                    <w:div w:id="2051757139">
                      <w:marLeft w:val="0"/>
                      <w:marRight w:val="0"/>
                      <w:marTop w:val="0"/>
                      <w:marBottom w:val="0"/>
                      <w:divBdr>
                        <w:top w:val="none" w:sz="0" w:space="0" w:color="auto"/>
                        <w:left w:val="none" w:sz="0" w:space="0" w:color="auto"/>
                        <w:bottom w:val="none" w:sz="0" w:space="0" w:color="auto"/>
                        <w:right w:val="none" w:sz="0" w:space="0" w:color="auto"/>
                      </w:divBdr>
                    </w:div>
                  </w:divsChild>
                </w:div>
                <w:div w:id="677386948">
                  <w:marLeft w:val="0"/>
                  <w:marRight w:val="0"/>
                  <w:marTop w:val="0"/>
                  <w:marBottom w:val="0"/>
                  <w:divBdr>
                    <w:top w:val="none" w:sz="0" w:space="0" w:color="auto"/>
                    <w:left w:val="none" w:sz="0" w:space="0" w:color="auto"/>
                    <w:bottom w:val="none" w:sz="0" w:space="0" w:color="auto"/>
                    <w:right w:val="none" w:sz="0" w:space="0" w:color="auto"/>
                  </w:divBdr>
                  <w:divsChild>
                    <w:div w:id="788166111">
                      <w:marLeft w:val="0"/>
                      <w:marRight w:val="0"/>
                      <w:marTop w:val="0"/>
                      <w:marBottom w:val="0"/>
                      <w:divBdr>
                        <w:top w:val="none" w:sz="0" w:space="0" w:color="auto"/>
                        <w:left w:val="none" w:sz="0" w:space="0" w:color="auto"/>
                        <w:bottom w:val="none" w:sz="0" w:space="0" w:color="auto"/>
                        <w:right w:val="none" w:sz="0" w:space="0" w:color="auto"/>
                      </w:divBdr>
                    </w:div>
                  </w:divsChild>
                </w:div>
                <w:div w:id="801532734">
                  <w:marLeft w:val="0"/>
                  <w:marRight w:val="0"/>
                  <w:marTop w:val="0"/>
                  <w:marBottom w:val="0"/>
                  <w:divBdr>
                    <w:top w:val="none" w:sz="0" w:space="0" w:color="auto"/>
                    <w:left w:val="none" w:sz="0" w:space="0" w:color="auto"/>
                    <w:bottom w:val="none" w:sz="0" w:space="0" w:color="auto"/>
                    <w:right w:val="none" w:sz="0" w:space="0" w:color="auto"/>
                  </w:divBdr>
                  <w:divsChild>
                    <w:div w:id="1175999285">
                      <w:marLeft w:val="0"/>
                      <w:marRight w:val="0"/>
                      <w:marTop w:val="0"/>
                      <w:marBottom w:val="0"/>
                      <w:divBdr>
                        <w:top w:val="none" w:sz="0" w:space="0" w:color="auto"/>
                        <w:left w:val="none" w:sz="0" w:space="0" w:color="auto"/>
                        <w:bottom w:val="none" w:sz="0" w:space="0" w:color="auto"/>
                        <w:right w:val="none" w:sz="0" w:space="0" w:color="auto"/>
                      </w:divBdr>
                    </w:div>
                  </w:divsChild>
                </w:div>
                <w:div w:id="933168693">
                  <w:marLeft w:val="0"/>
                  <w:marRight w:val="0"/>
                  <w:marTop w:val="0"/>
                  <w:marBottom w:val="0"/>
                  <w:divBdr>
                    <w:top w:val="none" w:sz="0" w:space="0" w:color="auto"/>
                    <w:left w:val="none" w:sz="0" w:space="0" w:color="auto"/>
                    <w:bottom w:val="none" w:sz="0" w:space="0" w:color="auto"/>
                    <w:right w:val="none" w:sz="0" w:space="0" w:color="auto"/>
                  </w:divBdr>
                  <w:divsChild>
                    <w:div w:id="133960029">
                      <w:marLeft w:val="0"/>
                      <w:marRight w:val="0"/>
                      <w:marTop w:val="0"/>
                      <w:marBottom w:val="0"/>
                      <w:divBdr>
                        <w:top w:val="none" w:sz="0" w:space="0" w:color="auto"/>
                        <w:left w:val="none" w:sz="0" w:space="0" w:color="auto"/>
                        <w:bottom w:val="none" w:sz="0" w:space="0" w:color="auto"/>
                        <w:right w:val="none" w:sz="0" w:space="0" w:color="auto"/>
                      </w:divBdr>
                    </w:div>
                  </w:divsChild>
                </w:div>
                <w:div w:id="950429046">
                  <w:marLeft w:val="0"/>
                  <w:marRight w:val="0"/>
                  <w:marTop w:val="0"/>
                  <w:marBottom w:val="0"/>
                  <w:divBdr>
                    <w:top w:val="none" w:sz="0" w:space="0" w:color="auto"/>
                    <w:left w:val="none" w:sz="0" w:space="0" w:color="auto"/>
                    <w:bottom w:val="none" w:sz="0" w:space="0" w:color="auto"/>
                    <w:right w:val="none" w:sz="0" w:space="0" w:color="auto"/>
                  </w:divBdr>
                  <w:divsChild>
                    <w:div w:id="1237976389">
                      <w:marLeft w:val="0"/>
                      <w:marRight w:val="0"/>
                      <w:marTop w:val="0"/>
                      <w:marBottom w:val="0"/>
                      <w:divBdr>
                        <w:top w:val="none" w:sz="0" w:space="0" w:color="auto"/>
                        <w:left w:val="none" w:sz="0" w:space="0" w:color="auto"/>
                        <w:bottom w:val="none" w:sz="0" w:space="0" w:color="auto"/>
                        <w:right w:val="none" w:sz="0" w:space="0" w:color="auto"/>
                      </w:divBdr>
                    </w:div>
                  </w:divsChild>
                </w:div>
                <w:div w:id="1384329107">
                  <w:marLeft w:val="0"/>
                  <w:marRight w:val="0"/>
                  <w:marTop w:val="0"/>
                  <w:marBottom w:val="0"/>
                  <w:divBdr>
                    <w:top w:val="none" w:sz="0" w:space="0" w:color="auto"/>
                    <w:left w:val="none" w:sz="0" w:space="0" w:color="auto"/>
                    <w:bottom w:val="none" w:sz="0" w:space="0" w:color="auto"/>
                    <w:right w:val="none" w:sz="0" w:space="0" w:color="auto"/>
                  </w:divBdr>
                  <w:divsChild>
                    <w:div w:id="746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3125">
      <w:bodyDiv w:val="1"/>
      <w:marLeft w:val="0"/>
      <w:marRight w:val="0"/>
      <w:marTop w:val="0"/>
      <w:marBottom w:val="0"/>
      <w:divBdr>
        <w:top w:val="none" w:sz="0" w:space="0" w:color="auto"/>
        <w:left w:val="none" w:sz="0" w:space="0" w:color="auto"/>
        <w:bottom w:val="none" w:sz="0" w:space="0" w:color="auto"/>
        <w:right w:val="none" w:sz="0" w:space="0" w:color="auto"/>
      </w:divBdr>
      <w:divsChild>
        <w:div w:id="1220941236">
          <w:marLeft w:val="0"/>
          <w:marRight w:val="0"/>
          <w:marTop w:val="0"/>
          <w:marBottom w:val="0"/>
          <w:divBdr>
            <w:top w:val="none" w:sz="0" w:space="0" w:color="auto"/>
            <w:left w:val="none" w:sz="0" w:space="0" w:color="auto"/>
            <w:bottom w:val="none" w:sz="0" w:space="0" w:color="auto"/>
            <w:right w:val="none" w:sz="0" w:space="0" w:color="auto"/>
          </w:divBdr>
          <w:divsChild>
            <w:div w:id="952639285">
              <w:marLeft w:val="0"/>
              <w:marRight w:val="0"/>
              <w:marTop w:val="0"/>
              <w:marBottom w:val="0"/>
              <w:divBdr>
                <w:top w:val="none" w:sz="0" w:space="0" w:color="auto"/>
                <w:left w:val="none" w:sz="0" w:space="0" w:color="auto"/>
                <w:bottom w:val="none" w:sz="0" w:space="0" w:color="auto"/>
                <w:right w:val="none" w:sz="0" w:space="0" w:color="auto"/>
              </w:divBdr>
              <w:divsChild>
                <w:div w:id="330839589">
                  <w:marLeft w:val="0"/>
                  <w:marRight w:val="0"/>
                  <w:marTop w:val="0"/>
                  <w:marBottom w:val="0"/>
                  <w:divBdr>
                    <w:top w:val="none" w:sz="0" w:space="0" w:color="auto"/>
                    <w:left w:val="none" w:sz="0" w:space="0" w:color="auto"/>
                    <w:bottom w:val="none" w:sz="0" w:space="0" w:color="auto"/>
                    <w:right w:val="none" w:sz="0" w:space="0" w:color="auto"/>
                  </w:divBdr>
                  <w:divsChild>
                    <w:div w:id="11711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38567">
      <w:bodyDiv w:val="1"/>
      <w:marLeft w:val="0"/>
      <w:marRight w:val="0"/>
      <w:marTop w:val="0"/>
      <w:marBottom w:val="0"/>
      <w:divBdr>
        <w:top w:val="none" w:sz="0" w:space="0" w:color="auto"/>
        <w:left w:val="none" w:sz="0" w:space="0" w:color="auto"/>
        <w:bottom w:val="none" w:sz="0" w:space="0" w:color="auto"/>
        <w:right w:val="none" w:sz="0" w:space="0" w:color="auto"/>
      </w:divBdr>
      <w:divsChild>
        <w:div w:id="1996716155">
          <w:marLeft w:val="0"/>
          <w:marRight w:val="0"/>
          <w:marTop w:val="0"/>
          <w:marBottom w:val="0"/>
          <w:divBdr>
            <w:top w:val="none" w:sz="0" w:space="0" w:color="auto"/>
            <w:left w:val="none" w:sz="0" w:space="0" w:color="auto"/>
            <w:bottom w:val="none" w:sz="0" w:space="0" w:color="auto"/>
            <w:right w:val="none" w:sz="0" w:space="0" w:color="auto"/>
          </w:divBdr>
          <w:divsChild>
            <w:div w:id="703408240">
              <w:marLeft w:val="0"/>
              <w:marRight w:val="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501">
      <w:bodyDiv w:val="1"/>
      <w:marLeft w:val="0"/>
      <w:marRight w:val="0"/>
      <w:marTop w:val="0"/>
      <w:marBottom w:val="0"/>
      <w:divBdr>
        <w:top w:val="none" w:sz="0" w:space="0" w:color="auto"/>
        <w:left w:val="none" w:sz="0" w:space="0" w:color="auto"/>
        <w:bottom w:val="none" w:sz="0" w:space="0" w:color="auto"/>
        <w:right w:val="none" w:sz="0" w:space="0" w:color="auto"/>
      </w:divBdr>
      <w:divsChild>
        <w:div w:id="140385286">
          <w:marLeft w:val="0"/>
          <w:marRight w:val="0"/>
          <w:marTop w:val="0"/>
          <w:marBottom w:val="0"/>
          <w:divBdr>
            <w:top w:val="none" w:sz="0" w:space="0" w:color="auto"/>
            <w:left w:val="none" w:sz="0" w:space="0" w:color="auto"/>
            <w:bottom w:val="none" w:sz="0" w:space="0" w:color="auto"/>
            <w:right w:val="none" w:sz="0" w:space="0" w:color="auto"/>
          </w:divBdr>
          <w:divsChild>
            <w:div w:id="331294840">
              <w:marLeft w:val="0"/>
              <w:marRight w:val="0"/>
              <w:marTop w:val="0"/>
              <w:marBottom w:val="0"/>
              <w:divBdr>
                <w:top w:val="none" w:sz="0" w:space="0" w:color="auto"/>
                <w:left w:val="none" w:sz="0" w:space="0" w:color="auto"/>
                <w:bottom w:val="none" w:sz="0" w:space="0" w:color="auto"/>
                <w:right w:val="none" w:sz="0" w:space="0" w:color="auto"/>
              </w:divBdr>
              <w:divsChild>
                <w:div w:id="1830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09845">
      <w:bodyDiv w:val="1"/>
      <w:marLeft w:val="0"/>
      <w:marRight w:val="0"/>
      <w:marTop w:val="0"/>
      <w:marBottom w:val="0"/>
      <w:divBdr>
        <w:top w:val="none" w:sz="0" w:space="0" w:color="auto"/>
        <w:left w:val="none" w:sz="0" w:space="0" w:color="auto"/>
        <w:bottom w:val="none" w:sz="0" w:space="0" w:color="auto"/>
        <w:right w:val="none" w:sz="0" w:space="0" w:color="auto"/>
      </w:divBdr>
      <w:divsChild>
        <w:div w:id="487597366">
          <w:marLeft w:val="0"/>
          <w:marRight w:val="0"/>
          <w:marTop w:val="0"/>
          <w:marBottom w:val="0"/>
          <w:divBdr>
            <w:top w:val="none" w:sz="0" w:space="0" w:color="auto"/>
            <w:left w:val="none" w:sz="0" w:space="0" w:color="auto"/>
            <w:bottom w:val="none" w:sz="0" w:space="0" w:color="auto"/>
            <w:right w:val="none" w:sz="0" w:space="0" w:color="auto"/>
          </w:divBdr>
          <w:divsChild>
            <w:div w:id="1770078900">
              <w:marLeft w:val="0"/>
              <w:marRight w:val="0"/>
              <w:marTop w:val="0"/>
              <w:marBottom w:val="0"/>
              <w:divBdr>
                <w:top w:val="none" w:sz="0" w:space="0" w:color="auto"/>
                <w:left w:val="none" w:sz="0" w:space="0" w:color="auto"/>
                <w:bottom w:val="none" w:sz="0" w:space="0" w:color="auto"/>
                <w:right w:val="none" w:sz="0" w:space="0" w:color="auto"/>
              </w:divBdr>
              <w:divsChild>
                <w:div w:id="176357623">
                  <w:marLeft w:val="0"/>
                  <w:marRight w:val="0"/>
                  <w:marTop w:val="0"/>
                  <w:marBottom w:val="0"/>
                  <w:divBdr>
                    <w:top w:val="none" w:sz="0" w:space="0" w:color="auto"/>
                    <w:left w:val="none" w:sz="0" w:space="0" w:color="auto"/>
                    <w:bottom w:val="none" w:sz="0" w:space="0" w:color="auto"/>
                    <w:right w:val="none" w:sz="0" w:space="0" w:color="auto"/>
                  </w:divBdr>
                  <w:divsChild>
                    <w:div w:id="1143503020">
                      <w:marLeft w:val="0"/>
                      <w:marRight w:val="0"/>
                      <w:marTop w:val="0"/>
                      <w:marBottom w:val="0"/>
                      <w:divBdr>
                        <w:top w:val="none" w:sz="0" w:space="0" w:color="auto"/>
                        <w:left w:val="none" w:sz="0" w:space="0" w:color="auto"/>
                        <w:bottom w:val="none" w:sz="0" w:space="0" w:color="auto"/>
                        <w:right w:val="none" w:sz="0" w:space="0" w:color="auto"/>
                      </w:divBdr>
                    </w:div>
                  </w:divsChild>
                </w:div>
                <w:div w:id="243951496">
                  <w:marLeft w:val="0"/>
                  <w:marRight w:val="0"/>
                  <w:marTop w:val="0"/>
                  <w:marBottom w:val="0"/>
                  <w:divBdr>
                    <w:top w:val="none" w:sz="0" w:space="0" w:color="auto"/>
                    <w:left w:val="none" w:sz="0" w:space="0" w:color="auto"/>
                    <w:bottom w:val="none" w:sz="0" w:space="0" w:color="auto"/>
                    <w:right w:val="none" w:sz="0" w:space="0" w:color="auto"/>
                  </w:divBdr>
                  <w:divsChild>
                    <w:div w:id="1653094367">
                      <w:marLeft w:val="0"/>
                      <w:marRight w:val="0"/>
                      <w:marTop w:val="0"/>
                      <w:marBottom w:val="0"/>
                      <w:divBdr>
                        <w:top w:val="none" w:sz="0" w:space="0" w:color="auto"/>
                        <w:left w:val="none" w:sz="0" w:space="0" w:color="auto"/>
                        <w:bottom w:val="none" w:sz="0" w:space="0" w:color="auto"/>
                        <w:right w:val="none" w:sz="0" w:space="0" w:color="auto"/>
                      </w:divBdr>
                    </w:div>
                  </w:divsChild>
                </w:div>
                <w:div w:id="1226330067">
                  <w:marLeft w:val="0"/>
                  <w:marRight w:val="0"/>
                  <w:marTop w:val="0"/>
                  <w:marBottom w:val="0"/>
                  <w:divBdr>
                    <w:top w:val="none" w:sz="0" w:space="0" w:color="auto"/>
                    <w:left w:val="none" w:sz="0" w:space="0" w:color="auto"/>
                    <w:bottom w:val="none" w:sz="0" w:space="0" w:color="auto"/>
                    <w:right w:val="none" w:sz="0" w:space="0" w:color="auto"/>
                  </w:divBdr>
                  <w:divsChild>
                    <w:div w:id="2032291384">
                      <w:marLeft w:val="0"/>
                      <w:marRight w:val="0"/>
                      <w:marTop w:val="0"/>
                      <w:marBottom w:val="0"/>
                      <w:divBdr>
                        <w:top w:val="none" w:sz="0" w:space="0" w:color="auto"/>
                        <w:left w:val="none" w:sz="0" w:space="0" w:color="auto"/>
                        <w:bottom w:val="none" w:sz="0" w:space="0" w:color="auto"/>
                        <w:right w:val="none" w:sz="0" w:space="0" w:color="auto"/>
                      </w:divBdr>
                    </w:div>
                  </w:divsChild>
                </w:div>
                <w:div w:id="1744139294">
                  <w:marLeft w:val="0"/>
                  <w:marRight w:val="0"/>
                  <w:marTop w:val="0"/>
                  <w:marBottom w:val="0"/>
                  <w:divBdr>
                    <w:top w:val="none" w:sz="0" w:space="0" w:color="auto"/>
                    <w:left w:val="none" w:sz="0" w:space="0" w:color="auto"/>
                    <w:bottom w:val="none" w:sz="0" w:space="0" w:color="auto"/>
                    <w:right w:val="none" w:sz="0" w:space="0" w:color="auto"/>
                  </w:divBdr>
                  <w:divsChild>
                    <w:div w:id="189071760">
                      <w:marLeft w:val="0"/>
                      <w:marRight w:val="0"/>
                      <w:marTop w:val="0"/>
                      <w:marBottom w:val="0"/>
                      <w:divBdr>
                        <w:top w:val="none" w:sz="0" w:space="0" w:color="auto"/>
                        <w:left w:val="none" w:sz="0" w:space="0" w:color="auto"/>
                        <w:bottom w:val="none" w:sz="0" w:space="0" w:color="auto"/>
                        <w:right w:val="none" w:sz="0" w:space="0" w:color="auto"/>
                      </w:divBdr>
                    </w:div>
                  </w:divsChild>
                </w:div>
                <w:div w:id="2013336654">
                  <w:marLeft w:val="0"/>
                  <w:marRight w:val="0"/>
                  <w:marTop w:val="0"/>
                  <w:marBottom w:val="0"/>
                  <w:divBdr>
                    <w:top w:val="none" w:sz="0" w:space="0" w:color="auto"/>
                    <w:left w:val="none" w:sz="0" w:space="0" w:color="auto"/>
                    <w:bottom w:val="none" w:sz="0" w:space="0" w:color="auto"/>
                    <w:right w:val="none" w:sz="0" w:space="0" w:color="auto"/>
                  </w:divBdr>
                  <w:divsChild>
                    <w:div w:id="1510827308">
                      <w:marLeft w:val="0"/>
                      <w:marRight w:val="0"/>
                      <w:marTop w:val="0"/>
                      <w:marBottom w:val="0"/>
                      <w:divBdr>
                        <w:top w:val="none" w:sz="0" w:space="0" w:color="auto"/>
                        <w:left w:val="none" w:sz="0" w:space="0" w:color="auto"/>
                        <w:bottom w:val="none" w:sz="0" w:space="0" w:color="auto"/>
                        <w:right w:val="none" w:sz="0" w:space="0" w:color="auto"/>
                      </w:divBdr>
                    </w:div>
                  </w:divsChild>
                </w:div>
                <w:div w:id="2080521124">
                  <w:marLeft w:val="0"/>
                  <w:marRight w:val="0"/>
                  <w:marTop w:val="0"/>
                  <w:marBottom w:val="0"/>
                  <w:divBdr>
                    <w:top w:val="none" w:sz="0" w:space="0" w:color="auto"/>
                    <w:left w:val="none" w:sz="0" w:space="0" w:color="auto"/>
                    <w:bottom w:val="none" w:sz="0" w:space="0" w:color="auto"/>
                    <w:right w:val="none" w:sz="0" w:space="0" w:color="auto"/>
                  </w:divBdr>
                  <w:divsChild>
                    <w:div w:id="1296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557">
      <w:bodyDiv w:val="1"/>
      <w:marLeft w:val="0"/>
      <w:marRight w:val="0"/>
      <w:marTop w:val="0"/>
      <w:marBottom w:val="0"/>
      <w:divBdr>
        <w:top w:val="none" w:sz="0" w:space="0" w:color="auto"/>
        <w:left w:val="none" w:sz="0" w:space="0" w:color="auto"/>
        <w:bottom w:val="none" w:sz="0" w:space="0" w:color="auto"/>
        <w:right w:val="none" w:sz="0" w:space="0" w:color="auto"/>
      </w:divBdr>
      <w:divsChild>
        <w:div w:id="831019509">
          <w:marLeft w:val="0"/>
          <w:marRight w:val="0"/>
          <w:marTop w:val="0"/>
          <w:marBottom w:val="0"/>
          <w:divBdr>
            <w:top w:val="none" w:sz="0" w:space="0" w:color="auto"/>
            <w:left w:val="none" w:sz="0" w:space="0" w:color="auto"/>
            <w:bottom w:val="none" w:sz="0" w:space="0" w:color="auto"/>
            <w:right w:val="none" w:sz="0" w:space="0" w:color="auto"/>
          </w:divBdr>
          <w:divsChild>
            <w:div w:id="1185169043">
              <w:marLeft w:val="0"/>
              <w:marRight w:val="0"/>
              <w:marTop w:val="0"/>
              <w:marBottom w:val="0"/>
              <w:divBdr>
                <w:top w:val="none" w:sz="0" w:space="0" w:color="auto"/>
                <w:left w:val="none" w:sz="0" w:space="0" w:color="auto"/>
                <w:bottom w:val="none" w:sz="0" w:space="0" w:color="auto"/>
                <w:right w:val="none" w:sz="0" w:space="0" w:color="auto"/>
              </w:divBdr>
              <w:divsChild>
                <w:div w:id="416630407">
                  <w:marLeft w:val="0"/>
                  <w:marRight w:val="0"/>
                  <w:marTop w:val="0"/>
                  <w:marBottom w:val="0"/>
                  <w:divBdr>
                    <w:top w:val="none" w:sz="0" w:space="0" w:color="auto"/>
                    <w:left w:val="none" w:sz="0" w:space="0" w:color="auto"/>
                    <w:bottom w:val="none" w:sz="0" w:space="0" w:color="auto"/>
                    <w:right w:val="none" w:sz="0" w:space="0" w:color="auto"/>
                  </w:divBdr>
                  <w:divsChild>
                    <w:div w:id="15503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085">
      <w:bodyDiv w:val="1"/>
      <w:marLeft w:val="0"/>
      <w:marRight w:val="0"/>
      <w:marTop w:val="0"/>
      <w:marBottom w:val="0"/>
      <w:divBdr>
        <w:top w:val="none" w:sz="0" w:space="0" w:color="auto"/>
        <w:left w:val="none" w:sz="0" w:space="0" w:color="auto"/>
        <w:bottom w:val="none" w:sz="0" w:space="0" w:color="auto"/>
        <w:right w:val="none" w:sz="0" w:space="0" w:color="auto"/>
      </w:divBdr>
      <w:divsChild>
        <w:div w:id="1087265669">
          <w:marLeft w:val="0"/>
          <w:marRight w:val="0"/>
          <w:marTop w:val="0"/>
          <w:marBottom w:val="0"/>
          <w:divBdr>
            <w:top w:val="none" w:sz="0" w:space="0" w:color="auto"/>
            <w:left w:val="none" w:sz="0" w:space="0" w:color="auto"/>
            <w:bottom w:val="none" w:sz="0" w:space="0" w:color="auto"/>
            <w:right w:val="none" w:sz="0" w:space="0" w:color="auto"/>
          </w:divBdr>
          <w:divsChild>
            <w:div w:id="540870134">
              <w:marLeft w:val="0"/>
              <w:marRight w:val="0"/>
              <w:marTop w:val="0"/>
              <w:marBottom w:val="0"/>
              <w:divBdr>
                <w:top w:val="none" w:sz="0" w:space="0" w:color="auto"/>
                <w:left w:val="none" w:sz="0" w:space="0" w:color="auto"/>
                <w:bottom w:val="none" w:sz="0" w:space="0" w:color="auto"/>
                <w:right w:val="none" w:sz="0" w:space="0" w:color="auto"/>
              </w:divBdr>
              <w:divsChild>
                <w:div w:id="1385367296">
                  <w:marLeft w:val="0"/>
                  <w:marRight w:val="0"/>
                  <w:marTop w:val="0"/>
                  <w:marBottom w:val="0"/>
                  <w:divBdr>
                    <w:top w:val="none" w:sz="0" w:space="0" w:color="auto"/>
                    <w:left w:val="none" w:sz="0" w:space="0" w:color="auto"/>
                    <w:bottom w:val="none" w:sz="0" w:space="0" w:color="auto"/>
                    <w:right w:val="none" w:sz="0" w:space="0" w:color="auto"/>
                  </w:divBdr>
                  <w:divsChild>
                    <w:div w:id="1279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6726">
      <w:bodyDiv w:val="1"/>
      <w:marLeft w:val="0"/>
      <w:marRight w:val="0"/>
      <w:marTop w:val="0"/>
      <w:marBottom w:val="0"/>
      <w:divBdr>
        <w:top w:val="none" w:sz="0" w:space="0" w:color="auto"/>
        <w:left w:val="none" w:sz="0" w:space="0" w:color="auto"/>
        <w:bottom w:val="none" w:sz="0" w:space="0" w:color="auto"/>
        <w:right w:val="none" w:sz="0" w:space="0" w:color="auto"/>
      </w:divBdr>
      <w:divsChild>
        <w:div w:id="653725504">
          <w:marLeft w:val="0"/>
          <w:marRight w:val="0"/>
          <w:marTop w:val="0"/>
          <w:marBottom w:val="0"/>
          <w:divBdr>
            <w:top w:val="none" w:sz="0" w:space="0" w:color="auto"/>
            <w:left w:val="none" w:sz="0" w:space="0" w:color="auto"/>
            <w:bottom w:val="none" w:sz="0" w:space="0" w:color="auto"/>
            <w:right w:val="none" w:sz="0" w:space="0" w:color="auto"/>
          </w:divBdr>
          <w:divsChild>
            <w:div w:id="1223517846">
              <w:marLeft w:val="0"/>
              <w:marRight w:val="0"/>
              <w:marTop w:val="0"/>
              <w:marBottom w:val="0"/>
              <w:divBdr>
                <w:top w:val="none" w:sz="0" w:space="0" w:color="auto"/>
                <w:left w:val="none" w:sz="0" w:space="0" w:color="auto"/>
                <w:bottom w:val="none" w:sz="0" w:space="0" w:color="auto"/>
                <w:right w:val="none" w:sz="0" w:space="0" w:color="auto"/>
              </w:divBdr>
              <w:divsChild>
                <w:div w:id="1673219596">
                  <w:marLeft w:val="0"/>
                  <w:marRight w:val="0"/>
                  <w:marTop w:val="0"/>
                  <w:marBottom w:val="0"/>
                  <w:divBdr>
                    <w:top w:val="none" w:sz="0" w:space="0" w:color="auto"/>
                    <w:left w:val="none" w:sz="0" w:space="0" w:color="auto"/>
                    <w:bottom w:val="none" w:sz="0" w:space="0" w:color="auto"/>
                    <w:right w:val="none" w:sz="0" w:space="0" w:color="auto"/>
                  </w:divBdr>
                  <w:divsChild>
                    <w:div w:id="2011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80148">
      <w:bodyDiv w:val="1"/>
      <w:marLeft w:val="0"/>
      <w:marRight w:val="0"/>
      <w:marTop w:val="0"/>
      <w:marBottom w:val="0"/>
      <w:divBdr>
        <w:top w:val="none" w:sz="0" w:space="0" w:color="auto"/>
        <w:left w:val="none" w:sz="0" w:space="0" w:color="auto"/>
        <w:bottom w:val="none" w:sz="0" w:space="0" w:color="auto"/>
        <w:right w:val="none" w:sz="0" w:space="0" w:color="auto"/>
      </w:divBdr>
      <w:divsChild>
        <w:div w:id="783816576">
          <w:marLeft w:val="0"/>
          <w:marRight w:val="0"/>
          <w:marTop w:val="0"/>
          <w:marBottom w:val="0"/>
          <w:divBdr>
            <w:top w:val="none" w:sz="0" w:space="0" w:color="auto"/>
            <w:left w:val="none" w:sz="0" w:space="0" w:color="auto"/>
            <w:bottom w:val="none" w:sz="0" w:space="0" w:color="auto"/>
            <w:right w:val="none" w:sz="0" w:space="0" w:color="auto"/>
          </w:divBdr>
          <w:divsChild>
            <w:div w:id="2131126584">
              <w:marLeft w:val="0"/>
              <w:marRight w:val="0"/>
              <w:marTop w:val="0"/>
              <w:marBottom w:val="0"/>
              <w:divBdr>
                <w:top w:val="none" w:sz="0" w:space="0" w:color="auto"/>
                <w:left w:val="none" w:sz="0" w:space="0" w:color="auto"/>
                <w:bottom w:val="none" w:sz="0" w:space="0" w:color="auto"/>
                <w:right w:val="none" w:sz="0" w:space="0" w:color="auto"/>
              </w:divBdr>
              <w:divsChild>
                <w:div w:id="80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243">
      <w:bodyDiv w:val="1"/>
      <w:marLeft w:val="0"/>
      <w:marRight w:val="0"/>
      <w:marTop w:val="0"/>
      <w:marBottom w:val="0"/>
      <w:divBdr>
        <w:top w:val="none" w:sz="0" w:space="0" w:color="auto"/>
        <w:left w:val="none" w:sz="0" w:space="0" w:color="auto"/>
        <w:bottom w:val="none" w:sz="0" w:space="0" w:color="auto"/>
        <w:right w:val="none" w:sz="0" w:space="0" w:color="auto"/>
      </w:divBdr>
      <w:divsChild>
        <w:div w:id="911426739">
          <w:marLeft w:val="0"/>
          <w:marRight w:val="0"/>
          <w:marTop w:val="0"/>
          <w:marBottom w:val="0"/>
          <w:divBdr>
            <w:top w:val="none" w:sz="0" w:space="0" w:color="auto"/>
            <w:left w:val="none" w:sz="0" w:space="0" w:color="auto"/>
            <w:bottom w:val="none" w:sz="0" w:space="0" w:color="auto"/>
            <w:right w:val="none" w:sz="0" w:space="0" w:color="auto"/>
          </w:divBdr>
          <w:divsChild>
            <w:div w:id="519127810">
              <w:marLeft w:val="0"/>
              <w:marRight w:val="0"/>
              <w:marTop w:val="0"/>
              <w:marBottom w:val="0"/>
              <w:divBdr>
                <w:top w:val="none" w:sz="0" w:space="0" w:color="auto"/>
                <w:left w:val="none" w:sz="0" w:space="0" w:color="auto"/>
                <w:bottom w:val="none" w:sz="0" w:space="0" w:color="auto"/>
                <w:right w:val="none" w:sz="0" w:space="0" w:color="auto"/>
              </w:divBdr>
              <w:divsChild>
                <w:div w:id="191918322">
                  <w:marLeft w:val="0"/>
                  <w:marRight w:val="0"/>
                  <w:marTop w:val="0"/>
                  <w:marBottom w:val="0"/>
                  <w:divBdr>
                    <w:top w:val="none" w:sz="0" w:space="0" w:color="auto"/>
                    <w:left w:val="none" w:sz="0" w:space="0" w:color="auto"/>
                    <w:bottom w:val="none" w:sz="0" w:space="0" w:color="auto"/>
                    <w:right w:val="none" w:sz="0" w:space="0" w:color="auto"/>
                  </w:divBdr>
                  <w:divsChild>
                    <w:div w:id="1853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195">
      <w:bodyDiv w:val="1"/>
      <w:marLeft w:val="0"/>
      <w:marRight w:val="0"/>
      <w:marTop w:val="0"/>
      <w:marBottom w:val="0"/>
      <w:divBdr>
        <w:top w:val="none" w:sz="0" w:space="0" w:color="auto"/>
        <w:left w:val="none" w:sz="0" w:space="0" w:color="auto"/>
        <w:bottom w:val="none" w:sz="0" w:space="0" w:color="auto"/>
        <w:right w:val="none" w:sz="0" w:space="0" w:color="auto"/>
      </w:divBdr>
      <w:divsChild>
        <w:div w:id="475728464">
          <w:marLeft w:val="0"/>
          <w:marRight w:val="0"/>
          <w:marTop w:val="0"/>
          <w:marBottom w:val="0"/>
          <w:divBdr>
            <w:top w:val="none" w:sz="0" w:space="0" w:color="auto"/>
            <w:left w:val="none" w:sz="0" w:space="0" w:color="auto"/>
            <w:bottom w:val="none" w:sz="0" w:space="0" w:color="auto"/>
            <w:right w:val="none" w:sz="0" w:space="0" w:color="auto"/>
          </w:divBdr>
          <w:divsChild>
            <w:div w:id="1784573150">
              <w:marLeft w:val="0"/>
              <w:marRight w:val="0"/>
              <w:marTop w:val="0"/>
              <w:marBottom w:val="0"/>
              <w:divBdr>
                <w:top w:val="none" w:sz="0" w:space="0" w:color="auto"/>
                <w:left w:val="none" w:sz="0" w:space="0" w:color="auto"/>
                <w:bottom w:val="none" w:sz="0" w:space="0" w:color="auto"/>
                <w:right w:val="none" w:sz="0" w:space="0" w:color="auto"/>
              </w:divBdr>
              <w:divsChild>
                <w:div w:id="1683622822">
                  <w:marLeft w:val="0"/>
                  <w:marRight w:val="0"/>
                  <w:marTop w:val="0"/>
                  <w:marBottom w:val="0"/>
                  <w:divBdr>
                    <w:top w:val="none" w:sz="0" w:space="0" w:color="auto"/>
                    <w:left w:val="none" w:sz="0" w:space="0" w:color="auto"/>
                    <w:bottom w:val="none" w:sz="0" w:space="0" w:color="auto"/>
                    <w:right w:val="none" w:sz="0" w:space="0" w:color="auto"/>
                  </w:divBdr>
                  <w:divsChild>
                    <w:div w:id="974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4632">
      <w:bodyDiv w:val="1"/>
      <w:marLeft w:val="0"/>
      <w:marRight w:val="0"/>
      <w:marTop w:val="0"/>
      <w:marBottom w:val="0"/>
      <w:divBdr>
        <w:top w:val="none" w:sz="0" w:space="0" w:color="auto"/>
        <w:left w:val="none" w:sz="0" w:space="0" w:color="auto"/>
        <w:bottom w:val="none" w:sz="0" w:space="0" w:color="auto"/>
        <w:right w:val="none" w:sz="0" w:space="0" w:color="auto"/>
      </w:divBdr>
      <w:divsChild>
        <w:div w:id="845444685">
          <w:marLeft w:val="0"/>
          <w:marRight w:val="0"/>
          <w:marTop w:val="0"/>
          <w:marBottom w:val="0"/>
          <w:divBdr>
            <w:top w:val="none" w:sz="0" w:space="0" w:color="auto"/>
            <w:left w:val="none" w:sz="0" w:space="0" w:color="auto"/>
            <w:bottom w:val="none" w:sz="0" w:space="0" w:color="auto"/>
            <w:right w:val="none" w:sz="0" w:space="0" w:color="auto"/>
          </w:divBdr>
          <w:divsChild>
            <w:div w:id="423840638">
              <w:marLeft w:val="0"/>
              <w:marRight w:val="0"/>
              <w:marTop w:val="0"/>
              <w:marBottom w:val="0"/>
              <w:divBdr>
                <w:top w:val="none" w:sz="0" w:space="0" w:color="auto"/>
                <w:left w:val="none" w:sz="0" w:space="0" w:color="auto"/>
                <w:bottom w:val="none" w:sz="0" w:space="0" w:color="auto"/>
                <w:right w:val="none" w:sz="0" w:space="0" w:color="auto"/>
              </w:divBdr>
              <w:divsChild>
                <w:div w:id="1086536285">
                  <w:marLeft w:val="0"/>
                  <w:marRight w:val="0"/>
                  <w:marTop w:val="0"/>
                  <w:marBottom w:val="0"/>
                  <w:divBdr>
                    <w:top w:val="none" w:sz="0" w:space="0" w:color="auto"/>
                    <w:left w:val="none" w:sz="0" w:space="0" w:color="auto"/>
                    <w:bottom w:val="none" w:sz="0" w:space="0" w:color="auto"/>
                    <w:right w:val="none" w:sz="0" w:space="0" w:color="auto"/>
                  </w:divBdr>
                  <w:divsChild>
                    <w:div w:id="9907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234">
      <w:bodyDiv w:val="1"/>
      <w:marLeft w:val="0"/>
      <w:marRight w:val="0"/>
      <w:marTop w:val="0"/>
      <w:marBottom w:val="0"/>
      <w:divBdr>
        <w:top w:val="none" w:sz="0" w:space="0" w:color="auto"/>
        <w:left w:val="none" w:sz="0" w:space="0" w:color="auto"/>
        <w:bottom w:val="none" w:sz="0" w:space="0" w:color="auto"/>
        <w:right w:val="none" w:sz="0" w:space="0" w:color="auto"/>
      </w:divBdr>
      <w:divsChild>
        <w:div w:id="1478373694">
          <w:marLeft w:val="0"/>
          <w:marRight w:val="0"/>
          <w:marTop w:val="0"/>
          <w:marBottom w:val="0"/>
          <w:divBdr>
            <w:top w:val="none" w:sz="0" w:space="0" w:color="auto"/>
            <w:left w:val="none" w:sz="0" w:space="0" w:color="auto"/>
            <w:bottom w:val="none" w:sz="0" w:space="0" w:color="auto"/>
            <w:right w:val="none" w:sz="0" w:space="0" w:color="auto"/>
          </w:divBdr>
          <w:divsChild>
            <w:div w:id="288783104">
              <w:marLeft w:val="0"/>
              <w:marRight w:val="0"/>
              <w:marTop w:val="0"/>
              <w:marBottom w:val="0"/>
              <w:divBdr>
                <w:top w:val="none" w:sz="0" w:space="0" w:color="auto"/>
                <w:left w:val="none" w:sz="0" w:space="0" w:color="auto"/>
                <w:bottom w:val="none" w:sz="0" w:space="0" w:color="auto"/>
                <w:right w:val="none" w:sz="0" w:space="0" w:color="auto"/>
              </w:divBdr>
              <w:divsChild>
                <w:div w:id="18939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732">
      <w:bodyDiv w:val="1"/>
      <w:marLeft w:val="0"/>
      <w:marRight w:val="0"/>
      <w:marTop w:val="0"/>
      <w:marBottom w:val="0"/>
      <w:divBdr>
        <w:top w:val="none" w:sz="0" w:space="0" w:color="auto"/>
        <w:left w:val="none" w:sz="0" w:space="0" w:color="auto"/>
        <w:bottom w:val="none" w:sz="0" w:space="0" w:color="auto"/>
        <w:right w:val="none" w:sz="0" w:space="0" w:color="auto"/>
      </w:divBdr>
      <w:divsChild>
        <w:div w:id="543058732">
          <w:marLeft w:val="0"/>
          <w:marRight w:val="0"/>
          <w:marTop w:val="0"/>
          <w:marBottom w:val="0"/>
          <w:divBdr>
            <w:top w:val="none" w:sz="0" w:space="0" w:color="auto"/>
            <w:left w:val="none" w:sz="0" w:space="0" w:color="auto"/>
            <w:bottom w:val="none" w:sz="0" w:space="0" w:color="auto"/>
            <w:right w:val="none" w:sz="0" w:space="0" w:color="auto"/>
          </w:divBdr>
          <w:divsChild>
            <w:div w:id="268007350">
              <w:marLeft w:val="0"/>
              <w:marRight w:val="0"/>
              <w:marTop w:val="0"/>
              <w:marBottom w:val="0"/>
              <w:divBdr>
                <w:top w:val="none" w:sz="0" w:space="0" w:color="auto"/>
                <w:left w:val="none" w:sz="0" w:space="0" w:color="auto"/>
                <w:bottom w:val="none" w:sz="0" w:space="0" w:color="auto"/>
                <w:right w:val="none" w:sz="0" w:space="0" w:color="auto"/>
              </w:divBdr>
              <w:divsChild>
                <w:div w:id="1836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2926">
      <w:bodyDiv w:val="1"/>
      <w:marLeft w:val="0"/>
      <w:marRight w:val="0"/>
      <w:marTop w:val="0"/>
      <w:marBottom w:val="0"/>
      <w:divBdr>
        <w:top w:val="none" w:sz="0" w:space="0" w:color="auto"/>
        <w:left w:val="none" w:sz="0" w:space="0" w:color="auto"/>
        <w:bottom w:val="none" w:sz="0" w:space="0" w:color="auto"/>
        <w:right w:val="none" w:sz="0" w:space="0" w:color="auto"/>
      </w:divBdr>
      <w:divsChild>
        <w:div w:id="172650328">
          <w:marLeft w:val="0"/>
          <w:marRight w:val="0"/>
          <w:marTop w:val="0"/>
          <w:marBottom w:val="0"/>
          <w:divBdr>
            <w:top w:val="none" w:sz="0" w:space="0" w:color="auto"/>
            <w:left w:val="none" w:sz="0" w:space="0" w:color="auto"/>
            <w:bottom w:val="none" w:sz="0" w:space="0" w:color="auto"/>
            <w:right w:val="none" w:sz="0" w:space="0" w:color="auto"/>
          </w:divBdr>
          <w:divsChild>
            <w:div w:id="650597035">
              <w:marLeft w:val="0"/>
              <w:marRight w:val="0"/>
              <w:marTop w:val="0"/>
              <w:marBottom w:val="0"/>
              <w:divBdr>
                <w:top w:val="none" w:sz="0" w:space="0" w:color="auto"/>
                <w:left w:val="none" w:sz="0" w:space="0" w:color="auto"/>
                <w:bottom w:val="none" w:sz="0" w:space="0" w:color="auto"/>
                <w:right w:val="none" w:sz="0" w:space="0" w:color="auto"/>
              </w:divBdr>
              <w:divsChild>
                <w:div w:id="14222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071">
      <w:bodyDiv w:val="1"/>
      <w:marLeft w:val="0"/>
      <w:marRight w:val="0"/>
      <w:marTop w:val="0"/>
      <w:marBottom w:val="0"/>
      <w:divBdr>
        <w:top w:val="none" w:sz="0" w:space="0" w:color="auto"/>
        <w:left w:val="none" w:sz="0" w:space="0" w:color="auto"/>
        <w:bottom w:val="none" w:sz="0" w:space="0" w:color="auto"/>
        <w:right w:val="none" w:sz="0" w:space="0" w:color="auto"/>
      </w:divBdr>
      <w:divsChild>
        <w:div w:id="130443589">
          <w:marLeft w:val="0"/>
          <w:marRight w:val="0"/>
          <w:marTop w:val="0"/>
          <w:marBottom w:val="0"/>
          <w:divBdr>
            <w:top w:val="none" w:sz="0" w:space="0" w:color="auto"/>
            <w:left w:val="none" w:sz="0" w:space="0" w:color="auto"/>
            <w:bottom w:val="none" w:sz="0" w:space="0" w:color="auto"/>
            <w:right w:val="none" w:sz="0" w:space="0" w:color="auto"/>
          </w:divBdr>
          <w:divsChild>
            <w:div w:id="1521629545">
              <w:marLeft w:val="0"/>
              <w:marRight w:val="0"/>
              <w:marTop w:val="0"/>
              <w:marBottom w:val="0"/>
              <w:divBdr>
                <w:top w:val="none" w:sz="0" w:space="0" w:color="auto"/>
                <w:left w:val="none" w:sz="0" w:space="0" w:color="auto"/>
                <w:bottom w:val="none" w:sz="0" w:space="0" w:color="auto"/>
                <w:right w:val="none" w:sz="0" w:space="0" w:color="auto"/>
              </w:divBdr>
              <w:divsChild>
                <w:div w:id="19099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87">
      <w:bodyDiv w:val="1"/>
      <w:marLeft w:val="0"/>
      <w:marRight w:val="0"/>
      <w:marTop w:val="0"/>
      <w:marBottom w:val="0"/>
      <w:divBdr>
        <w:top w:val="none" w:sz="0" w:space="0" w:color="auto"/>
        <w:left w:val="none" w:sz="0" w:space="0" w:color="auto"/>
        <w:bottom w:val="none" w:sz="0" w:space="0" w:color="auto"/>
        <w:right w:val="none" w:sz="0" w:space="0" w:color="auto"/>
      </w:divBdr>
    </w:div>
    <w:div w:id="658002380">
      <w:bodyDiv w:val="1"/>
      <w:marLeft w:val="0"/>
      <w:marRight w:val="0"/>
      <w:marTop w:val="0"/>
      <w:marBottom w:val="0"/>
      <w:divBdr>
        <w:top w:val="none" w:sz="0" w:space="0" w:color="auto"/>
        <w:left w:val="none" w:sz="0" w:space="0" w:color="auto"/>
        <w:bottom w:val="none" w:sz="0" w:space="0" w:color="auto"/>
        <w:right w:val="none" w:sz="0" w:space="0" w:color="auto"/>
      </w:divBdr>
      <w:divsChild>
        <w:div w:id="1377855299">
          <w:marLeft w:val="0"/>
          <w:marRight w:val="0"/>
          <w:marTop w:val="0"/>
          <w:marBottom w:val="0"/>
          <w:divBdr>
            <w:top w:val="none" w:sz="0" w:space="0" w:color="auto"/>
            <w:left w:val="none" w:sz="0" w:space="0" w:color="auto"/>
            <w:bottom w:val="none" w:sz="0" w:space="0" w:color="auto"/>
            <w:right w:val="none" w:sz="0" w:space="0" w:color="auto"/>
          </w:divBdr>
          <w:divsChild>
            <w:div w:id="1465612712">
              <w:marLeft w:val="0"/>
              <w:marRight w:val="0"/>
              <w:marTop w:val="0"/>
              <w:marBottom w:val="0"/>
              <w:divBdr>
                <w:top w:val="none" w:sz="0" w:space="0" w:color="auto"/>
                <w:left w:val="none" w:sz="0" w:space="0" w:color="auto"/>
                <w:bottom w:val="none" w:sz="0" w:space="0" w:color="auto"/>
                <w:right w:val="none" w:sz="0" w:space="0" w:color="auto"/>
              </w:divBdr>
              <w:divsChild>
                <w:div w:id="358044059">
                  <w:marLeft w:val="0"/>
                  <w:marRight w:val="0"/>
                  <w:marTop w:val="0"/>
                  <w:marBottom w:val="0"/>
                  <w:divBdr>
                    <w:top w:val="none" w:sz="0" w:space="0" w:color="auto"/>
                    <w:left w:val="none" w:sz="0" w:space="0" w:color="auto"/>
                    <w:bottom w:val="none" w:sz="0" w:space="0" w:color="auto"/>
                    <w:right w:val="none" w:sz="0" w:space="0" w:color="auto"/>
                  </w:divBdr>
                  <w:divsChild>
                    <w:div w:id="17806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94137">
      <w:bodyDiv w:val="1"/>
      <w:marLeft w:val="0"/>
      <w:marRight w:val="0"/>
      <w:marTop w:val="0"/>
      <w:marBottom w:val="0"/>
      <w:divBdr>
        <w:top w:val="none" w:sz="0" w:space="0" w:color="auto"/>
        <w:left w:val="none" w:sz="0" w:space="0" w:color="auto"/>
        <w:bottom w:val="none" w:sz="0" w:space="0" w:color="auto"/>
        <w:right w:val="none" w:sz="0" w:space="0" w:color="auto"/>
      </w:divBdr>
      <w:divsChild>
        <w:div w:id="169030687">
          <w:marLeft w:val="-225"/>
          <w:marRight w:val="-225"/>
          <w:marTop w:val="0"/>
          <w:marBottom w:val="0"/>
          <w:divBdr>
            <w:top w:val="none" w:sz="0" w:space="0" w:color="auto"/>
            <w:left w:val="none" w:sz="0" w:space="0" w:color="auto"/>
            <w:bottom w:val="none" w:sz="0" w:space="0" w:color="auto"/>
            <w:right w:val="none" w:sz="0" w:space="0" w:color="auto"/>
          </w:divBdr>
          <w:divsChild>
            <w:div w:id="6342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5569">
      <w:bodyDiv w:val="1"/>
      <w:marLeft w:val="0"/>
      <w:marRight w:val="0"/>
      <w:marTop w:val="0"/>
      <w:marBottom w:val="0"/>
      <w:divBdr>
        <w:top w:val="none" w:sz="0" w:space="0" w:color="auto"/>
        <w:left w:val="none" w:sz="0" w:space="0" w:color="auto"/>
        <w:bottom w:val="none" w:sz="0" w:space="0" w:color="auto"/>
        <w:right w:val="none" w:sz="0" w:space="0" w:color="auto"/>
      </w:divBdr>
      <w:divsChild>
        <w:div w:id="238251367">
          <w:marLeft w:val="0"/>
          <w:marRight w:val="0"/>
          <w:marTop w:val="0"/>
          <w:marBottom w:val="0"/>
          <w:divBdr>
            <w:top w:val="none" w:sz="0" w:space="0" w:color="auto"/>
            <w:left w:val="none" w:sz="0" w:space="0" w:color="auto"/>
            <w:bottom w:val="none" w:sz="0" w:space="0" w:color="auto"/>
            <w:right w:val="none" w:sz="0" w:space="0" w:color="auto"/>
          </w:divBdr>
          <w:divsChild>
            <w:div w:id="113208001">
              <w:marLeft w:val="0"/>
              <w:marRight w:val="0"/>
              <w:marTop w:val="0"/>
              <w:marBottom w:val="0"/>
              <w:divBdr>
                <w:top w:val="none" w:sz="0" w:space="0" w:color="auto"/>
                <w:left w:val="none" w:sz="0" w:space="0" w:color="auto"/>
                <w:bottom w:val="none" w:sz="0" w:space="0" w:color="auto"/>
                <w:right w:val="none" w:sz="0" w:space="0" w:color="auto"/>
              </w:divBdr>
              <w:divsChild>
                <w:div w:id="2200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6151">
      <w:bodyDiv w:val="1"/>
      <w:marLeft w:val="0"/>
      <w:marRight w:val="0"/>
      <w:marTop w:val="0"/>
      <w:marBottom w:val="0"/>
      <w:divBdr>
        <w:top w:val="none" w:sz="0" w:space="0" w:color="auto"/>
        <w:left w:val="none" w:sz="0" w:space="0" w:color="auto"/>
        <w:bottom w:val="none" w:sz="0" w:space="0" w:color="auto"/>
        <w:right w:val="none" w:sz="0" w:space="0" w:color="auto"/>
      </w:divBdr>
      <w:divsChild>
        <w:div w:id="1401518483">
          <w:marLeft w:val="0"/>
          <w:marRight w:val="0"/>
          <w:marTop w:val="0"/>
          <w:marBottom w:val="0"/>
          <w:divBdr>
            <w:top w:val="none" w:sz="0" w:space="0" w:color="auto"/>
            <w:left w:val="none" w:sz="0" w:space="0" w:color="auto"/>
            <w:bottom w:val="none" w:sz="0" w:space="0" w:color="auto"/>
            <w:right w:val="none" w:sz="0" w:space="0" w:color="auto"/>
          </w:divBdr>
          <w:divsChild>
            <w:div w:id="982781088">
              <w:marLeft w:val="0"/>
              <w:marRight w:val="0"/>
              <w:marTop w:val="0"/>
              <w:marBottom w:val="0"/>
              <w:divBdr>
                <w:top w:val="none" w:sz="0" w:space="0" w:color="auto"/>
                <w:left w:val="none" w:sz="0" w:space="0" w:color="auto"/>
                <w:bottom w:val="none" w:sz="0" w:space="0" w:color="auto"/>
                <w:right w:val="none" w:sz="0" w:space="0" w:color="auto"/>
              </w:divBdr>
              <w:divsChild>
                <w:div w:id="141624121">
                  <w:marLeft w:val="0"/>
                  <w:marRight w:val="0"/>
                  <w:marTop w:val="0"/>
                  <w:marBottom w:val="0"/>
                  <w:divBdr>
                    <w:top w:val="none" w:sz="0" w:space="0" w:color="auto"/>
                    <w:left w:val="none" w:sz="0" w:space="0" w:color="auto"/>
                    <w:bottom w:val="none" w:sz="0" w:space="0" w:color="auto"/>
                    <w:right w:val="none" w:sz="0" w:space="0" w:color="auto"/>
                  </w:divBdr>
                  <w:divsChild>
                    <w:div w:id="10051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931071">
      <w:bodyDiv w:val="1"/>
      <w:marLeft w:val="0"/>
      <w:marRight w:val="0"/>
      <w:marTop w:val="0"/>
      <w:marBottom w:val="0"/>
      <w:divBdr>
        <w:top w:val="none" w:sz="0" w:space="0" w:color="auto"/>
        <w:left w:val="none" w:sz="0" w:space="0" w:color="auto"/>
        <w:bottom w:val="none" w:sz="0" w:space="0" w:color="auto"/>
        <w:right w:val="none" w:sz="0" w:space="0" w:color="auto"/>
      </w:divBdr>
      <w:divsChild>
        <w:div w:id="991249340">
          <w:marLeft w:val="0"/>
          <w:marRight w:val="0"/>
          <w:marTop w:val="0"/>
          <w:marBottom w:val="0"/>
          <w:divBdr>
            <w:top w:val="none" w:sz="0" w:space="0" w:color="auto"/>
            <w:left w:val="none" w:sz="0" w:space="0" w:color="auto"/>
            <w:bottom w:val="none" w:sz="0" w:space="0" w:color="auto"/>
            <w:right w:val="none" w:sz="0" w:space="0" w:color="auto"/>
          </w:divBdr>
          <w:divsChild>
            <w:div w:id="616181047">
              <w:marLeft w:val="0"/>
              <w:marRight w:val="0"/>
              <w:marTop w:val="0"/>
              <w:marBottom w:val="0"/>
              <w:divBdr>
                <w:top w:val="none" w:sz="0" w:space="0" w:color="auto"/>
                <w:left w:val="none" w:sz="0" w:space="0" w:color="auto"/>
                <w:bottom w:val="none" w:sz="0" w:space="0" w:color="auto"/>
                <w:right w:val="none" w:sz="0" w:space="0" w:color="auto"/>
              </w:divBdr>
              <w:divsChild>
                <w:div w:id="279459004">
                  <w:marLeft w:val="0"/>
                  <w:marRight w:val="0"/>
                  <w:marTop w:val="0"/>
                  <w:marBottom w:val="0"/>
                  <w:divBdr>
                    <w:top w:val="none" w:sz="0" w:space="0" w:color="auto"/>
                    <w:left w:val="none" w:sz="0" w:space="0" w:color="auto"/>
                    <w:bottom w:val="none" w:sz="0" w:space="0" w:color="auto"/>
                    <w:right w:val="none" w:sz="0" w:space="0" w:color="auto"/>
                  </w:divBdr>
                  <w:divsChild>
                    <w:div w:id="8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064">
      <w:bodyDiv w:val="1"/>
      <w:marLeft w:val="0"/>
      <w:marRight w:val="0"/>
      <w:marTop w:val="0"/>
      <w:marBottom w:val="0"/>
      <w:divBdr>
        <w:top w:val="none" w:sz="0" w:space="0" w:color="auto"/>
        <w:left w:val="none" w:sz="0" w:space="0" w:color="auto"/>
        <w:bottom w:val="none" w:sz="0" w:space="0" w:color="auto"/>
        <w:right w:val="none" w:sz="0" w:space="0" w:color="auto"/>
      </w:divBdr>
      <w:divsChild>
        <w:div w:id="349726334">
          <w:marLeft w:val="0"/>
          <w:marRight w:val="0"/>
          <w:marTop w:val="0"/>
          <w:marBottom w:val="0"/>
          <w:divBdr>
            <w:top w:val="none" w:sz="0" w:space="0" w:color="auto"/>
            <w:left w:val="none" w:sz="0" w:space="0" w:color="auto"/>
            <w:bottom w:val="none" w:sz="0" w:space="0" w:color="auto"/>
            <w:right w:val="none" w:sz="0" w:space="0" w:color="auto"/>
          </w:divBdr>
          <w:divsChild>
            <w:div w:id="1514883137">
              <w:marLeft w:val="0"/>
              <w:marRight w:val="0"/>
              <w:marTop w:val="0"/>
              <w:marBottom w:val="0"/>
              <w:divBdr>
                <w:top w:val="none" w:sz="0" w:space="0" w:color="auto"/>
                <w:left w:val="none" w:sz="0" w:space="0" w:color="auto"/>
                <w:bottom w:val="none" w:sz="0" w:space="0" w:color="auto"/>
                <w:right w:val="none" w:sz="0" w:space="0" w:color="auto"/>
              </w:divBdr>
              <w:divsChild>
                <w:div w:id="1482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7620">
      <w:bodyDiv w:val="1"/>
      <w:marLeft w:val="0"/>
      <w:marRight w:val="0"/>
      <w:marTop w:val="0"/>
      <w:marBottom w:val="0"/>
      <w:divBdr>
        <w:top w:val="none" w:sz="0" w:space="0" w:color="auto"/>
        <w:left w:val="none" w:sz="0" w:space="0" w:color="auto"/>
        <w:bottom w:val="none" w:sz="0" w:space="0" w:color="auto"/>
        <w:right w:val="none" w:sz="0" w:space="0" w:color="auto"/>
      </w:divBdr>
      <w:divsChild>
        <w:div w:id="643432482">
          <w:marLeft w:val="0"/>
          <w:marRight w:val="0"/>
          <w:marTop w:val="0"/>
          <w:marBottom w:val="0"/>
          <w:divBdr>
            <w:top w:val="none" w:sz="0" w:space="0" w:color="auto"/>
            <w:left w:val="none" w:sz="0" w:space="0" w:color="auto"/>
            <w:bottom w:val="none" w:sz="0" w:space="0" w:color="auto"/>
            <w:right w:val="none" w:sz="0" w:space="0" w:color="auto"/>
          </w:divBdr>
          <w:divsChild>
            <w:div w:id="103816128">
              <w:marLeft w:val="0"/>
              <w:marRight w:val="0"/>
              <w:marTop w:val="0"/>
              <w:marBottom w:val="0"/>
              <w:divBdr>
                <w:top w:val="none" w:sz="0" w:space="0" w:color="auto"/>
                <w:left w:val="none" w:sz="0" w:space="0" w:color="auto"/>
                <w:bottom w:val="none" w:sz="0" w:space="0" w:color="auto"/>
                <w:right w:val="none" w:sz="0" w:space="0" w:color="auto"/>
              </w:divBdr>
              <w:divsChild>
                <w:div w:id="682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1811">
      <w:bodyDiv w:val="1"/>
      <w:marLeft w:val="0"/>
      <w:marRight w:val="0"/>
      <w:marTop w:val="0"/>
      <w:marBottom w:val="0"/>
      <w:divBdr>
        <w:top w:val="none" w:sz="0" w:space="0" w:color="auto"/>
        <w:left w:val="none" w:sz="0" w:space="0" w:color="auto"/>
        <w:bottom w:val="none" w:sz="0" w:space="0" w:color="auto"/>
        <w:right w:val="none" w:sz="0" w:space="0" w:color="auto"/>
      </w:divBdr>
      <w:divsChild>
        <w:div w:id="897978954">
          <w:marLeft w:val="0"/>
          <w:marRight w:val="0"/>
          <w:marTop w:val="0"/>
          <w:marBottom w:val="0"/>
          <w:divBdr>
            <w:top w:val="none" w:sz="0" w:space="0" w:color="auto"/>
            <w:left w:val="none" w:sz="0" w:space="0" w:color="auto"/>
            <w:bottom w:val="none" w:sz="0" w:space="0" w:color="auto"/>
            <w:right w:val="none" w:sz="0" w:space="0" w:color="auto"/>
          </w:divBdr>
          <w:divsChild>
            <w:div w:id="2041122321">
              <w:marLeft w:val="0"/>
              <w:marRight w:val="0"/>
              <w:marTop w:val="0"/>
              <w:marBottom w:val="0"/>
              <w:divBdr>
                <w:top w:val="none" w:sz="0" w:space="0" w:color="auto"/>
                <w:left w:val="none" w:sz="0" w:space="0" w:color="auto"/>
                <w:bottom w:val="none" w:sz="0" w:space="0" w:color="auto"/>
                <w:right w:val="none" w:sz="0" w:space="0" w:color="auto"/>
              </w:divBdr>
              <w:divsChild>
                <w:div w:id="19313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819">
      <w:bodyDiv w:val="1"/>
      <w:marLeft w:val="0"/>
      <w:marRight w:val="0"/>
      <w:marTop w:val="0"/>
      <w:marBottom w:val="0"/>
      <w:divBdr>
        <w:top w:val="none" w:sz="0" w:space="0" w:color="auto"/>
        <w:left w:val="none" w:sz="0" w:space="0" w:color="auto"/>
        <w:bottom w:val="none" w:sz="0" w:space="0" w:color="auto"/>
        <w:right w:val="none" w:sz="0" w:space="0" w:color="auto"/>
      </w:divBdr>
      <w:divsChild>
        <w:div w:id="887834390">
          <w:marLeft w:val="0"/>
          <w:marRight w:val="0"/>
          <w:marTop w:val="0"/>
          <w:marBottom w:val="0"/>
          <w:divBdr>
            <w:top w:val="none" w:sz="0" w:space="0" w:color="auto"/>
            <w:left w:val="none" w:sz="0" w:space="0" w:color="auto"/>
            <w:bottom w:val="none" w:sz="0" w:space="0" w:color="auto"/>
            <w:right w:val="none" w:sz="0" w:space="0" w:color="auto"/>
          </w:divBdr>
          <w:divsChild>
            <w:div w:id="1325353624">
              <w:marLeft w:val="0"/>
              <w:marRight w:val="0"/>
              <w:marTop w:val="0"/>
              <w:marBottom w:val="0"/>
              <w:divBdr>
                <w:top w:val="none" w:sz="0" w:space="0" w:color="auto"/>
                <w:left w:val="none" w:sz="0" w:space="0" w:color="auto"/>
                <w:bottom w:val="none" w:sz="0" w:space="0" w:color="auto"/>
                <w:right w:val="none" w:sz="0" w:space="0" w:color="auto"/>
              </w:divBdr>
              <w:divsChild>
                <w:div w:id="10533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24744">
      <w:bodyDiv w:val="1"/>
      <w:marLeft w:val="0"/>
      <w:marRight w:val="0"/>
      <w:marTop w:val="0"/>
      <w:marBottom w:val="0"/>
      <w:divBdr>
        <w:top w:val="none" w:sz="0" w:space="0" w:color="auto"/>
        <w:left w:val="none" w:sz="0" w:space="0" w:color="auto"/>
        <w:bottom w:val="none" w:sz="0" w:space="0" w:color="auto"/>
        <w:right w:val="none" w:sz="0" w:space="0" w:color="auto"/>
      </w:divBdr>
      <w:divsChild>
        <w:div w:id="176310929">
          <w:marLeft w:val="0"/>
          <w:marRight w:val="0"/>
          <w:marTop w:val="0"/>
          <w:marBottom w:val="0"/>
          <w:divBdr>
            <w:top w:val="none" w:sz="0" w:space="0" w:color="auto"/>
            <w:left w:val="none" w:sz="0" w:space="0" w:color="auto"/>
            <w:bottom w:val="none" w:sz="0" w:space="0" w:color="auto"/>
            <w:right w:val="none" w:sz="0" w:space="0" w:color="auto"/>
          </w:divBdr>
          <w:divsChild>
            <w:div w:id="1523788353">
              <w:marLeft w:val="0"/>
              <w:marRight w:val="0"/>
              <w:marTop w:val="0"/>
              <w:marBottom w:val="0"/>
              <w:divBdr>
                <w:top w:val="none" w:sz="0" w:space="0" w:color="auto"/>
                <w:left w:val="none" w:sz="0" w:space="0" w:color="auto"/>
                <w:bottom w:val="none" w:sz="0" w:space="0" w:color="auto"/>
                <w:right w:val="none" w:sz="0" w:space="0" w:color="auto"/>
              </w:divBdr>
              <w:divsChild>
                <w:div w:id="3888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1534">
      <w:bodyDiv w:val="1"/>
      <w:marLeft w:val="0"/>
      <w:marRight w:val="0"/>
      <w:marTop w:val="0"/>
      <w:marBottom w:val="0"/>
      <w:divBdr>
        <w:top w:val="none" w:sz="0" w:space="0" w:color="auto"/>
        <w:left w:val="none" w:sz="0" w:space="0" w:color="auto"/>
        <w:bottom w:val="none" w:sz="0" w:space="0" w:color="auto"/>
        <w:right w:val="none" w:sz="0" w:space="0" w:color="auto"/>
      </w:divBdr>
      <w:divsChild>
        <w:div w:id="1458835381">
          <w:marLeft w:val="0"/>
          <w:marRight w:val="0"/>
          <w:marTop w:val="0"/>
          <w:marBottom w:val="0"/>
          <w:divBdr>
            <w:top w:val="none" w:sz="0" w:space="0" w:color="auto"/>
            <w:left w:val="none" w:sz="0" w:space="0" w:color="auto"/>
            <w:bottom w:val="none" w:sz="0" w:space="0" w:color="auto"/>
            <w:right w:val="none" w:sz="0" w:space="0" w:color="auto"/>
          </w:divBdr>
          <w:divsChild>
            <w:div w:id="1396511364">
              <w:marLeft w:val="0"/>
              <w:marRight w:val="0"/>
              <w:marTop w:val="0"/>
              <w:marBottom w:val="0"/>
              <w:divBdr>
                <w:top w:val="none" w:sz="0" w:space="0" w:color="auto"/>
                <w:left w:val="none" w:sz="0" w:space="0" w:color="auto"/>
                <w:bottom w:val="none" w:sz="0" w:space="0" w:color="auto"/>
                <w:right w:val="none" w:sz="0" w:space="0" w:color="auto"/>
              </w:divBdr>
              <w:divsChild>
                <w:div w:id="534075954">
                  <w:marLeft w:val="0"/>
                  <w:marRight w:val="0"/>
                  <w:marTop w:val="0"/>
                  <w:marBottom w:val="0"/>
                  <w:divBdr>
                    <w:top w:val="none" w:sz="0" w:space="0" w:color="auto"/>
                    <w:left w:val="none" w:sz="0" w:space="0" w:color="auto"/>
                    <w:bottom w:val="none" w:sz="0" w:space="0" w:color="auto"/>
                    <w:right w:val="none" w:sz="0" w:space="0" w:color="auto"/>
                  </w:divBdr>
                  <w:divsChild>
                    <w:div w:id="16347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05950">
      <w:bodyDiv w:val="1"/>
      <w:marLeft w:val="0"/>
      <w:marRight w:val="0"/>
      <w:marTop w:val="0"/>
      <w:marBottom w:val="0"/>
      <w:divBdr>
        <w:top w:val="none" w:sz="0" w:space="0" w:color="auto"/>
        <w:left w:val="none" w:sz="0" w:space="0" w:color="auto"/>
        <w:bottom w:val="none" w:sz="0" w:space="0" w:color="auto"/>
        <w:right w:val="none" w:sz="0" w:space="0" w:color="auto"/>
      </w:divBdr>
      <w:divsChild>
        <w:div w:id="1307392645">
          <w:marLeft w:val="0"/>
          <w:marRight w:val="0"/>
          <w:marTop w:val="0"/>
          <w:marBottom w:val="0"/>
          <w:divBdr>
            <w:top w:val="none" w:sz="0" w:space="0" w:color="auto"/>
            <w:left w:val="none" w:sz="0" w:space="0" w:color="auto"/>
            <w:bottom w:val="none" w:sz="0" w:space="0" w:color="auto"/>
            <w:right w:val="none" w:sz="0" w:space="0" w:color="auto"/>
          </w:divBdr>
          <w:divsChild>
            <w:div w:id="817571264">
              <w:marLeft w:val="0"/>
              <w:marRight w:val="0"/>
              <w:marTop w:val="0"/>
              <w:marBottom w:val="0"/>
              <w:divBdr>
                <w:top w:val="none" w:sz="0" w:space="0" w:color="auto"/>
                <w:left w:val="none" w:sz="0" w:space="0" w:color="auto"/>
                <w:bottom w:val="none" w:sz="0" w:space="0" w:color="auto"/>
                <w:right w:val="none" w:sz="0" w:space="0" w:color="auto"/>
              </w:divBdr>
              <w:divsChild>
                <w:div w:id="530580808">
                  <w:marLeft w:val="0"/>
                  <w:marRight w:val="0"/>
                  <w:marTop w:val="0"/>
                  <w:marBottom w:val="0"/>
                  <w:divBdr>
                    <w:top w:val="none" w:sz="0" w:space="0" w:color="auto"/>
                    <w:left w:val="none" w:sz="0" w:space="0" w:color="auto"/>
                    <w:bottom w:val="none" w:sz="0" w:space="0" w:color="auto"/>
                    <w:right w:val="none" w:sz="0" w:space="0" w:color="auto"/>
                  </w:divBdr>
                  <w:divsChild>
                    <w:div w:id="14667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4373">
      <w:bodyDiv w:val="1"/>
      <w:marLeft w:val="0"/>
      <w:marRight w:val="0"/>
      <w:marTop w:val="0"/>
      <w:marBottom w:val="0"/>
      <w:divBdr>
        <w:top w:val="none" w:sz="0" w:space="0" w:color="auto"/>
        <w:left w:val="none" w:sz="0" w:space="0" w:color="auto"/>
        <w:bottom w:val="none" w:sz="0" w:space="0" w:color="auto"/>
        <w:right w:val="none" w:sz="0" w:space="0" w:color="auto"/>
      </w:divBdr>
    </w:div>
    <w:div w:id="735974095">
      <w:bodyDiv w:val="1"/>
      <w:marLeft w:val="0"/>
      <w:marRight w:val="0"/>
      <w:marTop w:val="0"/>
      <w:marBottom w:val="0"/>
      <w:divBdr>
        <w:top w:val="none" w:sz="0" w:space="0" w:color="auto"/>
        <w:left w:val="none" w:sz="0" w:space="0" w:color="auto"/>
        <w:bottom w:val="none" w:sz="0" w:space="0" w:color="auto"/>
        <w:right w:val="none" w:sz="0" w:space="0" w:color="auto"/>
      </w:divBdr>
    </w:div>
    <w:div w:id="750348980">
      <w:bodyDiv w:val="1"/>
      <w:marLeft w:val="0"/>
      <w:marRight w:val="0"/>
      <w:marTop w:val="0"/>
      <w:marBottom w:val="0"/>
      <w:divBdr>
        <w:top w:val="none" w:sz="0" w:space="0" w:color="auto"/>
        <w:left w:val="none" w:sz="0" w:space="0" w:color="auto"/>
        <w:bottom w:val="none" w:sz="0" w:space="0" w:color="auto"/>
        <w:right w:val="none" w:sz="0" w:space="0" w:color="auto"/>
      </w:divBdr>
      <w:divsChild>
        <w:div w:id="1461263957">
          <w:marLeft w:val="0"/>
          <w:marRight w:val="0"/>
          <w:marTop w:val="0"/>
          <w:marBottom w:val="0"/>
          <w:divBdr>
            <w:top w:val="none" w:sz="0" w:space="0" w:color="auto"/>
            <w:left w:val="none" w:sz="0" w:space="0" w:color="auto"/>
            <w:bottom w:val="none" w:sz="0" w:space="0" w:color="auto"/>
            <w:right w:val="none" w:sz="0" w:space="0" w:color="auto"/>
          </w:divBdr>
          <w:divsChild>
            <w:div w:id="1327125178">
              <w:marLeft w:val="0"/>
              <w:marRight w:val="0"/>
              <w:marTop w:val="0"/>
              <w:marBottom w:val="0"/>
              <w:divBdr>
                <w:top w:val="none" w:sz="0" w:space="0" w:color="auto"/>
                <w:left w:val="none" w:sz="0" w:space="0" w:color="auto"/>
                <w:bottom w:val="none" w:sz="0" w:space="0" w:color="auto"/>
                <w:right w:val="none" w:sz="0" w:space="0" w:color="auto"/>
              </w:divBdr>
              <w:divsChild>
                <w:div w:id="9829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6571">
      <w:bodyDiv w:val="1"/>
      <w:marLeft w:val="0"/>
      <w:marRight w:val="0"/>
      <w:marTop w:val="0"/>
      <w:marBottom w:val="0"/>
      <w:divBdr>
        <w:top w:val="none" w:sz="0" w:space="0" w:color="auto"/>
        <w:left w:val="none" w:sz="0" w:space="0" w:color="auto"/>
        <w:bottom w:val="none" w:sz="0" w:space="0" w:color="auto"/>
        <w:right w:val="none" w:sz="0" w:space="0" w:color="auto"/>
      </w:divBdr>
      <w:divsChild>
        <w:div w:id="2085568134">
          <w:marLeft w:val="0"/>
          <w:marRight w:val="0"/>
          <w:marTop w:val="0"/>
          <w:marBottom w:val="0"/>
          <w:divBdr>
            <w:top w:val="none" w:sz="0" w:space="0" w:color="auto"/>
            <w:left w:val="none" w:sz="0" w:space="0" w:color="auto"/>
            <w:bottom w:val="none" w:sz="0" w:space="0" w:color="auto"/>
            <w:right w:val="none" w:sz="0" w:space="0" w:color="auto"/>
          </w:divBdr>
          <w:divsChild>
            <w:div w:id="1747608726">
              <w:marLeft w:val="0"/>
              <w:marRight w:val="0"/>
              <w:marTop w:val="0"/>
              <w:marBottom w:val="0"/>
              <w:divBdr>
                <w:top w:val="none" w:sz="0" w:space="0" w:color="auto"/>
                <w:left w:val="none" w:sz="0" w:space="0" w:color="auto"/>
                <w:bottom w:val="none" w:sz="0" w:space="0" w:color="auto"/>
                <w:right w:val="none" w:sz="0" w:space="0" w:color="auto"/>
              </w:divBdr>
              <w:divsChild>
                <w:div w:id="13933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3558">
      <w:bodyDiv w:val="1"/>
      <w:marLeft w:val="0"/>
      <w:marRight w:val="0"/>
      <w:marTop w:val="0"/>
      <w:marBottom w:val="0"/>
      <w:divBdr>
        <w:top w:val="none" w:sz="0" w:space="0" w:color="auto"/>
        <w:left w:val="none" w:sz="0" w:space="0" w:color="auto"/>
        <w:bottom w:val="none" w:sz="0" w:space="0" w:color="auto"/>
        <w:right w:val="none" w:sz="0" w:space="0" w:color="auto"/>
      </w:divBdr>
      <w:divsChild>
        <w:div w:id="202600720">
          <w:marLeft w:val="0"/>
          <w:marRight w:val="0"/>
          <w:marTop w:val="0"/>
          <w:marBottom w:val="0"/>
          <w:divBdr>
            <w:top w:val="none" w:sz="0" w:space="0" w:color="auto"/>
            <w:left w:val="none" w:sz="0" w:space="0" w:color="auto"/>
            <w:bottom w:val="none" w:sz="0" w:space="0" w:color="auto"/>
            <w:right w:val="none" w:sz="0" w:space="0" w:color="auto"/>
          </w:divBdr>
          <w:divsChild>
            <w:div w:id="1137649800">
              <w:marLeft w:val="0"/>
              <w:marRight w:val="0"/>
              <w:marTop w:val="0"/>
              <w:marBottom w:val="0"/>
              <w:divBdr>
                <w:top w:val="none" w:sz="0" w:space="0" w:color="auto"/>
                <w:left w:val="none" w:sz="0" w:space="0" w:color="auto"/>
                <w:bottom w:val="none" w:sz="0" w:space="0" w:color="auto"/>
                <w:right w:val="none" w:sz="0" w:space="0" w:color="auto"/>
              </w:divBdr>
              <w:divsChild>
                <w:div w:id="1293249742">
                  <w:marLeft w:val="0"/>
                  <w:marRight w:val="0"/>
                  <w:marTop w:val="0"/>
                  <w:marBottom w:val="0"/>
                  <w:divBdr>
                    <w:top w:val="none" w:sz="0" w:space="0" w:color="auto"/>
                    <w:left w:val="none" w:sz="0" w:space="0" w:color="auto"/>
                    <w:bottom w:val="none" w:sz="0" w:space="0" w:color="auto"/>
                    <w:right w:val="none" w:sz="0" w:space="0" w:color="auto"/>
                  </w:divBdr>
                  <w:divsChild>
                    <w:div w:id="2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7927">
      <w:bodyDiv w:val="1"/>
      <w:marLeft w:val="0"/>
      <w:marRight w:val="0"/>
      <w:marTop w:val="0"/>
      <w:marBottom w:val="0"/>
      <w:divBdr>
        <w:top w:val="none" w:sz="0" w:space="0" w:color="auto"/>
        <w:left w:val="none" w:sz="0" w:space="0" w:color="auto"/>
        <w:bottom w:val="none" w:sz="0" w:space="0" w:color="auto"/>
        <w:right w:val="none" w:sz="0" w:space="0" w:color="auto"/>
      </w:divBdr>
    </w:div>
    <w:div w:id="766972900">
      <w:bodyDiv w:val="1"/>
      <w:marLeft w:val="0"/>
      <w:marRight w:val="0"/>
      <w:marTop w:val="0"/>
      <w:marBottom w:val="0"/>
      <w:divBdr>
        <w:top w:val="none" w:sz="0" w:space="0" w:color="auto"/>
        <w:left w:val="none" w:sz="0" w:space="0" w:color="auto"/>
        <w:bottom w:val="none" w:sz="0" w:space="0" w:color="auto"/>
        <w:right w:val="none" w:sz="0" w:space="0" w:color="auto"/>
      </w:divBdr>
      <w:divsChild>
        <w:div w:id="1734620485">
          <w:marLeft w:val="0"/>
          <w:marRight w:val="0"/>
          <w:marTop w:val="0"/>
          <w:marBottom w:val="0"/>
          <w:divBdr>
            <w:top w:val="none" w:sz="0" w:space="0" w:color="auto"/>
            <w:left w:val="none" w:sz="0" w:space="0" w:color="auto"/>
            <w:bottom w:val="none" w:sz="0" w:space="0" w:color="auto"/>
            <w:right w:val="none" w:sz="0" w:space="0" w:color="auto"/>
          </w:divBdr>
          <w:divsChild>
            <w:div w:id="386337241">
              <w:marLeft w:val="0"/>
              <w:marRight w:val="0"/>
              <w:marTop w:val="0"/>
              <w:marBottom w:val="0"/>
              <w:divBdr>
                <w:top w:val="none" w:sz="0" w:space="0" w:color="auto"/>
                <w:left w:val="none" w:sz="0" w:space="0" w:color="auto"/>
                <w:bottom w:val="none" w:sz="0" w:space="0" w:color="auto"/>
                <w:right w:val="none" w:sz="0" w:space="0" w:color="auto"/>
              </w:divBdr>
              <w:divsChild>
                <w:div w:id="3838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0618">
      <w:bodyDiv w:val="1"/>
      <w:marLeft w:val="0"/>
      <w:marRight w:val="0"/>
      <w:marTop w:val="0"/>
      <w:marBottom w:val="0"/>
      <w:divBdr>
        <w:top w:val="none" w:sz="0" w:space="0" w:color="auto"/>
        <w:left w:val="none" w:sz="0" w:space="0" w:color="auto"/>
        <w:bottom w:val="none" w:sz="0" w:space="0" w:color="auto"/>
        <w:right w:val="none" w:sz="0" w:space="0" w:color="auto"/>
      </w:divBdr>
      <w:divsChild>
        <w:div w:id="1109350581">
          <w:marLeft w:val="0"/>
          <w:marRight w:val="0"/>
          <w:marTop w:val="0"/>
          <w:marBottom w:val="0"/>
          <w:divBdr>
            <w:top w:val="none" w:sz="0" w:space="0" w:color="auto"/>
            <w:left w:val="none" w:sz="0" w:space="0" w:color="auto"/>
            <w:bottom w:val="none" w:sz="0" w:space="0" w:color="auto"/>
            <w:right w:val="none" w:sz="0" w:space="0" w:color="auto"/>
          </w:divBdr>
          <w:divsChild>
            <w:div w:id="1895120275">
              <w:marLeft w:val="0"/>
              <w:marRight w:val="0"/>
              <w:marTop w:val="0"/>
              <w:marBottom w:val="0"/>
              <w:divBdr>
                <w:top w:val="none" w:sz="0" w:space="0" w:color="auto"/>
                <w:left w:val="none" w:sz="0" w:space="0" w:color="auto"/>
                <w:bottom w:val="none" w:sz="0" w:space="0" w:color="auto"/>
                <w:right w:val="none" w:sz="0" w:space="0" w:color="auto"/>
              </w:divBdr>
              <w:divsChild>
                <w:div w:id="8444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1268">
      <w:bodyDiv w:val="1"/>
      <w:marLeft w:val="0"/>
      <w:marRight w:val="0"/>
      <w:marTop w:val="0"/>
      <w:marBottom w:val="0"/>
      <w:divBdr>
        <w:top w:val="none" w:sz="0" w:space="0" w:color="auto"/>
        <w:left w:val="none" w:sz="0" w:space="0" w:color="auto"/>
        <w:bottom w:val="none" w:sz="0" w:space="0" w:color="auto"/>
        <w:right w:val="none" w:sz="0" w:space="0" w:color="auto"/>
      </w:divBdr>
      <w:divsChild>
        <w:div w:id="1012801116">
          <w:marLeft w:val="0"/>
          <w:marRight w:val="0"/>
          <w:marTop w:val="0"/>
          <w:marBottom w:val="0"/>
          <w:divBdr>
            <w:top w:val="none" w:sz="0" w:space="0" w:color="auto"/>
            <w:left w:val="none" w:sz="0" w:space="0" w:color="auto"/>
            <w:bottom w:val="none" w:sz="0" w:space="0" w:color="auto"/>
            <w:right w:val="none" w:sz="0" w:space="0" w:color="auto"/>
          </w:divBdr>
          <w:divsChild>
            <w:div w:id="789009619">
              <w:marLeft w:val="0"/>
              <w:marRight w:val="0"/>
              <w:marTop w:val="0"/>
              <w:marBottom w:val="0"/>
              <w:divBdr>
                <w:top w:val="none" w:sz="0" w:space="0" w:color="auto"/>
                <w:left w:val="none" w:sz="0" w:space="0" w:color="auto"/>
                <w:bottom w:val="none" w:sz="0" w:space="0" w:color="auto"/>
                <w:right w:val="none" w:sz="0" w:space="0" w:color="auto"/>
              </w:divBdr>
              <w:divsChild>
                <w:div w:id="503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7069">
      <w:bodyDiv w:val="1"/>
      <w:marLeft w:val="0"/>
      <w:marRight w:val="0"/>
      <w:marTop w:val="0"/>
      <w:marBottom w:val="0"/>
      <w:divBdr>
        <w:top w:val="none" w:sz="0" w:space="0" w:color="auto"/>
        <w:left w:val="none" w:sz="0" w:space="0" w:color="auto"/>
        <w:bottom w:val="none" w:sz="0" w:space="0" w:color="auto"/>
        <w:right w:val="none" w:sz="0" w:space="0" w:color="auto"/>
      </w:divBdr>
      <w:divsChild>
        <w:div w:id="112722835">
          <w:marLeft w:val="0"/>
          <w:marRight w:val="0"/>
          <w:marTop w:val="0"/>
          <w:marBottom w:val="0"/>
          <w:divBdr>
            <w:top w:val="none" w:sz="0" w:space="0" w:color="auto"/>
            <w:left w:val="none" w:sz="0" w:space="0" w:color="auto"/>
            <w:bottom w:val="none" w:sz="0" w:space="0" w:color="auto"/>
            <w:right w:val="none" w:sz="0" w:space="0" w:color="auto"/>
          </w:divBdr>
          <w:divsChild>
            <w:div w:id="2111125184">
              <w:marLeft w:val="0"/>
              <w:marRight w:val="0"/>
              <w:marTop w:val="0"/>
              <w:marBottom w:val="0"/>
              <w:divBdr>
                <w:top w:val="none" w:sz="0" w:space="0" w:color="auto"/>
                <w:left w:val="none" w:sz="0" w:space="0" w:color="auto"/>
                <w:bottom w:val="none" w:sz="0" w:space="0" w:color="auto"/>
                <w:right w:val="none" w:sz="0" w:space="0" w:color="auto"/>
              </w:divBdr>
              <w:divsChild>
                <w:div w:id="1709259930">
                  <w:marLeft w:val="0"/>
                  <w:marRight w:val="0"/>
                  <w:marTop w:val="0"/>
                  <w:marBottom w:val="0"/>
                  <w:divBdr>
                    <w:top w:val="none" w:sz="0" w:space="0" w:color="auto"/>
                    <w:left w:val="none" w:sz="0" w:space="0" w:color="auto"/>
                    <w:bottom w:val="none" w:sz="0" w:space="0" w:color="auto"/>
                    <w:right w:val="none" w:sz="0" w:space="0" w:color="auto"/>
                  </w:divBdr>
                  <w:divsChild>
                    <w:div w:id="16293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34683">
      <w:bodyDiv w:val="1"/>
      <w:marLeft w:val="0"/>
      <w:marRight w:val="0"/>
      <w:marTop w:val="0"/>
      <w:marBottom w:val="0"/>
      <w:divBdr>
        <w:top w:val="none" w:sz="0" w:space="0" w:color="auto"/>
        <w:left w:val="none" w:sz="0" w:space="0" w:color="auto"/>
        <w:bottom w:val="none" w:sz="0" w:space="0" w:color="auto"/>
        <w:right w:val="none" w:sz="0" w:space="0" w:color="auto"/>
      </w:divBdr>
    </w:div>
    <w:div w:id="801046865">
      <w:bodyDiv w:val="1"/>
      <w:marLeft w:val="0"/>
      <w:marRight w:val="0"/>
      <w:marTop w:val="0"/>
      <w:marBottom w:val="0"/>
      <w:divBdr>
        <w:top w:val="none" w:sz="0" w:space="0" w:color="auto"/>
        <w:left w:val="none" w:sz="0" w:space="0" w:color="auto"/>
        <w:bottom w:val="none" w:sz="0" w:space="0" w:color="auto"/>
        <w:right w:val="none" w:sz="0" w:space="0" w:color="auto"/>
      </w:divBdr>
      <w:divsChild>
        <w:div w:id="1886986193">
          <w:marLeft w:val="0"/>
          <w:marRight w:val="0"/>
          <w:marTop w:val="0"/>
          <w:marBottom w:val="0"/>
          <w:divBdr>
            <w:top w:val="none" w:sz="0" w:space="0" w:color="auto"/>
            <w:left w:val="none" w:sz="0" w:space="0" w:color="auto"/>
            <w:bottom w:val="none" w:sz="0" w:space="0" w:color="auto"/>
            <w:right w:val="none" w:sz="0" w:space="0" w:color="auto"/>
          </w:divBdr>
          <w:divsChild>
            <w:div w:id="866866341">
              <w:marLeft w:val="0"/>
              <w:marRight w:val="0"/>
              <w:marTop w:val="0"/>
              <w:marBottom w:val="0"/>
              <w:divBdr>
                <w:top w:val="none" w:sz="0" w:space="0" w:color="auto"/>
                <w:left w:val="none" w:sz="0" w:space="0" w:color="auto"/>
                <w:bottom w:val="none" w:sz="0" w:space="0" w:color="auto"/>
                <w:right w:val="none" w:sz="0" w:space="0" w:color="auto"/>
              </w:divBdr>
              <w:divsChild>
                <w:div w:id="266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326976501">
          <w:marLeft w:val="0"/>
          <w:marRight w:val="0"/>
          <w:marTop w:val="0"/>
          <w:marBottom w:val="0"/>
          <w:divBdr>
            <w:top w:val="none" w:sz="0" w:space="0" w:color="auto"/>
            <w:left w:val="none" w:sz="0" w:space="0" w:color="auto"/>
            <w:bottom w:val="none" w:sz="0" w:space="0" w:color="auto"/>
            <w:right w:val="none" w:sz="0" w:space="0" w:color="auto"/>
          </w:divBdr>
          <w:divsChild>
            <w:div w:id="111018778">
              <w:marLeft w:val="0"/>
              <w:marRight w:val="0"/>
              <w:marTop w:val="0"/>
              <w:marBottom w:val="0"/>
              <w:divBdr>
                <w:top w:val="none" w:sz="0" w:space="0" w:color="auto"/>
                <w:left w:val="none" w:sz="0" w:space="0" w:color="auto"/>
                <w:bottom w:val="none" w:sz="0" w:space="0" w:color="auto"/>
                <w:right w:val="none" w:sz="0" w:space="0" w:color="auto"/>
              </w:divBdr>
              <w:divsChild>
                <w:div w:id="294140338">
                  <w:marLeft w:val="0"/>
                  <w:marRight w:val="0"/>
                  <w:marTop w:val="0"/>
                  <w:marBottom w:val="0"/>
                  <w:divBdr>
                    <w:top w:val="none" w:sz="0" w:space="0" w:color="auto"/>
                    <w:left w:val="none" w:sz="0" w:space="0" w:color="auto"/>
                    <w:bottom w:val="none" w:sz="0" w:space="0" w:color="auto"/>
                    <w:right w:val="none" w:sz="0" w:space="0" w:color="auto"/>
                  </w:divBdr>
                  <w:divsChild>
                    <w:div w:id="2322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3229">
      <w:bodyDiv w:val="1"/>
      <w:marLeft w:val="0"/>
      <w:marRight w:val="0"/>
      <w:marTop w:val="0"/>
      <w:marBottom w:val="0"/>
      <w:divBdr>
        <w:top w:val="none" w:sz="0" w:space="0" w:color="auto"/>
        <w:left w:val="none" w:sz="0" w:space="0" w:color="auto"/>
        <w:bottom w:val="none" w:sz="0" w:space="0" w:color="auto"/>
        <w:right w:val="none" w:sz="0" w:space="0" w:color="auto"/>
      </w:divBdr>
      <w:divsChild>
        <w:div w:id="1724405941">
          <w:marLeft w:val="0"/>
          <w:marRight w:val="0"/>
          <w:marTop w:val="0"/>
          <w:marBottom w:val="0"/>
          <w:divBdr>
            <w:top w:val="none" w:sz="0" w:space="0" w:color="auto"/>
            <w:left w:val="none" w:sz="0" w:space="0" w:color="auto"/>
            <w:bottom w:val="none" w:sz="0" w:space="0" w:color="auto"/>
            <w:right w:val="none" w:sz="0" w:space="0" w:color="auto"/>
          </w:divBdr>
          <w:divsChild>
            <w:div w:id="1241064063">
              <w:marLeft w:val="0"/>
              <w:marRight w:val="0"/>
              <w:marTop w:val="0"/>
              <w:marBottom w:val="0"/>
              <w:divBdr>
                <w:top w:val="none" w:sz="0" w:space="0" w:color="auto"/>
                <w:left w:val="none" w:sz="0" w:space="0" w:color="auto"/>
                <w:bottom w:val="none" w:sz="0" w:space="0" w:color="auto"/>
                <w:right w:val="none" w:sz="0" w:space="0" w:color="auto"/>
              </w:divBdr>
              <w:divsChild>
                <w:div w:id="589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69126">
      <w:bodyDiv w:val="1"/>
      <w:marLeft w:val="0"/>
      <w:marRight w:val="0"/>
      <w:marTop w:val="0"/>
      <w:marBottom w:val="0"/>
      <w:divBdr>
        <w:top w:val="none" w:sz="0" w:space="0" w:color="auto"/>
        <w:left w:val="none" w:sz="0" w:space="0" w:color="auto"/>
        <w:bottom w:val="none" w:sz="0" w:space="0" w:color="auto"/>
        <w:right w:val="none" w:sz="0" w:space="0" w:color="auto"/>
      </w:divBdr>
      <w:divsChild>
        <w:div w:id="693843302">
          <w:marLeft w:val="0"/>
          <w:marRight w:val="0"/>
          <w:marTop w:val="0"/>
          <w:marBottom w:val="0"/>
          <w:divBdr>
            <w:top w:val="none" w:sz="0" w:space="0" w:color="auto"/>
            <w:left w:val="none" w:sz="0" w:space="0" w:color="auto"/>
            <w:bottom w:val="none" w:sz="0" w:space="0" w:color="auto"/>
            <w:right w:val="none" w:sz="0" w:space="0" w:color="auto"/>
          </w:divBdr>
          <w:divsChild>
            <w:div w:id="2072535254">
              <w:marLeft w:val="0"/>
              <w:marRight w:val="0"/>
              <w:marTop w:val="0"/>
              <w:marBottom w:val="0"/>
              <w:divBdr>
                <w:top w:val="none" w:sz="0" w:space="0" w:color="auto"/>
                <w:left w:val="none" w:sz="0" w:space="0" w:color="auto"/>
                <w:bottom w:val="none" w:sz="0" w:space="0" w:color="auto"/>
                <w:right w:val="none" w:sz="0" w:space="0" w:color="auto"/>
              </w:divBdr>
              <w:divsChild>
                <w:div w:id="1873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9060">
      <w:bodyDiv w:val="1"/>
      <w:marLeft w:val="0"/>
      <w:marRight w:val="0"/>
      <w:marTop w:val="0"/>
      <w:marBottom w:val="0"/>
      <w:divBdr>
        <w:top w:val="none" w:sz="0" w:space="0" w:color="auto"/>
        <w:left w:val="none" w:sz="0" w:space="0" w:color="auto"/>
        <w:bottom w:val="none" w:sz="0" w:space="0" w:color="auto"/>
        <w:right w:val="none" w:sz="0" w:space="0" w:color="auto"/>
      </w:divBdr>
      <w:divsChild>
        <w:div w:id="1367487379">
          <w:marLeft w:val="0"/>
          <w:marRight w:val="0"/>
          <w:marTop w:val="0"/>
          <w:marBottom w:val="0"/>
          <w:divBdr>
            <w:top w:val="none" w:sz="0" w:space="0" w:color="auto"/>
            <w:left w:val="none" w:sz="0" w:space="0" w:color="auto"/>
            <w:bottom w:val="none" w:sz="0" w:space="0" w:color="auto"/>
            <w:right w:val="none" w:sz="0" w:space="0" w:color="auto"/>
          </w:divBdr>
          <w:divsChild>
            <w:div w:id="87819720">
              <w:marLeft w:val="0"/>
              <w:marRight w:val="0"/>
              <w:marTop w:val="0"/>
              <w:marBottom w:val="0"/>
              <w:divBdr>
                <w:top w:val="none" w:sz="0" w:space="0" w:color="auto"/>
                <w:left w:val="none" w:sz="0" w:space="0" w:color="auto"/>
                <w:bottom w:val="none" w:sz="0" w:space="0" w:color="auto"/>
                <w:right w:val="none" w:sz="0" w:space="0" w:color="auto"/>
              </w:divBdr>
              <w:divsChild>
                <w:div w:id="623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4744">
      <w:bodyDiv w:val="1"/>
      <w:marLeft w:val="0"/>
      <w:marRight w:val="0"/>
      <w:marTop w:val="0"/>
      <w:marBottom w:val="0"/>
      <w:divBdr>
        <w:top w:val="none" w:sz="0" w:space="0" w:color="auto"/>
        <w:left w:val="none" w:sz="0" w:space="0" w:color="auto"/>
        <w:bottom w:val="none" w:sz="0" w:space="0" w:color="auto"/>
        <w:right w:val="none" w:sz="0" w:space="0" w:color="auto"/>
      </w:divBdr>
      <w:divsChild>
        <w:div w:id="1397705007">
          <w:marLeft w:val="0"/>
          <w:marRight w:val="0"/>
          <w:marTop w:val="0"/>
          <w:marBottom w:val="0"/>
          <w:divBdr>
            <w:top w:val="none" w:sz="0" w:space="0" w:color="auto"/>
            <w:left w:val="none" w:sz="0" w:space="0" w:color="auto"/>
            <w:bottom w:val="none" w:sz="0" w:space="0" w:color="auto"/>
            <w:right w:val="none" w:sz="0" w:space="0" w:color="auto"/>
          </w:divBdr>
          <w:divsChild>
            <w:div w:id="1254898324">
              <w:marLeft w:val="0"/>
              <w:marRight w:val="0"/>
              <w:marTop w:val="0"/>
              <w:marBottom w:val="0"/>
              <w:divBdr>
                <w:top w:val="none" w:sz="0" w:space="0" w:color="auto"/>
                <w:left w:val="none" w:sz="0" w:space="0" w:color="auto"/>
                <w:bottom w:val="none" w:sz="0" w:space="0" w:color="auto"/>
                <w:right w:val="none" w:sz="0" w:space="0" w:color="auto"/>
              </w:divBdr>
              <w:divsChild>
                <w:div w:id="893194980">
                  <w:marLeft w:val="0"/>
                  <w:marRight w:val="0"/>
                  <w:marTop w:val="0"/>
                  <w:marBottom w:val="0"/>
                  <w:divBdr>
                    <w:top w:val="none" w:sz="0" w:space="0" w:color="auto"/>
                    <w:left w:val="none" w:sz="0" w:space="0" w:color="auto"/>
                    <w:bottom w:val="none" w:sz="0" w:space="0" w:color="auto"/>
                    <w:right w:val="none" w:sz="0" w:space="0" w:color="auto"/>
                  </w:divBdr>
                  <w:divsChild>
                    <w:div w:id="15176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66539">
      <w:bodyDiv w:val="1"/>
      <w:marLeft w:val="0"/>
      <w:marRight w:val="0"/>
      <w:marTop w:val="0"/>
      <w:marBottom w:val="0"/>
      <w:divBdr>
        <w:top w:val="none" w:sz="0" w:space="0" w:color="auto"/>
        <w:left w:val="none" w:sz="0" w:space="0" w:color="auto"/>
        <w:bottom w:val="none" w:sz="0" w:space="0" w:color="auto"/>
        <w:right w:val="none" w:sz="0" w:space="0" w:color="auto"/>
      </w:divBdr>
      <w:divsChild>
        <w:div w:id="235557491">
          <w:marLeft w:val="0"/>
          <w:marRight w:val="0"/>
          <w:marTop w:val="0"/>
          <w:marBottom w:val="0"/>
          <w:divBdr>
            <w:top w:val="none" w:sz="0" w:space="0" w:color="auto"/>
            <w:left w:val="none" w:sz="0" w:space="0" w:color="auto"/>
            <w:bottom w:val="none" w:sz="0" w:space="0" w:color="auto"/>
            <w:right w:val="none" w:sz="0" w:space="0" w:color="auto"/>
          </w:divBdr>
          <w:divsChild>
            <w:div w:id="1680885588">
              <w:marLeft w:val="0"/>
              <w:marRight w:val="0"/>
              <w:marTop w:val="0"/>
              <w:marBottom w:val="0"/>
              <w:divBdr>
                <w:top w:val="none" w:sz="0" w:space="0" w:color="auto"/>
                <w:left w:val="none" w:sz="0" w:space="0" w:color="auto"/>
                <w:bottom w:val="none" w:sz="0" w:space="0" w:color="auto"/>
                <w:right w:val="none" w:sz="0" w:space="0" w:color="auto"/>
              </w:divBdr>
              <w:divsChild>
                <w:div w:id="848058223">
                  <w:marLeft w:val="0"/>
                  <w:marRight w:val="0"/>
                  <w:marTop w:val="0"/>
                  <w:marBottom w:val="0"/>
                  <w:divBdr>
                    <w:top w:val="none" w:sz="0" w:space="0" w:color="auto"/>
                    <w:left w:val="none" w:sz="0" w:space="0" w:color="auto"/>
                    <w:bottom w:val="none" w:sz="0" w:space="0" w:color="auto"/>
                    <w:right w:val="none" w:sz="0" w:space="0" w:color="auto"/>
                  </w:divBdr>
                  <w:divsChild>
                    <w:div w:id="559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5190">
      <w:bodyDiv w:val="1"/>
      <w:marLeft w:val="0"/>
      <w:marRight w:val="0"/>
      <w:marTop w:val="0"/>
      <w:marBottom w:val="0"/>
      <w:divBdr>
        <w:top w:val="none" w:sz="0" w:space="0" w:color="auto"/>
        <w:left w:val="none" w:sz="0" w:space="0" w:color="auto"/>
        <w:bottom w:val="none" w:sz="0" w:space="0" w:color="auto"/>
        <w:right w:val="none" w:sz="0" w:space="0" w:color="auto"/>
      </w:divBdr>
      <w:divsChild>
        <w:div w:id="994340006">
          <w:marLeft w:val="0"/>
          <w:marRight w:val="0"/>
          <w:marTop w:val="0"/>
          <w:marBottom w:val="0"/>
          <w:divBdr>
            <w:top w:val="none" w:sz="0" w:space="0" w:color="auto"/>
            <w:left w:val="none" w:sz="0" w:space="0" w:color="auto"/>
            <w:bottom w:val="none" w:sz="0" w:space="0" w:color="auto"/>
            <w:right w:val="none" w:sz="0" w:space="0" w:color="auto"/>
          </w:divBdr>
          <w:divsChild>
            <w:div w:id="1558511781">
              <w:marLeft w:val="0"/>
              <w:marRight w:val="0"/>
              <w:marTop w:val="0"/>
              <w:marBottom w:val="0"/>
              <w:divBdr>
                <w:top w:val="none" w:sz="0" w:space="0" w:color="auto"/>
                <w:left w:val="none" w:sz="0" w:space="0" w:color="auto"/>
                <w:bottom w:val="none" w:sz="0" w:space="0" w:color="auto"/>
                <w:right w:val="none" w:sz="0" w:space="0" w:color="auto"/>
              </w:divBdr>
              <w:divsChild>
                <w:div w:id="54278474">
                  <w:marLeft w:val="0"/>
                  <w:marRight w:val="0"/>
                  <w:marTop w:val="0"/>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458694293">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0"/>
                      <w:marBottom w:val="0"/>
                      <w:divBdr>
                        <w:top w:val="none" w:sz="0" w:space="0" w:color="auto"/>
                        <w:left w:val="none" w:sz="0" w:space="0" w:color="auto"/>
                        <w:bottom w:val="none" w:sz="0" w:space="0" w:color="auto"/>
                        <w:right w:val="none" w:sz="0" w:space="0" w:color="auto"/>
                      </w:divBdr>
                    </w:div>
                  </w:divsChild>
                </w:div>
                <w:div w:id="1447459478">
                  <w:marLeft w:val="0"/>
                  <w:marRight w:val="0"/>
                  <w:marTop w:val="0"/>
                  <w:marBottom w:val="0"/>
                  <w:divBdr>
                    <w:top w:val="none" w:sz="0" w:space="0" w:color="auto"/>
                    <w:left w:val="none" w:sz="0" w:space="0" w:color="auto"/>
                    <w:bottom w:val="none" w:sz="0" w:space="0" w:color="auto"/>
                    <w:right w:val="none" w:sz="0" w:space="0" w:color="auto"/>
                  </w:divBdr>
                  <w:divsChild>
                    <w:div w:id="1767341641">
                      <w:marLeft w:val="0"/>
                      <w:marRight w:val="0"/>
                      <w:marTop w:val="0"/>
                      <w:marBottom w:val="0"/>
                      <w:divBdr>
                        <w:top w:val="none" w:sz="0" w:space="0" w:color="auto"/>
                        <w:left w:val="none" w:sz="0" w:space="0" w:color="auto"/>
                        <w:bottom w:val="none" w:sz="0" w:space="0" w:color="auto"/>
                        <w:right w:val="none" w:sz="0" w:space="0" w:color="auto"/>
                      </w:divBdr>
                    </w:div>
                  </w:divsChild>
                </w:div>
                <w:div w:id="1974286289">
                  <w:marLeft w:val="0"/>
                  <w:marRight w:val="0"/>
                  <w:marTop w:val="0"/>
                  <w:marBottom w:val="0"/>
                  <w:divBdr>
                    <w:top w:val="none" w:sz="0" w:space="0" w:color="auto"/>
                    <w:left w:val="none" w:sz="0" w:space="0" w:color="auto"/>
                    <w:bottom w:val="none" w:sz="0" w:space="0" w:color="auto"/>
                    <w:right w:val="none" w:sz="0" w:space="0" w:color="auto"/>
                  </w:divBdr>
                  <w:divsChild>
                    <w:div w:id="14214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789">
      <w:bodyDiv w:val="1"/>
      <w:marLeft w:val="0"/>
      <w:marRight w:val="0"/>
      <w:marTop w:val="0"/>
      <w:marBottom w:val="0"/>
      <w:divBdr>
        <w:top w:val="none" w:sz="0" w:space="0" w:color="auto"/>
        <w:left w:val="none" w:sz="0" w:space="0" w:color="auto"/>
        <w:bottom w:val="none" w:sz="0" w:space="0" w:color="auto"/>
        <w:right w:val="none" w:sz="0" w:space="0" w:color="auto"/>
      </w:divBdr>
      <w:divsChild>
        <w:div w:id="1735278764">
          <w:marLeft w:val="0"/>
          <w:marRight w:val="0"/>
          <w:marTop w:val="0"/>
          <w:marBottom w:val="0"/>
          <w:divBdr>
            <w:top w:val="none" w:sz="0" w:space="0" w:color="auto"/>
            <w:left w:val="none" w:sz="0" w:space="0" w:color="auto"/>
            <w:bottom w:val="none" w:sz="0" w:space="0" w:color="auto"/>
            <w:right w:val="none" w:sz="0" w:space="0" w:color="auto"/>
          </w:divBdr>
          <w:divsChild>
            <w:div w:id="1204446608">
              <w:marLeft w:val="0"/>
              <w:marRight w:val="0"/>
              <w:marTop w:val="0"/>
              <w:marBottom w:val="0"/>
              <w:divBdr>
                <w:top w:val="none" w:sz="0" w:space="0" w:color="auto"/>
                <w:left w:val="none" w:sz="0" w:space="0" w:color="auto"/>
                <w:bottom w:val="none" w:sz="0" w:space="0" w:color="auto"/>
                <w:right w:val="none" w:sz="0" w:space="0" w:color="auto"/>
              </w:divBdr>
              <w:divsChild>
                <w:div w:id="1855456805">
                  <w:marLeft w:val="0"/>
                  <w:marRight w:val="0"/>
                  <w:marTop w:val="0"/>
                  <w:marBottom w:val="0"/>
                  <w:divBdr>
                    <w:top w:val="none" w:sz="0" w:space="0" w:color="auto"/>
                    <w:left w:val="none" w:sz="0" w:space="0" w:color="auto"/>
                    <w:bottom w:val="none" w:sz="0" w:space="0" w:color="auto"/>
                    <w:right w:val="none" w:sz="0" w:space="0" w:color="auto"/>
                  </w:divBdr>
                  <w:divsChild>
                    <w:div w:id="20093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11248">
      <w:bodyDiv w:val="1"/>
      <w:marLeft w:val="0"/>
      <w:marRight w:val="0"/>
      <w:marTop w:val="0"/>
      <w:marBottom w:val="0"/>
      <w:divBdr>
        <w:top w:val="none" w:sz="0" w:space="0" w:color="auto"/>
        <w:left w:val="none" w:sz="0" w:space="0" w:color="auto"/>
        <w:bottom w:val="none" w:sz="0" w:space="0" w:color="auto"/>
        <w:right w:val="none" w:sz="0" w:space="0" w:color="auto"/>
      </w:divBdr>
      <w:divsChild>
        <w:div w:id="76752410">
          <w:marLeft w:val="0"/>
          <w:marRight w:val="0"/>
          <w:marTop w:val="0"/>
          <w:marBottom w:val="0"/>
          <w:divBdr>
            <w:top w:val="none" w:sz="0" w:space="0" w:color="auto"/>
            <w:left w:val="none" w:sz="0" w:space="0" w:color="auto"/>
            <w:bottom w:val="none" w:sz="0" w:space="0" w:color="auto"/>
            <w:right w:val="none" w:sz="0" w:space="0" w:color="auto"/>
          </w:divBdr>
          <w:divsChild>
            <w:div w:id="404646816">
              <w:marLeft w:val="0"/>
              <w:marRight w:val="0"/>
              <w:marTop w:val="0"/>
              <w:marBottom w:val="0"/>
              <w:divBdr>
                <w:top w:val="none" w:sz="0" w:space="0" w:color="auto"/>
                <w:left w:val="none" w:sz="0" w:space="0" w:color="auto"/>
                <w:bottom w:val="none" w:sz="0" w:space="0" w:color="auto"/>
                <w:right w:val="none" w:sz="0" w:space="0" w:color="auto"/>
              </w:divBdr>
              <w:divsChild>
                <w:div w:id="298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0278">
      <w:bodyDiv w:val="1"/>
      <w:marLeft w:val="0"/>
      <w:marRight w:val="0"/>
      <w:marTop w:val="0"/>
      <w:marBottom w:val="0"/>
      <w:divBdr>
        <w:top w:val="none" w:sz="0" w:space="0" w:color="auto"/>
        <w:left w:val="none" w:sz="0" w:space="0" w:color="auto"/>
        <w:bottom w:val="none" w:sz="0" w:space="0" w:color="auto"/>
        <w:right w:val="none" w:sz="0" w:space="0" w:color="auto"/>
      </w:divBdr>
      <w:divsChild>
        <w:div w:id="1090008606">
          <w:marLeft w:val="0"/>
          <w:marRight w:val="0"/>
          <w:marTop w:val="0"/>
          <w:marBottom w:val="0"/>
          <w:divBdr>
            <w:top w:val="none" w:sz="0" w:space="0" w:color="auto"/>
            <w:left w:val="none" w:sz="0" w:space="0" w:color="auto"/>
            <w:bottom w:val="none" w:sz="0" w:space="0" w:color="auto"/>
            <w:right w:val="none" w:sz="0" w:space="0" w:color="auto"/>
          </w:divBdr>
          <w:divsChild>
            <w:div w:id="1172453311">
              <w:marLeft w:val="0"/>
              <w:marRight w:val="0"/>
              <w:marTop w:val="0"/>
              <w:marBottom w:val="0"/>
              <w:divBdr>
                <w:top w:val="none" w:sz="0" w:space="0" w:color="auto"/>
                <w:left w:val="none" w:sz="0" w:space="0" w:color="auto"/>
                <w:bottom w:val="none" w:sz="0" w:space="0" w:color="auto"/>
                <w:right w:val="none" w:sz="0" w:space="0" w:color="auto"/>
              </w:divBdr>
              <w:divsChild>
                <w:div w:id="562645449">
                  <w:marLeft w:val="0"/>
                  <w:marRight w:val="0"/>
                  <w:marTop w:val="0"/>
                  <w:marBottom w:val="0"/>
                  <w:divBdr>
                    <w:top w:val="none" w:sz="0" w:space="0" w:color="auto"/>
                    <w:left w:val="none" w:sz="0" w:space="0" w:color="auto"/>
                    <w:bottom w:val="none" w:sz="0" w:space="0" w:color="auto"/>
                    <w:right w:val="none" w:sz="0" w:space="0" w:color="auto"/>
                  </w:divBdr>
                  <w:divsChild>
                    <w:div w:id="13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9032">
      <w:bodyDiv w:val="1"/>
      <w:marLeft w:val="0"/>
      <w:marRight w:val="0"/>
      <w:marTop w:val="0"/>
      <w:marBottom w:val="0"/>
      <w:divBdr>
        <w:top w:val="none" w:sz="0" w:space="0" w:color="auto"/>
        <w:left w:val="none" w:sz="0" w:space="0" w:color="auto"/>
        <w:bottom w:val="none" w:sz="0" w:space="0" w:color="auto"/>
        <w:right w:val="none" w:sz="0" w:space="0" w:color="auto"/>
      </w:divBdr>
      <w:divsChild>
        <w:div w:id="498932342">
          <w:marLeft w:val="0"/>
          <w:marRight w:val="0"/>
          <w:marTop w:val="0"/>
          <w:marBottom w:val="0"/>
          <w:divBdr>
            <w:top w:val="none" w:sz="0" w:space="0" w:color="auto"/>
            <w:left w:val="none" w:sz="0" w:space="0" w:color="auto"/>
            <w:bottom w:val="none" w:sz="0" w:space="0" w:color="auto"/>
            <w:right w:val="none" w:sz="0" w:space="0" w:color="auto"/>
          </w:divBdr>
          <w:divsChild>
            <w:div w:id="865095062">
              <w:marLeft w:val="0"/>
              <w:marRight w:val="0"/>
              <w:marTop w:val="0"/>
              <w:marBottom w:val="0"/>
              <w:divBdr>
                <w:top w:val="none" w:sz="0" w:space="0" w:color="auto"/>
                <w:left w:val="none" w:sz="0" w:space="0" w:color="auto"/>
                <w:bottom w:val="none" w:sz="0" w:space="0" w:color="auto"/>
                <w:right w:val="none" w:sz="0" w:space="0" w:color="auto"/>
              </w:divBdr>
              <w:divsChild>
                <w:div w:id="916980087">
                  <w:marLeft w:val="0"/>
                  <w:marRight w:val="0"/>
                  <w:marTop w:val="0"/>
                  <w:marBottom w:val="0"/>
                  <w:divBdr>
                    <w:top w:val="none" w:sz="0" w:space="0" w:color="auto"/>
                    <w:left w:val="none" w:sz="0" w:space="0" w:color="auto"/>
                    <w:bottom w:val="none" w:sz="0" w:space="0" w:color="auto"/>
                    <w:right w:val="none" w:sz="0" w:space="0" w:color="auto"/>
                  </w:divBdr>
                  <w:divsChild>
                    <w:div w:id="123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407">
      <w:bodyDiv w:val="1"/>
      <w:marLeft w:val="0"/>
      <w:marRight w:val="0"/>
      <w:marTop w:val="0"/>
      <w:marBottom w:val="0"/>
      <w:divBdr>
        <w:top w:val="none" w:sz="0" w:space="0" w:color="auto"/>
        <w:left w:val="none" w:sz="0" w:space="0" w:color="auto"/>
        <w:bottom w:val="none" w:sz="0" w:space="0" w:color="auto"/>
        <w:right w:val="none" w:sz="0" w:space="0" w:color="auto"/>
      </w:divBdr>
      <w:divsChild>
        <w:div w:id="951090156">
          <w:marLeft w:val="0"/>
          <w:marRight w:val="0"/>
          <w:marTop w:val="0"/>
          <w:marBottom w:val="0"/>
          <w:divBdr>
            <w:top w:val="none" w:sz="0" w:space="0" w:color="auto"/>
            <w:left w:val="none" w:sz="0" w:space="0" w:color="auto"/>
            <w:bottom w:val="none" w:sz="0" w:space="0" w:color="auto"/>
            <w:right w:val="none" w:sz="0" w:space="0" w:color="auto"/>
          </w:divBdr>
          <w:divsChild>
            <w:div w:id="2100370582">
              <w:marLeft w:val="0"/>
              <w:marRight w:val="0"/>
              <w:marTop w:val="0"/>
              <w:marBottom w:val="0"/>
              <w:divBdr>
                <w:top w:val="none" w:sz="0" w:space="0" w:color="auto"/>
                <w:left w:val="none" w:sz="0" w:space="0" w:color="auto"/>
                <w:bottom w:val="none" w:sz="0" w:space="0" w:color="auto"/>
                <w:right w:val="none" w:sz="0" w:space="0" w:color="auto"/>
              </w:divBdr>
              <w:divsChild>
                <w:div w:id="1599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828">
      <w:bodyDiv w:val="1"/>
      <w:marLeft w:val="0"/>
      <w:marRight w:val="0"/>
      <w:marTop w:val="0"/>
      <w:marBottom w:val="0"/>
      <w:divBdr>
        <w:top w:val="none" w:sz="0" w:space="0" w:color="auto"/>
        <w:left w:val="none" w:sz="0" w:space="0" w:color="auto"/>
        <w:bottom w:val="none" w:sz="0" w:space="0" w:color="auto"/>
        <w:right w:val="none" w:sz="0" w:space="0" w:color="auto"/>
      </w:divBdr>
      <w:divsChild>
        <w:div w:id="1265964719">
          <w:marLeft w:val="0"/>
          <w:marRight w:val="0"/>
          <w:marTop w:val="0"/>
          <w:marBottom w:val="0"/>
          <w:divBdr>
            <w:top w:val="none" w:sz="0" w:space="0" w:color="auto"/>
            <w:left w:val="none" w:sz="0" w:space="0" w:color="auto"/>
            <w:bottom w:val="none" w:sz="0" w:space="0" w:color="auto"/>
            <w:right w:val="none" w:sz="0" w:space="0" w:color="auto"/>
          </w:divBdr>
          <w:divsChild>
            <w:div w:id="806552661">
              <w:marLeft w:val="0"/>
              <w:marRight w:val="0"/>
              <w:marTop w:val="0"/>
              <w:marBottom w:val="0"/>
              <w:divBdr>
                <w:top w:val="none" w:sz="0" w:space="0" w:color="auto"/>
                <w:left w:val="none" w:sz="0" w:space="0" w:color="auto"/>
                <w:bottom w:val="none" w:sz="0" w:space="0" w:color="auto"/>
                <w:right w:val="none" w:sz="0" w:space="0" w:color="auto"/>
              </w:divBdr>
              <w:divsChild>
                <w:div w:id="1068726398">
                  <w:marLeft w:val="0"/>
                  <w:marRight w:val="0"/>
                  <w:marTop w:val="0"/>
                  <w:marBottom w:val="0"/>
                  <w:divBdr>
                    <w:top w:val="none" w:sz="0" w:space="0" w:color="auto"/>
                    <w:left w:val="none" w:sz="0" w:space="0" w:color="auto"/>
                    <w:bottom w:val="none" w:sz="0" w:space="0" w:color="auto"/>
                    <w:right w:val="none" w:sz="0" w:space="0" w:color="auto"/>
                  </w:divBdr>
                  <w:divsChild>
                    <w:div w:id="5353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98097">
      <w:bodyDiv w:val="1"/>
      <w:marLeft w:val="0"/>
      <w:marRight w:val="0"/>
      <w:marTop w:val="0"/>
      <w:marBottom w:val="0"/>
      <w:divBdr>
        <w:top w:val="none" w:sz="0" w:space="0" w:color="auto"/>
        <w:left w:val="none" w:sz="0" w:space="0" w:color="auto"/>
        <w:bottom w:val="none" w:sz="0" w:space="0" w:color="auto"/>
        <w:right w:val="none" w:sz="0" w:space="0" w:color="auto"/>
      </w:divBdr>
      <w:divsChild>
        <w:div w:id="1864242522">
          <w:marLeft w:val="0"/>
          <w:marRight w:val="0"/>
          <w:marTop w:val="0"/>
          <w:marBottom w:val="0"/>
          <w:divBdr>
            <w:top w:val="none" w:sz="0" w:space="0" w:color="auto"/>
            <w:left w:val="none" w:sz="0" w:space="0" w:color="auto"/>
            <w:bottom w:val="none" w:sz="0" w:space="0" w:color="auto"/>
            <w:right w:val="none" w:sz="0" w:space="0" w:color="auto"/>
          </w:divBdr>
          <w:divsChild>
            <w:div w:id="592512423">
              <w:marLeft w:val="0"/>
              <w:marRight w:val="0"/>
              <w:marTop w:val="0"/>
              <w:marBottom w:val="0"/>
              <w:divBdr>
                <w:top w:val="none" w:sz="0" w:space="0" w:color="auto"/>
                <w:left w:val="none" w:sz="0" w:space="0" w:color="auto"/>
                <w:bottom w:val="none" w:sz="0" w:space="0" w:color="auto"/>
                <w:right w:val="none" w:sz="0" w:space="0" w:color="auto"/>
              </w:divBdr>
              <w:divsChild>
                <w:div w:id="2109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6722">
      <w:bodyDiv w:val="1"/>
      <w:marLeft w:val="0"/>
      <w:marRight w:val="0"/>
      <w:marTop w:val="0"/>
      <w:marBottom w:val="0"/>
      <w:divBdr>
        <w:top w:val="none" w:sz="0" w:space="0" w:color="auto"/>
        <w:left w:val="none" w:sz="0" w:space="0" w:color="auto"/>
        <w:bottom w:val="none" w:sz="0" w:space="0" w:color="auto"/>
        <w:right w:val="none" w:sz="0" w:space="0" w:color="auto"/>
      </w:divBdr>
      <w:divsChild>
        <w:div w:id="340397181">
          <w:marLeft w:val="0"/>
          <w:marRight w:val="0"/>
          <w:marTop w:val="0"/>
          <w:marBottom w:val="0"/>
          <w:divBdr>
            <w:top w:val="none" w:sz="0" w:space="0" w:color="auto"/>
            <w:left w:val="none" w:sz="0" w:space="0" w:color="auto"/>
            <w:bottom w:val="none" w:sz="0" w:space="0" w:color="auto"/>
            <w:right w:val="none" w:sz="0" w:space="0" w:color="auto"/>
          </w:divBdr>
          <w:divsChild>
            <w:div w:id="1813718453">
              <w:marLeft w:val="0"/>
              <w:marRight w:val="0"/>
              <w:marTop w:val="0"/>
              <w:marBottom w:val="0"/>
              <w:divBdr>
                <w:top w:val="none" w:sz="0" w:space="0" w:color="auto"/>
                <w:left w:val="none" w:sz="0" w:space="0" w:color="auto"/>
                <w:bottom w:val="none" w:sz="0" w:space="0" w:color="auto"/>
                <w:right w:val="none" w:sz="0" w:space="0" w:color="auto"/>
              </w:divBdr>
              <w:divsChild>
                <w:div w:id="426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67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8523">
          <w:marLeft w:val="0"/>
          <w:marRight w:val="0"/>
          <w:marTop w:val="0"/>
          <w:marBottom w:val="0"/>
          <w:divBdr>
            <w:top w:val="none" w:sz="0" w:space="0" w:color="auto"/>
            <w:left w:val="none" w:sz="0" w:space="0" w:color="auto"/>
            <w:bottom w:val="none" w:sz="0" w:space="0" w:color="auto"/>
            <w:right w:val="none" w:sz="0" w:space="0" w:color="auto"/>
          </w:divBdr>
          <w:divsChild>
            <w:div w:id="1819111694">
              <w:marLeft w:val="0"/>
              <w:marRight w:val="0"/>
              <w:marTop w:val="0"/>
              <w:marBottom w:val="0"/>
              <w:divBdr>
                <w:top w:val="none" w:sz="0" w:space="0" w:color="auto"/>
                <w:left w:val="none" w:sz="0" w:space="0" w:color="auto"/>
                <w:bottom w:val="none" w:sz="0" w:space="0" w:color="auto"/>
                <w:right w:val="none" w:sz="0" w:space="0" w:color="auto"/>
              </w:divBdr>
              <w:divsChild>
                <w:div w:id="1629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7580">
      <w:bodyDiv w:val="1"/>
      <w:marLeft w:val="0"/>
      <w:marRight w:val="0"/>
      <w:marTop w:val="0"/>
      <w:marBottom w:val="0"/>
      <w:divBdr>
        <w:top w:val="none" w:sz="0" w:space="0" w:color="auto"/>
        <w:left w:val="none" w:sz="0" w:space="0" w:color="auto"/>
        <w:bottom w:val="none" w:sz="0" w:space="0" w:color="auto"/>
        <w:right w:val="none" w:sz="0" w:space="0" w:color="auto"/>
      </w:divBdr>
      <w:divsChild>
        <w:div w:id="1939019022">
          <w:marLeft w:val="0"/>
          <w:marRight w:val="0"/>
          <w:marTop w:val="0"/>
          <w:marBottom w:val="0"/>
          <w:divBdr>
            <w:top w:val="none" w:sz="0" w:space="0" w:color="auto"/>
            <w:left w:val="none" w:sz="0" w:space="0" w:color="auto"/>
            <w:bottom w:val="none" w:sz="0" w:space="0" w:color="auto"/>
            <w:right w:val="none" w:sz="0" w:space="0" w:color="auto"/>
          </w:divBdr>
          <w:divsChild>
            <w:div w:id="239759264">
              <w:marLeft w:val="0"/>
              <w:marRight w:val="0"/>
              <w:marTop w:val="0"/>
              <w:marBottom w:val="0"/>
              <w:divBdr>
                <w:top w:val="none" w:sz="0" w:space="0" w:color="auto"/>
                <w:left w:val="none" w:sz="0" w:space="0" w:color="auto"/>
                <w:bottom w:val="none" w:sz="0" w:space="0" w:color="auto"/>
                <w:right w:val="none" w:sz="0" w:space="0" w:color="auto"/>
              </w:divBdr>
              <w:divsChild>
                <w:div w:id="967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5446">
      <w:bodyDiv w:val="1"/>
      <w:marLeft w:val="0"/>
      <w:marRight w:val="0"/>
      <w:marTop w:val="0"/>
      <w:marBottom w:val="0"/>
      <w:divBdr>
        <w:top w:val="none" w:sz="0" w:space="0" w:color="auto"/>
        <w:left w:val="none" w:sz="0" w:space="0" w:color="auto"/>
        <w:bottom w:val="none" w:sz="0" w:space="0" w:color="auto"/>
        <w:right w:val="none" w:sz="0" w:space="0" w:color="auto"/>
      </w:divBdr>
      <w:divsChild>
        <w:div w:id="1106196869">
          <w:marLeft w:val="0"/>
          <w:marRight w:val="0"/>
          <w:marTop w:val="0"/>
          <w:marBottom w:val="0"/>
          <w:divBdr>
            <w:top w:val="none" w:sz="0" w:space="0" w:color="auto"/>
            <w:left w:val="none" w:sz="0" w:space="0" w:color="auto"/>
            <w:bottom w:val="none" w:sz="0" w:space="0" w:color="auto"/>
            <w:right w:val="none" w:sz="0" w:space="0" w:color="auto"/>
          </w:divBdr>
          <w:divsChild>
            <w:div w:id="1397506364">
              <w:marLeft w:val="0"/>
              <w:marRight w:val="0"/>
              <w:marTop w:val="0"/>
              <w:marBottom w:val="0"/>
              <w:divBdr>
                <w:top w:val="none" w:sz="0" w:space="0" w:color="auto"/>
                <w:left w:val="none" w:sz="0" w:space="0" w:color="auto"/>
                <w:bottom w:val="none" w:sz="0" w:space="0" w:color="auto"/>
                <w:right w:val="none" w:sz="0" w:space="0" w:color="auto"/>
              </w:divBdr>
              <w:divsChild>
                <w:div w:id="327102753">
                  <w:marLeft w:val="0"/>
                  <w:marRight w:val="0"/>
                  <w:marTop w:val="0"/>
                  <w:marBottom w:val="0"/>
                  <w:divBdr>
                    <w:top w:val="none" w:sz="0" w:space="0" w:color="auto"/>
                    <w:left w:val="none" w:sz="0" w:space="0" w:color="auto"/>
                    <w:bottom w:val="none" w:sz="0" w:space="0" w:color="auto"/>
                    <w:right w:val="none" w:sz="0" w:space="0" w:color="auto"/>
                  </w:divBdr>
                  <w:divsChild>
                    <w:div w:id="1423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89457">
      <w:bodyDiv w:val="1"/>
      <w:marLeft w:val="0"/>
      <w:marRight w:val="0"/>
      <w:marTop w:val="0"/>
      <w:marBottom w:val="0"/>
      <w:divBdr>
        <w:top w:val="none" w:sz="0" w:space="0" w:color="auto"/>
        <w:left w:val="none" w:sz="0" w:space="0" w:color="auto"/>
        <w:bottom w:val="none" w:sz="0" w:space="0" w:color="auto"/>
        <w:right w:val="none" w:sz="0" w:space="0" w:color="auto"/>
      </w:divBdr>
      <w:divsChild>
        <w:div w:id="39090479">
          <w:marLeft w:val="0"/>
          <w:marRight w:val="0"/>
          <w:marTop w:val="0"/>
          <w:marBottom w:val="0"/>
          <w:divBdr>
            <w:top w:val="none" w:sz="0" w:space="0" w:color="auto"/>
            <w:left w:val="none" w:sz="0" w:space="0" w:color="auto"/>
            <w:bottom w:val="none" w:sz="0" w:space="0" w:color="auto"/>
            <w:right w:val="none" w:sz="0" w:space="0" w:color="auto"/>
          </w:divBdr>
          <w:divsChild>
            <w:div w:id="154879114">
              <w:marLeft w:val="0"/>
              <w:marRight w:val="0"/>
              <w:marTop w:val="0"/>
              <w:marBottom w:val="0"/>
              <w:divBdr>
                <w:top w:val="none" w:sz="0" w:space="0" w:color="auto"/>
                <w:left w:val="none" w:sz="0" w:space="0" w:color="auto"/>
                <w:bottom w:val="none" w:sz="0" w:space="0" w:color="auto"/>
                <w:right w:val="none" w:sz="0" w:space="0" w:color="auto"/>
              </w:divBdr>
              <w:divsChild>
                <w:div w:id="1350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3490">
      <w:bodyDiv w:val="1"/>
      <w:marLeft w:val="0"/>
      <w:marRight w:val="0"/>
      <w:marTop w:val="0"/>
      <w:marBottom w:val="0"/>
      <w:divBdr>
        <w:top w:val="none" w:sz="0" w:space="0" w:color="auto"/>
        <w:left w:val="none" w:sz="0" w:space="0" w:color="auto"/>
        <w:bottom w:val="none" w:sz="0" w:space="0" w:color="auto"/>
        <w:right w:val="none" w:sz="0" w:space="0" w:color="auto"/>
      </w:divBdr>
      <w:divsChild>
        <w:div w:id="1919174769">
          <w:marLeft w:val="0"/>
          <w:marRight w:val="0"/>
          <w:marTop w:val="0"/>
          <w:marBottom w:val="0"/>
          <w:divBdr>
            <w:top w:val="none" w:sz="0" w:space="0" w:color="auto"/>
            <w:left w:val="none" w:sz="0" w:space="0" w:color="auto"/>
            <w:bottom w:val="none" w:sz="0" w:space="0" w:color="auto"/>
            <w:right w:val="none" w:sz="0" w:space="0" w:color="auto"/>
          </w:divBdr>
          <w:divsChild>
            <w:div w:id="1012802295">
              <w:marLeft w:val="0"/>
              <w:marRight w:val="0"/>
              <w:marTop w:val="0"/>
              <w:marBottom w:val="0"/>
              <w:divBdr>
                <w:top w:val="none" w:sz="0" w:space="0" w:color="auto"/>
                <w:left w:val="none" w:sz="0" w:space="0" w:color="auto"/>
                <w:bottom w:val="none" w:sz="0" w:space="0" w:color="auto"/>
                <w:right w:val="none" w:sz="0" w:space="0" w:color="auto"/>
              </w:divBdr>
              <w:divsChild>
                <w:div w:id="1584339951">
                  <w:marLeft w:val="0"/>
                  <w:marRight w:val="0"/>
                  <w:marTop w:val="0"/>
                  <w:marBottom w:val="0"/>
                  <w:divBdr>
                    <w:top w:val="none" w:sz="0" w:space="0" w:color="auto"/>
                    <w:left w:val="none" w:sz="0" w:space="0" w:color="auto"/>
                    <w:bottom w:val="none" w:sz="0" w:space="0" w:color="auto"/>
                    <w:right w:val="none" w:sz="0" w:space="0" w:color="auto"/>
                  </w:divBdr>
                  <w:divsChild>
                    <w:div w:id="18945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6501">
      <w:bodyDiv w:val="1"/>
      <w:marLeft w:val="0"/>
      <w:marRight w:val="0"/>
      <w:marTop w:val="0"/>
      <w:marBottom w:val="0"/>
      <w:divBdr>
        <w:top w:val="none" w:sz="0" w:space="0" w:color="auto"/>
        <w:left w:val="none" w:sz="0" w:space="0" w:color="auto"/>
        <w:bottom w:val="none" w:sz="0" w:space="0" w:color="auto"/>
        <w:right w:val="none" w:sz="0" w:space="0" w:color="auto"/>
      </w:divBdr>
      <w:divsChild>
        <w:div w:id="1730810853">
          <w:marLeft w:val="0"/>
          <w:marRight w:val="0"/>
          <w:marTop w:val="0"/>
          <w:marBottom w:val="0"/>
          <w:divBdr>
            <w:top w:val="none" w:sz="0" w:space="0" w:color="auto"/>
            <w:left w:val="none" w:sz="0" w:space="0" w:color="auto"/>
            <w:bottom w:val="none" w:sz="0" w:space="0" w:color="auto"/>
            <w:right w:val="none" w:sz="0" w:space="0" w:color="auto"/>
          </w:divBdr>
          <w:divsChild>
            <w:div w:id="1820731037">
              <w:marLeft w:val="0"/>
              <w:marRight w:val="0"/>
              <w:marTop w:val="0"/>
              <w:marBottom w:val="0"/>
              <w:divBdr>
                <w:top w:val="none" w:sz="0" w:space="0" w:color="auto"/>
                <w:left w:val="none" w:sz="0" w:space="0" w:color="auto"/>
                <w:bottom w:val="none" w:sz="0" w:space="0" w:color="auto"/>
                <w:right w:val="none" w:sz="0" w:space="0" w:color="auto"/>
              </w:divBdr>
              <w:divsChild>
                <w:div w:id="1680426148">
                  <w:marLeft w:val="0"/>
                  <w:marRight w:val="0"/>
                  <w:marTop w:val="0"/>
                  <w:marBottom w:val="0"/>
                  <w:divBdr>
                    <w:top w:val="none" w:sz="0" w:space="0" w:color="auto"/>
                    <w:left w:val="none" w:sz="0" w:space="0" w:color="auto"/>
                    <w:bottom w:val="none" w:sz="0" w:space="0" w:color="auto"/>
                    <w:right w:val="none" w:sz="0" w:space="0" w:color="auto"/>
                  </w:divBdr>
                  <w:divsChild>
                    <w:div w:id="2555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7329">
      <w:bodyDiv w:val="1"/>
      <w:marLeft w:val="0"/>
      <w:marRight w:val="0"/>
      <w:marTop w:val="0"/>
      <w:marBottom w:val="0"/>
      <w:divBdr>
        <w:top w:val="none" w:sz="0" w:space="0" w:color="auto"/>
        <w:left w:val="none" w:sz="0" w:space="0" w:color="auto"/>
        <w:bottom w:val="none" w:sz="0" w:space="0" w:color="auto"/>
        <w:right w:val="none" w:sz="0" w:space="0" w:color="auto"/>
      </w:divBdr>
      <w:divsChild>
        <w:div w:id="1270894239">
          <w:marLeft w:val="0"/>
          <w:marRight w:val="0"/>
          <w:marTop w:val="0"/>
          <w:marBottom w:val="0"/>
          <w:divBdr>
            <w:top w:val="none" w:sz="0" w:space="0" w:color="auto"/>
            <w:left w:val="none" w:sz="0" w:space="0" w:color="auto"/>
            <w:bottom w:val="none" w:sz="0" w:space="0" w:color="auto"/>
            <w:right w:val="none" w:sz="0" w:space="0" w:color="auto"/>
          </w:divBdr>
          <w:divsChild>
            <w:div w:id="164823863">
              <w:marLeft w:val="0"/>
              <w:marRight w:val="0"/>
              <w:marTop w:val="0"/>
              <w:marBottom w:val="0"/>
              <w:divBdr>
                <w:top w:val="none" w:sz="0" w:space="0" w:color="auto"/>
                <w:left w:val="none" w:sz="0" w:space="0" w:color="auto"/>
                <w:bottom w:val="none" w:sz="0" w:space="0" w:color="auto"/>
                <w:right w:val="none" w:sz="0" w:space="0" w:color="auto"/>
              </w:divBdr>
              <w:divsChild>
                <w:div w:id="1775593082">
                  <w:marLeft w:val="0"/>
                  <w:marRight w:val="0"/>
                  <w:marTop w:val="0"/>
                  <w:marBottom w:val="0"/>
                  <w:divBdr>
                    <w:top w:val="none" w:sz="0" w:space="0" w:color="auto"/>
                    <w:left w:val="none" w:sz="0" w:space="0" w:color="auto"/>
                    <w:bottom w:val="none" w:sz="0" w:space="0" w:color="auto"/>
                    <w:right w:val="none" w:sz="0" w:space="0" w:color="auto"/>
                  </w:divBdr>
                  <w:divsChild>
                    <w:div w:id="176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5058">
      <w:bodyDiv w:val="1"/>
      <w:marLeft w:val="0"/>
      <w:marRight w:val="0"/>
      <w:marTop w:val="0"/>
      <w:marBottom w:val="0"/>
      <w:divBdr>
        <w:top w:val="none" w:sz="0" w:space="0" w:color="auto"/>
        <w:left w:val="none" w:sz="0" w:space="0" w:color="auto"/>
        <w:bottom w:val="none" w:sz="0" w:space="0" w:color="auto"/>
        <w:right w:val="none" w:sz="0" w:space="0" w:color="auto"/>
      </w:divBdr>
      <w:divsChild>
        <w:div w:id="1157497304">
          <w:marLeft w:val="0"/>
          <w:marRight w:val="0"/>
          <w:marTop w:val="0"/>
          <w:marBottom w:val="0"/>
          <w:divBdr>
            <w:top w:val="none" w:sz="0" w:space="0" w:color="auto"/>
            <w:left w:val="none" w:sz="0" w:space="0" w:color="auto"/>
            <w:bottom w:val="none" w:sz="0" w:space="0" w:color="auto"/>
            <w:right w:val="none" w:sz="0" w:space="0" w:color="auto"/>
          </w:divBdr>
          <w:divsChild>
            <w:div w:id="359287461">
              <w:marLeft w:val="0"/>
              <w:marRight w:val="0"/>
              <w:marTop w:val="0"/>
              <w:marBottom w:val="0"/>
              <w:divBdr>
                <w:top w:val="none" w:sz="0" w:space="0" w:color="auto"/>
                <w:left w:val="none" w:sz="0" w:space="0" w:color="auto"/>
                <w:bottom w:val="none" w:sz="0" w:space="0" w:color="auto"/>
                <w:right w:val="none" w:sz="0" w:space="0" w:color="auto"/>
              </w:divBdr>
              <w:divsChild>
                <w:div w:id="1193113832">
                  <w:marLeft w:val="0"/>
                  <w:marRight w:val="0"/>
                  <w:marTop w:val="0"/>
                  <w:marBottom w:val="0"/>
                  <w:divBdr>
                    <w:top w:val="none" w:sz="0" w:space="0" w:color="auto"/>
                    <w:left w:val="none" w:sz="0" w:space="0" w:color="auto"/>
                    <w:bottom w:val="none" w:sz="0" w:space="0" w:color="auto"/>
                    <w:right w:val="none" w:sz="0" w:space="0" w:color="auto"/>
                  </w:divBdr>
                  <w:divsChild>
                    <w:div w:id="7313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1393">
      <w:bodyDiv w:val="1"/>
      <w:marLeft w:val="0"/>
      <w:marRight w:val="0"/>
      <w:marTop w:val="0"/>
      <w:marBottom w:val="0"/>
      <w:divBdr>
        <w:top w:val="none" w:sz="0" w:space="0" w:color="auto"/>
        <w:left w:val="none" w:sz="0" w:space="0" w:color="auto"/>
        <w:bottom w:val="none" w:sz="0" w:space="0" w:color="auto"/>
        <w:right w:val="none" w:sz="0" w:space="0" w:color="auto"/>
      </w:divBdr>
      <w:divsChild>
        <w:div w:id="1830902171">
          <w:marLeft w:val="0"/>
          <w:marRight w:val="0"/>
          <w:marTop w:val="0"/>
          <w:marBottom w:val="0"/>
          <w:divBdr>
            <w:top w:val="none" w:sz="0" w:space="0" w:color="auto"/>
            <w:left w:val="none" w:sz="0" w:space="0" w:color="auto"/>
            <w:bottom w:val="none" w:sz="0" w:space="0" w:color="auto"/>
            <w:right w:val="none" w:sz="0" w:space="0" w:color="auto"/>
          </w:divBdr>
          <w:divsChild>
            <w:div w:id="1155414483">
              <w:marLeft w:val="0"/>
              <w:marRight w:val="0"/>
              <w:marTop w:val="0"/>
              <w:marBottom w:val="0"/>
              <w:divBdr>
                <w:top w:val="none" w:sz="0" w:space="0" w:color="auto"/>
                <w:left w:val="none" w:sz="0" w:space="0" w:color="auto"/>
                <w:bottom w:val="none" w:sz="0" w:space="0" w:color="auto"/>
                <w:right w:val="none" w:sz="0" w:space="0" w:color="auto"/>
              </w:divBdr>
              <w:divsChild>
                <w:div w:id="1684355515">
                  <w:marLeft w:val="0"/>
                  <w:marRight w:val="0"/>
                  <w:marTop w:val="0"/>
                  <w:marBottom w:val="0"/>
                  <w:divBdr>
                    <w:top w:val="none" w:sz="0" w:space="0" w:color="auto"/>
                    <w:left w:val="none" w:sz="0" w:space="0" w:color="auto"/>
                    <w:bottom w:val="none" w:sz="0" w:space="0" w:color="auto"/>
                    <w:right w:val="none" w:sz="0" w:space="0" w:color="auto"/>
                  </w:divBdr>
                  <w:divsChild>
                    <w:div w:id="19150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169100">
          <w:marLeft w:val="0"/>
          <w:marRight w:val="0"/>
          <w:marTop w:val="0"/>
          <w:marBottom w:val="0"/>
          <w:divBdr>
            <w:top w:val="none" w:sz="0" w:space="0" w:color="auto"/>
            <w:left w:val="none" w:sz="0" w:space="0" w:color="auto"/>
            <w:bottom w:val="none" w:sz="0" w:space="0" w:color="auto"/>
            <w:right w:val="none" w:sz="0" w:space="0" w:color="auto"/>
          </w:divBdr>
          <w:divsChild>
            <w:div w:id="471336667">
              <w:marLeft w:val="0"/>
              <w:marRight w:val="0"/>
              <w:marTop w:val="0"/>
              <w:marBottom w:val="0"/>
              <w:divBdr>
                <w:top w:val="none" w:sz="0" w:space="0" w:color="auto"/>
                <w:left w:val="none" w:sz="0" w:space="0" w:color="auto"/>
                <w:bottom w:val="none" w:sz="0" w:space="0" w:color="auto"/>
                <w:right w:val="none" w:sz="0" w:space="0" w:color="auto"/>
              </w:divBdr>
              <w:divsChild>
                <w:div w:id="1916040618">
                  <w:marLeft w:val="0"/>
                  <w:marRight w:val="0"/>
                  <w:marTop w:val="0"/>
                  <w:marBottom w:val="0"/>
                  <w:divBdr>
                    <w:top w:val="none" w:sz="0" w:space="0" w:color="auto"/>
                    <w:left w:val="none" w:sz="0" w:space="0" w:color="auto"/>
                    <w:bottom w:val="none" w:sz="0" w:space="0" w:color="auto"/>
                    <w:right w:val="none" w:sz="0" w:space="0" w:color="auto"/>
                  </w:divBdr>
                  <w:divsChild>
                    <w:div w:id="678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9269">
      <w:bodyDiv w:val="1"/>
      <w:marLeft w:val="0"/>
      <w:marRight w:val="0"/>
      <w:marTop w:val="0"/>
      <w:marBottom w:val="0"/>
      <w:divBdr>
        <w:top w:val="none" w:sz="0" w:space="0" w:color="auto"/>
        <w:left w:val="none" w:sz="0" w:space="0" w:color="auto"/>
        <w:bottom w:val="none" w:sz="0" w:space="0" w:color="auto"/>
        <w:right w:val="none" w:sz="0" w:space="0" w:color="auto"/>
      </w:divBdr>
      <w:divsChild>
        <w:div w:id="684475168">
          <w:marLeft w:val="0"/>
          <w:marRight w:val="0"/>
          <w:marTop w:val="0"/>
          <w:marBottom w:val="0"/>
          <w:divBdr>
            <w:top w:val="none" w:sz="0" w:space="0" w:color="auto"/>
            <w:left w:val="none" w:sz="0" w:space="0" w:color="auto"/>
            <w:bottom w:val="none" w:sz="0" w:space="0" w:color="auto"/>
            <w:right w:val="none" w:sz="0" w:space="0" w:color="auto"/>
          </w:divBdr>
          <w:divsChild>
            <w:div w:id="915407436">
              <w:marLeft w:val="0"/>
              <w:marRight w:val="0"/>
              <w:marTop w:val="0"/>
              <w:marBottom w:val="0"/>
              <w:divBdr>
                <w:top w:val="none" w:sz="0" w:space="0" w:color="auto"/>
                <w:left w:val="none" w:sz="0" w:space="0" w:color="auto"/>
                <w:bottom w:val="none" w:sz="0" w:space="0" w:color="auto"/>
                <w:right w:val="none" w:sz="0" w:space="0" w:color="auto"/>
              </w:divBdr>
              <w:divsChild>
                <w:div w:id="2004776609">
                  <w:marLeft w:val="0"/>
                  <w:marRight w:val="0"/>
                  <w:marTop w:val="0"/>
                  <w:marBottom w:val="0"/>
                  <w:divBdr>
                    <w:top w:val="none" w:sz="0" w:space="0" w:color="auto"/>
                    <w:left w:val="none" w:sz="0" w:space="0" w:color="auto"/>
                    <w:bottom w:val="none" w:sz="0" w:space="0" w:color="auto"/>
                    <w:right w:val="none" w:sz="0" w:space="0" w:color="auto"/>
                  </w:divBdr>
                  <w:divsChild>
                    <w:div w:id="164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5838">
      <w:bodyDiv w:val="1"/>
      <w:marLeft w:val="0"/>
      <w:marRight w:val="0"/>
      <w:marTop w:val="0"/>
      <w:marBottom w:val="0"/>
      <w:divBdr>
        <w:top w:val="none" w:sz="0" w:space="0" w:color="auto"/>
        <w:left w:val="none" w:sz="0" w:space="0" w:color="auto"/>
        <w:bottom w:val="none" w:sz="0" w:space="0" w:color="auto"/>
        <w:right w:val="none" w:sz="0" w:space="0" w:color="auto"/>
      </w:divBdr>
      <w:divsChild>
        <w:div w:id="176505258">
          <w:marLeft w:val="0"/>
          <w:marRight w:val="0"/>
          <w:marTop w:val="0"/>
          <w:marBottom w:val="0"/>
          <w:divBdr>
            <w:top w:val="none" w:sz="0" w:space="0" w:color="auto"/>
            <w:left w:val="none" w:sz="0" w:space="0" w:color="auto"/>
            <w:bottom w:val="none" w:sz="0" w:space="0" w:color="auto"/>
            <w:right w:val="none" w:sz="0" w:space="0" w:color="auto"/>
          </w:divBdr>
          <w:divsChild>
            <w:div w:id="658927951">
              <w:marLeft w:val="0"/>
              <w:marRight w:val="0"/>
              <w:marTop w:val="0"/>
              <w:marBottom w:val="0"/>
              <w:divBdr>
                <w:top w:val="none" w:sz="0" w:space="0" w:color="auto"/>
                <w:left w:val="none" w:sz="0" w:space="0" w:color="auto"/>
                <w:bottom w:val="none" w:sz="0" w:space="0" w:color="auto"/>
                <w:right w:val="none" w:sz="0" w:space="0" w:color="auto"/>
              </w:divBdr>
              <w:divsChild>
                <w:div w:id="2098672117">
                  <w:marLeft w:val="0"/>
                  <w:marRight w:val="0"/>
                  <w:marTop w:val="0"/>
                  <w:marBottom w:val="0"/>
                  <w:divBdr>
                    <w:top w:val="none" w:sz="0" w:space="0" w:color="auto"/>
                    <w:left w:val="none" w:sz="0" w:space="0" w:color="auto"/>
                    <w:bottom w:val="none" w:sz="0" w:space="0" w:color="auto"/>
                    <w:right w:val="none" w:sz="0" w:space="0" w:color="auto"/>
                  </w:divBdr>
                  <w:divsChild>
                    <w:div w:id="7281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3586">
      <w:bodyDiv w:val="1"/>
      <w:marLeft w:val="0"/>
      <w:marRight w:val="0"/>
      <w:marTop w:val="0"/>
      <w:marBottom w:val="0"/>
      <w:divBdr>
        <w:top w:val="none" w:sz="0" w:space="0" w:color="auto"/>
        <w:left w:val="none" w:sz="0" w:space="0" w:color="auto"/>
        <w:bottom w:val="none" w:sz="0" w:space="0" w:color="auto"/>
        <w:right w:val="none" w:sz="0" w:space="0" w:color="auto"/>
      </w:divBdr>
      <w:divsChild>
        <w:div w:id="1442148661">
          <w:marLeft w:val="0"/>
          <w:marRight w:val="0"/>
          <w:marTop w:val="0"/>
          <w:marBottom w:val="0"/>
          <w:divBdr>
            <w:top w:val="none" w:sz="0" w:space="0" w:color="auto"/>
            <w:left w:val="none" w:sz="0" w:space="0" w:color="auto"/>
            <w:bottom w:val="none" w:sz="0" w:space="0" w:color="auto"/>
            <w:right w:val="none" w:sz="0" w:space="0" w:color="auto"/>
          </w:divBdr>
          <w:divsChild>
            <w:div w:id="1336879069">
              <w:marLeft w:val="0"/>
              <w:marRight w:val="0"/>
              <w:marTop w:val="0"/>
              <w:marBottom w:val="0"/>
              <w:divBdr>
                <w:top w:val="none" w:sz="0" w:space="0" w:color="auto"/>
                <w:left w:val="none" w:sz="0" w:space="0" w:color="auto"/>
                <w:bottom w:val="none" w:sz="0" w:space="0" w:color="auto"/>
                <w:right w:val="none" w:sz="0" w:space="0" w:color="auto"/>
              </w:divBdr>
              <w:divsChild>
                <w:div w:id="669023970">
                  <w:marLeft w:val="0"/>
                  <w:marRight w:val="0"/>
                  <w:marTop w:val="0"/>
                  <w:marBottom w:val="0"/>
                  <w:divBdr>
                    <w:top w:val="none" w:sz="0" w:space="0" w:color="auto"/>
                    <w:left w:val="none" w:sz="0" w:space="0" w:color="auto"/>
                    <w:bottom w:val="none" w:sz="0" w:space="0" w:color="auto"/>
                    <w:right w:val="none" w:sz="0" w:space="0" w:color="auto"/>
                  </w:divBdr>
                  <w:divsChild>
                    <w:div w:id="15597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69646">
      <w:bodyDiv w:val="1"/>
      <w:marLeft w:val="0"/>
      <w:marRight w:val="0"/>
      <w:marTop w:val="0"/>
      <w:marBottom w:val="0"/>
      <w:divBdr>
        <w:top w:val="none" w:sz="0" w:space="0" w:color="auto"/>
        <w:left w:val="none" w:sz="0" w:space="0" w:color="auto"/>
        <w:bottom w:val="none" w:sz="0" w:space="0" w:color="auto"/>
        <w:right w:val="none" w:sz="0" w:space="0" w:color="auto"/>
      </w:divBdr>
      <w:divsChild>
        <w:div w:id="1063018651">
          <w:marLeft w:val="0"/>
          <w:marRight w:val="0"/>
          <w:marTop w:val="0"/>
          <w:marBottom w:val="0"/>
          <w:divBdr>
            <w:top w:val="none" w:sz="0" w:space="0" w:color="auto"/>
            <w:left w:val="none" w:sz="0" w:space="0" w:color="auto"/>
            <w:bottom w:val="none" w:sz="0" w:space="0" w:color="auto"/>
            <w:right w:val="none" w:sz="0" w:space="0" w:color="auto"/>
          </w:divBdr>
          <w:divsChild>
            <w:div w:id="1845708236">
              <w:marLeft w:val="0"/>
              <w:marRight w:val="0"/>
              <w:marTop w:val="0"/>
              <w:marBottom w:val="0"/>
              <w:divBdr>
                <w:top w:val="none" w:sz="0" w:space="0" w:color="auto"/>
                <w:left w:val="none" w:sz="0" w:space="0" w:color="auto"/>
                <w:bottom w:val="none" w:sz="0" w:space="0" w:color="auto"/>
                <w:right w:val="none" w:sz="0" w:space="0" w:color="auto"/>
              </w:divBdr>
              <w:divsChild>
                <w:div w:id="895700813">
                  <w:marLeft w:val="0"/>
                  <w:marRight w:val="0"/>
                  <w:marTop w:val="0"/>
                  <w:marBottom w:val="0"/>
                  <w:divBdr>
                    <w:top w:val="none" w:sz="0" w:space="0" w:color="auto"/>
                    <w:left w:val="none" w:sz="0" w:space="0" w:color="auto"/>
                    <w:bottom w:val="none" w:sz="0" w:space="0" w:color="auto"/>
                    <w:right w:val="none" w:sz="0" w:space="0" w:color="auto"/>
                  </w:divBdr>
                  <w:divsChild>
                    <w:div w:id="183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0846">
      <w:bodyDiv w:val="1"/>
      <w:marLeft w:val="0"/>
      <w:marRight w:val="0"/>
      <w:marTop w:val="0"/>
      <w:marBottom w:val="0"/>
      <w:divBdr>
        <w:top w:val="none" w:sz="0" w:space="0" w:color="auto"/>
        <w:left w:val="none" w:sz="0" w:space="0" w:color="auto"/>
        <w:bottom w:val="none" w:sz="0" w:space="0" w:color="auto"/>
        <w:right w:val="none" w:sz="0" w:space="0" w:color="auto"/>
      </w:divBdr>
      <w:divsChild>
        <w:div w:id="920061093">
          <w:marLeft w:val="0"/>
          <w:marRight w:val="0"/>
          <w:marTop w:val="0"/>
          <w:marBottom w:val="0"/>
          <w:divBdr>
            <w:top w:val="none" w:sz="0" w:space="0" w:color="auto"/>
            <w:left w:val="none" w:sz="0" w:space="0" w:color="auto"/>
            <w:bottom w:val="none" w:sz="0" w:space="0" w:color="auto"/>
            <w:right w:val="none" w:sz="0" w:space="0" w:color="auto"/>
          </w:divBdr>
          <w:divsChild>
            <w:div w:id="166940078">
              <w:marLeft w:val="0"/>
              <w:marRight w:val="0"/>
              <w:marTop w:val="0"/>
              <w:marBottom w:val="0"/>
              <w:divBdr>
                <w:top w:val="none" w:sz="0" w:space="0" w:color="auto"/>
                <w:left w:val="none" w:sz="0" w:space="0" w:color="auto"/>
                <w:bottom w:val="none" w:sz="0" w:space="0" w:color="auto"/>
                <w:right w:val="none" w:sz="0" w:space="0" w:color="auto"/>
              </w:divBdr>
              <w:divsChild>
                <w:div w:id="257520595">
                  <w:marLeft w:val="0"/>
                  <w:marRight w:val="0"/>
                  <w:marTop w:val="0"/>
                  <w:marBottom w:val="0"/>
                  <w:divBdr>
                    <w:top w:val="none" w:sz="0" w:space="0" w:color="auto"/>
                    <w:left w:val="none" w:sz="0" w:space="0" w:color="auto"/>
                    <w:bottom w:val="none" w:sz="0" w:space="0" w:color="auto"/>
                    <w:right w:val="none" w:sz="0" w:space="0" w:color="auto"/>
                  </w:divBdr>
                  <w:divsChild>
                    <w:div w:id="16215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7977">
      <w:bodyDiv w:val="1"/>
      <w:marLeft w:val="0"/>
      <w:marRight w:val="0"/>
      <w:marTop w:val="0"/>
      <w:marBottom w:val="0"/>
      <w:divBdr>
        <w:top w:val="none" w:sz="0" w:space="0" w:color="auto"/>
        <w:left w:val="none" w:sz="0" w:space="0" w:color="auto"/>
        <w:bottom w:val="none" w:sz="0" w:space="0" w:color="auto"/>
        <w:right w:val="none" w:sz="0" w:space="0" w:color="auto"/>
      </w:divBdr>
      <w:divsChild>
        <w:div w:id="1499341431">
          <w:marLeft w:val="0"/>
          <w:marRight w:val="0"/>
          <w:marTop w:val="0"/>
          <w:marBottom w:val="0"/>
          <w:divBdr>
            <w:top w:val="none" w:sz="0" w:space="0" w:color="auto"/>
            <w:left w:val="none" w:sz="0" w:space="0" w:color="auto"/>
            <w:bottom w:val="none" w:sz="0" w:space="0" w:color="auto"/>
            <w:right w:val="none" w:sz="0" w:space="0" w:color="auto"/>
          </w:divBdr>
          <w:divsChild>
            <w:div w:id="676075908">
              <w:marLeft w:val="0"/>
              <w:marRight w:val="0"/>
              <w:marTop w:val="0"/>
              <w:marBottom w:val="0"/>
              <w:divBdr>
                <w:top w:val="none" w:sz="0" w:space="0" w:color="auto"/>
                <w:left w:val="none" w:sz="0" w:space="0" w:color="auto"/>
                <w:bottom w:val="none" w:sz="0" w:space="0" w:color="auto"/>
                <w:right w:val="none" w:sz="0" w:space="0" w:color="auto"/>
              </w:divBdr>
              <w:divsChild>
                <w:div w:id="2715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4034">
      <w:bodyDiv w:val="1"/>
      <w:marLeft w:val="0"/>
      <w:marRight w:val="0"/>
      <w:marTop w:val="0"/>
      <w:marBottom w:val="0"/>
      <w:divBdr>
        <w:top w:val="none" w:sz="0" w:space="0" w:color="auto"/>
        <w:left w:val="none" w:sz="0" w:space="0" w:color="auto"/>
        <w:bottom w:val="none" w:sz="0" w:space="0" w:color="auto"/>
        <w:right w:val="none" w:sz="0" w:space="0" w:color="auto"/>
      </w:divBdr>
      <w:divsChild>
        <w:div w:id="1212497198">
          <w:marLeft w:val="0"/>
          <w:marRight w:val="0"/>
          <w:marTop w:val="0"/>
          <w:marBottom w:val="0"/>
          <w:divBdr>
            <w:top w:val="none" w:sz="0" w:space="0" w:color="auto"/>
            <w:left w:val="none" w:sz="0" w:space="0" w:color="auto"/>
            <w:bottom w:val="none" w:sz="0" w:space="0" w:color="auto"/>
            <w:right w:val="none" w:sz="0" w:space="0" w:color="auto"/>
          </w:divBdr>
          <w:divsChild>
            <w:div w:id="1486161222">
              <w:marLeft w:val="0"/>
              <w:marRight w:val="0"/>
              <w:marTop w:val="0"/>
              <w:marBottom w:val="0"/>
              <w:divBdr>
                <w:top w:val="none" w:sz="0" w:space="0" w:color="auto"/>
                <w:left w:val="none" w:sz="0" w:space="0" w:color="auto"/>
                <w:bottom w:val="none" w:sz="0" w:space="0" w:color="auto"/>
                <w:right w:val="none" w:sz="0" w:space="0" w:color="auto"/>
              </w:divBdr>
              <w:divsChild>
                <w:div w:id="568199718">
                  <w:marLeft w:val="0"/>
                  <w:marRight w:val="0"/>
                  <w:marTop w:val="0"/>
                  <w:marBottom w:val="0"/>
                  <w:divBdr>
                    <w:top w:val="none" w:sz="0" w:space="0" w:color="auto"/>
                    <w:left w:val="none" w:sz="0" w:space="0" w:color="auto"/>
                    <w:bottom w:val="none" w:sz="0" w:space="0" w:color="auto"/>
                    <w:right w:val="none" w:sz="0" w:space="0" w:color="auto"/>
                  </w:divBdr>
                  <w:divsChild>
                    <w:div w:id="19272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02130">
      <w:bodyDiv w:val="1"/>
      <w:marLeft w:val="0"/>
      <w:marRight w:val="0"/>
      <w:marTop w:val="0"/>
      <w:marBottom w:val="0"/>
      <w:divBdr>
        <w:top w:val="none" w:sz="0" w:space="0" w:color="auto"/>
        <w:left w:val="none" w:sz="0" w:space="0" w:color="auto"/>
        <w:bottom w:val="none" w:sz="0" w:space="0" w:color="auto"/>
        <w:right w:val="none" w:sz="0" w:space="0" w:color="auto"/>
      </w:divBdr>
      <w:divsChild>
        <w:div w:id="458573640">
          <w:marLeft w:val="0"/>
          <w:marRight w:val="0"/>
          <w:marTop w:val="0"/>
          <w:marBottom w:val="0"/>
          <w:divBdr>
            <w:top w:val="none" w:sz="0" w:space="0" w:color="auto"/>
            <w:left w:val="none" w:sz="0" w:space="0" w:color="auto"/>
            <w:bottom w:val="none" w:sz="0" w:space="0" w:color="auto"/>
            <w:right w:val="none" w:sz="0" w:space="0" w:color="auto"/>
          </w:divBdr>
          <w:divsChild>
            <w:div w:id="1760563759">
              <w:marLeft w:val="0"/>
              <w:marRight w:val="0"/>
              <w:marTop w:val="0"/>
              <w:marBottom w:val="0"/>
              <w:divBdr>
                <w:top w:val="none" w:sz="0" w:space="0" w:color="auto"/>
                <w:left w:val="none" w:sz="0" w:space="0" w:color="auto"/>
                <w:bottom w:val="none" w:sz="0" w:space="0" w:color="auto"/>
                <w:right w:val="none" w:sz="0" w:space="0" w:color="auto"/>
              </w:divBdr>
              <w:divsChild>
                <w:div w:id="1587835971">
                  <w:marLeft w:val="0"/>
                  <w:marRight w:val="0"/>
                  <w:marTop w:val="0"/>
                  <w:marBottom w:val="0"/>
                  <w:divBdr>
                    <w:top w:val="none" w:sz="0" w:space="0" w:color="auto"/>
                    <w:left w:val="none" w:sz="0" w:space="0" w:color="auto"/>
                    <w:bottom w:val="none" w:sz="0" w:space="0" w:color="auto"/>
                    <w:right w:val="none" w:sz="0" w:space="0" w:color="auto"/>
                  </w:divBdr>
                  <w:divsChild>
                    <w:div w:id="1363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5939">
      <w:bodyDiv w:val="1"/>
      <w:marLeft w:val="0"/>
      <w:marRight w:val="0"/>
      <w:marTop w:val="0"/>
      <w:marBottom w:val="0"/>
      <w:divBdr>
        <w:top w:val="none" w:sz="0" w:space="0" w:color="auto"/>
        <w:left w:val="none" w:sz="0" w:space="0" w:color="auto"/>
        <w:bottom w:val="none" w:sz="0" w:space="0" w:color="auto"/>
        <w:right w:val="none" w:sz="0" w:space="0" w:color="auto"/>
      </w:divBdr>
      <w:divsChild>
        <w:div w:id="1341541473">
          <w:marLeft w:val="0"/>
          <w:marRight w:val="0"/>
          <w:marTop w:val="0"/>
          <w:marBottom w:val="0"/>
          <w:divBdr>
            <w:top w:val="none" w:sz="0" w:space="0" w:color="auto"/>
            <w:left w:val="none" w:sz="0" w:space="0" w:color="auto"/>
            <w:bottom w:val="none" w:sz="0" w:space="0" w:color="auto"/>
            <w:right w:val="none" w:sz="0" w:space="0" w:color="auto"/>
          </w:divBdr>
          <w:divsChild>
            <w:div w:id="392120901">
              <w:marLeft w:val="0"/>
              <w:marRight w:val="0"/>
              <w:marTop w:val="0"/>
              <w:marBottom w:val="0"/>
              <w:divBdr>
                <w:top w:val="none" w:sz="0" w:space="0" w:color="auto"/>
                <w:left w:val="none" w:sz="0" w:space="0" w:color="auto"/>
                <w:bottom w:val="none" w:sz="0" w:space="0" w:color="auto"/>
                <w:right w:val="none" w:sz="0" w:space="0" w:color="auto"/>
              </w:divBdr>
              <w:divsChild>
                <w:div w:id="570699079">
                  <w:marLeft w:val="0"/>
                  <w:marRight w:val="0"/>
                  <w:marTop w:val="0"/>
                  <w:marBottom w:val="0"/>
                  <w:divBdr>
                    <w:top w:val="none" w:sz="0" w:space="0" w:color="auto"/>
                    <w:left w:val="none" w:sz="0" w:space="0" w:color="auto"/>
                    <w:bottom w:val="none" w:sz="0" w:space="0" w:color="auto"/>
                    <w:right w:val="none" w:sz="0" w:space="0" w:color="auto"/>
                  </w:divBdr>
                  <w:divsChild>
                    <w:div w:id="12109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743">
      <w:bodyDiv w:val="1"/>
      <w:marLeft w:val="0"/>
      <w:marRight w:val="0"/>
      <w:marTop w:val="0"/>
      <w:marBottom w:val="0"/>
      <w:divBdr>
        <w:top w:val="none" w:sz="0" w:space="0" w:color="auto"/>
        <w:left w:val="none" w:sz="0" w:space="0" w:color="auto"/>
        <w:bottom w:val="none" w:sz="0" w:space="0" w:color="auto"/>
        <w:right w:val="none" w:sz="0" w:space="0" w:color="auto"/>
      </w:divBdr>
      <w:divsChild>
        <w:div w:id="1667825899">
          <w:marLeft w:val="0"/>
          <w:marRight w:val="0"/>
          <w:marTop w:val="0"/>
          <w:marBottom w:val="0"/>
          <w:divBdr>
            <w:top w:val="none" w:sz="0" w:space="0" w:color="auto"/>
            <w:left w:val="none" w:sz="0" w:space="0" w:color="auto"/>
            <w:bottom w:val="none" w:sz="0" w:space="0" w:color="auto"/>
            <w:right w:val="none" w:sz="0" w:space="0" w:color="auto"/>
          </w:divBdr>
          <w:divsChild>
            <w:div w:id="1144617985">
              <w:marLeft w:val="0"/>
              <w:marRight w:val="0"/>
              <w:marTop w:val="0"/>
              <w:marBottom w:val="0"/>
              <w:divBdr>
                <w:top w:val="none" w:sz="0" w:space="0" w:color="auto"/>
                <w:left w:val="none" w:sz="0" w:space="0" w:color="auto"/>
                <w:bottom w:val="none" w:sz="0" w:space="0" w:color="auto"/>
                <w:right w:val="none" w:sz="0" w:space="0" w:color="auto"/>
              </w:divBdr>
              <w:divsChild>
                <w:div w:id="6863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1736">
      <w:bodyDiv w:val="1"/>
      <w:marLeft w:val="0"/>
      <w:marRight w:val="0"/>
      <w:marTop w:val="0"/>
      <w:marBottom w:val="0"/>
      <w:divBdr>
        <w:top w:val="none" w:sz="0" w:space="0" w:color="auto"/>
        <w:left w:val="none" w:sz="0" w:space="0" w:color="auto"/>
        <w:bottom w:val="none" w:sz="0" w:space="0" w:color="auto"/>
        <w:right w:val="none" w:sz="0" w:space="0" w:color="auto"/>
      </w:divBdr>
      <w:divsChild>
        <w:div w:id="1075517213">
          <w:marLeft w:val="0"/>
          <w:marRight w:val="0"/>
          <w:marTop w:val="0"/>
          <w:marBottom w:val="0"/>
          <w:divBdr>
            <w:top w:val="none" w:sz="0" w:space="0" w:color="auto"/>
            <w:left w:val="none" w:sz="0" w:space="0" w:color="auto"/>
            <w:bottom w:val="none" w:sz="0" w:space="0" w:color="auto"/>
            <w:right w:val="none" w:sz="0" w:space="0" w:color="auto"/>
          </w:divBdr>
          <w:divsChild>
            <w:div w:id="7761539">
              <w:marLeft w:val="0"/>
              <w:marRight w:val="0"/>
              <w:marTop w:val="0"/>
              <w:marBottom w:val="0"/>
              <w:divBdr>
                <w:top w:val="none" w:sz="0" w:space="0" w:color="auto"/>
                <w:left w:val="none" w:sz="0" w:space="0" w:color="auto"/>
                <w:bottom w:val="none" w:sz="0" w:space="0" w:color="auto"/>
                <w:right w:val="none" w:sz="0" w:space="0" w:color="auto"/>
              </w:divBdr>
              <w:divsChild>
                <w:div w:id="1038051178">
                  <w:marLeft w:val="0"/>
                  <w:marRight w:val="0"/>
                  <w:marTop w:val="0"/>
                  <w:marBottom w:val="0"/>
                  <w:divBdr>
                    <w:top w:val="none" w:sz="0" w:space="0" w:color="auto"/>
                    <w:left w:val="none" w:sz="0" w:space="0" w:color="auto"/>
                    <w:bottom w:val="none" w:sz="0" w:space="0" w:color="auto"/>
                    <w:right w:val="none" w:sz="0" w:space="0" w:color="auto"/>
                  </w:divBdr>
                  <w:divsChild>
                    <w:div w:id="1179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628">
      <w:bodyDiv w:val="1"/>
      <w:marLeft w:val="0"/>
      <w:marRight w:val="0"/>
      <w:marTop w:val="0"/>
      <w:marBottom w:val="0"/>
      <w:divBdr>
        <w:top w:val="none" w:sz="0" w:space="0" w:color="auto"/>
        <w:left w:val="none" w:sz="0" w:space="0" w:color="auto"/>
        <w:bottom w:val="none" w:sz="0" w:space="0" w:color="auto"/>
        <w:right w:val="none" w:sz="0" w:space="0" w:color="auto"/>
      </w:divBdr>
      <w:divsChild>
        <w:div w:id="129834811">
          <w:marLeft w:val="0"/>
          <w:marRight w:val="0"/>
          <w:marTop w:val="0"/>
          <w:marBottom w:val="0"/>
          <w:divBdr>
            <w:top w:val="none" w:sz="0" w:space="0" w:color="auto"/>
            <w:left w:val="none" w:sz="0" w:space="0" w:color="auto"/>
            <w:bottom w:val="none" w:sz="0" w:space="0" w:color="auto"/>
            <w:right w:val="none" w:sz="0" w:space="0" w:color="auto"/>
          </w:divBdr>
          <w:divsChild>
            <w:div w:id="1300380566">
              <w:marLeft w:val="0"/>
              <w:marRight w:val="0"/>
              <w:marTop w:val="0"/>
              <w:marBottom w:val="0"/>
              <w:divBdr>
                <w:top w:val="none" w:sz="0" w:space="0" w:color="auto"/>
                <w:left w:val="none" w:sz="0" w:space="0" w:color="auto"/>
                <w:bottom w:val="none" w:sz="0" w:space="0" w:color="auto"/>
                <w:right w:val="none" w:sz="0" w:space="0" w:color="auto"/>
              </w:divBdr>
              <w:divsChild>
                <w:div w:id="5544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745">
      <w:bodyDiv w:val="1"/>
      <w:marLeft w:val="0"/>
      <w:marRight w:val="0"/>
      <w:marTop w:val="0"/>
      <w:marBottom w:val="0"/>
      <w:divBdr>
        <w:top w:val="none" w:sz="0" w:space="0" w:color="auto"/>
        <w:left w:val="none" w:sz="0" w:space="0" w:color="auto"/>
        <w:bottom w:val="none" w:sz="0" w:space="0" w:color="auto"/>
        <w:right w:val="none" w:sz="0" w:space="0" w:color="auto"/>
      </w:divBdr>
      <w:divsChild>
        <w:div w:id="743919880">
          <w:marLeft w:val="0"/>
          <w:marRight w:val="0"/>
          <w:marTop w:val="0"/>
          <w:marBottom w:val="0"/>
          <w:divBdr>
            <w:top w:val="none" w:sz="0" w:space="0" w:color="auto"/>
            <w:left w:val="none" w:sz="0" w:space="0" w:color="auto"/>
            <w:bottom w:val="none" w:sz="0" w:space="0" w:color="auto"/>
            <w:right w:val="none" w:sz="0" w:space="0" w:color="auto"/>
          </w:divBdr>
          <w:divsChild>
            <w:div w:id="1230574501">
              <w:marLeft w:val="0"/>
              <w:marRight w:val="0"/>
              <w:marTop w:val="0"/>
              <w:marBottom w:val="0"/>
              <w:divBdr>
                <w:top w:val="none" w:sz="0" w:space="0" w:color="auto"/>
                <w:left w:val="none" w:sz="0" w:space="0" w:color="auto"/>
                <w:bottom w:val="none" w:sz="0" w:space="0" w:color="auto"/>
                <w:right w:val="none" w:sz="0" w:space="0" w:color="auto"/>
              </w:divBdr>
              <w:divsChild>
                <w:div w:id="1723210515">
                  <w:marLeft w:val="0"/>
                  <w:marRight w:val="0"/>
                  <w:marTop w:val="0"/>
                  <w:marBottom w:val="0"/>
                  <w:divBdr>
                    <w:top w:val="none" w:sz="0" w:space="0" w:color="auto"/>
                    <w:left w:val="none" w:sz="0" w:space="0" w:color="auto"/>
                    <w:bottom w:val="none" w:sz="0" w:space="0" w:color="auto"/>
                    <w:right w:val="none" w:sz="0" w:space="0" w:color="auto"/>
                  </w:divBdr>
                  <w:divsChild>
                    <w:div w:id="19607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3139">
      <w:bodyDiv w:val="1"/>
      <w:marLeft w:val="0"/>
      <w:marRight w:val="0"/>
      <w:marTop w:val="0"/>
      <w:marBottom w:val="0"/>
      <w:divBdr>
        <w:top w:val="none" w:sz="0" w:space="0" w:color="auto"/>
        <w:left w:val="none" w:sz="0" w:space="0" w:color="auto"/>
        <w:bottom w:val="none" w:sz="0" w:space="0" w:color="auto"/>
        <w:right w:val="none" w:sz="0" w:space="0" w:color="auto"/>
      </w:divBdr>
      <w:divsChild>
        <w:div w:id="1429034198">
          <w:marLeft w:val="0"/>
          <w:marRight w:val="0"/>
          <w:marTop w:val="0"/>
          <w:marBottom w:val="0"/>
          <w:divBdr>
            <w:top w:val="none" w:sz="0" w:space="0" w:color="auto"/>
            <w:left w:val="none" w:sz="0" w:space="0" w:color="auto"/>
            <w:bottom w:val="none" w:sz="0" w:space="0" w:color="auto"/>
            <w:right w:val="none" w:sz="0" w:space="0" w:color="auto"/>
          </w:divBdr>
          <w:divsChild>
            <w:div w:id="645820669">
              <w:marLeft w:val="0"/>
              <w:marRight w:val="0"/>
              <w:marTop w:val="0"/>
              <w:marBottom w:val="0"/>
              <w:divBdr>
                <w:top w:val="none" w:sz="0" w:space="0" w:color="auto"/>
                <w:left w:val="none" w:sz="0" w:space="0" w:color="auto"/>
                <w:bottom w:val="none" w:sz="0" w:space="0" w:color="auto"/>
                <w:right w:val="none" w:sz="0" w:space="0" w:color="auto"/>
              </w:divBdr>
              <w:divsChild>
                <w:div w:id="1845195818">
                  <w:marLeft w:val="0"/>
                  <w:marRight w:val="0"/>
                  <w:marTop w:val="0"/>
                  <w:marBottom w:val="0"/>
                  <w:divBdr>
                    <w:top w:val="none" w:sz="0" w:space="0" w:color="auto"/>
                    <w:left w:val="none" w:sz="0" w:space="0" w:color="auto"/>
                    <w:bottom w:val="none" w:sz="0" w:space="0" w:color="auto"/>
                    <w:right w:val="none" w:sz="0" w:space="0" w:color="auto"/>
                  </w:divBdr>
                  <w:divsChild>
                    <w:div w:id="3280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4003">
      <w:bodyDiv w:val="1"/>
      <w:marLeft w:val="0"/>
      <w:marRight w:val="0"/>
      <w:marTop w:val="0"/>
      <w:marBottom w:val="0"/>
      <w:divBdr>
        <w:top w:val="none" w:sz="0" w:space="0" w:color="auto"/>
        <w:left w:val="none" w:sz="0" w:space="0" w:color="auto"/>
        <w:bottom w:val="none" w:sz="0" w:space="0" w:color="auto"/>
        <w:right w:val="none" w:sz="0" w:space="0" w:color="auto"/>
      </w:divBdr>
    </w:div>
    <w:div w:id="1005937202">
      <w:bodyDiv w:val="1"/>
      <w:marLeft w:val="0"/>
      <w:marRight w:val="0"/>
      <w:marTop w:val="0"/>
      <w:marBottom w:val="0"/>
      <w:divBdr>
        <w:top w:val="none" w:sz="0" w:space="0" w:color="auto"/>
        <w:left w:val="none" w:sz="0" w:space="0" w:color="auto"/>
        <w:bottom w:val="none" w:sz="0" w:space="0" w:color="auto"/>
        <w:right w:val="none" w:sz="0" w:space="0" w:color="auto"/>
      </w:divBdr>
      <w:divsChild>
        <w:div w:id="553542157">
          <w:marLeft w:val="-225"/>
          <w:marRight w:val="-225"/>
          <w:marTop w:val="0"/>
          <w:marBottom w:val="0"/>
          <w:divBdr>
            <w:top w:val="none" w:sz="0" w:space="0" w:color="auto"/>
            <w:left w:val="none" w:sz="0" w:space="0" w:color="auto"/>
            <w:bottom w:val="none" w:sz="0" w:space="0" w:color="auto"/>
            <w:right w:val="none" w:sz="0" w:space="0" w:color="auto"/>
          </w:divBdr>
          <w:divsChild>
            <w:div w:id="20363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948">
      <w:bodyDiv w:val="1"/>
      <w:marLeft w:val="0"/>
      <w:marRight w:val="0"/>
      <w:marTop w:val="0"/>
      <w:marBottom w:val="0"/>
      <w:divBdr>
        <w:top w:val="none" w:sz="0" w:space="0" w:color="auto"/>
        <w:left w:val="none" w:sz="0" w:space="0" w:color="auto"/>
        <w:bottom w:val="none" w:sz="0" w:space="0" w:color="auto"/>
        <w:right w:val="none" w:sz="0" w:space="0" w:color="auto"/>
      </w:divBdr>
      <w:divsChild>
        <w:div w:id="1811552739">
          <w:marLeft w:val="0"/>
          <w:marRight w:val="0"/>
          <w:marTop w:val="0"/>
          <w:marBottom w:val="0"/>
          <w:divBdr>
            <w:top w:val="none" w:sz="0" w:space="0" w:color="auto"/>
            <w:left w:val="none" w:sz="0" w:space="0" w:color="auto"/>
            <w:bottom w:val="none" w:sz="0" w:space="0" w:color="auto"/>
            <w:right w:val="none" w:sz="0" w:space="0" w:color="auto"/>
          </w:divBdr>
          <w:divsChild>
            <w:div w:id="1357200054">
              <w:marLeft w:val="0"/>
              <w:marRight w:val="0"/>
              <w:marTop w:val="0"/>
              <w:marBottom w:val="0"/>
              <w:divBdr>
                <w:top w:val="none" w:sz="0" w:space="0" w:color="auto"/>
                <w:left w:val="none" w:sz="0" w:space="0" w:color="auto"/>
                <w:bottom w:val="none" w:sz="0" w:space="0" w:color="auto"/>
                <w:right w:val="none" w:sz="0" w:space="0" w:color="auto"/>
              </w:divBdr>
              <w:divsChild>
                <w:div w:id="651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4310">
      <w:bodyDiv w:val="1"/>
      <w:marLeft w:val="0"/>
      <w:marRight w:val="0"/>
      <w:marTop w:val="0"/>
      <w:marBottom w:val="0"/>
      <w:divBdr>
        <w:top w:val="none" w:sz="0" w:space="0" w:color="auto"/>
        <w:left w:val="none" w:sz="0" w:space="0" w:color="auto"/>
        <w:bottom w:val="none" w:sz="0" w:space="0" w:color="auto"/>
        <w:right w:val="none" w:sz="0" w:space="0" w:color="auto"/>
      </w:divBdr>
      <w:divsChild>
        <w:div w:id="827289776">
          <w:marLeft w:val="0"/>
          <w:marRight w:val="0"/>
          <w:marTop w:val="0"/>
          <w:marBottom w:val="0"/>
          <w:divBdr>
            <w:top w:val="none" w:sz="0" w:space="0" w:color="auto"/>
            <w:left w:val="none" w:sz="0" w:space="0" w:color="auto"/>
            <w:bottom w:val="none" w:sz="0" w:space="0" w:color="auto"/>
            <w:right w:val="none" w:sz="0" w:space="0" w:color="auto"/>
          </w:divBdr>
          <w:divsChild>
            <w:div w:id="180170633">
              <w:marLeft w:val="0"/>
              <w:marRight w:val="0"/>
              <w:marTop w:val="0"/>
              <w:marBottom w:val="0"/>
              <w:divBdr>
                <w:top w:val="none" w:sz="0" w:space="0" w:color="auto"/>
                <w:left w:val="none" w:sz="0" w:space="0" w:color="auto"/>
                <w:bottom w:val="none" w:sz="0" w:space="0" w:color="auto"/>
                <w:right w:val="none" w:sz="0" w:space="0" w:color="auto"/>
              </w:divBdr>
              <w:divsChild>
                <w:div w:id="327483566">
                  <w:marLeft w:val="0"/>
                  <w:marRight w:val="0"/>
                  <w:marTop w:val="0"/>
                  <w:marBottom w:val="0"/>
                  <w:divBdr>
                    <w:top w:val="none" w:sz="0" w:space="0" w:color="auto"/>
                    <w:left w:val="none" w:sz="0" w:space="0" w:color="auto"/>
                    <w:bottom w:val="none" w:sz="0" w:space="0" w:color="auto"/>
                    <w:right w:val="none" w:sz="0" w:space="0" w:color="auto"/>
                  </w:divBdr>
                  <w:divsChild>
                    <w:div w:id="335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14802">
      <w:bodyDiv w:val="1"/>
      <w:marLeft w:val="0"/>
      <w:marRight w:val="0"/>
      <w:marTop w:val="0"/>
      <w:marBottom w:val="0"/>
      <w:divBdr>
        <w:top w:val="none" w:sz="0" w:space="0" w:color="auto"/>
        <w:left w:val="none" w:sz="0" w:space="0" w:color="auto"/>
        <w:bottom w:val="none" w:sz="0" w:space="0" w:color="auto"/>
        <w:right w:val="none" w:sz="0" w:space="0" w:color="auto"/>
      </w:divBdr>
      <w:divsChild>
        <w:div w:id="1630741244">
          <w:marLeft w:val="0"/>
          <w:marRight w:val="0"/>
          <w:marTop w:val="0"/>
          <w:marBottom w:val="0"/>
          <w:divBdr>
            <w:top w:val="none" w:sz="0" w:space="0" w:color="auto"/>
            <w:left w:val="none" w:sz="0" w:space="0" w:color="auto"/>
            <w:bottom w:val="none" w:sz="0" w:space="0" w:color="auto"/>
            <w:right w:val="none" w:sz="0" w:space="0" w:color="auto"/>
          </w:divBdr>
          <w:divsChild>
            <w:div w:id="1070738397">
              <w:marLeft w:val="0"/>
              <w:marRight w:val="0"/>
              <w:marTop w:val="0"/>
              <w:marBottom w:val="0"/>
              <w:divBdr>
                <w:top w:val="none" w:sz="0" w:space="0" w:color="auto"/>
                <w:left w:val="none" w:sz="0" w:space="0" w:color="auto"/>
                <w:bottom w:val="none" w:sz="0" w:space="0" w:color="auto"/>
                <w:right w:val="none" w:sz="0" w:space="0" w:color="auto"/>
              </w:divBdr>
              <w:divsChild>
                <w:div w:id="1329216027">
                  <w:marLeft w:val="0"/>
                  <w:marRight w:val="0"/>
                  <w:marTop w:val="0"/>
                  <w:marBottom w:val="0"/>
                  <w:divBdr>
                    <w:top w:val="none" w:sz="0" w:space="0" w:color="auto"/>
                    <w:left w:val="none" w:sz="0" w:space="0" w:color="auto"/>
                    <w:bottom w:val="none" w:sz="0" w:space="0" w:color="auto"/>
                    <w:right w:val="none" w:sz="0" w:space="0" w:color="auto"/>
                  </w:divBdr>
                  <w:divsChild>
                    <w:div w:id="5680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570">
      <w:bodyDiv w:val="1"/>
      <w:marLeft w:val="0"/>
      <w:marRight w:val="0"/>
      <w:marTop w:val="0"/>
      <w:marBottom w:val="0"/>
      <w:divBdr>
        <w:top w:val="none" w:sz="0" w:space="0" w:color="auto"/>
        <w:left w:val="none" w:sz="0" w:space="0" w:color="auto"/>
        <w:bottom w:val="none" w:sz="0" w:space="0" w:color="auto"/>
        <w:right w:val="none" w:sz="0" w:space="0" w:color="auto"/>
      </w:divBdr>
      <w:divsChild>
        <w:div w:id="1215003041">
          <w:marLeft w:val="0"/>
          <w:marRight w:val="0"/>
          <w:marTop w:val="0"/>
          <w:marBottom w:val="0"/>
          <w:divBdr>
            <w:top w:val="none" w:sz="0" w:space="0" w:color="auto"/>
            <w:left w:val="none" w:sz="0" w:space="0" w:color="auto"/>
            <w:bottom w:val="none" w:sz="0" w:space="0" w:color="auto"/>
            <w:right w:val="none" w:sz="0" w:space="0" w:color="auto"/>
          </w:divBdr>
          <w:divsChild>
            <w:div w:id="1461922487">
              <w:marLeft w:val="0"/>
              <w:marRight w:val="0"/>
              <w:marTop w:val="0"/>
              <w:marBottom w:val="0"/>
              <w:divBdr>
                <w:top w:val="none" w:sz="0" w:space="0" w:color="auto"/>
                <w:left w:val="none" w:sz="0" w:space="0" w:color="auto"/>
                <w:bottom w:val="none" w:sz="0" w:space="0" w:color="auto"/>
                <w:right w:val="none" w:sz="0" w:space="0" w:color="auto"/>
              </w:divBdr>
              <w:divsChild>
                <w:div w:id="1546943158">
                  <w:marLeft w:val="0"/>
                  <w:marRight w:val="0"/>
                  <w:marTop w:val="0"/>
                  <w:marBottom w:val="0"/>
                  <w:divBdr>
                    <w:top w:val="none" w:sz="0" w:space="0" w:color="auto"/>
                    <w:left w:val="none" w:sz="0" w:space="0" w:color="auto"/>
                    <w:bottom w:val="none" w:sz="0" w:space="0" w:color="auto"/>
                    <w:right w:val="none" w:sz="0" w:space="0" w:color="auto"/>
                  </w:divBdr>
                  <w:divsChild>
                    <w:div w:id="19136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5630">
      <w:bodyDiv w:val="1"/>
      <w:marLeft w:val="0"/>
      <w:marRight w:val="0"/>
      <w:marTop w:val="0"/>
      <w:marBottom w:val="0"/>
      <w:divBdr>
        <w:top w:val="none" w:sz="0" w:space="0" w:color="auto"/>
        <w:left w:val="none" w:sz="0" w:space="0" w:color="auto"/>
        <w:bottom w:val="none" w:sz="0" w:space="0" w:color="auto"/>
        <w:right w:val="none" w:sz="0" w:space="0" w:color="auto"/>
      </w:divBdr>
      <w:divsChild>
        <w:div w:id="685013803">
          <w:marLeft w:val="0"/>
          <w:marRight w:val="0"/>
          <w:marTop w:val="0"/>
          <w:marBottom w:val="0"/>
          <w:divBdr>
            <w:top w:val="none" w:sz="0" w:space="0" w:color="auto"/>
            <w:left w:val="none" w:sz="0" w:space="0" w:color="auto"/>
            <w:bottom w:val="none" w:sz="0" w:space="0" w:color="auto"/>
            <w:right w:val="none" w:sz="0" w:space="0" w:color="auto"/>
          </w:divBdr>
          <w:divsChild>
            <w:div w:id="1499468449">
              <w:marLeft w:val="0"/>
              <w:marRight w:val="0"/>
              <w:marTop w:val="0"/>
              <w:marBottom w:val="0"/>
              <w:divBdr>
                <w:top w:val="none" w:sz="0" w:space="0" w:color="auto"/>
                <w:left w:val="none" w:sz="0" w:space="0" w:color="auto"/>
                <w:bottom w:val="none" w:sz="0" w:space="0" w:color="auto"/>
                <w:right w:val="none" w:sz="0" w:space="0" w:color="auto"/>
              </w:divBdr>
              <w:divsChild>
                <w:div w:id="2130314399">
                  <w:marLeft w:val="0"/>
                  <w:marRight w:val="0"/>
                  <w:marTop w:val="0"/>
                  <w:marBottom w:val="0"/>
                  <w:divBdr>
                    <w:top w:val="none" w:sz="0" w:space="0" w:color="auto"/>
                    <w:left w:val="none" w:sz="0" w:space="0" w:color="auto"/>
                    <w:bottom w:val="none" w:sz="0" w:space="0" w:color="auto"/>
                    <w:right w:val="none" w:sz="0" w:space="0" w:color="auto"/>
                  </w:divBdr>
                  <w:divsChild>
                    <w:div w:id="635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5441">
      <w:bodyDiv w:val="1"/>
      <w:marLeft w:val="0"/>
      <w:marRight w:val="0"/>
      <w:marTop w:val="0"/>
      <w:marBottom w:val="0"/>
      <w:divBdr>
        <w:top w:val="none" w:sz="0" w:space="0" w:color="auto"/>
        <w:left w:val="none" w:sz="0" w:space="0" w:color="auto"/>
        <w:bottom w:val="none" w:sz="0" w:space="0" w:color="auto"/>
        <w:right w:val="none" w:sz="0" w:space="0" w:color="auto"/>
      </w:divBdr>
    </w:div>
    <w:div w:id="1059786253">
      <w:bodyDiv w:val="1"/>
      <w:marLeft w:val="0"/>
      <w:marRight w:val="0"/>
      <w:marTop w:val="0"/>
      <w:marBottom w:val="0"/>
      <w:divBdr>
        <w:top w:val="none" w:sz="0" w:space="0" w:color="auto"/>
        <w:left w:val="none" w:sz="0" w:space="0" w:color="auto"/>
        <w:bottom w:val="none" w:sz="0" w:space="0" w:color="auto"/>
        <w:right w:val="none" w:sz="0" w:space="0" w:color="auto"/>
      </w:divBdr>
      <w:divsChild>
        <w:div w:id="1466849695">
          <w:marLeft w:val="0"/>
          <w:marRight w:val="0"/>
          <w:marTop w:val="0"/>
          <w:marBottom w:val="0"/>
          <w:divBdr>
            <w:top w:val="none" w:sz="0" w:space="0" w:color="auto"/>
            <w:left w:val="none" w:sz="0" w:space="0" w:color="auto"/>
            <w:bottom w:val="none" w:sz="0" w:space="0" w:color="auto"/>
            <w:right w:val="none" w:sz="0" w:space="0" w:color="auto"/>
          </w:divBdr>
          <w:divsChild>
            <w:div w:id="781724010">
              <w:marLeft w:val="0"/>
              <w:marRight w:val="0"/>
              <w:marTop w:val="0"/>
              <w:marBottom w:val="0"/>
              <w:divBdr>
                <w:top w:val="none" w:sz="0" w:space="0" w:color="auto"/>
                <w:left w:val="none" w:sz="0" w:space="0" w:color="auto"/>
                <w:bottom w:val="none" w:sz="0" w:space="0" w:color="auto"/>
                <w:right w:val="none" w:sz="0" w:space="0" w:color="auto"/>
              </w:divBdr>
              <w:divsChild>
                <w:div w:id="138423377">
                  <w:marLeft w:val="0"/>
                  <w:marRight w:val="0"/>
                  <w:marTop w:val="0"/>
                  <w:marBottom w:val="0"/>
                  <w:divBdr>
                    <w:top w:val="none" w:sz="0" w:space="0" w:color="auto"/>
                    <w:left w:val="none" w:sz="0" w:space="0" w:color="auto"/>
                    <w:bottom w:val="none" w:sz="0" w:space="0" w:color="auto"/>
                    <w:right w:val="none" w:sz="0" w:space="0" w:color="auto"/>
                  </w:divBdr>
                  <w:divsChild>
                    <w:div w:id="11196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92529">
      <w:bodyDiv w:val="1"/>
      <w:marLeft w:val="0"/>
      <w:marRight w:val="0"/>
      <w:marTop w:val="0"/>
      <w:marBottom w:val="0"/>
      <w:divBdr>
        <w:top w:val="none" w:sz="0" w:space="0" w:color="auto"/>
        <w:left w:val="none" w:sz="0" w:space="0" w:color="auto"/>
        <w:bottom w:val="none" w:sz="0" w:space="0" w:color="auto"/>
        <w:right w:val="none" w:sz="0" w:space="0" w:color="auto"/>
      </w:divBdr>
      <w:divsChild>
        <w:div w:id="656152763">
          <w:marLeft w:val="0"/>
          <w:marRight w:val="0"/>
          <w:marTop w:val="0"/>
          <w:marBottom w:val="0"/>
          <w:divBdr>
            <w:top w:val="none" w:sz="0" w:space="0" w:color="auto"/>
            <w:left w:val="none" w:sz="0" w:space="0" w:color="auto"/>
            <w:bottom w:val="none" w:sz="0" w:space="0" w:color="auto"/>
            <w:right w:val="none" w:sz="0" w:space="0" w:color="auto"/>
          </w:divBdr>
          <w:divsChild>
            <w:div w:id="1190335934">
              <w:marLeft w:val="0"/>
              <w:marRight w:val="0"/>
              <w:marTop w:val="0"/>
              <w:marBottom w:val="0"/>
              <w:divBdr>
                <w:top w:val="none" w:sz="0" w:space="0" w:color="auto"/>
                <w:left w:val="none" w:sz="0" w:space="0" w:color="auto"/>
                <w:bottom w:val="none" w:sz="0" w:space="0" w:color="auto"/>
                <w:right w:val="none" w:sz="0" w:space="0" w:color="auto"/>
              </w:divBdr>
              <w:divsChild>
                <w:div w:id="2107269889">
                  <w:marLeft w:val="0"/>
                  <w:marRight w:val="0"/>
                  <w:marTop w:val="0"/>
                  <w:marBottom w:val="0"/>
                  <w:divBdr>
                    <w:top w:val="none" w:sz="0" w:space="0" w:color="auto"/>
                    <w:left w:val="none" w:sz="0" w:space="0" w:color="auto"/>
                    <w:bottom w:val="none" w:sz="0" w:space="0" w:color="auto"/>
                    <w:right w:val="none" w:sz="0" w:space="0" w:color="auto"/>
                  </w:divBdr>
                  <w:divsChild>
                    <w:div w:id="95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633">
      <w:bodyDiv w:val="1"/>
      <w:marLeft w:val="0"/>
      <w:marRight w:val="0"/>
      <w:marTop w:val="0"/>
      <w:marBottom w:val="0"/>
      <w:divBdr>
        <w:top w:val="none" w:sz="0" w:space="0" w:color="auto"/>
        <w:left w:val="none" w:sz="0" w:space="0" w:color="auto"/>
        <w:bottom w:val="none" w:sz="0" w:space="0" w:color="auto"/>
        <w:right w:val="none" w:sz="0" w:space="0" w:color="auto"/>
      </w:divBdr>
      <w:divsChild>
        <w:div w:id="448017560">
          <w:marLeft w:val="0"/>
          <w:marRight w:val="0"/>
          <w:marTop w:val="0"/>
          <w:marBottom w:val="0"/>
          <w:divBdr>
            <w:top w:val="none" w:sz="0" w:space="0" w:color="auto"/>
            <w:left w:val="none" w:sz="0" w:space="0" w:color="auto"/>
            <w:bottom w:val="none" w:sz="0" w:space="0" w:color="auto"/>
            <w:right w:val="none" w:sz="0" w:space="0" w:color="auto"/>
          </w:divBdr>
          <w:divsChild>
            <w:div w:id="139465279">
              <w:marLeft w:val="0"/>
              <w:marRight w:val="0"/>
              <w:marTop w:val="0"/>
              <w:marBottom w:val="0"/>
              <w:divBdr>
                <w:top w:val="none" w:sz="0" w:space="0" w:color="auto"/>
                <w:left w:val="none" w:sz="0" w:space="0" w:color="auto"/>
                <w:bottom w:val="none" w:sz="0" w:space="0" w:color="auto"/>
                <w:right w:val="none" w:sz="0" w:space="0" w:color="auto"/>
              </w:divBdr>
              <w:divsChild>
                <w:div w:id="908465437">
                  <w:marLeft w:val="0"/>
                  <w:marRight w:val="0"/>
                  <w:marTop w:val="0"/>
                  <w:marBottom w:val="0"/>
                  <w:divBdr>
                    <w:top w:val="none" w:sz="0" w:space="0" w:color="auto"/>
                    <w:left w:val="none" w:sz="0" w:space="0" w:color="auto"/>
                    <w:bottom w:val="none" w:sz="0" w:space="0" w:color="auto"/>
                    <w:right w:val="none" w:sz="0" w:space="0" w:color="auto"/>
                  </w:divBdr>
                  <w:divsChild>
                    <w:div w:id="1826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28953">
      <w:bodyDiv w:val="1"/>
      <w:marLeft w:val="0"/>
      <w:marRight w:val="0"/>
      <w:marTop w:val="0"/>
      <w:marBottom w:val="0"/>
      <w:divBdr>
        <w:top w:val="none" w:sz="0" w:space="0" w:color="auto"/>
        <w:left w:val="none" w:sz="0" w:space="0" w:color="auto"/>
        <w:bottom w:val="none" w:sz="0" w:space="0" w:color="auto"/>
        <w:right w:val="none" w:sz="0" w:space="0" w:color="auto"/>
      </w:divBdr>
      <w:divsChild>
        <w:div w:id="1275942473">
          <w:marLeft w:val="0"/>
          <w:marRight w:val="0"/>
          <w:marTop w:val="0"/>
          <w:marBottom w:val="0"/>
          <w:divBdr>
            <w:top w:val="none" w:sz="0" w:space="0" w:color="auto"/>
            <w:left w:val="none" w:sz="0" w:space="0" w:color="auto"/>
            <w:bottom w:val="none" w:sz="0" w:space="0" w:color="auto"/>
            <w:right w:val="none" w:sz="0" w:space="0" w:color="auto"/>
          </w:divBdr>
          <w:divsChild>
            <w:div w:id="292255544">
              <w:marLeft w:val="0"/>
              <w:marRight w:val="0"/>
              <w:marTop w:val="0"/>
              <w:marBottom w:val="0"/>
              <w:divBdr>
                <w:top w:val="none" w:sz="0" w:space="0" w:color="auto"/>
                <w:left w:val="none" w:sz="0" w:space="0" w:color="auto"/>
                <w:bottom w:val="none" w:sz="0" w:space="0" w:color="auto"/>
                <w:right w:val="none" w:sz="0" w:space="0" w:color="auto"/>
              </w:divBdr>
              <w:divsChild>
                <w:div w:id="219948102">
                  <w:marLeft w:val="0"/>
                  <w:marRight w:val="0"/>
                  <w:marTop w:val="0"/>
                  <w:marBottom w:val="0"/>
                  <w:divBdr>
                    <w:top w:val="none" w:sz="0" w:space="0" w:color="auto"/>
                    <w:left w:val="none" w:sz="0" w:space="0" w:color="auto"/>
                    <w:bottom w:val="none" w:sz="0" w:space="0" w:color="auto"/>
                    <w:right w:val="none" w:sz="0" w:space="0" w:color="auto"/>
                  </w:divBdr>
                  <w:divsChild>
                    <w:div w:id="5302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1920">
      <w:bodyDiv w:val="1"/>
      <w:marLeft w:val="0"/>
      <w:marRight w:val="0"/>
      <w:marTop w:val="0"/>
      <w:marBottom w:val="0"/>
      <w:divBdr>
        <w:top w:val="none" w:sz="0" w:space="0" w:color="auto"/>
        <w:left w:val="none" w:sz="0" w:space="0" w:color="auto"/>
        <w:bottom w:val="none" w:sz="0" w:space="0" w:color="auto"/>
        <w:right w:val="none" w:sz="0" w:space="0" w:color="auto"/>
      </w:divBdr>
      <w:divsChild>
        <w:div w:id="1400862330">
          <w:marLeft w:val="0"/>
          <w:marRight w:val="0"/>
          <w:marTop w:val="0"/>
          <w:marBottom w:val="0"/>
          <w:divBdr>
            <w:top w:val="none" w:sz="0" w:space="0" w:color="auto"/>
            <w:left w:val="none" w:sz="0" w:space="0" w:color="auto"/>
            <w:bottom w:val="none" w:sz="0" w:space="0" w:color="auto"/>
            <w:right w:val="none" w:sz="0" w:space="0" w:color="auto"/>
          </w:divBdr>
          <w:divsChild>
            <w:div w:id="1187334465">
              <w:marLeft w:val="0"/>
              <w:marRight w:val="0"/>
              <w:marTop w:val="0"/>
              <w:marBottom w:val="0"/>
              <w:divBdr>
                <w:top w:val="none" w:sz="0" w:space="0" w:color="auto"/>
                <w:left w:val="none" w:sz="0" w:space="0" w:color="auto"/>
                <w:bottom w:val="none" w:sz="0" w:space="0" w:color="auto"/>
                <w:right w:val="none" w:sz="0" w:space="0" w:color="auto"/>
              </w:divBdr>
              <w:divsChild>
                <w:div w:id="1149131888">
                  <w:marLeft w:val="0"/>
                  <w:marRight w:val="0"/>
                  <w:marTop w:val="0"/>
                  <w:marBottom w:val="0"/>
                  <w:divBdr>
                    <w:top w:val="none" w:sz="0" w:space="0" w:color="auto"/>
                    <w:left w:val="none" w:sz="0" w:space="0" w:color="auto"/>
                    <w:bottom w:val="none" w:sz="0" w:space="0" w:color="auto"/>
                    <w:right w:val="none" w:sz="0" w:space="0" w:color="auto"/>
                  </w:divBdr>
                  <w:divsChild>
                    <w:div w:id="10691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5019">
      <w:bodyDiv w:val="1"/>
      <w:marLeft w:val="0"/>
      <w:marRight w:val="0"/>
      <w:marTop w:val="0"/>
      <w:marBottom w:val="0"/>
      <w:divBdr>
        <w:top w:val="none" w:sz="0" w:space="0" w:color="auto"/>
        <w:left w:val="none" w:sz="0" w:space="0" w:color="auto"/>
        <w:bottom w:val="none" w:sz="0" w:space="0" w:color="auto"/>
        <w:right w:val="none" w:sz="0" w:space="0" w:color="auto"/>
      </w:divBdr>
      <w:divsChild>
        <w:div w:id="865293123">
          <w:marLeft w:val="0"/>
          <w:marRight w:val="0"/>
          <w:marTop w:val="0"/>
          <w:marBottom w:val="0"/>
          <w:divBdr>
            <w:top w:val="none" w:sz="0" w:space="0" w:color="auto"/>
            <w:left w:val="none" w:sz="0" w:space="0" w:color="auto"/>
            <w:bottom w:val="none" w:sz="0" w:space="0" w:color="auto"/>
            <w:right w:val="none" w:sz="0" w:space="0" w:color="auto"/>
          </w:divBdr>
          <w:divsChild>
            <w:div w:id="125243378">
              <w:marLeft w:val="0"/>
              <w:marRight w:val="0"/>
              <w:marTop w:val="0"/>
              <w:marBottom w:val="0"/>
              <w:divBdr>
                <w:top w:val="none" w:sz="0" w:space="0" w:color="auto"/>
                <w:left w:val="none" w:sz="0" w:space="0" w:color="auto"/>
                <w:bottom w:val="none" w:sz="0" w:space="0" w:color="auto"/>
                <w:right w:val="none" w:sz="0" w:space="0" w:color="auto"/>
              </w:divBdr>
              <w:divsChild>
                <w:div w:id="2617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48289">
      <w:bodyDiv w:val="1"/>
      <w:marLeft w:val="0"/>
      <w:marRight w:val="0"/>
      <w:marTop w:val="0"/>
      <w:marBottom w:val="0"/>
      <w:divBdr>
        <w:top w:val="none" w:sz="0" w:space="0" w:color="auto"/>
        <w:left w:val="none" w:sz="0" w:space="0" w:color="auto"/>
        <w:bottom w:val="none" w:sz="0" w:space="0" w:color="auto"/>
        <w:right w:val="none" w:sz="0" w:space="0" w:color="auto"/>
      </w:divBdr>
      <w:divsChild>
        <w:div w:id="1277954727">
          <w:marLeft w:val="0"/>
          <w:marRight w:val="0"/>
          <w:marTop w:val="0"/>
          <w:marBottom w:val="0"/>
          <w:divBdr>
            <w:top w:val="none" w:sz="0" w:space="0" w:color="auto"/>
            <w:left w:val="none" w:sz="0" w:space="0" w:color="auto"/>
            <w:bottom w:val="none" w:sz="0" w:space="0" w:color="auto"/>
            <w:right w:val="none" w:sz="0" w:space="0" w:color="auto"/>
          </w:divBdr>
          <w:divsChild>
            <w:div w:id="667292942">
              <w:marLeft w:val="0"/>
              <w:marRight w:val="0"/>
              <w:marTop w:val="0"/>
              <w:marBottom w:val="0"/>
              <w:divBdr>
                <w:top w:val="none" w:sz="0" w:space="0" w:color="auto"/>
                <w:left w:val="none" w:sz="0" w:space="0" w:color="auto"/>
                <w:bottom w:val="none" w:sz="0" w:space="0" w:color="auto"/>
                <w:right w:val="none" w:sz="0" w:space="0" w:color="auto"/>
              </w:divBdr>
              <w:divsChild>
                <w:div w:id="557740188">
                  <w:marLeft w:val="0"/>
                  <w:marRight w:val="0"/>
                  <w:marTop w:val="0"/>
                  <w:marBottom w:val="0"/>
                  <w:divBdr>
                    <w:top w:val="none" w:sz="0" w:space="0" w:color="auto"/>
                    <w:left w:val="none" w:sz="0" w:space="0" w:color="auto"/>
                    <w:bottom w:val="none" w:sz="0" w:space="0" w:color="auto"/>
                    <w:right w:val="none" w:sz="0" w:space="0" w:color="auto"/>
                  </w:divBdr>
                  <w:divsChild>
                    <w:div w:id="15306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4537">
          <w:marLeft w:val="0"/>
          <w:marRight w:val="0"/>
          <w:marTop w:val="0"/>
          <w:marBottom w:val="0"/>
          <w:divBdr>
            <w:top w:val="none" w:sz="0" w:space="0" w:color="auto"/>
            <w:left w:val="none" w:sz="0" w:space="0" w:color="auto"/>
            <w:bottom w:val="none" w:sz="0" w:space="0" w:color="auto"/>
            <w:right w:val="none" w:sz="0" w:space="0" w:color="auto"/>
          </w:divBdr>
          <w:divsChild>
            <w:div w:id="871190250">
              <w:marLeft w:val="0"/>
              <w:marRight w:val="0"/>
              <w:marTop w:val="0"/>
              <w:marBottom w:val="0"/>
              <w:divBdr>
                <w:top w:val="none" w:sz="0" w:space="0" w:color="auto"/>
                <w:left w:val="none" w:sz="0" w:space="0" w:color="auto"/>
                <w:bottom w:val="none" w:sz="0" w:space="0" w:color="auto"/>
                <w:right w:val="none" w:sz="0" w:space="0" w:color="auto"/>
              </w:divBdr>
              <w:divsChild>
                <w:div w:id="819807185">
                  <w:marLeft w:val="0"/>
                  <w:marRight w:val="0"/>
                  <w:marTop w:val="0"/>
                  <w:marBottom w:val="0"/>
                  <w:divBdr>
                    <w:top w:val="none" w:sz="0" w:space="0" w:color="auto"/>
                    <w:left w:val="none" w:sz="0" w:space="0" w:color="auto"/>
                    <w:bottom w:val="none" w:sz="0" w:space="0" w:color="auto"/>
                    <w:right w:val="none" w:sz="0" w:space="0" w:color="auto"/>
                  </w:divBdr>
                  <w:divsChild>
                    <w:div w:id="1205026611">
                      <w:marLeft w:val="0"/>
                      <w:marRight w:val="0"/>
                      <w:marTop w:val="0"/>
                      <w:marBottom w:val="0"/>
                      <w:divBdr>
                        <w:top w:val="none" w:sz="0" w:space="0" w:color="auto"/>
                        <w:left w:val="none" w:sz="0" w:space="0" w:color="auto"/>
                        <w:bottom w:val="none" w:sz="0" w:space="0" w:color="auto"/>
                        <w:right w:val="none" w:sz="0" w:space="0" w:color="auto"/>
                      </w:divBdr>
                    </w:div>
                  </w:divsChild>
                </w:div>
                <w:div w:id="1140147860">
                  <w:marLeft w:val="0"/>
                  <w:marRight w:val="0"/>
                  <w:marTop w:val="0"/>
                  <w:marBottom w:val="0"/>
                  <w:divBdr>
                    <w:top w:val="none" w:sz="0" w:space="0" w:color="auto"/>
                    <w:left w:val="none" w:sz="0" w:space="0" w:color="auto"/>
                    <w:bottom w:val="none" w:sz="0" w:space="0" w:color="auto"/>
                    <w:right w:val="none" w:sz="0" w:space="0" w:color="auto"/>
                  </w:divBdr>
                  <w:divsChild>
                    <w:div w:id="1403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7567">
      <w:bodyDiv w:val="1"/>
      <w:marLeft w:val="0"/>
      <w:marRight w:val="0"/>
      <w:marTop w:val="0"/>
      <w:marBottom w:val="0"/>
      <w:divBdr>
        <w:top w:val="none" w:sz="0" w:space="0" w:color="auto"/>
        <w:left w:val="none" w:sz="0" w:space="0" w:color="auto"/>
        <w:bottom w:val="none" w:sz="0" w:space="0" w:color="auto"/>
        <w:right w:val="none" w:sz="0" w:space="0" w:color="auto"/>
      </w:divBdr>
      <w:divsChild>
        <w:div w:id="508059359">
          <w:marLeft w:val="0"/>
          <w:marRight w:val="0"/>
          <w:marTop w:val="0"/>
          <w:marBottom w:val="0"/>
          <w:divBdr>
            <w:top w:val="none" w:sz="0" w:space="0" w:color="auto"/>
            <w:left w:val="none" w:sz="0" w:space="0" w:color="auto"/>
            <w:bottom w:val="none" w:sz="0" w:space="0" w:color="auto"/>
            <w:right w:val="none" w:sz="0" w:space="0" w:color="auto"/>
          </w:divBdr>
          <w:divsChild>
            <w:div w:id="1599024335">
              <w:marLeft w:val="0"/>
              <w:marRight w:val="0"/>
              <w:marTop w:val="0"/>
              <w:marBottom w:val="0"/>
              <w:divBdr>
                <w:top w:val="none" w:sz="0" w:space="0" w:color="auto"/>
                <w:left w:val="none" w:sz="0" w:space="0" w:color="auto"/>
                <w:bottom w:val="none" w:sz="0" w:space="0" w:color="auto"/>
                <w:right w:val="none" w:sz="0" w:space="0" w:color="auto"/>
              </w:divBdr>
              <w:divsChild>
                <w:div w:id="1152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7271">
      <w:bodyDiv w:val="1"/>
      <w:marLeft w:val="0"/>
      <w:marRight w:val="0"/>
      <w:marTop w:val="0"/>
      <w:marBottom w:val="0"/>
      <w:divBdr>
        <w:top w:val="none" w:sz="0" w:space="0" w:color="auto"/>
        <w:left w:val="none" w:sz="0" w:space="0" w:color="auto"/>
        <w:bottom w:val="none" w:sz="0" w:space="0" w:color="auto"/>
        <w:right w:val="none" w:sz="0" w:space="0" w:color="auto"/>
      </w:divBdr>
      <w:divsChild>
        <w:div w:id="1279601599">
          <w:marLeft w:val="0"/>
          <w:marRight w:val="0"/>
          <w:marTop w:val="0"/>
          <w:marBottom w:val="0"/>
          <w:divBdr>
            <w:top w:val="none" w:sz="0" w:space="0" w:color="auto"/>
            <w:left w:val="none" w:sz="0" w:space="0" w:color="auto"/>
            <w:bottom w:val="none" w:sz="0" w:space="0" w:color="auto"/>
            <w:right w:val="none" w:sz="0" w:space="0" w:color="auto"/>
          </w:divBdr>
          <w:divsChild>
            <w:div w:id="1035889156">
              <w:marLeft w:val="0"/>
              <w:marRight w:val="0"/>
              <w:marTop w:val="0"/>
              <w:marBottom w:val="0"/>
              <w:divBdr>
                <w:top w:val="none" w:sz="0" w:space="0" w:color="auto"/>
                <w:left w:val="none" w:sz="0" w:space="0" w:color="auto"/>
                <w:bottom w:val="none" w:sz="0" w:space="0" w:color="auto"/>
                <w:right w:val="none" w:sz="0" w:space="0" w:color="auto"/>
              </w:divBdr>
              <w:divsChild>
                <w:div w:id="139199306">
                  <w:marLeft w:val="0"/>
                  <w:marRight w:val="0"/>
                  <w:marTop w:val="0"/>
                  <w:marBottom w:val="0"/>
                  <w:divBdr>
                    <w:top w:val="none" w:sz="0" w:space="0" w:color="auto"/>
                    <w:left w:val="none" w:sz="0" w:space="0" w:color="auto"/>
                    <w:bottom w:val="none" w:sz="0" w:space="0" w:color="auto"/>
                    <w:right w:val="none" w:sz="0" w:space="0" w:color="auto"/>
                  </w:divBdr>
                  <w:divsChild>
                    <w:div w:id="20717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22078">
      <w:bodyDiv w:val="1"/>
      <w:marLeft w:val="0"/>
      <w:marRight w:val="0"/>
      <w:marTop w:val="0"/>
      <w:marBottom w:val="0"/>
      <w:divBdr>
        <w:top w:val="none" w:sz="0" w:space="0" w:color="auto"/>
        <w:left w:val="none" w:sz="0" w:space="0" w:color="auto"/>
        <w:bottom w:val="none" w:sz="0" w:space="0" w:color="auto"/>
        <w:right w:val="none" w:sz="0" w:space="0" w:color="auto"/>
      </w:divBdr>
      <w:divsChild>
        <w:div w:id="1937211209">
          <w:marLeft w:val="0"/>
          <w:marRight w:val="0"/>
          <w:marTop w:val="0"/>
          <w:marBottom w:val="0"/>
          <w:divBdr>
            <w:top w:val="none" w:sz="0" w:space="0" w:color="auto"/>
            <w:left w:val="none" w:sz="0" w:space="0" w:color="auto"/>
            <w:bottom w:val="none" w:sz="0" w:space="0" w:color="auto"/>
            <w:right w:val="none" w:sz="0" w:space="0" w:color="auto"/>
          </w:divBdr>
          <w:divsChild>
            <w:div w:id="1243444188">
              <w:marLeft w:val="0"/>
              <w:marRight w:val="0"/>
              <w:marTop w:val="0"/>
              <w:marBottom w:val="0"/>
              <w:divBdr>
                <w:top w:val="none" w:sz="0" w:space="0" w:color="auto"/>
                <w:left w:val="none" w:sz="0" w:space="0" w:color="auto"/>
                <w:bottom w:val="none" w:sz="0" w:space="0" w:color="auto"/>
                <w:right w:val="none" w:sz="0" w:space="0" w:color="auto"/>
              </w:divBdr>
              <w:divsChild>
                <w:div w:id="431361640">
                  <w:marLeft w:val="0"/>
                  <w:marRight w:val="0"/>
                  <w:marTop w:val="0"/>
                  <w:marBottom w:val="0"/>
                  <w:divBdr>
                    <w:top w:val="none" w:sz="0" w:space="0" w:color="auto"/>
                    <w:left w:val="none" w:sz="0" w:space="0" w:color="auto"/>
                    <w:bottom w:val="none" w:sz="0" w:space="0" w:color="auto"/>
                    <w:right w:val="none" w:sz="0" w:space="0" w:color="auto"/>
                  </w:divBdr>
                  <w:divsChild>
                    <w:div w:id="159664160">
                      <w:marLeft w:val="0"/>
                      <w:marRight w:val="0"/>
                      <w:marTop w:val="0"/>
                      <w:marBottom w:val="0"/>
                      <w:divBdr>
                        <w:top w:val="none" w:sz="0" w:space="0" w:color="auto"/>
                        <w:left w:val="none" w:sz="0" w:space="0" w:color="auto"/>
                        <w:bottom w:val="none" w:sz="0" w:space="0" w:color="auto"/>
                        <w:right w:val="none" w:sz="0" w:space="0" w:color="auto"/>
                      </w:divBdr>
                      <w:divsChild>
                        <w:div w:id="17996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288">
                  <w:marLeft w:val="0"/>
                  <w:marRight w:val="0"/>
                  <w:marTop w:val="0"/>
                  <w:marBottom w:val="0"/>
                  <w:divBdr>
                    <w:top w:val="none" w:sz="0" w:space="0" w:color="auto"/>
                    <w:left w:val="none" w:sz="0" w:space="0" w:color="auto"/>
                    <w:bottom w:val="none" w:sz="0" w:space="0" w:color="auto"/>
                    <w:right w:val="none" w:sz="0" w:space="0" w:color="auto"/>
                  </w:divBdr>
                  <w:divsChild>
                    <w:div w:id="1401245322">
                      <w:marLeft w:val="0"/>
                      <w:marRight w:val="0"/>
                      <w:marTop w:val="0"/>
                      <w:marBottom w:val="0"/>
                      <w:divBdr>
                        <w:top w:val="none" w:sz="0" w:space="0" w:color="auto"/>
                        <w:left w:val="none" w:sz="0" w:space="0" w:color="auto"/>
                        <w:bottom w:val="none" w:sz="0" w:space="0" w:color="auto"/>
                        <w:right w:val="none" w:sz="0" w:space="0" w:color="auto"/>
                      </w:divBdr>
                      <w:divsChild>
                        <w:div w:id="208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229680">
      <w:bodyDiv w:val="1"/>
      <w:marLeft w:val="0"/>
      <w:marRight w:val="0"/>
      <w:marTop w:val="0"/>
      <w:marBottom w:val="0"/>
      <w:divBdr>
        <w:top w:val="none" w:sz="0" w:space="0" w:color="auto"/>
        <w:left w:val="none" w:sz="0" w:space="0" w:color="auto"/>
        <w:bottom w:val="none" w:sz="0" w:space="0" w:color="auto"/>
        <w:right w:val="none" w:sz="0" w:space="0" w:color="auto"/>
      </w:divBdr>
      <w:divsChild>
        <w:div w:id="2052605722">
          <w:marLeft w:val="0"/>
          <w:marRight w:val="0"/>
          <w:marTop w:val="0"/>
          <w:marBottom w:val="0"/>
          <w:divBdr>
            <w:top w:val="none" w:sz="0" w:space="0" w:color="auto"/>
            <w:left w:val="none" w:sz="0" w:space="0" w:color="auto"/>
            <w:bottom w:val="none" w:sz="0" w:space="0" w:color="auto"/>
            <w:right w:val="none" w:sz="0" w:space="0" w:color="auto"/>
          </w:divBdr>
          <w:divsChild>
            <w:div w:id="806627330">
              <w:marLeft w:val="0"/>
              <w:marRight w:val="0"/>
              <w:marTop w:val="0"/>
              <w:marBottom w:val="0"/>
              <w:divBdr>
                <w:top w:val="none" w:sz="0" w:space="0" w:color="auto"/>
                <w:left w:val="none" w:sz="0" w:space="0" w:color="auto"/>
                <w:bottom w:val="none" w:sz="0" w:space="0" w:color="auto"/>
                <w:right w:val="none" w:sz="0" w:space="0" w:color="auto"/>
              </w:divBdr>
              <w:divsChild>
                <w:div w:id="530804218">
                  <w:marLeft w:val="0"/>
                  <w:marRight w:val="0"/>
                  <w:marTop w:val="0"/>
                  <w:marBottom w:val="0"/>
                  <w:divBdr>
                    <w:top w:val="none" w:sz="0" w:space="0" w:color="auto"/>
                    <w:left w:val="none" w:sz="0" w:space="0" w:color="auto"/>
                    <w:bottom w:val="none" w:sz="0" w:space="0" w:color="auto"/>
                    <w:right w:val="none" w:sz="0" w:space="0" w:color="auto"/>
                  </w:divBdr>
                  <w:divsChild>
                    <w:div w:id="7453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293">
      <w:bodyDiv w:val="1"/>
      <w:marLeft w:val="0"/>
      <w:marRight w:val="0"/>
      <w:marTop w:val="0"/>
      <w:marBottom w:val="0"/>
      <w:divBdr>
        <w:top w:val="none" w:sz="0" w:space="0" w:color="auto"/>
        <w:left w:val="none" w:sz="0" w:space="0" w:color="auto"/>
        <w:bottom w:val="none" w:sz="0" w:space="0" w:color="auto"/>
        <w:right w:val="none" w:sz="0" w:space="0" w:color="auto"/>
      </w:divBdr>
      <w:divsChild>
        <w:div w:id="1173686915">
          <w:marLeft w:val="0"/>
          <w:marRight w:val="0"/>
          <w:marTop w:val="0"/>
          <w:marBottom w:val="0"/>
          <w:divBdr>
            <w:top w:val="none" w:sz="0" w:space="0" w:color="auto"/>
            <w:left w:val="none" w:sz="0" w:space="0" w:color="auto"/>
            <w:bottom w:val="none" w:sz="0" w:space="0" w:color="auto"/>
            <w:right w:val="none" w:sz="0" w:space="0" w:color="auto"/>
          </w:divBdr>
          <w:divsChild>
            <w:div w:id="1165978276">
              <w:marLeft w:val="0"/>
              <w:marRight w:val="0"/>
              <w:marTop w:val="0"/>
              <w:marBottom w:val="0"/>
              <w:divBdr>
                <w:top w:val="none" w:sz="0" w:space="0" w:color="auto"/>
                <w:left w:val="none" w:sz="0" w:space="0" w:color="auto"/>
                <w:bottom w:val="none" w:sz="0" w:space="0" w:color="auto"/>
                <w:right w:val="none" w:sz="0" w:space="0" w:color="auto"/>
              </w:divBdr>
              <w:divsChild>
                <w:div w:id="1503353644">
                  <w:marLeft w:val="0"/>
                  <w:marRight w:val="0"/>
                  <w:marTop w:val="0"/>
                  <w:marBottom w:val="0"/>
                  <w:divBdr>
                    <w:top w:val="none" w:sz="0" w:space="0" w:color="auto"/>
                    <w:left w:val="none" w:sz="0" w:space="0" w:color="auto"/>
                    <w:bottom w:val="none" w:sz="0" w:space="0" w:color="auto"/>
                    <w:right w:val="none" w:sz="0" w:space="0" w:color="auto"/>
                  </w:divBdr>
                  <w:divsChild>
                    <w:div w:id="11686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4581">
      <w:bodyDiv w:val="1"/>
      <w:marLeft w:val="0"/>
      <w:marRight w:val="0"/>
      <w:marTop w:val="0"/>
      <w:marBottom w:val="0"/>
      <w:divBdr>
        <w:top w:val="none" w:sz="0" w:space="0" w:color="auto"/>
        <w:left w:val="none" w:sz="0" w:space="0" w:color="auto"/>
        <w:bottom w:val="none" w:sz="0" w:space="0" w:color="auto"/>
        <w:right w:val="none" w:sz="0" w:space="0" w:color="auto"/>
      </w:divBdr>
      <w:divsChild>
        <w:div w:id="554659683">
          <w:marLeft w:val="0"/>
          <w:marRight w:val="0"/>
          <w:marTop w:val="0"/>
          <w:marBottom w:val="0"/>
          <w:divBdr>
            <w:top w:val="none" w:sz="0" w:space="0" w:color="auto"/>
            <w:left w:val="none" w:sz="0" w:space="0" w:color="auto"/>
            <w:bottom w:val="none" w:sz="0" w:space="0" w:color="auto"/>
            <w:right w:val="none" w:sz="0" w:space="0" w:color="auto"/>
          </w:divBdr>
          <w:divsChild>
            <w:div w:id="125660559">
              <w:marLeft w:val="0"/>
              <w:marRight w:val="0"/>
              <w:marTop w:val="0"/>
              <w:marBottom w:val="0"/>
              <w:divBdr>
                <w:top w:val="none" w:sz="0" w:space="0" w:color="auto"/>
                <w:left w:val="none" w:sz="0" w:space="0" w:color="auto"/>
                <w:bottom w:val="none" w:sz="0" w:space="0" w:color="auto"/>
                <w:right w:val="none" w:sz="0" w:space="0" w:color="auto"/>
              </w:divBdr>
              <w:divsChild>
                <w:div w:id="20701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006">
      <w:bodyDiv w:val="1"/>
      <w:marLeft w:val="0"/>
      <w:marRight w:val="0"/>
      <w:marTop w:val="0"/>
      <w:marBottom w:val="0"/>
      <w:divBdr>
        <w:top w:val="none" w:sz="0" w:space="0" w:color="auto"/>
        <w:left w:val="none" w:sz="0" w:space="0" w:color="auto"/>
        <w:bottom w:val="none" w:sz="0" w:space="0" w:color="auto"/>
        <w:right w:val="none" w:sz="0" w:space="0" w:color="auto"/>
      </w:divBdr>
      <w:divsChild>
        <w:div w:id="804008915">
          <w:marLeft w:val="0"/>
          <w:marRight w:val="0"/>
          <w:marTop w:val="0"/>
          <w:marBottom w:val="0"/>
          <w:divBdr>
            <w:top w:val="none" w:sz="0" w:space="0" w:color="auto"/>
            <w:left w:val="none" w:sz="0" w:space="0" w:color="auto"/>
            <w:bottom w:val="none" w:sz="0" w:space="0" w:color="auto"/>
            <w:right w:val="none" w:sz="0" w:space="0" w:color="auto"/>
          </w:divBdr>
          <w:divsChild>
            <w:div w:id="1228027919">
              <w:marLeft w:val="0"/>
              <w:marRight w:val="0"/>
              <w:marTop w:val="0"/>
              <w:marBottom w:val="0"/>
              <w:divBdr>
                <w:top w:val="none" w:sz="0" w:space="0" w:color="auto"/>
                <w:left w:val="none" w:sz="0" w:space="0" w:color="auto"/>
                <w:bottom w:val="none" w:sz="0" w:space="0" w:color="auto"/>
                <w:right w:val="none" w:sz="0" w:space="0" w:color="auto"/>
              </w:divBdr>
              <w:divsChild>
                <w:div w:id="2443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4105">
      <w:bodyDiv w:val="1"/>
      <w:marLeft w:val="0"/>
      <w:marRight w:val="0"/>
      <w:marTop w:val="0"/>
      <w:marBottom w:val="0"/>
      <w:divBdr>
        <w:top w:val="none" w:sz="0" w:space="0" w:color="auto"/>
        <w:left w:val="none" w:sz="0" w:space="0" w:color="auto"/>
        <w:bottom w:val="none" w:sz="0" w:space="0" w:color="auto"/>
        <w:right w:val="none" w:sz="0" w:space="0" w:color="auto"/>
      </w:divBdr>
      <w:divsChild>
        <w:div w:id="1911308274">
          <w:marLeft w:val="0"/>
          <w:marRight w:val="0"/>
          <w:marTop w:val="0"/>
          <w:marBottom w:val="0"/>
          <w:divBdr>
            <w:top w:val="none" w:sz="0" w:space="0" w:color="auto"/>
            <w:left w:val="none" w:sz="0" w:space="0" w:color="auto"/>
            <w:bottom w:val="none" w:sz="0" w:space="0" w:color="auto"/>
            <w:right w:val="none" w:sz="0" w:space="0" w:color="auto"/>
          </w:divBdr>
          <w:divsChild>
            <w:div w:id="1371565800">
              <w:marLeft w:val="0"/>
              <w:marRight w:val="0"/>
              <w:marTop w:val="0"/>
              <w:marBottom w:val="0"/>
              <w:divBdr>
                <w:top w:val="none" w:sz="0" w:space="0" w:color="auto"/>
                <w:left w:val="none" w:sz="0" w:space="0" w:color="auto"/>
                <w:bottom w:val="none" w:sz="0" w:space="0" w:color="auto"/>
                <w:right w:val="none" w:sz="0" w:space="0" w:color="auto"/>
              </w:divBdr>
              <w:divsChild>
                <w:div w:id="196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70143">
      <w:bodyDiv w:val="1"/>
      <w:marLeft w:val="0"/>
      <w:marRight w:val="0"/>
      <w:marTop w:val="0"/>
      <w:marBottom w:val="0"/>
      <w:divBdr>
        <w:top w:val="none" w:sz="0" w:space="0" w:color="auto"/>
        <w:left w:val="none" w:sz="0" w:space="0" w:color="auto"/>
        <w:bottom w:val="none" w:sz="0" w:space="0" w:color="auto"/>
        <w:right w:val="none" w:sz="0" w:space="0" w:color="auto"/>
      </w:divBdr>
      <w:divsChild>
        <w:div w:id="1620797833">
          <w:marLeft w:val="0"/>
          <w:marRight w:val="0"/>
          <w:marTop w:val="0"/>
          <w:marBottom w:val="0"/>
          <w:divBdr>
            <w:top w:val="none" w:sz="0" w:space="0" w:color="auto"/>
            <w:left w:val="none" w:sz="0" w:space="0" w:color="auto"/>
            <w:bottom w:val="none" w:sz="0" w:space="0" w:color="auto"/>
            <w:right w:val="none" w:sz="0" w:space="0" w:color="auto"/>
          </w:divBdr>
          <w:divsChild>
            <w:div w:id="650214805">
              <w:marLeft w:val="0"/>
              <w:marRight w:val="0"/>
              <w:marTop w:val="0"/>
              <w:marBottom w:val="0"/>
              <w:divBdr>
                <w:top w:val="none" w:sz="0" w:space="0" w:color="auto"/>
                <w:left w:val="none" w:sz="0" w:space="0" w:color="auto"/>
                <w:bottom w:val="none" w:sz="0" w:space="0" w:color="auto"/>
                <w:right w:val="none" w:sz="0" w:space="0" w:color="auto"/>
              </w:divBdr>
              <w:divsChild>
                <w:div w:id="363870066">
                  <w:marLeft w:val="0"/>
                  <w:marRight w:val="0"/>
                  <w:marTop w:val="0"/>
                  <w:marBottom w:val="0"/>
                  <w:divBdr>
                    <w:top w:val="none" w:sz="0" w:space="0" w:color="auto"/>
                    <w:left w:val="none" w:sz="0" w:space="0" w:color="auto"/>
                    <w:bottom w:val="none" w:sz="0" w:space="0" w:color="auto"/>
                    <w:right w:val="none" w:sz="0" w:space="0" w:color="auto"/>
                  </w:divBdr>
                  <w:divsChild>
                    <w:div w:id="1004213050">
                      <w:marLeft w:val="0"/>
                      <w:marRight w:val="0"/>
                      <w:marTop w:val="0"/>
                      <w:marBottom w:val="0"/>
                      <w:divBdr>
                        <w:top w:val="none" w:sz="0" w:space="0" w:color="auto"/>
                        <w:left w:val="none" w:sz="0" w:space="0" w:color="auto"/>
                        <w:bottom w:val="none" w:sz="0" w:space="0" w:color="auto"/>
                        <w:right w:val="none" w:sz="0" w:space="0" w:color="auto"/>
                      </w:divBdr>
                      <w:divsChild>
                        <w:div w:id="12619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621">
                  <w:marLeft w:val="0"/>
                  <w:marRight w:val="0"/>
                  <w:marTop w:val="0"/>
                  <w:marBottom w:val="0"/>
                  <w:divBdr>
                    <w:top w:val="none" w:sz="0" w:space="0" w:color="auto"/>
                    <w:left w:val="none" w:sz="0" w:space="0" w:color="auto"/>
                    <w:bottom w:val="none" w:sz="0" w:space="0" w:color="auto"/>
                    <w:right w:val="none" w:sz="0" w:space="0" w:color="auto"/>
                  </w:divBdr>
                  <w:divsChild>
                    <w:div w:id="41297744">
                      <w:marLeft w:val="0"/>
                      <w:marRight w:val="0"/>
                      <w:marTop w:val="0"/>
                      <w:marBottom w:val="0"/>
                      <w:divBdr>
                        <w:top w:val="none" w:sz="0" w:space="0" w:color="auto"/>
                        <w:left w:val="none" w:sz="0" w:space="0" w:color="auto"/>
                        <w:bottom w:val="none" w:sz="0" w:space="0" w:color="auto"/>
                        <w:right w:val="none" w:sz="0" w:space="0" w:color="auto"/>
                      </w:divBdr>
                      <w:divsChild>
                        <w:div w:id="1195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41744">
      <w:bodyDiv w:val="1"/>
      <w:marLeft w:val="0"/>
      <w:marRight w:val="0"/>
      <w:marTop w:val="0"/>
      <w:marBottom w:val="0"/>
      <w:divBdr>
        <w:top w:val="none" w:sz="0" w:space="0" w:color="auto"/>
        <w:left w:val="none" w:sz="0" w:space="0" w:color="auto"/>
        <w:bottom w:val="none" w:sz="0" w:space="0" w:color="auto"/>
        <w:right w:val="none" w:sz="0" w:space="0" w:color="auto"/>
      </w:divBdr>
      <w:divsChild>
        <w:div w:id="392780121">
          <w:marLeft w:val="0"/>
          <w:marRight w:val="0"/>
          <w:marTop w:val="0"/>
          <w:marBottom w:val="0"/>
          <w:divBdr>
            <w:top w:val="none" w:sz="0" w:space="0" w:color="auto"/>
            <w:left w:val="none" w:sz="0" w:space="0" w:color="auto"/>
            <w:bottom w:val="none" w:sz="0" w:space="0" w:color="auto"/>
            <w:right w:val="none" w:sz="0" w:space="0" w:color="auto"/>
          </w:divBdr>
          <w:divsChild>
            <w:div w:id="2127045471">
              <w:marLeft w:val="0"/>
              <w:marRight w:val="0"/>
              <w:marTop w:val="0"/>
              <w:marBottom w:val="0"/>
              <w:divBdr>
                <w:top w:val="none" w:sz="0" w:space="0" w:color="auto"/>
                <w:left w:val="none" w:sz="0" w:space="0" w:color="auto"/>
                <w:bottom w:val="none" w:sz="0" w:space="0" w:color="auto"/>
                <w:right w:val="none" w:sz="0" w:space="0" w:color="auto"/>
              </w:divBdr>
              <w:divsChild>
                <w:div w:id="65418507">
                  <w:marLeft w:val="0"/>
                  <w:marRight w:val="0"/>
                  <w:marTop w:val="0"/>
                  <w:marBottom w:val="0"/>
                  <w:divBdr>
                    <w:top w:val="none" w:sz="0" w:space="0" w:color="auto"/>
                    <w:left w:val="none" w:sz="0" w:space="0" w:color="auto"/>
                    <w:bottom w:val="none" w:sz="0" w:space="0" w:color="auto"/>
                    <w:right w:val="none" w:sz="0" w:space="0" w:color="auto"/>
                  </w:divBdr>
                  <w:divsChild>
                    <w:div w:id="738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7390">
      <w:bodyDiv w:val="1"/>
      <w:marLeft w:val="0"/>
      <w:marRight w:val="0"/>
      <w:marTop w:val="0"/>
      <w:marBottom w:val="0"/>
      <w:divBdr>
        <w:top w:val="none" w:sz="0" w:space="0" w:color="auto"/>
        <w:left w:val="none" w:sz="0" w:space="0" w:color="auto"/>
        <w:bottom w:val="none" w:sz="0" w:space="0" w:color="auto"/>
        <w:right w:val="none" w:sz="0" w:space="0" w:color="auto"/>
      </w:divBdr>
      <w:divsChild>
        <w:div w:id="263149366">
          <w:marLeft w:val="0"/>
          <w:marRight w:val="0"/>
          <w:marTop w:val="0"/>
          <w:marBottom w:val="0"/>
          <w:divBdr>
            <w:top w:val="none" w:sz="0" w:space="0" w:color="auto"/>
            <w:left w:val="none" w:sz="0" w:space="0" w:color="auto"/>
            <w:bottom w:val="none" w:sz="0" w:space="0" w:color="auto"/>
            <w:right w:val="none" w:sz="0" w:space="0" w:color="auto"/>
          </w:divBdr>
          <w:divsChild>
            <w:div w:id="794518699">
              <w:marLeft w:val="0"/>
              <w:marRight w:val="0"/>
              <w:marTop w:val="0"/>
              <w:marBottom w:val="0"/>
              <w:divBdr>
                <w:top w:val="none" w:sz="0" w:space="0" w:color="auto"/>
                <w:left w:val="none" w:sz="0" w:space="0" w:color="auto"/>
                <w:bottom w:val="none" w:sz="0" w:space="0" w:color="auto"/>
                <w:right w:val="none" w:sz="0" w:space="0" w:color="auto"/>
              </w:divBdr>
              <w:divsChild>
                <w:div w:id="14073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9159">
      <w:bodyDiv w:val="1"/>
      <w:marLeft w:val="0"/>
      <w:marRight w:val="0"/>
      <w:marTop w:val="0"/>
      <w:marBottom w:val="0"/>
      <w:divBdr>
        <w:top w:val="none" w:sz="0" w:space="0" w:color="auto"/>
        <w:left w:val="none" w:sz="0" w:space="0" w:color="auto"/>
        <w:bottom w:val="none" w:sz="0" w:space="0" w:color="auto"/>
        <w:right w:val="none" w:sz="0" w:space="0" w:color="auto"/>
      </w:divBdr>
      <w:divsChild>
        <w:div w:id="1478843874">
          <w:marLeft w:val="0"/>
          <w:marRight w:val="0"/>
          <w:marTop w:val="0"/>
          <w:marBottom w:val="0"/>
          <w:divBdr>
            <w:top w:val="none" w:sz="0" w:space="0" w:color="auto"/>
            <w:left w:val="none" w:sz="0" w:space="0" w:color="auto"/>
            <w:bottom w:val="none" w:sz="0" w:space="0" w:color="auto"/>
            <w:right w:val="none" w:sz="0" w:space="0" w:color="auto"/>
          </w:divBdr>
          <w:divsChild>
            <w:div w:id="1634797597">
              <w:marLeft w:val="0"/>
              <w:marRight w:val="0"/>
              <w:marTop w:val="0"/>
              <w:marBottom w:val="0"/>
              <w:divBdr>
                <w:top w:val="none" w:sz="0" w:space="0" w:color="auto"/>
                <w:left w:val="none" w:sz="0" w:space="0" w:color="auto"/>
                <w:bottom w:val="none" w:sz="0" w:space="0" w:color="auto"/>
                <w:right w:val="none" w:sz="0" w:space="0" w:color="auto"/>
              </w:divBdr>
              <w:divsChild>
                <w:div w:id="19206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6169">
      <w:bodyDiv w:val="1"/>
      <w:marLeft w:val="0"/>
      <w:marRight w:val="0"/>
      <w:marTop w:val="0"/>
      <w:marBottom w:val="0"/>
      <w:divBdr>
        <w:top w:val="none" w:sz="0" w:space="0" w:color="auto"/>
        <w:left w:val="none" w:sz="0" w:space="0" w:color="auto"/>
        <w:bottom w:val="none" w:sz="0" w:space="0" w:color="auto"/>
        <w:right w:val="none" w:sz="0" w:space="0" w:color="auto"/>
      </w:divBdr>
      <w:divsChild>
        <w:div w:id="1024332756">
          <w:marLeft w:val="0"/>
          <w:marRight w:val="0"/>
          <w:marTop w:val="0"/>
          <w:marBottom w:val="0"/>
          <w:divBdr>
            <w:top w:val="none" w:sz="0" w:space="0" w:color="auto"/>
            <w:left w:val="none" w:sz="0" w:space="0" w:color="auto"/>
            <w:bottom w:val="none" w:sz="0" w:space="0" w:color="auto"/>
            <w:right w:val="none" w:sz="0" w:space="0" w:color="auto"/>
          </w:divBdr>
          <w:divsChild>
            <w:div w:id="1779712923">
              <w:marLeft w:val="0"/>
              <w:marRight w:val="0"/>
              <w:marTop w:val="0"/>
              <w:marBottom w:val="0"/>
              <w:divBdr>
                <w:top w:val="none" w:sz="0" w:space="0" w:color="auto"/>
                <w:left w:val="none" w:sz="0" w:space="0" w:color="auto"/>
                <w:bottom w:val="none" w:sz="0" w:space="0" w:color="auto"/>
                <w:right w:val="none" w:sz="0" w:space="0" w:color="auto"/>
              </w:divBdr>
              <w:divsChild>
                <w:div w:id="702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1608">
      <w:bodyDiv w:val="1"/>
      <w:marLeft w:val="0"/>
      <w:marRight w:val="0"/>
      <w:marTop w:val="0"/>
      <w:marBottom w:val="0"/>
      <w:divBdr>
        <w:top w:val="none" w:sz="0" w:space="0" w:color="auto"/>
        <w:left w:val="none" w:sz="0" w:space="0" w:color="auto"/>
        <w:bottom w:val="none" w:sz="0" w:space="0" w:color="auto"/>
        <w:right w:val="none" w:sz="0" w:space="0" w:color="auto"/>
      </w:divBdr>
      <w:divsChild>
        <w:div w:id="461923387">
          <w:marLeft w:val="0"/>
          <w:marRight w:val="0"/>
          <w:marTop w:val="0"/>
          <w:marBottom w:val="0"/>
          <w:divBdr>
            <w:top w:val="none" w:sz="0" w:space="0" w:color="auto"/>
            <w:left w:val="none" w:sz="0" w:space="0" w:color="auto"/>
            <w:bottom w:val="none" w:sz="0" w:space="0" w:color="auto"/>
            <w:right w:val="none" w:sz="0" w:space="0" w:color="auto"/>
          </w:divBdr>
          <w:divsChild>
            <w:div w:id="1217473253">
              <w:marLeft w:val="0"/>
              <w:marRight w:val="0"/>
              <w:marTop w:val="0"/>
              <w:marBottom w:val="0"/>
              <w:divBdr>
                <w:top w:val="none" w:sz="0" w:space="0" w:color="auto"/>
                <w:left w:val="none" w:sz="0" w:space="0" w:color="auto"/>
                <w:bottom w:val="none" w:sz="0" w:space="0" w:color="auto"/>
                <w:right w:val="none" w:sz="0" w:space="0" w:color="auto"/>
              </w:divBdr>
              <w:divsChild>
                <w:div w:id="87507754">
                  <w:marLeft w:val="0"/>
                  <w:marRight w:val="0"/>
                  <w:marTop w:val="0"/>
                  <w:marBottom w:val="0"/>
                  <w:divBdr>
                    <w:top w:val="none" w:sz="0" w:space="0" w:color="auto"/>
                    <w:left w:val="none" w:sz="0" w:space="0" w:color="auto"/>
                    <w:bottom w:val="none" w:sz="0" w:space="0" w:color="auto"/>
                    <w:right w:val="none" w:sz="0" w:space="0" w:color="auto"/>
                  </w:divBdr>
                  <w:divsChild>
                    <w:div w:id="4690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22449">
      <w:bodyDiv w:val="1"/>
      <w:marLeft w:val="0"/>
      <w:marRight w:val="0"/>
      <w:marTop w:val="0"/>
      <w:marBottom w:val="0"/>
      <w:divBdr>
        <w:top w:val="none" w:sz="0" w:space="0" w:color="auto"/>
        <w:left w:val="none" w:sz="0" w:space="0" w:color="auto"/>
        <w:bottom w:val="none" w:sz="0" w:space="0" w:color="auto"/>
        <w:right w:val="none" w:sz="0" w:space="0" w:color="auto"/>
      </w:divBdr>
      <w:divsChild>
        <w:div w:id="1815873755">
          <w:marLeft w:val="0"/>
          <w:marRight w:val="0"/>
          <w:marTop w:val="0"/>
          <w:marBottom w:val="0"/>
          <w:divBdr>
            <w:top w:val="none" w:sz="0" w:space="0" w:color="auto"/>
            <w:left w:val="none" w:sz="0" w:space="0" w:color="auto"/>
            <w:bottom w:val="none" w:sz="0" w:space="0" w:color="auto"/>
            <w:right w:val="none" w:sz="0" w:space="0" w:color="auto"/>
          </w:divBdr>
          <w:divsChild>
            <w:div w:id="182011478">
              <w:marLeft w:val="0"/>
              <w:marRight w:val="0"/>
              <w:marTop w:val="0"/>
              <w:marBottom w:val="0"/>
              <w:divBdr>
                <w:top w:val="none" w:sz="0" w:space="0" w:color="auto"/>
                <w:left w:val="none" w:sz="0" w:space="0" w:color="auto"/>
                <w:bottom w:val="none" w:sz="0" w:space="0" w:color="auto"/>
                <w:right w:val="none" w:sz="0" w:space="0" w:color="auto"/>
              </w:divBdr>
              <w:divsChild>
                <w:div w:id="1386098301">
                  <w:marLeft w:val="0"/>
                  <w:marRight w:val="0"/>
                  <w:marTop w:val="0"/>
                  <w:marBottom w:val="0"/>
                  <w:divBdr>
                    <w:top w:val="none" w:sz="0" w:space="0" w:color="auto"/>
                    <w:left w:val="none" w:sz="0" w:space="0" w:color="auto"/>
                    <w:bottom w:val="none" w:sz="0" w:space="0" w:color="auto"/>
                    <w:right w:val="none" w:sz="0" w:space="0" w:color="auto"/>
                  </w:divBdr>
                  <w:divsChild>
                    <w:div w:id="5806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7719">
      <w:bodyDiv w:val="1"/>
      <w:marLeft w:val="0"/>
      <w:marRight w:val="0"/>
      <w:marTop w:val="0"/>
      <w:marBottom w:val="0"/>
      <w:divBdr>
        <w:top w:val="none" w:sz="0" w:space="0" w:color="auto"/>
        <w:left w:val="none" w:sz="0" w:space="0" w:color="auto"/>
        <w:bottom w:val="none" w:sz="0" w:space="0" w:color="auto"/>
        <w:right w:val="none" w:sz="0" w:space="0" w:color="auto"/>
      </w:divBdr>
    </w:div>
    <w:div w:id="1228027433">
      <w:bodyDiv w:val="1"/>
      <w:marLeft w:val="0"/>
      <w:marRight w:val="0"/>
      <w:marTop w:val="0"/>
      <w:marBottom w:val="0"/>
      <w:divBdr>
        <w:top w:val="none" w:sz="0" w:space="0" w:color="auto"/>
        <w:left w:val="none" w:sz="0" w:space="0" w:color="auto"/>
        <w:bottom w:val="none" w:sz="0" w:space="0" w:color="auto"/>
        <w:right w:val="none" w:sz="0" w:space="0" w:color="auto"/>
      </w:divBdr>
      <w:divsChild>
        <w:div w:id="1752197439">
          <w:marLeft w:val="0"/>
          <w:marRight w:val="0"/>
          <w:marTop w:val="0"/>
          <w:marBottom w:val="0"/>
          <w:divBdr>
            <w:top w:val="none" w:sz="0" w:space="0" w:color="auto"/>
            <w:left w:val="none" w:sz="0" w:space="0" w:color="auto"/>
            <w:bottom w:val="none" w:sz="0" w:space="0" w:color="auto"/>
            <w:right w:val="none" w:sz="0" w:space="0" w:color="auto"/>
          </w:divBdr>
          <w:divsChild>
            <w:div w:id="665203712">
              <w:marLeft w:val="0"/>
              <w:marRight w:val="0"/>
              <w:marTop w:val="0"/>
              <w:marBottom w:val="0"/>
              <w:divBdr>
                <w:top w:val="none" w:sz="0" w:space="0" w:color="auto"/>
                <w:left w:val="none" w:sz="0" w:space="0" w:color="auto"/>
                <w:bottom w:val="none" w:sz="0" w:space="0" w:color="auto"/>
                <w:right w:val="none" w:sz="0" w:space="0" w:color="auto"/>
              </w:divBdr>
              <w:divsChild>
                <w:div w:id="1279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0866">
      <w:bodyDiv w:val="1"/>
      <w:marLeft w:val="0"/>
      <w:marRight w:val="0"/>
      <w:marTop w:val="0"/>
      <w:marBottom w:val="0"/>
      <w:divBdr>
        <w:top w:val="none" w:sz="0" w:space="0" w:color="auto"/>
        <w:left w:val="none" w:sz="0" w:space="0" w:color="auto"/>
        <w:bottom w:val="none" w:sz="0" w:space="0" w:color="auto"/>
        <w:right w:val="none" w:sz="0" w:space="0" w:color="auto"/>
      </w:divBdr>
    </w:div>
    <w:div w:id="1237588423">
      <w:bodyDiv w:val="1"/>
      <w:marLeft w:val="0"/>
      <w:marRight w:val="0"/>
      <w:marTop w:val="0"/>
      <w:marBottom w:val="0"/>
      <w:divBdr>
        <w:top w:val="none" w:sz="0" w:space="0" w:color="auto"/>
        <w:left w:val="none" w:sz="0" w:space="0" w:color="auto"/>
        <w:bottom w:val="none" w:sz="0" w:space="0" w:color="auto"/>
        <w:right w:val="none" w:sz="0" w:space="0" w:color="auto"/>
      </w:divBdr>
      <w:divsChild>
        <w:div w:id="1618101381">
          <w:marLeft w:val="0"/>
          <w:marRight w:val="0"/>
          <w:marTop w:val="0"/>
          <w:marBottom w:val="0"/>
          <w:divBdr>
            <w:top w:val="none" w:sz="0" w:space="0" w:color="auto"/>
            <w:left w:val="none" w:sz="0" w:space="0" w:color="auto"/>
            <w:bottom w:val="none" w:sz="0" w:space="0" w:color="auto"/>
            <w:right w:val="none" w:sz="0" w:space="0" w:color="auto"/>
          </w:divBdr>
          <w:divsChild>
            <w:div w:id="490803097">
              <w:marLeft w:val="0"/>
              <w:marRight w:val="0"/>
              <w:marTop w:val="0"/>
              <w:marBottom w:val="0"/>
              <w:divBdr>
                <w:top w:val="none" w:sz="0" w:space="0" w:color="auto"/>
                <w:left w:val="none" w:sz="0" w:space="0" w:color="auto"/>
                <w:bottom w:val="none" w:sz="0" w:space="0" w:color="auto"/>
                <w:right w:val="none" w:sz="0" w:space="0" w:color="auto"/>
              </w:divBdr>
              <w:divsChild>
                <w:div w:id="738745361">
                  <w:marLeft w:val="0"/>
                  <w:marRight w:val="0"/>
                  <w:marTop w:val="0"/>
                  <w:marBottom w:val="0"/>
                  <w:divBdr>
                    <w:top w:val="none" w:sz="0" w:space="0" w:color="auto"/>
                    <w:left w:val="none" w:sz="0" w:space="0" w:color="auto"/>
                    <w:bottom w:val="none" w:sz="0" w:space="0" w:color="auto"/>
                    <w:right w:val="none" w:sz="0" w:space="0" w:color="auto"/>
                  </w:divBdr>
                  <w:divsChild>
                    <w:div w:id="1652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4238">
      <w:bodyDiv w:val="1"/>
      <w:marLeft w:val="0"/>
      <w:marRight w:val="0"/>
      <w:marTop w:val="0"/>
      <w:marBottom w:val="0"/>
      <w:divBdr>
        <w:top w:val="none" w:sz="0" w:space="0" w:color="auto"/>
        <w:left w:val="none" w:sz="0" w:space="0" w:color="auto"/>
        <w:bottom w:val="none" w:sz="0" w:space="0" w:color="auto"/>
        <w:right w:val="none" w:sz="0" w:space="0" w:color="auto"/>
      </w:divBdr>
    </w:div>
    <w:div w:id="1262952499">
      <w:bodyDiv w:val="1"/>
      <w:marLeft w:val="0"/>
      <w:marRight w:val="0"/>
      <w:marTop w:val="0"/>
      <w:marBottom w:val="0"/>
      <w:divBdr>
        <w:top w:val="none" w:sz="0" w:space="0" w:color="auto"/>
        <w:left w:val="none" w:sz="0" w:space="0" w:color="auto"/>
        <w:bottom w:val="none" w:sz="0" w:space="0" w:color="auto"/>
        <w:right w:val="none" w:sz="0" w:space="0" w:color="auto"/>
      </w:divBdr>
      <w:divsChild>
        <w:div w:id="123084527">
          <w:marLeft w:val="0"/>
          <w:marRight w:val="0"/>
          <w:marTop w:val="0"/>
          <w:marBottom w:val="0"/>
          <w:divBdr>
            <w:top w:val="none" w:sz="0" w:space="0" w:color="auto"/>
            <w:left w:val="none" w:sz="0" w:space="0" w:color="auto"/>
            <w:bottom w:val="none" w:sz="0" w:space="0" w:color="auto"/>
            <w:right w:val="none" w:sz="0" w:space="0" w:color="auto"/>
          </w:divBdr>
          <w:divsChild>
            <w:div w:id="1798139865">
              <w:marLeft w:val="0"/>
              <w:marRight w:val="0"/>
              <w:marTop w:val="0"/>
              <w:marBottom w:val="0"/>
              <w:divBdr>
                <w:top w:val="none" w:sz="0" w:space="0" w:color="auto"/>
                <w:left w:val="none" w:sz="0" w:space="0" w:color="auto"/>
                <w:bottom w:val="none" w:sz="0" w:space="0" w:color="auto"/>
                <w:right w:val="none" w:sz="0" w:space="0" w:color="auto"/>
              </w:divBdr>
              <w:divsChild>
                <w:div w:id="759061833">
                  <w:marLeft w:val="0"/>
                  <w:marRight w:val="0"/>
                  <w:marTop w:val="0"/>
                  <w:marBottom w:val="0"/>
                  <w:divBdr>
                    <w:top w:val="none" w:sz="0" w:space="0" w:color="auto"/>
                    <w:left w:val="none" w:sz="0" w:space="0" w:color="auto"/>
                    <w:bottom w:val="none" w:sz="0" w:space="0" w:color="auto"/>
                    <w:right w:val="none" w:sz="0" w:space="0" w:color="auto"/>
                  </w:divBdr>
                  <w:divsChild>
                    <w:div w:id="19421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6789">
      <w:bodyDiv w:val="1"/>
      <w:marLeft w:val="0"/>
      <w:marRight w:val="0"/>
      <w:marTop w:val="0"/>
      <w:marBottom w:val="0"/>
      <w:divBdr>
        <w:top w:val="none" w:sz="0" w:space="0" w:color="auto"/>
        <w:left w:val="none" w:sz="0" w:space="0" w:color="auto"/>
        <w:bottom w:val="none" w:sz="0" w:space="0" w:color="auto"/>
        <w:right w:val="none" w:sz="0" w:space="0" w:color="auto"/>
      </w:divBdr>
      <w:divsChild>
        <w:div w:id="471215653">
          <w:marLeft w:val="0"/>
          <w:marRight w:val="0"/>
          <w:marTop w:val="0"/>
          <w:marBottom w:val="0"/>
          <w:divBdr>
            <w:top w:val="none" w:sz="0" w:space="0" w:color="auto"/>
            <w:left w:val="none" w:sz="0" w:space="0" w:color="auto"/>
            <w:bottom w:val="none" w:sz="0" w:space="0" w:color="auto"/>
            <w:right w:val="none" w:sz="0" w:space="0" w:color="auto"/>
          </w:divBdr>
          <w:divsChild>
            <w:div w:id="1583949120">
              <w:marLeft w:val="0"/>
              <w:marRight w:val="0"/>
              <w:marTop w:val="0"/>
              <w:marBottom w:val="0"/>
              <w:divBdr>
                <w:top w:val="none" w:sz="0" w:space="0" w:color="auto"/>
                <w:left w:val="none" w:sz="0" w:space="0" w:color="auto"/>
                <w:bottom w:val="none" w:sz="0" w:space="0" w:color="auto"/>
                <w:right w:val="none" w:sz="0" w:space="0" w:color="auto"/>
              </w:divBdr>
              <w:divsChild>
                <w:div w:id="1660306222">
                  <w:marLeft w:val="0"/>
                  <w:marRight w:val="0"/>
                  <w:marTop w:val="0"/>
                  <w:marBottom w:val="0"/>
                  <w:divBdr>
                    <w:top w:val="none" w:sz="0" w:space="0" w:color="auto"/>
                    <w:left w:val="none" w:sz="0" w:space="0" w:color="auto"/>
                    <w:bottom w:val="none" w:sz="0" w:space="0" w:color="auto"/>
                    <w:right w:val="none" w:sz="0" w:space="0" w:color="auto"/>
                  </w:divBdr>
                  <w:divsChild>
                    <w:div w:id="14616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9763">
      <w:bodyDiv w:val="1"/>
      <w:marLeft w:val="0"/>
      <w:marRight w:val="0"/>
      <w:marTop w:val="0"/>
      <w:marBottom w:val="0"/>
      <w:divBdr>
        <w:top w:val="none" w:sz="0" w:space="0" w:color="auto"/>
        <w:left w:val="none" w:sz="0" w:space="0" w:color="auto"/>
        <w:bottom w:val="none" w:sz="0" w:space="0" w:color="auto"/>
        <w:right w:val="none" w:sz="0" w:space="0" w:color="auto"/>
      </w:divBdr>
      <w:divsChild>
        <w:div w:id="1526556694">
          <w:marLeft w:val="0"/>
          <w:marRight w:val="0"/>
          <w:marTop w:val="0"/>
          <w:marBottom w:val="0"/>
          <w:divBdr>
            <w:top w:val="none" w:sz="0" w:space="0" w:color="auto"/>
            <w:left w:val="none" w:sz="0" w:space="0" w:color="auto"/>
            <w:bottom w:val="none" w:sz="0" w:space="0" w:color="auto"/>
            <w:right w:val="none" w:sz="0" w:space="0" w:color="auto"/>
          </w:divBdr>
          <w:divsChild>
            <w:div w:id="782961554">
              <w:marLeft w:val="0"/>
              <w:marRight w:val="0"/>
              <w:marTop w:val="0"/>
              <w:marBottom w:val="0"/>
              <w:divBdr>
                <w:top w:val="none" w:sz="0" w:space="0" w:color="auto"/>
                <w:left w:val="none" w:sz="0" w:space="0" w:color="auto"/>
                <w:bottom w:val="none" w:sz="0" w:space="0" w:color="auto"/>
                <w:right w:val="none" w:sz="0" w:space="0" w:color="auto"/>
              </w:divBdr>
              <w:divsChild>
                <w:div w:id="2170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0489">
      <w:bodyDiv w:val="1"/>
      <w:marLeft w:val="0"/>
      <w:marRight w:val="0"/>
      <w:marTop w:val="0"/>
      <w:marBottom w:val="0"/>
      <w:divBdr>
        <w:top w:val="none" w:sz="0" w:space="0" w:color="auto"/>
        <w:left w:val="none" w:sz="0" w:space="0" w:color="auto"/>
        <w:bottom w:val="none" w:sz="0" w:space="0" w:color="auto"/>
        <w:right w:val="none" w:sz="0" w:space="0" w:color="auto"/>
      </w:divBdr>
      <w:divsChild>
        <w:div w:id="1683701790">
          <w:marLeft w:val="0"/>
          <w:marRight w:val="0"/>
          <w:marTop w:val="0"/>
          <w:marBottom w:val="0"/>
          <w:divBdr>
            <w:top w:val="none" w:sz="0" w:space="0" w:color="auto"/>
            <w:left w:val="none" w:sz="0" w:space="0" w:color="auto"/>
            <w:bottom w:val="none" w:sz="0" w:space="0" w:color="auto"/>
            <w:right w:val="none" w:sz="0" w:space="0" w:color="auto"/>
          </w:divBdr>
          <w:divsChild>
            <w:div w:id="1820342639">
              <w:marLeft w:val="0"/>
              <w:marRight w:val="0"/>
              <w:marTop w:val="0"/>
              <w:marBottom w:val="0"/>
              <w:divBdr>
                <w:top w:val="none" w:sz="0" w:space="0" w:color="auto"/>
                <w:left w:val="none" w:sz="0" w:space="0" w:color="auto"/>
                <w:bottom w:val="none" w:sz="0" w:space="0" w:color="auto"/>
                <w:right w:val="none" w:sz="0" w:space="0" w:color="auto"/>
              </w:divBdr>
              <w:divsChild>
                <w:div w:id="20567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9751">
      <w:bodyDiv w:val="1"/>
      <w:marLeft w:val="0"/>
      <w:marRight w:val="0"/>
      <w:marTop w:val="0"/>
      <w:marBottom w:val="0"/>
      <w:divBdr>
        <w:top w:val="none" w:sz="0" w:space="0" w:color="auto"/>
        <w:left w:val="none" w:sz="0" w:space="0" w:color="auto"/>
        <w:bottom w:val="none" w:sz="0" w:space="0" w:color="auto"/>
        <w:right w:val="none" w:sz="0" w:space="0" w:color="auto"/>
      </w:divBdr>
      <w:divsChild>
        <w:div w:id="849831061">
          <w:marLeft w:val="0"/>
          <w:marRight w:val="0"/>
          <w:marTop w:val="0"/>
          <w:marBottom w:val="0"/>
          <w:divBdr>
            <w:top w:val="none" w:sz="0" w:space="0" w:color="auto"/>
            <w:left w:val="none" w:sz="0" w:space="0" w:color="auto"/>
            <w:bottom w:val="none" w:sz="0" w:space="0" w:color="auto"/>
            <w:right w:val="none" w:sz="0" w:space="0" w:color="auto"/>
          </w:divBdr>
          <w:divsChild>
            <w:div w:id="1567180302">
              <w:marLeft w:val="0"/>
              <w:marRight w:val="0"/>
              <w:marTop w:val="0"/>
              <w:marBottom w:val="0"/>
              <w:divBdr>
                <w:top w:val="none" w:sz="0" w:space="0" w:color="auto"/>
                <w:left w:val="none" w:sz="0" w:space="0" w:color="auto"/>
                <w:bottom w:val="none" w:sz="0" w:space="0" w:color="auto"/>
                <w:right w:val="none" w:sz="0" w:space="0" w:color="auto"/>
              </w:divBdr>
              <w:divsChild>
                <w:div w:id="1494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4285">
      <w:bodyDiv w:val="1"/>
      <w:marLeft w:val="0"/>
      <w:marRight w:val="0"/>
      <w:marTop w:val="0"/>
      <w:marBottom w:val="0"/>
      <w:divBdr>
        <w:top w:val="none" w:sz="0" w:space="0" w:color="auto"/>
        <w:left w:val="none" w:sz="0" w:space="0" w:color="auto"/>
        <w:bottom w:val="none" w:sz="0" w:space="0" w:color="auto"/>
        <w:right w:val="none" w:sz="0" w:space="0" w:color="auto"/>
      </w:divBdr>
      <w:divsChild>
        <w:div w:id="1236741522">
          <w:marLeft w:val="0"/>
          <w:marRight w:val="0"/>
          <w:marTop w:val="0"/>
          <w:marBottom w:val="0"/>
          <w:divBdr>
            <w:top w:val="none" w:sz="0" w:space="0" w:color="auto"/>
            <w:left w:val="none" w:sz="0" w:space="0" w:color="auto"/>
            <w:bottom w:val="none" w:sz="0" w:space="0" w:color="auto"/>
            <w:right w:val="none" w:sz="0" w:space="0" w:color="auto"/>
          </w:divBdr>
          <w:divsChild>
            <w:div w:id="523327259">
              <w:marLeft w:val="0"/>
              <w:marRight w:val="0"/>
              <w:marTop w:val="0"/>
              <w:marBottom w:val="0"/>
              <w:divBdr>
                <w:top w:val="none" w:sz="0" w:space="0" w:color="auto"/>
                <w:left w:val="none" w:sz="0" w:space="0" w:color="auto"/>
                <w:bottom w:val="none" w:sz="0" w:space="0" w:color="auto"/>
                <w:right w:val="none" w:sz="0" w:space="0" w:color="auto"/>
              </w:divBdr>
              <w:divsChild>
                <w:div w:id="10102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8953">
      <w:bodyDiv w:val="1"/>
      <w:marLeft w:val="0"/>
      <w:marRight w:val="0"/>
      <w:marTop w:val="0"/>
      <w:marBottom w:val="0"/>
      <w:divBdr>
        <w:top w:val="none" w:sz="0" w:space="0" w:color="auto"/>
        <w:left w:val="none" w:sz="0" w:space="0" w:color="auto"/>
        <w:bottom w:val="none" w:sz="0" w:space="0" w:color="auto"/>
        <w:right w:val="none" w:sz="0" w:space="0" w:color="auto"/>
      </w:divBdr>
      <w:divsChild>
        <w:div w:id="1441337330">
          <w:marLeft w:val="0"/>
          <w:marRight w:val="0"/>
          <w:marTop w:val="0"/>
          <w:marBottom w:val="0"/>
          <w:divBdr>
            <w:top w:val="none" w:sz="0" w:space="0" w:color="auto"/>
            <w:left w:val="none" w:sz="0" w:space="0" w:color="auto"/>
            <w:bottom w:val="none" w:sz="0" w:space="0" w:color="auto"/>
            <w:right w:val="none" w:sz="0" w:space="0" w:color="auto"/>
          </w:divBdr>
          <w:divsChild>
            <w:div w:id="1432580213">
              <w:marLeft w:val="0"/>
              <w:marRight w:val="0"/>
              <w:marTop w:val="0"/>
              <w:marBottom w:val="0"/>
              <w:divBdr>
                <w:top w:val="none" w:sz="0" w:space="0" w:color="auto"/>
                <w:left w:val="none" w:sz="0" w:space="0" w:color="auto"/>
                <w:bottom w:val="none" w:sz="0" w:space="0" w:color="auto"/>
                <w:right w:val="none" w:sz="0" w:space="0" w:color="auto"/>
              </w:divBdr>
              <w:divsChild>
                <w:div w:id="1601336801">
                  <w:marLeft w:val="0"/>
                  <w:marRight w:val="0"/>
                  <w:marTop w:val="0"/>
                  <w:marBottom w:val="0"/>
                  <w:divBdr>
                    <w:top w:val="none" w:sz="0" w:space="0" w:color="auto"/>
                    <w:left w:val="none" w:sz="0" w:space="0" w:color="auto"/>
                    <w:bottom w:val="none" w:sz="0" w:space="0" w:color="auto"/>
                    <w:right w:val="none" w:sz="0" w:space="0" w:color="auto"/>
                  </w:divBdr>
                  <w:divsChild>
                    <w:div w:id="13504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46082">
      <w:bodyDiv w:val="1"/>
      <w:marLeft w:val="0"/>
      <w:marRight w:val="0"/>
      <w:marTop w:val="0"/>
      <w:marBottom w:val="0"/>
      <w:divBdr>
        <w:top w:val="none" w:sz="0" w:space="0" w:color="auto"/>
        <w:left w:val="none" w:sz="0" w:space="0" w:color="auto"/>
        <w:bottom w:val="none" w:sz="0" w:space="0" w:color="auto"/>
        <w:right w:val="none" w:sz="0" w:space="0" w:color="auto"/>
      </w:divBdr>
      <w:divsChild>
        <w:div w:id="1351882449">
          <w:marLeft w:val="0"/>
          <w:marRight w:val="0"/>
          <w:marTop w:val="0"/>
          <w:marBottom w:val="0"/>
          <w:divBdr>
            <w:top w:val="none" w:sz="0" w:space="0" w:color="auto"/>
            <w:left w:val="none" w:sz="0" w:space="0" w:color="auto"/>
            <w:bottom w:val="none" w:sz="0" w:space="0" w:color="auto"/>
            <w:right w:val="none" w:sz="0" w:space="0" w:color="auto"/>
          </w:divBdr>
          <w:divsChild>
            <w:div w:id="631983081">
              <w:marLeft w:val="0"/>
              <w:marRight w:val="0"/>
              <w:marTop w:val="0"/>
              <w:marBottom w:val="0"/>
              <w:divBdr>
                <w:top w:val="none" w:sz="0" w:space="0" w:color="auto"/>
                <w:left w:val="none" w:sz="0" w:space="0" w:color="auto"/>
                <w:bottom w:val="none" w:sz="0" w:space="0" w:color="auto"/>
                <w:right w:val="none" w:sz="0" w:space="0" w:color="auto"/>
              </w:divBdr>
              <w:divsChild>
                <w:div w:id="1741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3205">
      <w:bodyDiv w:val="1"/>
      <w:marLeft w:val="0"/>
      <w:marRight w:val="0"/>
      <w:marTop w:val="0"/>
      <w:marBottom w:val="0"/>
      <w:divBdr>
        <w:top w:val="none" w:sz="0" w:space="0" w:color="auto"/>
        <w:left w:val="none" w:sz="0" w:space="0" w:color="auto"/>
        <w:bottom w:val="none" w:sz="0" w:space="0" w:color="auto"/>
        <w:right w:val="none" w:sz="0" w:space="0" w:color="auto"/>
      </w:divBdr>
      <w:divsChild>
        <w:div w:id="66996728">
          <w:marLeft w:val="0"/>
          <w:marRight w:val="0"/>
          <w:marTop w:val="0"/>
          <w:marBottom w:val="0"/>
          <w:divBdr>
            <w:top w:val="none" w:sz="0" w:space="0" w:color="auto"/>
            <w:left w:val="none" w:sz="0" w:space="0" w:color="auto"/>
            <w:bottom w:val="none" w:sz="0" w:space="0" w:color="auto"/>
            <w:right w:val="none" w:sz="0" w:space="0" w:color="auto"/>
          </w:divBdr>
          <w:divsChild>
            <w:div w:id="275798366">
              <w:marLeft w:val="0"/>
              <w:marRight w:val="0"/>
              <w:marTop w:val="0"/>
              <w:marBottom w:val="0"/>
              <w:divBdr>
                <w:top w:val="none" w:sz="0" w:space="0" w:color="auto"/>
                <w:left w:val="none" w:sz="0" w:space="0" w:color="auto"/>
                <w:bottom w:val="none" w:sz="0" w:space="0" w:color="auto"/>
                <w:right w:val="none" w:sz="0" w:space="0" w:color="auto"/>
              </w:divBdr>
              <w:divsChild>
                <w:div w:id="16739186">
                  <w:marLeft w:val="0"/>
                  <w:marRight w:val="0"/>
                  <w:marTop w:val="0"/>
                  <w:marBottom w:val="0"/>
                  <w:divBdr>
                    <w:top w:val="none" w:sz="0" w:space="0" w:color="auto"/>
                    <w:left w:val="none" w:sz="0" w:space="0" w:color="auto"/>
                    <w:bottom w:val="none" w:sz="0" w:space="0" w:color="auto"/>
                    <w:right w:val="none" w:sz="0" w:space="0" w:color="auto"/>
                  </w:divBdr>
                  <w:divsChild>
                    <w:div w:id="20839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6239">
      <w:bodyDiv w:val="1"/>
      <w:marLeft w:val="0"/>
      <w:marRight w:val="0"/>
      <w:marTop w:val="0"/>
      <w:marBottom w:val="0"/>
      <w:divBdr>
        <w:top w:val="none" w:sz="0" w:space="0" w:color="auto"/>
        <w:left w:val="none" w:sz="0" w:space="0" w:color="auto"/>
        <w:bottom w:val="none" w:sz="0" w:space="0" w:color="auto"/>
        <w:right w:val="none" w:sz="0" w:space="0" w:color="auto"/>
      </w:divBdr>
      <w:divsChild>
        <w:div w:id="877663442">
          <w:marLeft w:val="0"/>
          <w:marRight w:val="0"/>
          <w:marTop w:val="0"/>
          <w:marBottom w:val="0"/>
          <w:divBdr>
            <w:top w:val="none" w:sz="0" w:space="0" w:color="auto"/>
            <w:left w:val="none" w:sz="0" w:space="0" w:color="auto"/>
            <w:bottom w:val="none" w:sz="0" w:space="0" w:color="auto"/>
            <w:right w:val="none" w:sz="0" w:space="0" w:color="auto"/>
          </w:divBdr>
          <w:divsChild>
            <w:div w:id="1521236534">
              <w:marLeft w:val="0"/>
              <w:marRight w:val="0"/>
              <w:marTop w:val="0"/>
              <w:marBottom w:val="0"/>
              <w:divBdr>
                <w:top w:val="none" w:sz="0" w:space="0" w:color="auto"/>
                <w:left w:val="none" w:sz="0" w:space="0" w:color="auto"/>
                <w:bottom w:val="none" w:sz="0" w:space="0" w:color="auto"/>
                <w:right w:val="none" w:sz="0" w:space="0" w:color="auto"/>
              </w:divBdr>
              <w:divsChild>
                <w:div w:id="6165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7106">
      <w:bodyDiv w:val="1"/>
      <w:marLeft w:val="0"/>
      <w:marRight w:val="0"/>
      <w:marTop w:val="0"/>
      <w:marBottom w:val="0"/>
      <w:divBdr>
        <w:top w:val="none" w:sz="0" w:space="0" w:color="auto"/>
        <w:left w:val="none" w:sz="0" w:space="0" w:color="auto"/>
        <w:bottom w:val="none" w:sz="0" w:space="0" w:color="auto"/>
        <w:right w:val="none" w:sz="0" w:space="0" w:color="auto"/>
      </w:divBdr>
      <w:divsChild>
        <w:div w:id="745805754">
          <w:marLeft w:val="0"/>
          <w:marRight w:val="0"/>
          <w:marTop w:val="0"/>
          <w:marBottom w:val="0"/>
          <w:divBdr>
            <w:top w:val="none" w:sz="0" w:space="0" w:color="auto"/>
            <w:left w:val="none" w:sz="0" w:space="0" w:color="auto"/>
            <w:bottom w:val="none" w:sz="0" w:space="0" w:color="auto"/>
            <w:right w:val="none" w:sz="0" w:space="0" w:color="auto"/>
          </w:divBdr>
          <w:divsChild>
            <w:div w:id="1835098453">
              <w:marLeft w:val="0"/>
              <w:marRight w:val="0"/>
              <w:marTop w:val="0"/>
              <w:marBottom w:val="0"/>
              <w:divBdr>
                <w:top w:val="none" w:sz="0" w:space="0" w:color="auto"/>
                <w:left w:val="none" w:sz="0" w:space="0" w:color="auto"/>
                <w:bottom w:val="none" w:sz="0" w:space="0" w:color="auto"/>
                <w:right w:val="none" w:sz="0" w:space="0" w:color="auto"/>
              </w:divBdr>
              <w:divsChild>
                <w:div w:id="108624871">
                  <w:marLeft w:val="0"/>
                  <w:marRight w:val="0"/>
                  <w:marTop w:val="0"/>
                  <w:marBottom w:val="0"/>
                  <w:divBdr>
                    <w:top w:val="none" w:sz="0" w:space="0" w:color="auto"/>
                    <w:left w:val="none" w:sz="0" w:space="0" w:color="auto"/>
                    <w:bottom w:val="none" w:sz="0" w:space="0" w:color="auto"/>
                    <w:right w:val="none" w:sz="0" w:space="0" w:color="auto"/>
                  </w:divBdr>
                  <w:divsChild>
                    <w:div w:id="11992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96184">
      <w:bodyDiv w:val="1"/>
      <w:marLeft w:val="0"/>
      <w:marRight w:val="0"/>
      <w:marTop w:val="0"/>
      <w:marBottom w:val="0"/>
      <w:divBdr>
        <w:top w:val="none" w:sz="0" w:space="0" w:color="auto"/>
        <w:left w:val="none" w:sz="0" w:space="0" w:color="auto"/>
        <w:bottom w:val="none" w:sz="0" w:space="0" w:color="auto"/>
        <w:right w:val="none" w:sz="0" w:space="0" w:color="auto"/>
      </w:divBdr>
      <w:divsChild>
        <w:div w:id="321666551">
          <w:marLeft w:val="0"/>
          <w:marRight w:val="0"/>
          <w:marTop w:val="0"/>
          <w:marBottom w:val="0"/>
          <w:divBdr>
            <w:top w:val="none" w:sz="0" w:space="0" w:color="auto"/>
            <w:left w:val="none" w:sz="0" w:space="0" w:color="auto"/>
            <w:bottom w:val="none" w:sz="0" w:space="0" w:color="auto"/>
            <w:right w:val="none" w:sz="0" w:space="0" w:color="auto"/>
          </w:divBdr>
          <w:divsChild>
            <w:div w:id="1675454258">
              <w:marLeft w:val="0"/>
              <w:marRight w:val="0"/>
              <w:marTop w:val="0"/>
              <w:marBottom w:val="0"/>
              <w:divBdr>
                <w:top w:val="none" w:sz="0" w:space="0" w:color="auto"/>
                <w:left w:val="none" w:sz="0" w:space="0" w:color="auto"/>
                <w:bottom w:val="none" w:sz="0" w:space="0" w:color="auto"/>
                <w:right w:val="none" w:sz="0" w:space="0" w:color="auto"/>
              </w:divBdr>
              <w:divsChild>
                <w:div w:id="1774276409">
                  <w:marLeft w:val="0"/>
                  <w:marRight w:val="0"/>
                  <w:marTop w:val="0"/>
                  <w:marBottom w:val="0"/>
                  <w:divBdr>
                    <w:top w:val="none" w:sz="0" w:space="0" w:color="auto"/>
                    <w:left w:val="none" w:sz="0" w:space="0" w:color="auto"/>
                    <w:bottom w:val="none" w:sz="0" w:space="0" w:color="auto"/>
                    <w:right w:val="none" w:sz="0" w:space="0" w:color="auto"/>
                  </w:divBdr>
                  <w:divsChild>
                    <w:div w:id="19902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7545">
      <w:bodyDiv w:val="1"/>
      <w:marLeft w:val="0"/>
      <w:marRight w:val="0"/>
      <w:marTop w:val="0"/>
      <w:marBottom w:val="0"/>
      <w:divBdr>
        <w:top w:val="none" w:sz="0" w:space="0" w:color="auto"/>
        <w:left w:val="none" w:sz="0" w:space="0" w:color="auto"/>
        <w:bottom w:val="none" w:sz="0" w:space="0" w:color="auto"/>
        <w:right w:val="none" w:sz="0" w:space="0" w:color="auto"/>
      </w:divBdr>
      <w:divsChild>
        <w:div w:id="1951086841">
          <w:marLeft w:val="0"/>
          <w:marRight w:val="0"/>
          <w:marTop w:val="0"/>
          <w:marBottom w:val="0"/>
          <w:divBdr>
            <w:top w:val="none" w:sz="0" w:space="0" w:color="auto"/>
            <w:left w:val="none" w:sz="0" w:space="0" w:color="auto"/>
            <w:bottom w:val="none" w:sz="0" w:space="0" w:color="auto"/>
            <w:right w:val="none" w:sz="0" w:space="0" w:color="auto"/>
          </w:divBdr>
          <w:divsChild>
            <w:div w:id="766268582">
              <w:marLeft w:val="0"/>
              <w:marRight w:val="0"/>
              <w:marTop w:val="0"/>
              <w:marBottom w:val="0"/>
              <w:divBdr>
                <w:top w:val="none" w:sz="0" w:space="0" w:color="auto"/>
                <w:left w:val="none" w:sz="0" w:space="0" w:color="auto"/>
                <w:bottom w:val="none" w:sz="0" w:space="0" w:color="auto"/>
                <w:right w:val="none" w:sz="0" w:space="0" w:color="auto"/>
              </w:divBdr>
              <w:divsChild>
                <w:div w:id="1249853586">
                  <w:marLeft w:val="0"/>
                  <w:marRight w:val="0"/>
                  <w:marTop w:val="0"/>
                  <w:marBottom w:val="0"/>
                  <w:divBdr>
                    <w:top w:val="none" w:sz="0" w:space="0" w:color="auto"/>
                    <w:left w:val="none" w:sz="0" w:space="0" w:color="auto"/>
                    <w:bottom w:val="none" w:sz="0" w:space="0" w:color="auto"/>
                    <w:right w:val="none" w:sz="0" w:space="0" w:color="auto"/>
                  </w:divBdr>
                  <w:divsChild>
                    <w:div w:id="9070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8447">
      <w:bodyDiv w:val="1"/>
      <w:marLeft w:val="0"/>
      <w:marRight w:val="0"/>
      <w:marTop w:val="0"/>
      <w:marBottom w:val="0"/>
      <w:divBdr>
        <w:top w:val="none" w:sz="0" w:space="0" w:color="auto"/>
        <w:left w:val="none" w:sz="0" w:space="0" w:color="auto"/>
        <w:bottom w:val="none" w:sz="0" w:space="0" w:color="auto"/>
        <w:right w:val="none" w:sz="0" w:space="0" w:color="auto"/>
      </w:divBdr>
      <w:divsChild>
        <w:div w:id="885684318">
          <w:marLeft w:val="0"/>
          <w:marRight w:val="0"/>
          <w:marTop w:val="0"/>
          <w:marBottom w:val="0"/>
          <w:divBdr>
            <w:top w:val="none" w:sz="0" w:space="0" w:color="auto"/>
            <w:left w:val="none" w:sz="0" w:space="0" w:color="auto"/>
            <w:bottom w:val="none" w:sz="0" w:space="0" w:color="auto"/>
            <w:right w:val="none" w:sz="0" w:space="0" w:color="auto"/>
          </w:divBdr>
          <w:divsChild>
            <w:div w:id="1521623961">
              <w:marLeft w:val="0"/>
              <w:marRight w:val="0"/>
              <w:marTop w:val="0"/>
              <w:marBottom w:val="0"/>
              <w:divBdr>
                <w:top w:val="none" w:sz="0" w:space="0" w:color="auto"/>
                <w:left w:val="none" w:sz="0" w:space="0" w:color="auto"/>
                <w:bottom w:val="none" w:sz="0" w:space="0" w:color="auto"/>
                <w:right w:val="none" w:sz="0" w:space="0" w:color="auto"/>
              </w:divBdr>
              <w:divsChild>
                <w:div w:id="1788162657">
                  <w:marLeft w:val="0"/>
                  <w:marRight w:val="0"/>
                  <w:marTop w:val="0"/>
                  <w:marBottom w:val="0"/>
                  <w:divBdr>
                    <w:top w:val="none" w:sz="0" w:space="0" w:color="auto"/>
                    <w:left w:val="none" w:sz="0" w:space="0" w:color="auto"/>
                    <w:bottom w:val="none" w:sz="0" w:space="0" w:color="auto"/>
                    <w:right w:val="none" w:sz="0" w:space="0" w:color="auto"/>
                  </w:divBdr>
                  <w:divsChild>
                    <w:div w:id="9380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20265">
      <w:bodyDiv w:val="1"/>
      <w:marLeft w:val="0"/>
      <w:marRight w:val="0"/>
      <w:marTop w:val="0"/>
      <w:marBottom w:val="0"/>
      <w:divBdr>
        <w:top w:val="none" w:sz="0" w:space="0" w:color="auto"/>
        <w:left w:val="none" w:sz="0" w:space="0" w:color="auto"/>
        <w:bottom w:val="none" w:sz="0" w:space="0" w:color="auto"/>
        <w:right w:val="none" w:sz="0" w:space="0" w:color="auto"/>
      </w:divBdr>
      <w:divsChild>
        <w:div w:id="967123499">
          <w:marLeft w:val="0"/>
          <w:marRight w:val="0"/>
          <w:marTop w:val="0"/>
          <w:marBottom w:val="0"/>
          <w:divBdr>
            <w:top w:val="none" w:sz="0" w:space="0" w:color="auto"/>
            <w:left w:val="none" w:sz="0" w:space="0" w:color="auto"/>
            <w:bottom w:val="none" w:sz="0" w:space="0" w:color="auto"/>
            <w:right w:val="none" w:sz="0" w:space="0" w:color="auto"/>
          </w:divBdr>
          <w:divsChild>
            <w:div w:id="1490750949">
              <w:marLeft w:val="0"/>
              <w:marRight w:val="0"/>
              <w:marTop w:val="0"/>
              <w:marBottom w:val="0"/>
              <w:divBdr>
                <w:top w:val="none" w:sz="0" w:space="0" w:color="auto"/>
                <w:left w:val="none" w:sz="0" w:space="0" w:color="auto"/>
                <w:bottom w:val="none" w:sz="0" w:space="0" w:color="auto"/>
                <w:right w:val="none" w:sz="0" w:space="0" w:color="auto"/>
              </w:divBdr>
              <w:divsChild>
                <w:div w:id="121773834">
                  <w:marLeft w:val="0"/>
                  <w:marRight w:val="0"/>
                  <w:marTop w:val="0"/>
                  <w:marBottom w:val="0"/>
                  <w:divBdr>
                    <w:top w:val="none" w:sz="0" w:space="0" w:color="auto"/>
                    <w:left w:val="none" w:sz="0" w:space="0" w:color="auto"/>
                    <w:bottom w:val="none" w:sz="0" w:space="0" w:color="auto"/>
                    <w:right w:val="none" w:sz="0" w:space="0" w:color="auto"/>
                  </w:divBdr>
                </w:div>
              </w:divsChild>
            </w:div>
            <w:div w:id="1890873180">
              <w:marLeft w:val="0"/>
              <w:marRight w:val="0"/>
              <w:marTop w:val="0"/>
              <w:marBottom w:val="0"/>
              <w:divBdr>
                <w:top w:val="none" w:sz="0" w:space="0" w:color="auto"/>
                <w:left w:val="none" w:sz="0" w:space="0" w:color="auto"/>
                <w:bottom w:val="none" w:sz="0" w:space="0" w:color="auto"/>
                <w:right w:val="none" w:sz="0" w:space="0" w:color="auto"/>
              </w:divBdr>
              <w:divsChild>
                <w:div w:id="3581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0820">
      <w:bodyDiv w:val="1"/>
      <w:marLeft w:val="0"/>
      <w:marRight w:val="0"/>
      <w:marTop w:val="0"/>
      <w:marBottom w:val="0"/>
      <w:divBdr>
        <w:top w:val="none" w:sz="0" w:space="0" w:color="auto"/>
        <w:left w:val="none" w:sz="0" w:space="0" w:color="auto"/>
        <w:bottom w:val="none" w:sz="0" w:space="0" w:color="auto"/>
        <w:right w:val="none" w:sz="0" w:space="0" w:color="auto"/>
      </w:divBdr>
      <w:divsChild>
        <w:div w:id="1241451990">
          <w:marLeft w:val="0"/>
          <w:marRight w:val="0"/>
          <w:marTop w:val="0"/>
          <w:marBottom w:val="0"/>
          <w:divBdr>
            <w:top w:val="none" w:sz="0" w:space="0" w:color="auto"/>
            <w:left w:val="none" w:sz="0" w:space="0" w:color="auto"/>
            <w:bottom w:val="none" w:sz="0" w:space="0" w:color="auto"/>
            <w:right w:val="none" w:sz="0" w:space="0" w:color="auto"/>
          </w:divBdr>
          <w:divsChild>
            <w:div w:id="1492911873">
              <w:marLeft w:val="0"/>
              <w:marRight w:val="0"/>
              <w:marTop w:val="0"/>
              <w:marBottom w:val="0"/>
              <w:divBdr>
                <w:top w:val="none" w:sz="0" w:space="0" w:color="auto"/>
                <w:left w:val="none" w:sz="0" w:space="0" w:color="auto"/>
                <w:bottom w:val="none" w:sz="0" w:space="0" w:color="auto"/>
                <w:right w:val="none" w:sz="0" w:space="0" w:color="auto"/>
              </w:divBdr>
              <w:divsChild>
                <w:div w:id="424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7885">
      <w:bodyDiv w:val="1"/>
      <w:marLeft w:val="0"/>
      <w:marRight w:val="0"/>
      <w:marTop w:val="0"/>
      <w:marBottom w:val="0"/>
      <w:divBdr>
        <w:top w:val="none" w:sz="0" w:space="0" w:color="auto"/>
        <w:left w:val="none" w:sz="0" w:space="0" w:color="auto"/>
        <w:bottom w:val="none" w:sz="0" w:space="0" w:color="auto"/>
        <w:right w:val="none" w:sz="0" w:space="0" w:color="auto"/>
      </w:divBdr>
      <w:divsChild>
        <w:div w:id="2031560415">
          <w:marLeft w:val="0"/>
          <w:marRight w:val="0"/>
          <w:marTop w:val="0"/>
          <w:marBottom w:val="0"/>
          <w:divBdr>
            <w:top w:val="none" w:sz="0" w:space="0" w:color="auto"/>
            <w:left w:val="none" w:sz="0" w:space="0" w:color="auto"/>
            <w:bottom w:val="none" w:sz="0" w:space="0" w:color="auto"/>
            <w:right w:val="none" w:sz="0" w:space="0" w:color="auto"/>
          </w:divBdr>
          <w:divsChild>
            <w:div w:id="1847744675">
              <w:marLeft w:val="0"/>
              <w:marRight w:val="0"/>
              <w:marTop w:val="0"/>
              <w:marBottom w:val="0"/>
              <w:divBdr>
                <w:top w:val="none" w:sz="0" w:space="0" w:color="auto"/>
                <w:left w:val="none" w:sz="0" w:space="0" w:color="auto"/>
                <w:bottom w:val="none" w:sz="0" w:space="0" w:color="auto"/>
                <w:right w:val="none" w:sz="0" w:space="0" w:color="auto"/>
              </w:divBdr>
              <w:divsChild>
                <w:div w:id="1542398794">
                  <w:marLeft w:val="0"/>
                  <w:marRight w:val="0"/>
                  <w:marTop w:val="0"/>
                  <w:marBottom w:val="0"/>
                  <w:divBdr>
                    <w:top w:val="none" w:sz="0" w:space="0" w:color="auto"/>
                    <w:left w:val="none" w:sz="0" w:space="0" w:color="auto"/>
                    <w:bottom w:val="none" w:sz="0" w:space="0" w:color="auto"/>
                    <w:right w:val="none" w:sz="0" w:space="0" w:color="auto"/>
                  </w:divBdr>
                  <w:divsChild>
                    <w:div w:id="1074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314">
      <w:bodyDiv w:val="1"/>
      <w:marLeft w:val="0"/>
      <w:marRight w:val="0"/>
      <w:marTop w:val="0"/>
      <w:marBottom w:val="0"/>
      <w:divBdr>
        <w:top w:val="none" w:sz="0" w:space="0" w:color="auto"/>
        <w:left w:val="none" w:sz="0" w:space="0" w:color="auto"/>
        <w:bottom w:val="none" w:sz="0" w:space="0" w:color="auto"/>
        <w:right w:val="none" w:sz="0" w:space="0" w:color="auto"/>
      </w:divBdr>
      <w:divsChild>
        <w:div w:id="803348588">
          <w:marLeft w:val="0"/>
          <w:marRight w:val="0"/>
          <w:marTop w:val="0"/>
          <w:marBottom w:val="0"/>
          <w:divBdr>
            <w:top w:val="none" w:sz="0" w:space="0" w:color="auto"/>
            <w:left w:val="none" w:sz="0" w:space="0" w:color="auto"/>
            <w:bottom w:val="none" w:sz="0" w:space="0" w:color="auto"/>
            <w:right w:val="none" w:sz="0" w:space="0" w:color="auto"/>
          </w:divBdr>
          <w:divsChild>
            <w:div w:id="1597637467">
              <w:marLeft w:val="0"/>
              <w:marRight w:val="0"/>
              <w:marTop w:val="0"/>
              <w:marBottom w:val="0"/>
              <w:divBdr>
                <w:top w:val="none" w:sz="0" w:space="0" w:color="auto"/>
                <w:left w:val="none" w:sz="0" w:space="0" w:color="auto"/>
                <w:bottom w:val="none" w:sz="0" w:space="0" w:color="auto"/>
                <w:right w:val="none" w:sz="0" w:space="0" w:color="auto"/>
              </w:divBdr>
              <w:divsChild>
                <w:div w:id="812991859">
                  <w:marLeft w:val="0"/>
                  <w:marRight w:val="0"/>
                  <w:marTop w:val="0"/>
                  <w:marBottom w:val="0"/>
                  <w:divBdr>
                    <w:top w:val="none" w:sz="0" w:space="0" w:color="auto"/>
                    <w:left w:val="none" w:sz="0" w:space="0" w:color="auto"/>
                    <w:bottom w:val="none" w:sz="0" w:space="0" w:color="auto"/>
                    <w:right w:val="none" w:sz="0" w:space="0" w:color="auto"/>
                  </w:divBdr>
                  <w:divsChild>
                    <w:div w:id="444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5019">
      <w:bodyDiv w:val="1"/>
      <w:marLeft w:val="0"/>
      <w:marRight w:val="0"/>
      <w:marTop w:val="0"/>
      <w:marBottom w:val="0"/>
      <w:divBdr>
        <w:top w:val="none" w:sz="0" w:space="0" w:color="auto"/>
        <w:left w:val="none" w:sz="0" w:space="0" w:color="auto"/>
        <w:bottom w:val="none" w:sz="0" w:space="0" w:color="auto"/>
        <w:right w:val="none" w:sz="0" w:space="0" w:color="auto"/>
      </w:divBdr>
      <w:divsChild>
        <w:div w:id="80294864">
          <w:marLeft w:val="0"/>
          <w:marRight w:val="0"/>
          <w:marTop w:val="0"/>
          <w:marBottom w:val="0"/>
          <w:divBdr>
            <w:top w:val="none" w:sz="0" w:space="0" w:color="auto"/>
            <w:left w:val="none" w:sz="0" w:space="0" w:color="auto"/>
            <w:bottom w:val="none" w:sz="0" w:space="0" w:color="auto"/>
            <w:right w:val="none" w:sz="0" w:space="0" w:color="auto"/>
          </w:divBdr>
          <w:divsChild>
            <w:div w:id="706027409">
              <w:marLeft w:val="0"/>
              <w:marRight w:val="0"/>
              <w:marTop w:val="0"/>
              <w:marBottom w:val="0"/>
              <w:divBdr>
                <w:top w:val="none" w:sz="0" w:space="0" w:color="auto"/>
                <w:left w:val="none" w:sz="0" w:space="0" w:color="auto"/>
                <w:bottom w:val="none" w:sz="0" w:space="0" w:color="auto"/>
                <w:right w:val="none" w:sz="0" w:space="0" w:color="auto"/>
              </w:divBdr>
              <w:divsChild>
                <w:div w:id="1570384973">
                  <w:marLeft w:val="0"/>
                  <w:marRight w:val="0"/>
                  <w:marTop w:val="0"/>
                  <w:marBottom w:val="0"/>
                  <w:divBdr>
                    <w:top w:val="none" w:sz="0" w:space="0" w:color="auto"/>
                    <w:left w:val="none" w:sz="0" w:space="0" w:color="auto"/>
                    <w:bottom w:val="none" w:sz="0" w:space="0" w:color="auto"/>
                    <w:right w:val="none" w:sz="0" w:space="0" w:color="auto"/>
                  </w:divBdr>
                  <w:divsChild>
                    <w:div w:id="1865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790">
      <w:bodyDiv w:val="1"/>
      <w:marLeft w:val="0"/>
      <w:marRight w:val="0"/>
      <w:marTop w:val="0"/>
      <w:marBottom w:val="0"/>
      <w:divBdr>
        <w:top w:val="none" w:sz="0" w:space="0" w:color="auto"/>
        <w:left w:val="none" w:sz="0" w:space="0" w:color="auto"/>
        <w:bottom w:val="none" w:sz="0" w:space="0" w:color="auto"/>
        <w:right w:val="none" w:sz="0" w:space="0" w:color="auto"/>
      </w:divBdr>
      <w:divsChild>
        <w:div w:id="823090031">
          <w:marLeft w:val="0"/>
          <w:marRight w:val="0"/>
          <w:marTop w:val="0"/>
          <w:marBottom w:val="0"/>
          <w:divBdr>
            <w:top w:val="none" w:sz="0" w:space="0" w:color="auto"/>
            <w:left w:val="none" w:sz="0" w:space="0" w:color="auto"/>
            <w:bottom w:val="none" w:sz="0" w:space="0" w:color="auto"/>
            <w:right w:val="none" w:sz="0" w:space="0" w:color="auto"/>
          </w:divBdr>
          <w:divsChild>
            <w:div w:id="1761216527">
              <w:marLeft w:val="0"/>
              <w:marRight w:val="0"/>
              <w:marTop w:val="0"/>
              <w:marBottom w:val="0"/>
              <w:divBdr>
                <w:top w:val="none" w:sz="0" w:space="0" w:color="auto"/>
                <w:left w:val="none" w:sz="0" w:space="0" w:color="auto"/>
                <w:bottom w:val="none" w:sz="0" w:space="0" w:color="auto"/>
                <w:right w:val="none" w:sz="0" w:space="0" w:color="auto"/>
              </w:divBdr>
              <w:divsChild>
                <w:div w:id="244652408">
                  <w:marLeft w:val="0"/>
                  <w:marRight w:val="0"/>
                  <w:marTop w:val="0"/>
                  <w:marBottom w:val="0"/>
                  <w:divBdr>
                    <w:top w:val="none" w:sz="0" w:space="0" w:color="auto"/>
                    <w:left w:val="none" w:sz="0" w:space="0" w:color="auto"/>
                    <w:bottom w:val="none" w:sz="0" w:space="0" w:color="auto"/>
                    <w:right w:val="none" w:sz="0" w:space="0" w:color="auto"/>
                  </w:divBdr>
                  <w:divsChild>
                    <w:div w:id="808135039">
                      <w:marLeft w:val="0"/>
                      <w:marRight w:val="0"/>
                      <w:marTop w:val="0"/>
                      <w:marBottom w:val="0"/>
                      <w:divBdr>
                        <w:top w:val="none" w:sz="0" w:space="0" w:color="auto"/>
                        <w:left w:val="none" w:sz="0" w:space="0" w:color="auto"/>
                        <w:bottom w:val="none" w:sz="0" w:space="0" w:color="auto"/>
                        <w:right w:val="none" w:sz="0" w:space="0" w:color="auto"/>
                      </w:divBdr>
                    </w:div>
                  </w:divsChild>
                </w:div>
                <w:div w:id="468400767">
                  <w:marLeft w:val="0"/>
                  <w:marRight w:val="0"/>
                  <w:marTop w:val="0"/>
                  <w:marBottom w:val="0"/>
                  <w:divBdr>
                    <w:top w:val="none" w:sz="0" w:space="0" w:color="auto"/>
                    <w:left w:val="none" w:sz="0" w:space="0" w:color="auto"/>
                    <w:bottom w:val="none" w:sz="0" w:space="0" w:color="auto"/>
                    <w:right w:val="none" w:sz="0" w:space="0" w:color="auto"/>
                  </w:divBdr>
                  <w:divsChild>
                    <w:div w:id="1961910883">
                      <w:marLeft w:val="0"/>
                      <w:marRight w:val="0"/>
                      <w:marTop w:val="0"/>
                      <w:marBottom w:val="0"/>
                      <w:divBdr>
                        <w:top w:val="none" w:sz="0" w:space="0" w:color="auto"/>
                        <w:left w:val="none" w:sz="0" w:space="0" w:color="auto"/>
                        <w:bottom w:val="none" w:sz="0" w:space="0" w:color="auto"/>
                        <w:right w:val="none" w:sz="0" w:space="0" w:color="auto"/>
                      </w:divBdr>
                    </w:div>
                  </w:divsChild>
                </w:div>
                <w:div w:id="887956178">
                  <w:marLeft w:val="0"/>
                  <w:marRight w:val="0"/>
                  <w:marTop w:val="0"/>
                  <w:marBottom w:val="0"/>
                  <w:divBdr>
                    <w:top w:val="none" w:sz="0" w:space="0" w:color="auto"/>
                    <w:left w:val="none" w:sz="0" w:space="0" w:color="auto"/>
                    <w:bottom w:val="none" w:sz="0" w:space="0" w:color="auto"/>
                    <w:right w:val="none" w:sz="0" w:space="0" w:color="auto"/>
                  </w:divBdr>
                  <w:divsChild>
                    <w:div w:id="649019398">
                      <w:marLeft w:val="0"/>
                      <w:marRight w:val="0"/>
                      <w:marTop w:val="0"/>
                      <w:marBottom w:val="0"/>
                      <w:divBdr>
                        <w:top w:val="none" w:sz="0" w:space="0" w:color="auto"/>
                        <w:left w:val="none" w:sz="0" w:space="0" w:color="auto"/>
                        <w:bottom w:val="none" w:sz="0" w:space="0" w:color="auto"/>
                        <w:right w:val="none" w:sz="0" w:space="0" w:color="auto"/>
                      </w:divBdr>
                    </w:div>
                  </w:divsChild>
                </w:div>
                <w:div w:id="1811945396">
                  <w:marLeft w:val="0"/>
                  <w:marRight w:val="0"/>
                  <w:marTop w:val="0"/>
                  <w:marBottom w:val="0"/>
                  <w:divBdr>
                    <w:top w:val="none" w:sz="0" w:space="0" w:color="auto"/>
                    <w:left w:val="none" w:sz="0" w:space="0" w:color="auto"/>
                    <w:bottom w:val="none" w:sz="0" w:space="0" w:color="auto"/>
                    <w:right w:val="none" w:sz="0" w:space="0" w:color="auto"/>
                  </w:divBdr>
                  <w:divsChild>
                    <w:div w:id="636842842">
                      <w:marLeft w:val="0"/>
                      <w:marRight w:val="0"/>
                      <w:marTop w:val="0"/>
                      <w:marBottom w:val="0"/>
                      <w:divBdr>
                        <w:top w:val="none" w:sz="0" w:space="0" w:color="auto"/>
                        <w:left w:val="none" w:sz="0" w:space="0" w:color="auto"/>
                        <w:bottom w:val="none" w:sz="0" w:space="0" w:color="auto"/>
                        <w:right w:val="none" w:sz="0" w:space="0" w:color="auto"/>
                      </w:divBdr>
                    </w:div>
                  </w:divsChild>
                </w:div>
                <w:div w:id="1971208219">
                  <w:marLeft w:val="0"/>
                  <w:marRight w:val="0"/>
                  <w:marTop w:val="0"/>
                  <w:marBottom w:val="0"/>
                  <w:divBdr>
                    <w:top w:val="none" w:sz="0" w:space="0" w:color="auto"/>
                    <w:left w:val="none" w:sz="0" w:space="0" w:color="auto"/>
                    <w:bottom w:val="none" w:sz="0" w:space="0" w:color="auto"/>
                    <w:right w:val="none" w:sz="0" w:space="0" w:color="auto"/>
                  </w:divBdr>
                  <w:divsChild>
                    <w:div w:id="1485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6067">
              <w:marLeft w:val="0"/>
              <w:marRight w:val="0"/>
              <w:marTop w:val="0"/>
              <w:marBottom w:val="0"/>
              <w:divBdr>
                <w:top w:val="none" w:sz="0" w:space="0" w:color="auto"/>
                <w:left w:val="none" w:sz="0" w:space="0" w:color="auto"/>
                <w:bottom w:val="none" w:sz="0" w:space="0" w:color="auto"/>
                <w:right w:val="none" w:sz="0" w:space="0" w:color="auto"/>
              </w:divBdr>
              <w:divsChild>
                <w:div w:id="1872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358">
      <w:bodyDiv w:val="1"/>
      <w:marLeft w:val="0"/>
      <w:marRight w:val="0"/>
      <w:marTop w:val="0"/>
      <w:marBottom w:val="0"/>
      <w:divBdr>
        <w:top w:val="none" w:sz="0" w:space="0" w:color="auto"/>
        <w:left w:val="none" w:sz="0" w:space="0" w:color="auto"/>
        <w:bottom w:val="none" w:sz="0" w:space="0" w:color="auto"/>
        <w:right w:val="none" w:sz="0" w:space="0" w:color="auto"/>
      </w:divBdr>
      <w:divsChild>
        <w:div w:id="1466507475">
          <w:marLeft w:val="0"/>
          <w:marRight w:val="0"/>
          <w:marTop w:val="0"/>
          <w:marBottom w:val="0"/>
          <w:divBdr>
            <w:top w:val="none" w:sz="0" w:space="0" w:color="auto"/>
            <w:left w:val="none" w:sz="0" w:space="0" w:color="auto"/>
            <w:bottom w:val="none" w:sz="0" w:space="0" w:color="auto"/>
            <w:right w:val="none" w:sz="0" w:space="0" w:color="auto"/>
          </w:divBdr>
          <w:divsChild>
            <w:div w:id="1886063495">
              <w:marLeft w:val="0"/>
              <w:marRight w:val="0"/>
              <w:marTop w:val="0"/>
              <w:marBottom w:val="0"/>
              <w:divBdr>
                <w:top w:val="none" w:sz="0" w:space="0" w:color="auto"/>
                <w:left w:val="none" w:sz="0" w:space="0" w:color="auto"/>
                <w:bottom w:val="none" w:sz="0" w:space="0" w:color="auto"/>
                <w:right w:val="none" w:sz="0" w:space="0" w:color="auto"/>
              </w:divBdr>
              <w:divsChild>
                <w:div w:id="1292439566">
                  <w:marLeft w:val="0"/>
                  <w:marRight w:val="0"/>
                  <w:marTop w:val="0"/>
                  <w:marBottom w:val="0"/>
                  <w:divBdr>
                    <w:top w:val="none" w:sz="0" w:space="0" w:color="auto"/>
                    <w:left w:val="none" w:sz="0" w:space="0" w:color="auto"/>
                    <w:bottom w:val="none" w:sz="0" w:space="0" w:color="auto"/>
                    <w:right w:val="none" w:sz="0" w:space="0" w:color="auto"/>
                  </w:divBdr>
                  <w:divsChild>
                    <w:div w:id="7770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7632">
      <w:bodyDiv w:val="1"/>
      <w:marLeft w:val="0"/>
      <w:marRight w:val="0"/>
      <w:marTop w:val="0"/>
      <w:marBottom w:val="0"/>
      <w:divBdr>
        <w:top w:val="none" w:sz="0" w:space="0" w:color="auto"/>
        <w:left w:val="none" w:sz="0" w:space="0" w:color="auto"/>
        <w:bottom w:val="none" w:sz="0" w:space="0" w:color="auto"/>
        <w:right w:val="none" w:sz="0" w:space="0" w:color="auto"/>
      </w:divBdr>
      <w:divsChild>
        <w:div w:id="1918708344">
          <w:marLeft w:val="0"/>
          <w:marRight w:val="0"/>
          <w:marTop w:val="0"/>
          <w:marBottom w:val="0"/>
          <w:divBdr>
            <w:top w:val="none" w:sz="0" w:space="0" w:color="auto"/>
            <w:left w:val="none" w:sz="0" w:space="0" w:color="auto"/>
            <w:bottom w:val="none" w:sz="0" w:space="0" w:color="auto"/>
            <w:right w:val="none" w:sz="0" w:space="0" w:color="auto"/>
          </w:divBdr>
          <w:divsChild>
            <w:div w:id="1598555579">
              <w:marLeft w:val="0"/>
              <w:marRight w:val="0"/>
              <w:marTop w:val="0"/>
              <w:marBottom w:val="0"/>
              <w:divBdr>
                <w:top w:val="none" w:sz="0" w:space="0" w:color="auto"/>
                <w:left w:val="none" w:sz="0" w:space="0" w:color="auto"/>
                <w:bottom w:val="none" w:sz="0" w:space="0" w:color="auto"/>
                <w:right w:val="none" w:sz="0" w:space="0" w:color="auto"/>
              </w:divBdr>
              <w:divsChild>
                <w:div w:id="1588273410">
                  <w:marLeft w:val="0"/>
                  <w:marRight w:val="0"/>
                  <w:marTop w:val="0"/>
                  <w:marBottom w:val="0"/>
                  <w:divBdr>
                    <w:top w:val="none" w:sz="0" w:space="0" w:color="auto"/>
                    <w:left w:val="none" w:sz="0" w:space="0" w:color="auto"/>
                    <w:bottom w:val="none" w:sz="0" w:space="0" w:color="auto"/>
                    <w:right w:val="none" w:sz="0" w:space="0" w:color="auto"/>
                  </w:divBdr>
                  <w:divsChild>
                    <w:div w:id="20999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5430">
      <w:bodyDiv w:val="1"/>
      <w:marLeft w:val="0"/>
      <w:marRight w:val="0"/>
      <w:marTop w:val="0"/>
      <w:marBottom w:val="0"/>
      <w:divBdr>
        <w:top w:val="none" w:sz="0" w:space="0" w:color="auto"/>
        <w:left w:val="none" w:sz="0" w:space="0" w:color="auto"/>
        <w:bottom w:val="none" w:sz="0" w:space="0" w:color="auto"/>
        <w:right w:val="none" w:sz="0" w:space="0" w:color="auto"/>
      </w:divBdr>
      <w:divsChild>
        <w:div w:id="1535575352">
          <w:marLeft w:val="0"/>
          <w:marRight w:val="0"/>
          <w:marTop w:val="0"/>
          <w:marBottom w:val="0"/>
          <w:divBdr>
            <w:top w:val="none" w:sz="0" w:space="0" w:color="auto"/>
            <w:left w:val="none" w:sz="0" w:space="0" w:color="auto"/>
            <w:bottom w:val="none" w:sz="0" w:space="0" w:color="auto"/>
            <w:right w:val="none" w:sz="0" w:space="0" w:color="auto"/>
          </w:divBdr>
          <w:divsChild>
            <w:div w:id="1841627192">
              <w:marLeft w:val="0"/>
              <w:marRight w:val="0"/>
              <w:marTop w:val="0"/>
              <w:marBottom w:val="0"/>
              <w:divBdr>
                <w:top w:val="none" w:sz="0" w:space="0" w:color="auto"/>
                <w:left w:val="none" w:sz="0" w:space="0" w:color="auto"/>
                <w:bottom w:val="none" w:sz="0" w:space="0" w:color="auto"/>
                <w:right w:val="none" w:sz="0" w:space="0" w:color="auto"/>
              </w:divBdr>
              <w:divsChild>
                <w:div w:id="1013923410">
                  <w:marLeft w:val="0"/>
                  <w:marRight w:val="0"/>
                  <w:marTop w:val="0"/>
                  <w:marBottom w:val="0"/>
                  <w:divBdr>
                    <w:top w:val="none" w:sz="0" w:space="0" w:color="auto"/>
                    <w:left w:val="none" w:sz="0" w:space="0" w:color="auto"/>
                    <w:bottom w:val="none" w:sz="0" w:space="0" w:color="auto"/>
                    <w:right w:val="none" w:sz="0" w:space="0" w:color="auto"/>
                  </w:divBdr>
                  <w:divsChild>
                    <w:div w:id="13107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2959">
      <w:bodyDiv w:val="1"/>
      <w:marLeft w:val="0"/>
      <w:marRight w:val="0"/>
      <w:marTop w:val="0"/>
      <w:marBottom w:val="0"/>
      <w:divBdr>
        <w:top w:val="none" w:sz="0" w:space="0" w:color="auto"/>
        <w:left w:val="none" w:sz="0" w:space="0" w:color="auto"/>
        <w:bottom w:val="none" w:sz="0" w:space="0" w:color="auto"/>
        <w:right w:val="none" w:sz="0" w:space="0" w:color="auto"/>
      </w:divBdr>
      <w:divsChild>
        <w:div w:id="1460997049">
          <w:marLeft w:val="0"/>
          <w:marRight w:val="0"/>
          <w:marTop w:val="0"/>
          <w:marBottom w:val="0"/>
          <w:divBdr>
            <w:top w:val="none" w:sz="0" w:space="0" w:color="auto"/>
            <w:left w:val="none" w:sz="0" w:space="0" w:color="auto"/>
            <w:bottom w:val="none" w:sz="0" w:space="0" w:color="auto"/>
            <w:right w:val="none" w:sz="0" w:space="0" w:color="auto"/>
          </w:divBdr>
          <w:divsChild>
            <w:div w:id="1557858847">
              <w:marLeft w:val="0"/>
              <w:marRight w:val="0"/>
              <w:marTop w:val="0"/>
              <w:marBottom w:val="0"/>
              <w:divBdr>
                <w:top w:val="none" w:sz="0" w:space="0" w:color="auto"/>
                <w:left w:val="none" w:sz="0" w:space="0" w:color="auto"/>
                <w:bottom w:val="none" w:sz="0" w:space="0" w:color="auto"/>
                <w:right w:val="none" w:sz="0" w:space="0" w:color="auto"/>
              </w:divBdr>
              <w:divsChild>
                <w:div w:id="756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7312">
      <w:bodyDiv w:val="1"/>
      <w:marLeft w:val="0"/>
      <w:marRight w:val="0"/>
      <w:marTop w:val="0"/>
      <w:marBottom w:val="0"/>
      <w:divBdr>
        <w:top w:val="none" w:sz="0" w:space="0" w:color="auto"/>
        <w:left w:val="none" w:sz="0" w:space="0" w:color="auto"/>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sChild>
            <w:div w:id="62341082">
              <w:marLeft w:val="0"/>
              <w:marRight w:val="0"/>
              <w:marTop w:val="0"/>
              <w:marBottom w:val="0"/>
              <w:divBdr>
                <w:top w:val="none" w:sz="0" w:space="0" w:color="auto"/>
                <w:left w:val="none" w:sz="0" w:space="0" w:color="auto"/>
                <w:bottom w:val="none" w:sz="0" w:space="0" w:color="auto"/>
                <w:right w:val="none" w:sz="0" w:space="0" w:color="auto"/>
              </w:divBdr>
              <w:divsChild>
                <w:div w:id="963659501">
                  <w:marLeft w:val="0"/>
                  <w:marRight w:val="0"/>
                  <w:marTop w:val="0"/>
                  <w:marBottom w:val="0"/>
                  <w:divBdr>
                    <w:top w:val="none" w:sz="0" w:space="0" w:color="auto"/>
                    <w:left w:val="none" w:sz="0" w:space="0" w:color="auto"/>
                    <w:bottom w:val="none" w:sz="0" w:space="0" w:color="auto"/>
                    <w:right w:val="none" w:sz="0" w:space="0" w:color="auto"/>
                  </w:divBdr>
                  <w:divsChild>
                    <w:div w:id="1996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077">
      <w:bodyDiv w:val="1"/>
      <w:marLeft w:val="0"/>
      <w:marRight w:val="0"/>
      <w:marTop w:val="0"/>
      <w:marBottom w:val="0"/>
      <w:divBdr>
        <w:top w:val="none" w:sz="0" w:space="0" w:color="auto"/>
        <w:left w:val="none" w:sz="0" w:space="0" w:color="auto"/>
        <w:bottom w:val="none" w:sz="0" w:space="0" w:color="auto"/>
        <w:right w:val="none" w:sz="0" w:space="0" w:color="auto"/>
      </w:divBdr>
      <w:divsChild>
        <w:div w:id="148403213">
          <w:marLeft w:val="0"/>
          <w:marRight w:val="0"/>
          <w:marTop w:val="0"/>
          <w:marBottom w:val="0"/>
          <w:divBdr>
            <w:top w:val="none" w:sz="0" w:space="0" w:color="auto"/>
            <w:left w:val="none" w:sz="0" w:space="0" w:color="auto"/>
            <w:bottom w:val="none" w:sz="0" w:space="0" w:color="auto"/>
            <w:right w:val="none" w:sz="0" w:space="0" w:color="auto"/>
          </w:divBdr>
          <w:divsChild>
            <w:div w:id="142160686">
              <w:marLeft w:val="0"/>
              <w:marRight w:val="0"/>
              <w:marTop w:val="0"/>
              <w:marBottom w:val="0"/>
              <w:divBdr>
                <w:top w:val="none" w:sz="0" w:space="0" w:color="auto"/>
                <w:left w:val="none" w:sz="0" w:space="0" w:color="auto"/>
                <w:bottom w:val="none" w:sz="0" w:space="0" w:color="auto"/>
                <w:right w:val="none" w:sz="0" w:space="0" w:color="auto"/>
              </w:divBdr>
              <w:divsChild>
                <w:div w:id="2899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6599">
      <w:bodyDiv w:val="1"/>
      <w:marLeft w:val="0"/>
      <w:marRight w:val="0"/>
      <w:marTop w:val="0"/>
      <w:marBottom w:val="0"/>
      <w:divBdr>
        <w:top w:val="none" w:sz="0" w:space="0" w:color="auto"/>
        <w:left w:val="none" w:sz="0" w:space="0" w:color="auto"/>
        <w:bottom w:val="none" w:sz="0" w:space="0" w:color="auto"/>
        <w:right w:val="none" w:sz="0" w:space="0" w:color="auto"/>
      </w:divBdr>
      <w:divsChild>
        <w:div w:id="316764580">
          <w:marLeft w:val="0"/>
          <w:marRight w:val="0"/>
          <w:marTop w:val="0"/>
          <w:marBottom w:val="0"/>
          <w:divBdr>
            <w:top w:val="none" w:sz="0" w:space="0" w:color="auto"/>
            <w:left w:val="none" w:sz="0" w:space="0" w:color="auto"/>
            <w:bottom w:val="none" w:sz="0" w:space="0" w:color="auto"/>
            <w:right w:val="none" w:sz="0" w:space="0" w:color="auto"/>
          </w:divBdr>
          <w:divsChild>
            <w:div w:id="1698580939">
              <w:marLeft w:val="0"/>
              <w:marRight w:val="0"/>
              <w:marTop w:val="0"/>
              <w:marBottom w:val="0"/>
              <w:divBdr>
                <w:top w:val="none" w:sz="0" w:space="0" w:color="auto"/>
                <w:left w:val="none" w:sz="0" w:space="0" w:color="auto"/>
                <w:bottom w:val="none" w:sz="0" w:space="0" w:color="auto"/>
                <w:right w:val="none" w:sz="0" w:space="0" w:color="auto"/>
              </w:divBdr>
              <w:divsChild>
                <w:div w:id="5527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7984">
      <w:bodyDiv w:val="1"/>
      <w:marLeft w:val="0"/>
      <w:marRight w:val="0"/>
      <w:marTop w:val="0"/>
      <w:marBottom w:val="0"/>
      <w:divBdr>
        <w:top w:val="none" w:sz="0" w:space="0" w:color="auto"/>
        <w:left w:val="none" w:sz="0" w:space="0" w:color="auto"/>
        <w:bottom w:val="none" w:sz="0" w:space="0" w:color="auto"/>
        <w:right w:val="none" w:sz="0" w:space="0" w:color="auto"/>
      </w:divBdr>
      <w:divsChild>
        <w:div w:id="792598819">
          <w:marLeft w:val="0"/>
          <w:marRight w:val="0"/>
          <w:marTop w:val="0"/>
          <w:marBottom w:val="0"/>
          <w:divBdr>
            <w:top w:val="none" w:sz="0" w:space="0" w:color="auto"/>
            <w:left w:val="none" w:sz="0" w:space="0" w:color="auto"/>
            <w:bottom w:val="none" w:sz="0" w:space="0" w:color="auto"/>
            <w:right w:val="none" w:sz="0" w:space="0" w:color="auto"/>
          </w:divBdr>
          <w:divsChild>
            <w:div w:id="1666934859">
              <w:marLeft w:val="0"/>
              <w:marRight w:val="0"/>
              <w:marTop w:val="0"/>
              <w:marBottom w:val="0"/>
              <w:divBdr>
                <w:top w:val="none" w:sz="0" w:space="0" w:color="auto"/>
                <w:left w:val="none" w:sz="0" w:space="0" w:color="auto"/>
                <w:bottom w:val="none" w:sz="0" w:space="0" w:color="auto"/>
                <w:right w:val="none" w:sz="0" w:space="0" w:color="auto"/>
              </w:divBdr>
              <w:divsChild>
                <w:div w:id="19620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2399">
      <w:bodyDiv w:val="1"/>
      <w:marLeft w:val="0"/>
      <w:marRight w:val="0"/>
      <w:marTop w:val="0"/>
      <w:marBottom w:val="0"/>
      <w:divBdr>
        <w:top w:val="none" w:sz="0" w:space="0" w:color="auto"/>
        <w:left w:val="none" w:sz="0" w:space="0" w:color="auto"/>
        <w:bottom w:val="none" w:sz="0" w:space="0" w:color="auto"/>
        <w:right w:val="none" w:sz="0" w:space="0" w:color="auto"/>
      </w:divBdr>
      <w:divsChild>
        <w:div w:id="138425747">
          <w:marLeft w:val="0"/>
          <w:marRight w:val="0"/>
          <w:marTop w:val="0"/>
          <w:marBottom w:val="0"/>
          <w:divBdr>
            <w:top w:val="none" w:sz="0" w:space="0" w:color="auto"/>
            <w:left w:val="none" w:sz="0" w:space="0" w:color="auto"/>
            <w:bottom w:val="none" w:sz="0" w:space="0" w:color="auto"/>
            <w:right w:val="none" w:sz="0" w:space="0" w:color="auto"/>
          </w:divBdr>
          <w:divsChild>
            <w:div w:id="1563370382">
              <w:marLeft w:val="0"/>
              <w:marRight w:val="0"/>
              <w:marTop w:val="0"/>
              <w:marBottom w:val="0"/>
              <w:divBdr>
                <w:top w:val="none" w:sz="0" w:space="0" w:color="auto"/>
                <w:left w:val="none" w:sz="0" w:space="0" w:color="auto"/>
                <w:bottom w:val="none" w:sz="0" w:space="0" w:color="auto"/>
                <w:right w:val="none" w:sz="0" w:space="0" w:color="auto"/>
              </w:divBdr>
              <w:divsChild>
                <w:div w:id="1979450864">
                  <w:marLeft w:val="0"/>
                  <w:marRight w:val="0"/>
                  <w:marTop w:val="0"/>
                  <w:marBottom w:val="0"/>
                  <w:divBdr>
                    <w:top w:val="none" w:sz="0" w:space="0" w:color="auto"/>
                    <w:left w:val="none" w:sz="0" w:space="0" w:color="auto"/>
                    <w:bottom w:val="none" w:sz="0" w:space="0" w:color="auto"/>
                    <w:right w:val="none" w:sz="0" w:space="0" w:color="auto"/>
                  </w:divBdr>
                  <w:divsChild>
                    <w:div w:id="1931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5869">
      <w:bodyDiv w:val="1"/>
      <w:marLeft w:val="0"/>
      <w:marRight w:val="0"/>
      <w:marTop w:val="0"/>
      <w:marBottom w:val="0"/>
      <w:divBdr>
        <w:top w:val="none" w:sz="0" w:space="0" w:color="auto"/>
        <w:left w:val="none" w:sz="0" w:space="0" w:color="auto"/>
        <w:bottom w:val="none" w:sz="0" w:space="0" w:color="auto"/>
        <w:right w:val="none" w:sz="0" w:space="0" w:color="auto"/>
      </w:divBdr>
      <w:divsChild>
        <w:div w:id="2113937426">
          <w:marLeft w:val="0"/>
          <w:marRight w:val="0"/>
          <w:marTop w:val="0"/>
          <w:marBottom w:val="0"/>
          <w:divBdr>
            <w:top w:val="none" w:sz="0" w:space="0" w:color="auto"/>
            <w:left w:val="none" w:sz="0" w:space="0" w:color="auto"/>
            <w:bottom w:val="none" w:sz="0" w:space="0" w:color="auto"/>
            <w:right w:val="none" w:sz="0" w:space="0" w:color="auto"/>
          </w:divBdr>
          <w:divsChild>
            <w:div w:id="231737244">
              <w:marLeft w:val="0"/>
              <w:marRight w:val="0"/>
              <w:marTop w:val="0"/>
              <w:marBottom w:val="0"/>
              <w:divBdr>
                <w:top w:val="none" w:sz="0" w:space="0" w:color="auto"/>
                <w:left w:val="none" w:sz="0" w:space="0" w:color="auto"/>
                <w:bottom w:val="none" w:sz="0" w:space="0" w:color="auto"/>
                <w:right w:val="none" w:sz="0" w:space="0" w:color="auto"/>
              </w:divBdr>
              <w:divsChild>
                <w:div w:id="205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2600">
      <w:bodyDiv w:val="1"/>
      <w:marLeft w:val="0"/>
      <w:marRight w:val="0"/>
      <w:marTop w:val="0"/>
      <w:marBottom w:val="0"/>
      <w:divBdr>
        <w:top w:val="none" w:sz="0" w:space="0" w:color="auto"/>
        <w:left w:val="none" w:sz="0" w:space="0" w:color="auto"/>
        <w:bottom w:val="none" w:sz="0" w:space="0" w:color="auto"/>
        <w:right w:val="none" w:sz="0" w:space="0" w:color="auto"/>
      </w:divBdr>
      <w:divsChild>
        <w:div w:id="163715453">
          <w:marLeft w:val="0"/>
          <w:marRight w:val="0"/>
          <w:marTop w:val="0"/>
          <w:marBottom w:val="0"/>
          <w:divBdr>
            <w:top w:val="none" w:sz="0" w:space="0" w:color="auto"/>
            <w:left w:val="none" w:sz="0" w:space="0" w:color="auto"/>
            <w:bottom w:val="none" w:sz="0" w:space="0" w:color="auto"/>
            <w:right w:val="none" w:sz="0" w:space="0" w:color="auto"/>
          </w:divBdr>
          <w:divsChild>
            <w:div w:id="601768995">
              <w:marLeft w:val="0"/>
              <w:marRight w:val="0"/>
              <w:marTop w:val="0"/>
              <w:marBottom w:val="0"/>
              <w:divBdr>
                <w:top w:val="none" w:sz="0" w:space="0" w:color="auto"/>
                <w:left w:val="none" w:sz="0" w:space="0" w:color="auto"/>
                <w:bottom w:val="none" w:sz="0" w:space="0" w:color="auto"/>
                <w:right w:val="none" w:sz="0" w:space="0" w:color="auto"/>
              </w:divBdr>
              <w:divsChild>
                <w:div w:id="703213362">
                  <w:marLeft w:val="0"/>
                  <w:marRight w:val="0"/>
                  <w:marTop w:val="0"/>
                  <w:marBottom w:val="0"/>
                  <w:divBdr>
                    <w:top w:val="none" w:sz="0" w:space="0" w:color="auto"/>
                    <w:left w:val="none" w:sz="0" w:space="0" w:color="auto"/>
                    <w:bottom w:val="none" w:sz="0" w:space="0" w:color="auto"/>
                    <w:right w:val="none" w:sz="0" w:space="0" w:color="auto"/>
                  </w:divBdr>
                  <w:divsChild>
                    <w:div w:id="15299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598">
      <w:bodyDiv w:val="1"/>
      <w:marLeft w:val="0"/>
      <w:marRight w:val="0"/>
      <w:marTop w:val="0"/>
      <w:marBottom w:val="0"/>
      <w:divBdr>
        <w:top w:val="none" w:sz="0" w:space="0" w:color="auto"/>
        <w:left w:val="none" w:sz="0" w:space="0" w:color="auto"/>
        <w:bottom w:val="none" w:sz="0" w:space="0" w:color="auto"/>
        <w:right w:val="none" w:sz="0" w:space="0" w:color="auto"/>
      </w:divBdr>
      <w:divsChild>
        <w:div w:id="83456951">
          <w:marLeft w:val="0"/>
          <w:marRight w:val="0"/>
          <w:marTop w:val="0"/>
          <w:marBottom w:val="0"/>
          <w:divBdr>
            <w:top w:val="none" w:sz="0" w:space="0" w:color="auto"/>
            <w:left w:val="none" w:sz="0" w:space="0" w:color="auto"/>
            <w:bottom w:val="none" w:sz="0" w:space="0" w:color="auto"/>
            <w:right w:val="none" w:sz="0" w:space="0" w:color="auto"/>
          </w:divBdr>
          <w:divsChild>
            <w:div w:id="594360751">
              <w:marLeft w:val="0"/>
              <w:marRight w:val="0"/>
              <w:marTop w:val="0"/>
              <w:marBottom w:val="0"/>
              <w:divBdr>
                <w:top w:val="none" w:sz="0" w:space="0" w:color="auto"/>
                <w:left w:val="none" w:sz="0" w:space="0" w:color="auto"/>
                <w:bottom w:val="none" w:sz="0" w:space="0" w:color="auto"/>
                <w:right w:val="none" w:sz="0" w:space="0" w:color="auto"/>
              </w:divBdr>
              <w:divsChild>
                <w:div w:id="1822577574">
                  <w:marLeft w:val="0"/>
                  <w:marRight w:val="0"/>
                  <w:marTop w:val="0"/>
                  <w:marBottom w:val="0"/>
                  <w:divBdr>
                    <w:top w:val="none" w:sz="0" w:space="0" w:color="auto"/>
                    <w:left w:val="none" w:sz="0" w:space="0" w:color="auto"/>
                    <w:bottom w:val="none" w:sz="0" w:space="0" w:color="auto"/>
                    <w:right w:val="none" w:sz="0" w:space="0" w:color="auto"/>
                  </w:divBdr>
                  <w:divsChild>
                    <w:div w:id="16770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2566">
      <w:bodyDiv w:val="1"/>
      <w:marLeft w:val="0"/>
      <w:marRight w:val="0"/>
      <w:marTop w:val="0"/>
      <w:marBottom w:val="0"/>
      <w:divBdr>
        <w:top w:val="none" w:sz="0" w:space="0" w:color="auto"/>
        <w:left w:val="none" w:sz="0" w:space="0" w:color="auto"/>
        <w:bottom w:val="none" w:sz="0" w:space="0" w:color="auto"/>
        <w:right w:val="none" w:sz="0" w:space="0" w:color="auto"/>
      </w:divBdr>
      <w:divsChild>
        <w:div w:id="323897518">
          <w:marLeft w:val="0"/>
          <w:marRight w:val="0"/>
          <w:marTop w:val="0"/>
          <w:marBottom w:val="0"/>
          <w:divBdr>
            <w:top w:val="none" w:sz="0" w:space="0" w:color="auto"/>
            <w:left w:val="none" w:sz="0" w:space="0" w:color="auto"/>
            <w:bottom w:val="none" w:sz="0" w:space="0" w:color="auto"/>
            <w:right w:val="none" w:sz="0" w:space="0" w:color="auto"/>
          </w:divBdr>
          <w:divsChild>
            <w:div w:id="1194877339">
              <w:marLeft w:val="0"/>
              <w:marRight w:val="0"/>
              <w:marTop w:val="0"/>
              <w:marBottom w:val="0"/>
              <w:divBdr>
                <w:top w:val="none" w:sz="0" w:space="0" w:color="auto"/>
                <w:left w:val="none" w:sz="0" w:space="0" w:color="auto"/>
                <w:bottom w:val="none" w:sz="0" w:space="0" w:color="auto"/>
                <w:right w:val="none" w:sz="0" w:space="0" w:color="auto"/>
              </w:divBdr>
              <w:divsChild>
                <w:div w:id="187374863">
                  <w:marLeft w:val="0"/>
                  <w:marRight w:val="0"/>
                  <w:marTop w:val="0"/>
                  <w:marBottom w:val="0"/>
                  <w:divBdr>
                    <w:top w:val="none" w:sz="0" w:space="0" w:color="auto"/>
                    <w:left w:val="none" w:sz="0" w:space="0" w:color="auto"/>
                    <w:bottom w:val="none" w:sz="0" w:space="0" w:color="auto"/>
                    <w:right w:val="none" w:sz="0" w:space="0" w:color="auto"/>
                  </w:divBdr>
                  <w:divsChild>
                    <w:div w:id="10931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97313">
      <w:bodyDiv w:val="1"/>
      <w:marLeft w:val="0"/>
      <w:marRight w:val="0"/>
      <w:marTop w:val="0"/>
      <w:marBottom w:val="0"/>
      <w:divBdr>
        <w:top w:val="none" w:sz="0" w:space="0" w:color="auto"/>
        <w:left w:val="none" w:sz="0" w:space="0" w:color="auto"/>
        <w:bottom w:val="none" w:sz="0" w:space="0" w:color="auto"/>
        <w:right w:val="none" w:sz="0" w:space="0" w:color="auto"/>
      </w:divBdr>
      <w:divsChild>
        <w:div w:id="1541017343">
          <w:marLeft w:val="0"/>
          <w:marRight w:val="0"/>
          <w:marTop w:val="0"/>
          <w:marBottom w:val="0"/>
          <w:divBdr>
            <w:top w:val="none" w:sz="0" w:space="0" w:color="auto"/>
            <w:left w:val="none" w:sz="0" w:space="0" w:color="auto"/>
            <w:bottom w:val="none" w:sz="0" w:space="0" w:color="auto"/>
            <w:right w:val="none" w:sz="0" w:space="0" w:color="auto"/>
          </w:divBdr>
          <w:divsChild>
            <w:div w:id="129325822">
              <w:marLeft w:val="0"/>
              <w:marRight w:val="0"/>
              <w:marTop w:val="0"/>
              <w:marBottom w:val="0"/>
              <w:divBdr>
                <w:top w:val="none" w:sz="0" w:space="0" w:color="auto"/>
                <w:left w:val="none" w:sz="0" w:space="0" w:color="auto"/>
                <w:bottom w:val="none" w:sz="0" w:space="0" w:color="auto"/>
                <w:right w:val="none" w:sz="0" w:space="0" w:color="auto"/>
              </w:divBdr>
              <w:divsChild>
                <w:div w:id="872571310">
                  <w:marLeft w:val="0"/>
                  <w:marRight w:val="0"/>
                  <w:marTop w:val="0"/>
                  <w:marBottom w:val="0"/>
                  <w:divBdr>
                    <w:top w:val="none" w:sz="0" w:space="0" w:color="auto"/>
                    <w:left w:val="none" w:sz="0" w:space="0" w:color="auto"/>
                    <w:bottom w:val="none" w:sz="0" w:space="0" w:color="auto"/>
                    <w:right w:val="none" w:sz="0" w:space="0" w:color="auto"/>
                  </w:divBdr>
                  <w:divsChild>
                    <w:div w:id="309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9424">
      <w:bodyDiv w:val="1"/>
      <w:marLeft w:val="0"/>
      <w:marRight w:val="0"/>
      <w:marTop w:val="0"/>
      <w:marBottom w:val="0"/>
      <w:divBdr>
        <w:top w:val="none" w:sz="0" w:space="0" w:color="auto"/>
        <w:left w:val="none" w:sz="0" w:space="0" w:color="auto"/>
        <w:bottom w:val="none" w:sz="0" w:space="0" w:color="auto"/>
        <w:right w:val="none" w:sz="0" w:space="0" w:color="auto"/>
      </w:divBdr>
      <w:divsChild>
        <w:div w:id="1833525524">
          <w:marLeft w:val="0"/>
          <w:marRight w:val="0"/>
          <w:marTop w:val="0"/>
          <w:marBottom w:val="0"/>
          <w:divBdr>
            <w:top w:val="none" w:sz="0" w:space="0" w:color="auto"/>
            <w:left w:val="none" w:sz="0" w:space="0" w:color="auto"/>
            <w:bottom w:val="none" w:sz="0" w:space="0" w:color="auto"/>
            <w:right w:val="none" w:sz="0" w:space="0" w:color="auto"/>
          </w:divBdr>
          <w:divsChild>
            <w:div w:id="1556548048">
              <w:marLeft w:val="0"/>
              <w:marRight w:val="0"/>
              <w:marTop w:val="0"/>
              <w:marBottom w:val="0"/>
              <w:divBdr>
                <w:top w:val="none" w:sz="0" w:space="0" w:color="auto"/>
                <w:left w:val="none" w:sz="0" w:space="0" w:color="auto"/>
                <w:bottom w:val="none" w:sz="0" w:space="0" w:color="auto"/>
                <w:right w:val="none" w:sz="0" w:space="0" w:color="auto"/>
              </w:divBdr>
              <w:divsChild>
                <w:div w:id="735905688">
                  <w:marLeft w:val="0"/>
                  <w:marRight w:val="0"/>
                  <w:marTop w:val="0"/>
                  <w:marBottom w:val="0"/>
                  <w:divBdr>
                    <w:top w:val="none" w:sz="0" w:space="0" w:color="auto"/>
                    <w:left w:val="none" w:sz="0" w:space="0" w:color="auto"/>
                    <w:bottom w:val="none" w:sz="0" w:space="0" w:color="auto"/>
                    <w:right w:val="none" w:sz="0" w:space="0" w:color="auto"/>
                  </w:divBdr>
                  <w:divsChild>
                    <w:div w:id="15860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6470">
      <w:bodyDiv w:val="1"/>
      <w:marLeft w:val="0"/>
      <w:marRight w:val="0"/>
      <w:marTop w:val="0"/>
      <w:marBottom w:val="0"/>
      <w:divBdr>
        <w:top w:val="none" w:sz="0" w:space="0" w:color="auto"/>
        <w:left w:val="none" w:sz="0" w:space="0" w:color="auto"/>
        <w:bottom w:val="none" w:sz="0" w:space="0" w:color="auto"/>
        <w:right w:val="none" w:sz="0" w:space="0" w:color="auto"/>
      </w:divBdr>
      <w:divsChild>
        <w:div w:id="2036610254">
          <w:marLeft w:val="0"/>
          <w:marRight w:val="0"/>
          <w:marTop w:val="0"/>
          <w:marBottom w:val="0"/>
          <w:divBdr>
            <w:top w:val="none" w:sz="0" w:space="0" w:color="auto"/>
            <w:left w:val="none" w:sz="0" w:space="0" w:color="auto"/>
            <w:bottom w:val="none" w:sz="0" w:space="0" w:color="auto"/>
            <w:right w:val="none" w:sz="0" w:space="0" w:color="auto"/>
          </w:divBdr>
          <w:divsChild>
            <w:div w:id="2079588528">
              <w:marLeft w:val="0"/>
              <w:marRight w:val="0"/>
              <w:marTop w:val="0"/>
              <w:marBottom w:val="0"/>
              <w:divBdr>
                <w:top w:val="none" w:sz="0" w:space="0" w:color="auto"/>
                <w:left w:val="none" w:sz="0" w:space="0" w:color="auto"/>
                <w:bottom w:val="none" w:sz="0" w:space="0" w:color="auto"/>
                <w:right w:val="none" w:sz="0" w:space="0" w:color="auto"/>
              </w:divBdr>
              <w:divsChild>
                <w:div w:id="534855080">
                  <w:marLeft w:val="0"/>
                  <w:marRight w:val="0"/>
                  <w:marTop w:val="0"/>
                  <w:marBottom w:val="0"/>
                  <w:divBdr>
                    <w:top w:val="none" w:sz="0" w:space="0" w:color="auto"/>
                    <w:left w:val="none" w:sz="0" w:space="0" w:color="auto"/>
                    <w:bottom w:val="none" w:sz="0" w:space="0" w:color="auto"/>
                    <w:right w:val="none" w:sz="0" w:space="0" w:color="auto"/>
                  </w:divBdr>
                  <w:divsChild>
                    <w:div w:id="410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8362">
      <w:bodyDiv w:val="1"/>
      <w:marLeft w:val="0"/>
      <w:marRight w:val="0"/>
      <w:marTop w:val="0"/>
      <w:marBottom w:val="0"/>
      <w:divBdr>
        <w:top w:val="none" w:sz="0" w:space="0" w:color="auto"/>
        <w:left w:val="none" w:sz="0" w:space="0" w:color="auto"/>
        <w:bottom w:val="none" w:sz="0" w:space="0" w:color="auto"/>
        <w:right w:val="none" w:sz="0" w:space="0" w:color="auto"/>
      </w:divBdr>
      <w:divsChild>
        <w:div w:id="443774523">
          <w:marLeft w:val="0"/>
          <w:marRight w:val="0"/>
          <w:marTop w:val="0"/>
          <w:marBottom w:val="0"/>
          <w:divBdr>
            <w:top w:val="none" w:sz="0" w:space="0" w:color="auto"/>
            <w:left w:val="none" w:sz="0" w:space="0" w:color="auto"/>
            <w:bottom w:val="none" w:sz="0" w:space="0" w:color="auto"/>
            <w:right w:val="none" w:sz="0" w:space="0" w:color="auto"/>
          </w:divBdr>
          <w:divsChild>
            <w:div w:id="591165893">
              <w:marLeft w:val="0"/>
              <w:marRight w:val="0"/>
              <w:marTop w:val="0"/>
              <w:marBottom w:val="0"/>
              <w:divBdr>
                <w:top w:val="none" w:sz="0" w:space="0" w:color="auto"/>
                <w:left w:val="none" w:sz="0" w:space="0" w:color="auto"/>
                <w:bottom w:val="none" w:sz="0" w:space="0" w:color="auto"/>
                <w:right w:val="none" w:sz="0" w:space="0" w:color="auto"/>
              </w:divBdr>
              <w:divsChild>
                <w:div w:id="1628438699">
                  <w:marLeft w:val="0"/>
                  <w:marRight w:val="0"/>
                  <w:marTop w:val="0"/>
                  <w:marBottom w:val="0"/>
                  <w:divBdr>
                    <w:top w:val="none" w:sz="0" w:space="0" w:color="auto"/>
                    <w:left w:val="none" w:sz="0" w:space="0" w:color="auto"/>
                    <w:bottom w:val="none" w:sz="0" w:space="0" w:color="auto"/>
                    <w:right w:val="none" w:sz="0" w:space="0" w:color="auto"/>
                  </w:divBdr>
                  <w:divsChild>
                    <w:div w:id="93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41006">
      <w:bodyDiv w:val="1"/>
      <w:marLeft w:val="0"/>
      <w:marRight w:val="0"/>
      <w:marTop w:val="0"/>
      <w:marBottom w:val="0"/>
      <w:divBdr>
        <w:top w:val="none" w:sz="0" w:space="0" w:color="auto"/>
        <w:left w:val="none" w:sz="0" w:space="0" w:color="auto"/>
        <w:bottom w:val="none" w:sz="0" w:space="0" w:color="auto"/>
        <w:right w:val="none" w:sz="0" w:space="0" w:color="auto"/>
      </w:divBdr>
      <w:divsChild>
        <w:div w:id="1449156967">
          <w:marLeft w:val="0"/>
          <w:marRight w:val="0"/>
          <w:marTop w:val="0"/>
          <w:marBottom w:val="0"/>
          <w:divBdr>
            <w:top w:val="none" w:sz="0" w:space="0" w:color="auto"/>
            <w:left w:val="none" w:sz="0" w:space="0" w:color="auto"/>
            <w:bottom w:val="none" w:sz="0" w:space="0" w:color="auto"/>
            <w:right w:val="none" w:sz="0" w:space="0" w:color="auto"/>
          </w:divBdr>
          <w:divsChild>
            <w:div w:id="272514945">
              <w:marLeft w:val="0"/>
              <w:marRight w:val="0"/>
              <w:marTop w:val="0"/>
              <w:marBottom w:val="0"/>
              <w:divBdr>
                <w:top w:val="none" w:sz="0" w:space="0" w:color="auto"/>
                <w:left w:val="none" w:sz="0" w:space="0" w:color="auto"/>
                <w:bottom w:val="none" w:sz="0" w:space="0" w:color="auto"/>
                <w:right w:val="none" w:sz="0" w:space="0" w:color="auto"/>
              </w:divBdr>
              <w:divsChild>
                <w:div w:id="470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7558">
      <w:bodyDiv w:val="1"/>
      <w:marLeft w:val="0"/>
      <w:marRight w:val="0"/>
      <w:marTop w:val="0"/>
      <w:marBottom w:val="0"/>
      <w:divBdr>
        <w:top w:val="none" w:sz="0" w:space="0" w:color="auto"/>
        <w:left w:val="none" w:sz="0" w:space="0" w:color="auto"/>
        <w:bottom w:val="none" w:sz="0" w:space="0" w:color="auto"/>
        <w:right w:val="none" w:sz="0" w:space="0" w:color="auto"/>
      </w:divBdr>
      <w:divsChild>
        <w:div w:id="112790794">
          <w:marLeft w:val="0"/>
          <w:marRight w:val="0"/>
          <w:marTop w:val="0"/>
          <w:marBottom w:val="0"/>
          <w:divBdr>
            <w:top w:val="none" w:sz="0" w:space="0" w:color="auto"/>
            <w:left w:val="none" w:sz="0" w:space="0" w:color="auto"/>
            <w:bottom w:val="none" w:sz="0" w:space="0" w:color="auto"/>
            <w:right w:val="none" w:sz="0" w:space="0" w:color="auto"/>
          </w:divBdr>
          <w:divsChild>
            <w:div w:id="924605206">
              <w:marLeft w:val="0"/>
              <w:marRight w:val="0"/>
              <w:marTop w:val="0"/>
              <w:marBottom w:val="0"/>
              <w:divBdr>
                <w:top w:val="none" w:sz="0" w:space="0" w:color="auto"/>
                <w:left w:val="none" w:sz="0" w:space="0" w:color="auto"/>
                <w:bottom w:val="none" w:sz="0" w:space="0" w:color="auto"/>
                <w:right w:val="none" w:sz="0" w:space="0" w:color="auto"/>
              </w:divBdr>
              <w:divsChild>
                <w:div w:id="10808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444">
      <w:bodyDiv w:val="1"/>
      <w:marLeft w:val="0"/>
      <w:marRight w:val="0"/>
      <w:marTop w:val="0"/>
      <w:marBottom w:val="0"/>
      <w:divBdr>
        <w:top w:val="none" w:sz="0" w:space="0" w:color="auto"/>
        <w:left w:val="none" w:sz="0" w:space="0" w:color="auto"/>
        <w:bottom w:val="none" w:sz="0" w:space="0" w:color="auto"/>
        <w:right w:val="none" w:sz="0" w:space="0" w:color="auto"/>
      </w:divBdr>
      <w:divsChild>
        <w:div w:id="619148658">
          <w:marLeft w:val="0"/>
          <w:marRight w:val="0"/>
          <w:marTop w:val="0"/>
          <w:marBottom w:val="0"/>
          <w:divBdr>
            <w:top w:val="none" w:sz="0" w:space="0" w:color="auto"/>
            <w:left w:val="none" w:sz="0" w:space="0" w:color="auto"/>
            <w:bottom w:val="none" w:sz="0" w:space="0" w:color="auto"/>
            <w:right w:val="none" w:sz="0" w:space="0" w:color="auto"/>
          </w:divBdr>
          <w:divsChild>
            <w:div w:id="588585006">
              <w:marLeft w:val="0"/>
              <w:marRight w:val="0"/>
              <w:marTop w:val="0"/>
              <w:marBottom w:val="0"/>
              <w:divBdr>
                <w:top w:val="none" w:sz="0" w:space="0" w:color="auto"/>
                <w:left w:val="none" w:sz="0" w:space="0" w:color="auto"/>
                <w:bottom w:val="none" w:sz="0" w:space="0" w:color="auto"/>
                <w:right w:val="none" w:sz="0" w:space="0" w:color="auto"/>
              </w:divBdr>
              <w:divsChild>
                <w:div w:id="1385832034">
                  <w:marLeft w:val="0"/>
                  <w:marRight w:val="0"/>
                  <w:marTop w:val="0"/>
                  <w:marBottom w:val="0"/>
                  <w:divBdr>
                    <w:top w:val="none" w:sz="0" w:space="0" w:color="auto"/>
                    <w:left w:val="none" w:sz="0" w:space="0" w:color="auto"/>
                    <w:bottom w:val="none" w:sz="0" w:space="0" w:color="auto"/>
                    <w:right w:val="none" w:sz="0" w:space="0" w:color="auto"/>
                  </w:divBdr>
                  <w:divsChild>
                    <w:div w:id="437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4407">
      <w:bodyDiv w:val="1"/>
      <w:marLeft w:val="0"/>
      <w:marRight w:val="0"/>
      <w:marTop w:val="0"/>
      <w:marBottom w:val="0"/>
      <w:divBdr>
        <w:top w:val="none" w:sz="0" w:space="0" w:color="auto"/>
        <w:left w:val="none" w:sz="0" w:space="0" w:color="auto"/>
        <w:bottom w:val="none" w:sz="0" w:space="0" w:color="auto"/>
        <w:right w:val="none" w:sz="0" w:space="0" w:color="auto"/>
      </w:divBdr>
      <w:divsChild>
        <w:div w:id="694355747">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243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1527">
      <w:bodyDiv w:val="1"/>
      <w:marLeft w:val="0"/>
      <w:marRight w:val="0"/>
      <w:marTop w:val="0"/>
      <w:marBottom w:val="0"/>
      <w:divBdr>
        <w:top w:val="none" w:sz="0" w:space="0" w:color="auto"/>
        <w:left w:val="none" w:sz="0" w:space="0" w:color="auto"/>
        <w:bottom w:val="none" w:sz="0" w:space="0" w:color="auto"/>
        <w:right w:val="none" w:sz="0" w:space="0" w:color="auto"/>
      </w:divBdr>
      <w:divsChild>
        <w:div w:id="1446540705">
          <w:marLeft w:val="0"/>
          <w:marRight w:val="0"/>
          <w:marTop w:val="0"/>
          <w:marBottom w:val="0"/>
          <w:divBdr>
            <w:top w:val="none" w:sz="0" w:space="0" w:color="auto"/>
            <w:left w:val="none" w:sz="0" w:space="0" w:color="auto"/>
            <w:bottom w:val="none" w:sz="0" w:space="0" w:color="auto"/>
            <w:right w:val="none" w:sz="0" w:space="0" w:color="auto"/>
          </w:divBdr>
          <w:divsChild>
            <w:div w:id="260528877">
              <w:marLeft w:val="0"/>
              <w:marRight w:val="0"/>
              <w:marTop w:val="0"/>
              <w:marBottom w:val="0"/>
              <w:divBdr>
                <w:top w:val="none" w:sz="0" w:space="0" w:color="auto"/>
                <w:left w:val="none" w:sz="0" w:space="0" w:color="auto"/>
                <w:bottom w:val="none" w:sz="0" w:space="0" w:color="auto"/>
                <w:right w:val="none" w:sz="0" w:space="0" w:color="auto"/>
              </w:divBdr>
              <w:divsChild>
                <w:div w:id="882253419">
                  <w:marLeft w:val="0"/>
                  <w:marRight w:val="0"/>
                  <w:marTop w:val="0"/>
                  <w:marBottom w:val="0"/>
                  <w:divBdr>
                    <w:top w:val="none" w:sz="0" w:space="0" w:color="auto"/>
                    <w:left w:val="none" w:sz="0" w:space="0" w:color="auto"/>
                    <w:bottom w:val="none" w:sz="0" w:space="0" w:color="auto"/>
                    <w:right w:val="none" w:sz="0" w:space="0" w:color="auto"/>
                  </w:divBdr>
                  <w:divsChild>
                    <w:div w:id="17222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7122">
      <w:bodyDiv w:val="1"/>
      <w:marLeft w:val="0"/>
      <w:marRight w:val="0"/>
      <w:marTop w:val="0"/>
      <w:marBottom w:val="0"/>
      <w:divBdr>
        <w:top w:val="none" w:sz="0" w:space="0" w:color="auto"/>
        <w:left w:val="none" w:sz="0" w:space="0" w:color="auto"/>
        <w:bottom w:val="none" w:sz="0" w:space="0" w:color="auto"/>
        <w:right w:val="none" w:sz="0" w:space="0" w:color="auto"/>
      </w:divBdr>
      <w:divsChild>
        <w:div w:id="1956515997">
          <w:marLeft w:val="0"/>
          <w:marRight w:val="0"/>
          <w:marTop w:val="0"/>
          <w:marBottom w:val="0"/>
          <w:divBdr>
            <w:top w:val="none" w:sz="0" w:space="0" w:color="auto"/>
            <w:left w:val="none" w:sz="0" w:space="0" w:color="auto"/>
            <w:bottom w:val="none" w:sz="0" w:space="0" w:color="auto"/>
            <w:right w:val="none" w:sz="0" w:space="0" w:color="auto"/>
          </w:divBdr>
          <w:divsChild>
            <w:div w:id="1349911915">
              <w:marLeft w:val="0"/>
              <w:marRight w:val="0"/>
              <w:marTop w:val="0"/>
              <w:marBottom w:val="0"/>
              <w:divBdr>
                <w:top w:val="none" w:sz="0" w:space="0" w:color="auto"/>
                <w:left w:val="none" w:sz="0" w:space="0" w:color="auto"/>
                <w:bottom w:val="none" w:sz="0" w:space="0" w:color="auto"/>
                <w:right w:val="none" w:sz="0" w:space="0" w:color="auto"/>
              </w:divBdr>
              <w:divsChild>
                <w:div w:id="5606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2735">
      <w:bodyDiv w:val="1"/>
      <w:marLeft w:val="0"/>
      <w:marRight w:val="0"/>
      <w:marTop w:val="0"/>
      <w:marBottom w:val="0"/>
      <w:divBdr>
        <w:top w:val="none" w:sz="0" w:space="0" w:color="auto"/>
        <w:left w:val="none" w:sz="0" w:space="0" w:color="auto"/>
        <w:bottom w:val="none" w:sz="0" w:space="0" w:color="auto"/>
        <w:right w:val="none" w:sz="0" w:space="0" w:color="auto"/>
      </w:divBdr>
      <w:divsChild>
        <w:div w:id="1388259319">
          <w:marLeft w:val="0"/>
          <w:marRight w:val="0"/>
          <w:marTop w:val="0"/>
          <w:marBottom w:val="0"/>
          <w:divBdr>
            <w:top w:val="none" w:sz="0" w:space="0" w:color="auto"/>
            <w:left w:val="none" w:sz="0" w:space="0" w:color="auto"/>
            <w:bottom w:val="none" w:sz="0" w:space="0" w:color="auto"/>
            <w:right w:val="none" w:sz="0" w:space="0" w:color="auto"/>
          </w:divBdr>
          <w:divsChild>
            <w:div w:id="119954434">
              <w:marLeft w:val="0"/>
              <w:marRight w:val="0"/>
              <w:marTop w:val="0"/>
              <w:marBottom w:val="0"/>
              <w:divBdr>
                <w:top w:val="none" w:sz="0" w:space="0" w:color="auto"/>
                <w:left w:val="none" w:sz="0" w:space="0" w:color="auto"/>
                <w:bottom w:val="none" w:sz="0" w:space="0" w:color="auto"/>
                <w:right w:val="none" w:sz="0" w:space="0" w:color="auto"/>
              </w:divBdr>
              <w:divsChild>
                <w:div w:id="20758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181">
      <w:bodyDiv w:val="1"/>
      <w:marLeft w:val="0"/>
      <w:marRight w:val="0"/>
      <w:marTop w:val="0"/>
      <w:marBottom w:val="0"/>
      <w:divBdr>
        <w:top w:val="none" w:sz="0" w:space="0" w:color="auto"/>
        <w:left w:val="none" w:sz="0" w:space="0" w:color="auto"/>
        <w:bottom w:val="none" w:sz="0" w:space="0" w:color="auto"/>
        <w:right w:val="none" w:sz="0" w:space="0" w:color="auto"/>
      </w:divBdr>
      <w:divsChild>
        <w:div w:id="42872684">
          <w:marLeft w:val="0"/>
          <w:marRight w:val="0"/>
          <w:marTop w:val="0"/>
          <w:marBottom w:val="0"/>
          <w:divBdr>
            <w:top w:val="none" w:sz="0" w:space="0" w:color="auto"/>
            <w:left w:val="none" w:sz="0" w:space="0" w:color="auto"/>
            <w:bottom w:val="none" w:sz="0" w:space="0" w:color="auto"/>
            <w:right w:val="none" w:sz="0" w:space="0" w:color="auto"/>
          </w:divBdr>
          <w:divsChild>
            <w:div w:id="1707752719">
              <w:marLeft w:val="0"/>
              <w:marRight w:val="0"/>
              <w:marTop w:val="0"/>
              <w:marBottom w:val="0"/>
              <w:divBdr>
                <w:top w:val="none" w:sz="0" w:space="0" w:color="auto"/>
                <w:left w:val="none" w:sz="0" w:space="0" w:color="auto"/>
                <w:bottom w:val="none" w:sz="0" w:space="0" w:color="auto"/>
                <w:right w:val="none" w:sz="0" w:space="0" w:color="auto"/>
              </w:divBdr>
              <w:divsChild>
                <w:div w:id="13388901">
                  <w:marLeft w:val="0"/>
                  <w:marRight w:val="0"/>
                  <w:marTop w:val="0"/>
                  <w:marBottom w:val="0"/>
                  <w:divBdr>
                    <w:top w:val="none" w:sz="0" w:space="0" w:color="auto"/>
                    <w:left w:val="none" w:sz="0" w:space="0" w:color="auto"/>
                    <w:bottom w:val="none" w:sz="0" w:space="0" w:color="auto"/>
                    <w:right w:val="none" w:sz="0" w:space="0" w:color="auto"/>
                  </w:divBdr>
                  <w:divsChild>
                    <w:div w:id="20695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7278">
      <w:bodyDiv w:val="1"/>
      <w:marLeft w:val="0"/>
      <w:marRight w:val="0"/>
      <w:marTop w:val="0"/>
      <w:marBottom w:val="0"/>
      <w:divBdr>
        <w:top w:val="none" w:sz="0" w:space="0" w:color="auto"/>
        <w:left w:val="none" w:sz="0" w:space="0" w:color="auto"/>
        <w:bottom w:val="none" w:sz="0" w:space="0" w:color="auto"/>
        <w:right w:val="none" w:sz="0" w:space="0" w:color="auto"/>
      </w:divBdr>
      <w:divsChild>
        <w:div w:id="1533031523">
          <w:marLeft w:val="0"/>
          <w:marRight w:val="0"/>
          <w:marTop w:val="0"/>
          <w:marBottom w:val="0"/>
          <w:divBdr>
            <w:top w:val="none" w:sz="0" w:space="0" w:color="auto"/>
            <w:left w:val="none" w:sz="0" w:space="0" w:color="auto"/>
            <w:bottom w:val="none" w:sz="0" w:space="0" w:color="auto"/>
            <w:right w:val="none" w:sz="0" w:space="0" w:color="auto"/>
          </w:divBdr>
          <w:divsChild>
            <w:div w:id="355159588">
              <w:marLeft w:val="0"/>
              <w:marRight w:val="0"/>
              <w:marTop w:val="0"/>
              <w:marBottom w:val="0"/>
              <w:divBdr>
                <w:top w:val="none" w:sz="0" w:space="0" w:color="auto"/>
                <w:left w:val="none" w:sz="0" w:space="0" w:color="auto"/>
                <w:bottom w:val="none" w:sz="0" w:space="0" w:color="auto"/>
                <w:right w:val="none" w:sz="0" w:space="0" w:color="auto"/>
              </w:divBdr>
              <w:divsChild>
                <w:div w:id="1905411878">
                  <w:marLeft w:val="0"/>
                  <w:marRight w:val="0"/>
                  <w:marTop w:val="0"/>
                  <w:marBottom w:val="0"/>
                  <w:divBdr>
                    <w:top w:val="none" w:sz="0" w:space="0" w:color="auto"/>
                    <w:left w:val="none" w:sz="0" w:space="0" w:color="auto"/>
                    <w:bottom w:val="none" w:sz="0" w:space="0" w:color="auto"/>
                    <w:right w:val="none" w:sz="0" w:space="0" w:color="auto"/>
                  </w:divBdr>
                  <w:divsChild>
                    <w:div w:id="7641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1056">
      <w:bodyDiv w:val="1"/>
      <w:marLeft w:val="0"/>
      <w:marRight w:val="0"/>
      <w:marTop w:val="0"/>
      <w:marBottom w:val="0"/>
      <w:divBdr>
        <w:top w:val="none" w:sz="0" w:space="0" w:color="auto"/>
        <w:left w:val="none" w:sz="0" w:space="0" w:color="auto"/>
        <w:bottom w:val="none" w:sz="0" w:space="0" w:color="auto"/>
        <w:right w:val="none" w:sz="0" w:space="0" w:color="auto"/>
      </w:divBdr>
      <w:divsChild>
        <w:div w:id="449594585">
          <w:marLeft w:val="0"/>
          <w:marRight w:val="0"/>
          <w:marTop w:val="0"/>
          <w:marBottom w:val="0"/>
          <w:divBdr>
            <w:top w:val="none" w:sz="0" w:space="0" w:color="auto"/>
            <w:left w:val="none" w:sz="0" w:space="0" w:color="auto"/>
            <w:bottom w:val="none" w:sz="0" w:space="0" w:color="auto"/>
            <w:right w:val="none" w:sz="0" w:space="0" w:color="auto"/>
          </w:divBdr>
          <w:divsChild>
            <w:div w:id="1074472630">
              <w:marLeft w:val="0"/>
              <w:marRight w:val="0"/>
              <w:marTop w:val="0"/>
              <w:marBottom w:val="0"/>
              <w:divBdr>
                <w:top w:val="none" w:sz="0" w:space="0" w:color="auto"/>
                <w:left w:val="none" w:sz="0" w:space="0" w:color="auto"/>
                <w:bottom w:val="none" w:sz="0" w:space="0" w:color="auto"/>
                <w:right w:val="none" w:sz="0" w:space="0" w:color="auto"/>
              </w:divBdr>
              <w:divsChild>
                <w:div w:id="172956916">
                  <w:marLeft w:val="0"/>
                  <w:marRight w:val="0"/>
                  <w:marTop w:val="0"/>
                  <w:marBottom w:val="0"/>
                  <w:divBdr>
                    <w:top w:val="none" w:sz="0" w:space="0" w:color="auto"/>
                    <w:left w:val="none" w:sz="0" w:space="0" w:color="auto"/>
                    <w:bottom w:val="none" w:sz="0" w:space="0" w:color="auto"/>
                    <w:right w:val="none" w:sz="0" w:space="0" w:color="auto"/>
                  </w:divBdr>
                  <w:divsChild>
                    <w:div w:id="2701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592">
      <w:bodyDiv w:val="1"/>
      <w:marLeft w:val="0"/>
      <w:marRight w:val="0"/>
      <w:marTop w:val="0"/>
      <w:marBottom w:val="0"/>
      <w:divBdr>
        <w:top w:val="none" w:sz="0" w:space="0" w:color="auto"/>
        <w:left w:val="none" w:sz="0" w:space="0" w:color="auto"/>
        <w:bottom w:val="none" w:sz="0" w:space="0" w:color="auto"/>
        <w:right w:val="none" w:sz="0" w:space="0" w:color="auto"/>
      </w:divBdr>
      <w:divsChild>
        <w:div w:id="602616197">
          <w:marLeft w:val="0"/>
          <w:marRight w:val="0"/>
          <w:marTop w:val="0"/>
          <w:marBottom w:val="0"/>
          <w:divBdr>
            <w:top w:val="none" w:sz="0" w:space="0" w:color="auto"/>
            <w:left w:val="none" w:sz="0" w:space="0" w:color="auto"/>
            <w:bottom w:val="none" w:sz="0" w:space="0" w:color="auto"/>
            <w:right w:val="none" w:sz="0" w:space="0" w:color="auto"/>
          </w:divBdr>
          <w:divsChild>
            <w:div w:id="251083708">
              <w:marLeft w:val="0"/>
              <w:marRight w:val="0"/>
              <w:marTop w:val="0"/>
              <w:marBottom w:val="0"/>
              <w:divBdr>
                <w:top w:val="none" w:sz="0" w:space="0" w:color="auto"/>
                <w:left w:val="none" w:sz="0" w:space="0" w:color="auto"/>
                <w:bottom w:val="none" w:sz="0" w:space="0" w:color="auto"/>
                <w:right w:val="none" w:sz="0" w:space="0" w:color="auto"/>
              </w:divBdr>
              <w:divsChild>
                <w:div w:id="6878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9632">
      <w:bodyDiv w:val="1"/>
      <w:marLeft w:val="0"/>
      <w:marRight w:val="0"/>
      <w:marTop w:val="0"/>
      <w:marBottom w:val="0"/>
      <w:divBdr>
        <w:top w:val="none" w:sz="0" w:space="0" w:color="auto"/>
        <w:left w:val="none" w:sz="0" w:space="0" w:color="auto"/>
        <w:bottom w:val="none" w:sz="0" w:space="0" w:color="auto"/>
        <w:right w:val="none" w:sz="0" w:space="0" w:color="auto"/>
      </w:divBdr>
      <w:divsChild>
        <w:div w:id="393819459">
          <w:marLeft w:val="0"/>
          <w:marRight w:val="0"/>
          <w:marTop w:val="0"/>
          <w:marBottom w:val="0"/>
          <w:divBdr>
            <w:top w:val="none" w:sz="0" w:space="0" w:color="auto"/>
            <w:left w:val="none" w:sz="0" w:space="0" w:color="auto"/>
            <w:bottom w:val="none" w:sz="0" w:space="0" w:color="auto"/>
            <w:right w:val="none" w:sz="0" w:space="0" w:color="auto"/>
          </w:divBdr>
          <w:divsChild>
            <w:div w:id="826215068">
              <w:marLeft w:val="0"/>
              <w:marRight w:val="0"/>
              <w:marTop w:val="0"/>
              <w:marBottom w:val="0"/>
              <w:divBdr>
                <w:top w:val="none" w:sz="0" w:space="0" w:color="auto"/>
                <w:left w:val="none" w:sz="0" w:space="0" w:color="auto"/>
                <w:bottom w:val="none" w:sz="0" w:space="0" w:color="auto"/>
                <w:right w:val="none" w:sz="0" w:space="0" w:color="auto"/>
              </w:divBdr>
              <w:divsChild>
                <w:div w:id="14589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982">
      <w:bodyDiv w:val="1"/>
      <w:marLeft w:val="0"/>
      <w:marRight w:val="0"/>
      <w:marTop w:val="0"/>
      <w:marBottom w:val="0"/>
      <w:divBdr>
        <w:top w:val="none" w:sz="0" w:space="0" w:color="auto"/>
        <w:left w:val="none" w:sz="0" w:space="0" w:color="auto"/>
        <w:bottom w:val="none" w:sz="0" w:space="0" w:color="auto"/>
        <w:right w:val="none" w:sz="0" w:space="0" w:color="auto"/>
      </w:divBdr>
      <w:divsChild>
        <w:div w:id="1382902497">
          <w:marLeft w:val="0"/>
          <w:marRight w:val="0"/>
          <w:marTop w:val="0"/>
          <w:marBottom w:val="0"/>
          <w:divBdr>
            <w:top w:val="none" w:sz="0" w:space="0" w:color="auto"/>
            <w:left w:val="none" w:sz="0" w:space="0" w:color="auto"/>
            <w:bottom w:val="none" w:sz="0" w:space="0" w:color="auto"/>
            <w:right w:val="none" w:sz="0" w:space="0" w:color="auto"/>
          </w:divBdr>
          <w:divsChild>
            <w:div w:id="2048411285">
              <w:marLeft w:val="0"/>
              <w:marRight w:val="0"/>
              <w:marTop w:val="0"/>
              <w:marBottom w:val="0"/>
              <w:divBdr>
                <w:top w:val="none" w:sz="0" w:space="0" w:color="auto"/>
                <w:left w:val="none" w:sz="0" w:space="0" w:color="auto"/>
                <w:bottom w:val="none" w:sz="0" w:space="0" w:color="auto"/>
                <w:right w:val="none" w:sz="0" w:space="0" w:color="auto"/>
              </w:divBdr>
              <w:divsChild>
                <w:div w:id="797837803">
                  <w:marLeft w:val="0"/>
                  <w:marRight w:val="0"/>
                  <w:marTop w:val="0"/>
                  <w:marBottom w:val="0"/>
                  <w:divBdr>
                    <w:top w:val="none" w:sz="0" w:space="0" w:color="auto"/>
                    <w:left w:val="none" w:sz="0" w:space="0" w:color="auto"/>
                    <w:bottom w:val="none" w:sz="0" w:space="0" w:color="auto"/>
                    <w:right w:val="none" w:sz="0" w:space="0" w:color="auto"/>
                  </w:divBdr>
                  <w:divsChild>
                    <w:div w:id="4831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4414">
      <w:bodyDiv w:val="1"/>
      <w:marLeft w:val="0"/>
      <w:marRight w:val="0"/>
      <w:marTop w:val="0"/>
      <w:marBottom w:val="0"/>
      <w:divBdr>
        <w:top w:val="none" w:sz="0" w:space="0" w:color="auto"/>
        <w:left w:val="none" w:sz="0" w:space="0" w:color="auto"/>
        <w:bottom w:val="none" w:sz="0" w:space="0" w:color="auto"/>
        <w:right w:val="none" w:sz="0" w:space="0" w:color="auto"/>
      </w:divBdr>
      <w:divsChild>
        <w:div w:id="1945922403">
          <w:marLeft w:val="0"/>
          <w:marRight w:val="0"/>
          <w:marTop w:val="0"/>
          <w:marBottom w:val="0"/>
          <w:divBdr>
            <w:top w:val="none" w:sz="0" w:space="0" w:color="auto"/>
            <w:left w:val="none" w:sz="0" w:space="0" w:color="auto"/>
            <w:bottom w:val="none" w:sz="0" w:space="0" w:color="auto"/>
            <w:right w:val="none" w:sz="0" w:space="0" w:color="auto"/>
          </w:divBdr>
          <w:divsChild>
            <w:div w:id="718943579">
              <w:marLeft w:val="0"/>
              <w:marRight w:val="0"/>
              <w:marTop w:val="0"/>
              <w:marBottom w:val="0"/>
              <w:divBdr>
                <w:top w:val="none" w:sz="0" w:space="0" w:color="auto"/>
                <w:left w:val="none" w:sz="0" w:space="0" w:color="auto"/>
                <w:bottom w:val="none" w:sz="0" w:space="0" w:color="auto"/>
                <w:right w:val="none" w:sz="0" w:space="0" w:color="auto"/>
              </w:divBdr>
              <w:divsChild>
                <w:div w:id="990327686">
                  <w:marLeft w:val="0"/>
                  <w:marRight w:val="0"/>
                  <w:marTop w:val="0"/>
                  <w:marBottom w:val="0"/>
                  <w:divBdr>
                    <w:top w:val="none" w:sz="0" w:space="0" w:color="auto"/>
                    <w:left w:val="none" w:sz="0" w:space="0" w:color="auto"/>
                    <w:bottom w:val="none" w:sz="0" w:space="0" w:color="auto"/>
                    <w:right w:val="none" w:sz="0" w:space="0" w:color="auto"/>
                  </w:divBdr>
                </w:div>
              </w:divsChild>
            </w:div>
            <w:div w:id="1583368155">
              <w:marLeft w:val="0"/>
              <w:marRight w:val="0"/>
              <w:marTop w:val="0"/>
              <w:marBottom w:val="0"/>
              <w:divBdr>
                <w:top w:val="none" w:sz="0" w:space="0" w:color="auto"/>
                <w:left w:val="none" w:sz="0" w:space="0" w:color="auto"/>
                <w:bottom w:val="none" w:sz="0" w:space="0" w:color="auto"/>
                <w:right w:val="none" w:sz="0" w:space="0" w:color="auto"/>
              </w:divBdr>
              <w:divsChild>
                <w:div w:id="9554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38885">
      <w:bodyDiv w:val="1"/>
      <w:marLeft w:val="0"/>
      <w:marRight w:val="0"/>
      <w:marTop w:val="0"/>
      <w:marBottom w:val="0"/>
      <w:divBdr>
        <w:top w:val="none" w:sz="0" w:space="0" w:color="auto"/>
        <w:left w:val="none" w:sz="0" w:space="0" w:color="auto"/>
        <w:bottom w:val="none" w:sz="0" w:space="0" w:color="auto"/>
        <w:right w:val="none" w:sz="0" w:space="0" w:color="auto"/>
      </w:divBdr>
      <w:divsChild>
        <w:div w:id="932279076">
          <w:marLeft w:val="0"/>
          <w:marRight w:val="0"/>
          <w:marTop w:val="0"/>
          <w:marBottom w:val="0"/>
          <w:divBdr>
            <w:top w:val="none" w:sz="0" w:space="0" w:color="auto"/>
            <w:left w:val="none" w:sz="0" w:space="0" w:color="auto"/>
            <w:bottom w:val="none" w:sz="0" w:space="0" w:color="auto"/>
            <w:right w:val="none" w:sz="0" w:space="0" w:color="auto"/>
          </w:divBdr>
          <w:divsChild>
            <w:div w:id="440417936">
              <w:marLeft w:val="0"/>
              <w:marRight w:val="0"/>
              <w:marTop w:val="0"/>
              <w:marBottom w:val="0"/>
              <w:divBdr>
                <w:top w:val="none" w:sz="0" w:space="0" w:color="auto"/>
                <w:left w:val="none" w:sz="0" w:space="0" w:color="auto"/>
                <w:bottom w:val="none" w:sz="0" w:space="0" w:color="auto"/>
                <w:right w:val="none" w:sz="0" w:space="0" w:color="auto"/>
              </w:divBdr>
              <w:divsChild>
                <w:div w:id="1153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4091">
      <w:bodyDiv w:val="1"/>
      <w:marLeft w:val="0"/>
      <w:marRight w:val="0"/>
      <w:marTop w:val="0"/>
      <w:marBottom w:val="0"/>
      <w:divBdr>
        <w:top w:val="none" w:sz="0" w:space="0" w:color="auto"/>
        <w:left w:val="none" w:sz="0" w:space="0" w:color="auto"/>
        <w:bottom w:val="none" w:sz="0" w:space="0" w:color="auto"/>
        <w:right w:val="none" w:sz="0" w:space="0" w:color="auto"/>
      </w:divBdr>
      <w:divsChild>
        <w:div w:id="1790202004">
          <w:marLeft w:val="0"/>
          <w:marRight w:val="0"/>
          <w:marTop w:val="0"/>
          <w:marBottom w:val="0"/>
          <w:divBdr>
            <w:top w:val="none" w:sz="0" w:space="0" w:color="auto"/>
            <w:left w:val="none" w:sz="0" w:space="0" w:color="auto"/>
            <w:bottom w:val="none" w:sz="0" w:space="0" w:color="auto"/>
            <w:right w:val="none" w:sz="0" w:space="0" w:color="auto"/>
          </w:divBdr>
          <w:divsChild>
            <w:div w:id="1024676475">
              <w:marLeft w:val="0"/>
              <w:marRight w:val="0"/>
              <w:marTop w:val="0"/>
              <w:marBottom w:val="0"/>
              <w:divBdr>
                <w:top w:val="none" w:sz="0" w:space="0" w:color="auto"/>
                <w:left w:val="none" w:sz="0" w:space="0" w:color="auto"/>
                <w:bottom w:val="none" w:sz="0" w:space="0" w:color="auto"/>
                <w:right w:val="none" w:sz="0" w:space="0" w:color="auto"/>
              </w:divBdr>
              <w:divsChild>
                <w:div w:id="539825895">
                  <w:marLeft w:val="0"/>
                  <w:marRight w:val="0"/>
                  <w:marTop w:val="0"/>
                  <w:marBottom w:val="0"/>
                  <w:divBdr>
                    <w:top w:val="none" w:sz="0" w:space="0" w:color="auto"/>
                    <w:left w:val="none" w:sz="0" w:space="0" w:color="auto"/>
                    <w:bottom w:val="none" w:sz="0" w:space="0" w:color="auto"/>
                    <w:right w:val="none" w:sz="0" w:space="0" w:color="auto"/>
                  </w:divBdr>
                  <w:divsChild>
                    <w:div w:id="1108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58216">
      <w:bodyDiv w:val="1"/>
      <w:marLeft w:val="0"/>
      <w:marRight w:val="0"/>
      <w:marTop w:val="0"/>
      <w:marBottom w:val="0"/>
      <w:divBdr>
        <w:top w:val="none" w:sz="0" w:space="0" w:color="auto"/>
        <w:left w:val="none" w:sz="0" w:space="0" w:color="auto"/>
        <w:bottom w:val="none" w:sz="0" w:space="0" w:color="auto"/>
        <w:right w:val="none" w:sz="0" w:space="0" w:color="auto"/>
      </w:divBdr>
      <w:divsChild>
        <w:div w:id="1607493334">
          <w:marLeft w:val="0"/>
          <w:marRight w:val="0"/>
          <w:marTop w:val="0"/>
          <w:marBottom w:val="0"/>
          <w:divBdr>
            <w:top w:val="none" w:sz="0" w:space="0" w:color="auto"/>
            <w:left w:val="none" w:sz="0" w:space="0" w:color="auto"/>
            <w:bottom w:val="none" w:sz="0" w:space="0" w:color="auto"/>
            <w:right w:val="none" w:sz="0" w:space="0" w:color="auto"/>
          </w:divBdr>
          <w:divsChild>
            <w:div w:id="1666979644">
              <w:marLeft w:val="0"/>
              <w:marRight w:val="0"/>
              <w:marTop w:val="0"/>
              <w:marBottom w:val="0"/>
              <w:divBdr>
                <w:top w:val="none" w:sz="0" w:space="0" w:color="auto"/>
                <w:left w:val="none" w:sz="0" w:space="0" w:color="auto"/>
                <w:bottom w:val="none" w:sz="0" w:space="0" w:color="auto"/>
                <w:right w:val="none" w:sz="0" w:space="0" w:color="auto"/>
              </w:divBdr>
              <w:divsChild>
                <w:div w:id="7701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14">
      <w:bodyDiv w:val="1"/>
      <w:marLeft w:val="0"/>
      <w:marRight w:val="0"/>
      <w:marTop w:val="0"/>
      <w:marBottom w:val="0"/>
      <w:divBdr>
        <w:top w:val="none" w:sz="0" w:space="0" w:color="auto"/>
        <w:left w:val="none" w:sz="0" w:space="0" w:color="auto"/>
        <w:bottom w:val="none" w:sz="0" w:space="0" w:color="auto"/>
        <w:right w:val="none" w:sz="0" w:space="0" w:color="auto"/>
      </w:divBdr>
      <w:divsChild>
        <w:div w:id="1731268421">
          <w:marLeft w:val="0"/>
          <w:marRight w:val="0"/>
          <w:marTop w:val="0"/>
          <w:marBottom w:val="0"/>
          <w:divBdr>
            <w:top w:val="none" w:sz="0" w:space="0" w:color="auto"/>
            <w:left w:val="none" w:sz="0" w:space="0" w:color="auto"/>
            <w:bottom w:val="none" w:sz="0" w:space="0" w:color="auto"/>
            <w:right w:val="none" w:sz="0" w:space="0" w:color="auto"/>
          </w:divBdr>
          <w:divsChild>
            <w:div w:id="78915706">
              <w:marLeft w:val="0"/>
              <w:marRight w:val="0"/>
              <w:marTop w:val="0"/>
              <w:marBottom w:val="0"/>
              <w:divBdr>
                <w:top w:val="none" w:sz="0" w:space="0" w:color="auto"/>
                <w:left w:val="none" w:sz="0" w:space="0" w:color="auto"/>
                <w:bottom w:val="none" w:sz="0" w:space="0" w:color="auto"/>
                <w:right w:val="none" w:sz="0" w:space="0" w:color="auto"/>
              </w:divBdr>
              <w:divsChild>
                <w:div w:id="188495472">
                  <w:marLeft w:val="0"/>
                  <w:marRight w:val="0"/>
                  <w:marTop w:val="0"/>
                  <w:marBottom w:val="0"/>
                  <w:divBdr>
                    <w:top w:val="none" w:sz="0" w:space="0" w:color="auto"/>
                    <w:left w:val="none" w:sz="0" w:space="0" w:color="auto"/>
                    <w:bottom w:val="none" w:sz="0" w:space="0" w:color="auto"/>
                    <w:right w:val="none" w:sz="0" w:space="0" w:color="auto"/>
                  </w:divBdr>
                  <w:divsChild>
                    <w:div w:id="2092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5254">
      <w:bodyDiv w:val="1"/>
      <w:marLeft w:val="0"/>
      <w:marRight w:val="0"/>
      <w:marTop w:val="0"/>
      <w:marBottom w:val="0"/>
      <w:divBdr>
        <w:top w:val="none" w:sz="0" w:space="0" w:color="auto"/>
        <w:left w:val="none" w:sz="0" w:space="0" w:color="auto"/>
        <w:bottom w:val="none" w:sz="0" w:space="0" w:color="auto"/>
        <w:right w:val="none" w:sz="0" w:space="0" w:color="auto"/>
      </w:divBdr>
      <w:divsChild>
        <w:div w:id="1254822142">
          <w:marLeft w:val="0"/>
          <w:marRight w:val="0"/>
          <w:marTop w:val="0"/>
          <w:marBottom w:val="0"/>
          <w:divBdr>
            <w:top w:val="none" w:sz="0" w:space="0" w:color="auto"/>
            <w:left w:val="none" w:sz="0" w:space="0" w:color="auto"/>
            <w:bottom w:val="none" w:sz="0" w:space="0" w:color="auto"/>
            <w:right w:val="none" w:sz="0" w:space="0" w:color="auto"/>
          </w:divBdr>
          <w:divsChild>
            <w:div w:id="1652442819">
              <w:marLeft w:val="0"/>
              <w:marRight w:val="0"/>
              <w:marTop w:val="0"/>
              <w:marBottom w:val="0"/>
              <w:divBdr>
                <w:top w:val="none" w:sz="0" w:space="0" w:color="auto"/>
                <w:left w:val="none" w:sz="0" w:space="0" w:color="auto"/>
                <w:bottom w:val="none" w:sz="0" w:space="0" w:color="auto"/>
                <w:right w:val="none" w:sz="0" w:space="0" w:color="auto"/>
              </w:divBdr>
              <w:divsChild>
                <w:div w:id="1388605917">
                  <w:marLeft w:val="0"/>
                  <w:marRight w:val="0"/>
                  <w:marTop w:val="0"/>
                  <w:marBottom w:val="0"/>
                  <w:divBdr>
                    <w:top w:val="none" w:sz="0" w:space="0" w:color="auto"/>
                    <w:left w:val="none" w:sz="0" w:space="0" w:color="auto"/>
                    <w:bottom w:val="none" w:sz="0" w:space="0" w:color="auto"/>
                    <w:right w:val="none" w:sz="0" w:space="0" w:color="auto"/>
                  </w:divBdr>
                  <w:divsChild>
                    <w:div w:id="2005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50053">
      <w:bodyDiv w:val="1"/>
      <w:marLeft w:val="0"/>
      <w:marRight w:val="0"/>
      <w:marTop w:val="0"/>
      <w:marBottom w:val="0"/>
      <w:divBdr>
        <w:top w:val="none" w:sz="0" w:space="0" w:color="auto"/>
        <w:left w:val="none" w:sz="0" w:space="0" w:color="auto"/>
        <w:bottom w:val="none" w:sz="0" w:space="0" w:color="auto"/>
        <w:right w:val="none" w:sz="0" w:space="0" w:color="auto"/>
      </w:divBdr>
      <w:divsChild>
        <w:div w:id="1903709091">
          <w:marLeft w:val="0"/>
          <w:marRight w:val="0"/>
          <w:marTop w:val="0"/>
          <w:marBottom w:val="0"/>
          <w:divBdr>
            <w:top w:val="none" w:sz="0" w:space="0" w:color="auto"/>
            <w:left w:val="none" w:sz="0" w:space="0" w:color="auto"/>
            <w:bottom w:val="none" w:sz="0" w:space="0" w:color="auto"/>
            <w:right w:val="none" w:sz="0" w:space="0" w:color="auto"/>
          </w:divBdr>
          <w:divsChild>
            <w:div w:id="1920017714">
              <w:marLeft w:val="0"/>
              <w:marRight w:val="0"/>
              <w:marTop w:val="0"/>
              <w:marBottom w:val="0"/>
              <w:divBdr>
                <w:top w:val="none" w:sz="0" w:space="0" w:color="auto"/>
                <w:left w:val="none" w:sz="0" w:space="0" w:color="auto"/>
                <w:bottom w:val="none" w:sz="0" w:space="0" w:color="auto"/>
                <w:right w:val="none" w:sz="0" w:space="0" w:color="auto"/>
              </w:divBdr>
              <w:divsChild>
                <w:div w:id="1620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1882">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5">
          <w:marLeft w:val="0"/>
          <w:marRight w:val="0"/>
          <w:marTop w:val="0"/>
          <w:marBottom w:val="0"/>
          <w:divBdr>
            <w:top w:val="none" w:sz="0" w:space="0" w:color="auto"/>
            <w:left w:val="none" w:sz="0" w:space="0" w:color="auto"/>
            <w:bottom w:val="none" w:sz="0" w:space="0" w:color="auto"/>
            <w:right w:val="none" w:sz="0" w:space="0" w:color="auto"/>
          </w:divBdr>
          <w:divsChild>
            <w:div w:id="1898738255">
              <w:marLeft w:val="0"/>
              <w:marRight w:val="0"/>
              <w:marTop w:val="0"/>
              <w:marBottom w:val="0"/>
              <w:divBdr>
                <w:top w:val="none" w:sz="0" w:space="0" w:color="auto"/>
                <w:left w:val="none" w:sz="0" w:space="0" w:color="auto"/>
                <w:bottom w:val="none" w:sz="0" w:space="0" w:color="auto"/>
                <w:right w:val="none" w:sz="0" w:space="0" w:color="auto"/>
              </w:divBdr>
              <w:divsChild>
                <w:div w:id="20655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1783">
      <w:bodyDiv w:val="1"/>
      <w:marLeft w:val="0"/>
      <w:marRight w:val="0"/>
      <w:marTop w:val="0"/>
      <w:marBottom w:val="0"/>
      <w:divBdr>
        <w:top w:val="none" w:sz="0" w:space="0" w:color="auto"/>
        <w:left w:val="none" w:sz="0" w:space="0" w:color="auto"/>
        <w:bottom w:val="none" w:sz="0" w:space="0" w:color="auto"/>
        <w:right w:val="none" w:sz="0" w:space="0" w:color="auto"/>
      </w:divBdr>
      <w:divsChild>
        <w:div w:id="550383114">
          <w:marLeft w:val="0"/>
          <w:marRight w:val="0"/>
          <w:marTop w:val="0"/>
          <w:marBottom w:val="0"/>
          <w:divBdr>
            <w:top w:val="none" w:sz="0" w:space="0" w:color="auto"/>
            <w:left w:val="none" w:sz="0" w:space="0" w:color="auto"/>
            <w:bottom w:val="none" w:sz="0" w:space="0" w:color="auto"/>
            <w:right w:val="none" w:sz="0" w:space="0" w:color="auto"/>
          </w:divBdr>
          <w:divsChild>
            <w:div w:id="807822110">
              <w:marLeft w:val="0"/>
              <w:marRight w:val="0"/>
              <w:marTop w:val="0"/>
              <w:marBottom w:val="0"/>
              <w:divBdr>
                <w:top w:val="none" w:sz="0" w:space="0" w:color="auto"/>
                <w:left w:val="none" w:sz="0" w:space="0" w:color="auto"/>
                <w:bottom w:val="none" w:sz="0" w:space="0" w:color="auto"/>
                <w:right w:val="none" w:sz="0" w:space="0" w:color="auto"/>
              </w:divBdr>
              <w:divsChild>
                <w:div w:id="8606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9139">
      <w:bodyDiv w:val="1"/>
      <w:marLeft w:val="0"/>
      <w:marRight w:val="0"/>
      <w:marTop w:val="0"/>
      <w:marBottom w:val="0"/>
      <w:divBdr>
        <w:top w:val="none" w:sz="0" w:space="0" w:color="auto"/>
        <w:left w:val="none" w:sz="0" w:space="0" w:color="auto"/>
        <w:bottom w:val="none" w:sz="0" w:space="0" w:color="auto"/>
        <w:right w:val="none" w:sz="0" w:space="0" w:color="auto"/>
      </w:divBdr>
      <w:divsChild>
        <w:div w:id="301346748">
          <w:marLeft w:val="0"/>
          <w:marRight w:val="0"/>
          <w:marTop w:val="0"/>
          <w:marBottom w:val="0"/>
          <w:divBdr>
            <w:top w:val="none" w:sz="0" w:space="0" w:color="auto"/>
            <w:left w:val="none" w:sz="0" w:space="0" w:color="auto"/>
            <w:bottom w:val="none" w:sz="0" w:space="0" w:color="auto"/>
            <w:right w:val="none" w:sz="0" w:space="0" w:color="auto"/>
          </w:divBdr>
          <w:divsChild>
            <w:div w:id="864824624">
              <w:marLeft w:val="0"/>
              <w:marRight w:val="0"/>
              <w:marTop w:val="0"/>
              <w:marBottom w:val="0"/>
              <w:divBdr>
                <w:top w:val="none" w:sz="0" w:space="0" w:color="auto"/>
                <w:left w:val="none" w:sz="0" w:space="0" w:color="auto"/>
                <w:bottom w:val="none" w:sz="0" w:space="0" w:color="auto"/>
                <w:right w:val="none" w:sz="0" w:space="0" w:color="auto"/>
              </w:divBdr>
              <w:divsChild>
                <w:div w:id="35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5436">
      <w:bodyDiv w:val="1"/>
      <w:marLeft w:val="0"/>
      <w:marRight w:val="0"/>
      <w:marTop w:val="0"/>
      <w:marBottom w:val="0"/>
      <w:divBdr>
        <w:top w:val="none" w:sz="0" w:space="0" w:color="auto"/>
        <w:left w:val="none" w:sz="0" w:space="0" w:color="auto"/>
        <w:bottom w:val="none" w:sz="0" w:space="0" w:color="auto"/>
        <w:right w:val="none" w:sz="0" w:space="0" w:color="auto"/>
      </w:divBdr>
      <w:divsChild>
        <w:div w:id="1162625595">
          <w:marLeft w:val="0"/>
          <w:marRight w:val="0"/>
          <w:marTop w:val="0"/>
          <w:marBottom w:val="0"/>
          <w:divBdr>
            <w:top w:val="none" w:sz="0" w:space="0" w:color="auto"/>
            <w:left w:val="none" w:sz="0" w:space="0" w:color="auto"/>
            <w:bottom w:val="none" w:sz="0" w:space="0" w:color="auto"/>
            <w:right w:val="none" w:sz="0" w:space="0" w:color="auto"/>
          </w:divBdr>
          <w:divsChild>
            <w:div w:id="1889297410">
              <w:marLeft w:val="0"/>
              <w:marRight w:val="0"/>
              <w:marTop w:val="0"/>
              <w:marBottom w:val="0"/>
              <w:divBdr>
                <w:top w:val="none" w:sz="0" w:space="0" w:color="auto"/>
                <w:left w:val="none" w:sz="0" w:space="0" w:color="auto"/>
                <w:bottom w:val="none" w:sz="0" w:space="0" w:color="auto"/>
                <w:right w:val="none" w:sz="0" w:space="0" w:color="auto"/>
              </w:divBdr>
              <w:divsChild>
                <w:div w:id="146560933">
                  <w:marLeft w:val="0"/>
                  <w:marRight w:val="0"/>
                  <w:marTop w:val="0"/>
                  <w:marBottom w:val="0"/>
                  <w:divBdr>
                    <w:top w:val="none" w:sz="0" w:space="0" w:color="auto"/>
                    <w:left w:val="none" w:sz="0" w:space="0" w:color="auto"/>
                    <w:bottom w:val="none" w:sz="0" w:space="0" w:color="auto"/>
                    <w:right w:val="none" w:sz="0" w:space="0" w:color="auto"/>
                  </w:divBdr>
                  <w:divsChild>
                    <w:div w:id="656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2228">
      <w:bodyDiv w:val="1"/>
      <w:marLeft w:val="0"/>
      <w:marRight w:val="0"/>
      <w:marTop w:val="0"/>
      <w:marBottom w:val="0"/>
      <w:divBdr>
        <w:top w:val="none" w:sz="0" w:space="0" w:color="auto"/>
        <w:left w:val="none" w:sz="0" w:space="0" w:color="auto"/>
        <w:bottom w:val="none" w:sz="0" w:space="0" w:color="auto"/>
        <w:right w:val="none" w:sz="0" w:space="0" w:color="auto"/>
      </w:divBdr>
      <w:divsChild>
        <w:div w:id="1197894336">
          <w:marLeft w:val="0"/>
          <w:marRight w:val="0"/>
          <w:marTop w:val="0"/>
          <w:marBottom w:val="0"/>
          <w:divBdr>
            <w:top w:val="none" w:sz="0" w:space="0" w:color="auto"/>
            <w:left w:val="none" w:sz="0" w:space="0" w:color="auto"/>
            <w:bottom w:val="none" w:sz="0" w:space="0" w:color="auto"/>
            <w:right w:val="none" w:sz="0" w:space="0" w:color="auto"/>
          </w:divBdr>
          <w:divsChild>
            <w:div w:id="920409039">
              <w:marLeft w:val="0"/>
              <w:marRight w:val="0"/>
              <w:marTop w:val="0"/>
              <w:marBottom w:val="0"/>
              <w:divBdr>
                <w:top w:val="none" w:sz="0" w:space="0" w:color="auto"/>
                <w:left w:val="none" w:sz="0" w:space="0" w:color="auto"/>
                <w:bottom w:val="none" w:sz="0" w:space="0" w:color="auto"/>
                <w:right w:val="none" w:sz="0" w:space="0" w:color="auto"/>
              </w:divBdr>
              <w:divsChild>
                <w:div w:id="800535300">
                  <w:marLeft w:val="0"/>
                  <w:marRight w:val="0"/>
                  <w:marTop w:val="0"/>
                  <w:marBottom w:val="0"/>
                  <w:divBdr>
                    <w:top w:val="none" w:sz="0" w:space="0" w:color="auto"/>
                    <w:left w:val="none" w:sz="0" w:space="0" w:color="auto"/>
                    <w:bottom w:val="none" w:sz="0" w:space="0" w:color="auto"/>
                    <w:right w:val="none" w:sz="0" w:space="0" w:color="auto"/>
                  </w:divBdr>
                  <w:divsChild>
                    <w:div w:id="16394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9508">
      <w:bodyDiv w:val="1"/>
      <w:marLeft w:val="0"/>
      <w:marRight w:val="0"/>
      <w:marTop w:val="0"/>
      <w:marBottom w:val="0"/>
      <w:divBdr>
        <w:top w:val="none" w:sz="0" w:space="0" w:color="auto"/>
        <w:left w:val="none" w:sz="0" w:space="0" w:color="auto"/>
        <w:bottom w:val="none" w:sz="0" w:space="0" w:color="auto"/>
        <w:right w:val="none" w:sz="0" w:space="0" w:color="auto"/>
      </w:divBdr>
      <w:divsChild>
        <w:div w:id="1705322421">
          <w:marLeft w:val="0"/>
          <w:marRight w:val="0"/>
          <w:marTop w:val="0"/>
          <w:marBottom w:val="0"/>
          <w:divBdr>
            <w:top w:val="none" w:sz="0" w:space="0" w:color="auto"/>
            <w:left w:val="none" w:sz="0" w:space="0" w:color="auto"/>
            <w:bottom w:val="none" w:sz="0" w:space="0" w:color="auto"/>
            <w:right w:val="none" w:sz="0" w:space="0" w:color="auto"/>
          </w:divBdr>
          <w:divsChild>
            <w:div w:id="520968828">
              <w:marLeft w:val="0"/>
              <w:marRight w:val="0"/>
              <w:marTop w:val="0"/>
              <w:marBottom w:val="0"/>
              <w:divBdr>
                <w:top w:val="none" w:sz="0" w:space="0" w:color="auto"/>
                <w:left w:val="none" w:sz="0" w:space="0" w:color="auto"/>
                <w:bottom w:val="none" w:sz="0" w:space="0" w:color="auto"/>
                <w:right w:val="none" w:sz="0" w:space="0" w:color="auto"/>
              </w:divBdr>
              <w:divsChild>
                <w:div w:id="1595742220">
                  <w:marLeft w:val="0"/>
                  <w:marRight w:val="0"/>
                  <w:marTop w:val="0"/>
                  <w:marBottom w:val="0"/>
                  <w:divBdr>
                    <w:top w:val="none" w:sz="0" w:space="0" w:color="auto"/>
                    <w:left w:val="none" w:sz="0" w:space="0" w:color="auto"/>
                    <w:bottom w:val="none" w:sz="0" w:space="0" w:color="auto"/>
                    <w:right w:val="none" w:sz="0" w:space="0" w:color="auto"/>
                  </w:divBdr>
                  <w:divsChild>
                    <w:div w:id="402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6007">
      <w:bodyDiv w:val="1"/>
      <w:marLeft w:val="0"/>
      <w:marRight w:val="0"/>
      <w:marTop w:val="0"/>
      <w:marBottom w:val="0"/>
      <w:divBdr>
        <w:top w:val="none" w:sz="0" w:space="0" w:color="auto"/>
        <w:left w:val="none" w:sz="0" w:space="0" w:color="auto"/>
        <w:bottom w:val="none" w:sz="0" w:space="0" w:color="auto"/>
        <w:right w:val="none" w:sz="0" w:space="0" w:color="auto"/>
      </w:divBdr>
      <w:divsChild>
        <w:div w:id="354159816">
          <w:marLeft w:val="0"/>
          <w:marRight w:val="0"/>
          <w:marTop w:val="0"/>
          <w:marBottom w:val="0"/>
          <w:divBdr>
            <w:top w:val="none" w:sz="0" w:space="0" w:color="auto"/>
            <w:left w:val="none" w:sz="0" w:space="0" w:color="auto"/>
            <w:bottom w:val="none" w:sz="0" w:space="0" w:color="auto"/>
            <w:right w:val="none" w:sz="0" w:space="0" w:color="auto"/>
          </w:divBdr>
          <w:divsChild>
            <w:div w:id="864056856">
              <w:marLeft w:val="0"/>
              <w:marRight w:val="0"/>
              <w:marTop w:val="0"/>
              <w:marBottom w:val="0"/>
              <w:divBdr>
                <w:top w:val="none" w:sz="0" w:space="0" w:color="auto"/>
                <w:left w:val="none" w:sz="0" w:space="0" w:color="auto"/>
                <w:bottom w:val="none" w:sz="0" w:space="0" w:color="auto"/>
                <w:right w:val="none" w:sz="0" w:space="0" w:color="auto"/>
              </w:divBdr>
              <w:divsChild>
                <w:div w:id="1106927003">
                  <w:marLeft w:val="0"/>
                  <w:marRight w:val="0"/>
                  <w:marTop w:val="0"/>
                  <w:marBottom w:val="0"/>
                  <w:divBdr>
                    <w:top w:val="none" w:sz="0" w:space="0" w:color="auto"/>
                    <w:left w:val="none" w:sz="0" w:space="0" w:color="auto"/>
                    <w:bottom w:val="none" w:sz="0" w:space="0" w:color="auto"/>
                    <w:right w:val="none" w:sz="0" w:space="0" w:color="auto"/>
                  </w:divBdr>
                  <w:divsChild>
                    <w:div w:id="147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93809">
      <w:bodyDiv w:val="1"/>
      <w:marLeft w:val="0"/>
      <w:marRight w:val="0"/>
      <w:marTop w:val="0"/>
      <w:marBottom w:val="0"/>
      <w:divBdr>
        <w:top w:val="none" w:sz="0" w:space="0" w:color="auto"/>
        <w:left w:val="none" w:sz="0" w:space="0" w:color="auto"/>
        <w:bottom w:val="none" w:sz="0" w:space="0" w:color="auto"/>
        <w:right w:val="none" w:sz="0" w:space="0" w:color="auto"/>
      </w:divBdr>
      <w:divsChild>
        <w:div w:id="1150906845">
          <w:marLeft w:val="0"/>
          <w:marRight w:val="0"/>
          <w:marTop w:val="0"/>
          <w:marBottom w:val="0"/>
          <w:divBdr>
            <w:top w:val="none" w:sz="0" w:space="0" w:color="auto"/>
            <w:left w:val="none" w:sz="0" w:space="0" w:color="auto"/>
            <w:bottom w:val="none" w:sz="0" w:space="0" w:color="auto"/>
            <w:right w:val="none" w:sz="0" w:space="0" w:color="auto"/>
          </w:divBdr>
          <w:divsChild>
            <w:div w:id="236282308">
              <w:marLeft w:val="0"/>
              <w:marRight w:val="0"/>
              <w:marTop w:val="0"/>
              <w:marBottom w:val="0"/>
              <w:divBdr>
                <w:top w:val="none" w:sz="0" w:space="0" w:color="auto"/>
                <w:left w:val="none" w:sz="0" w:space="0" w:color="auto"/>
                <w:bottom w:val="none" w:sz="0" w:space="0" w:color="auto"/>
                <w:right w:val="none" w:sz="0" w:space="0" w:color="auto"/>
              </w:divBdr>
              <w:divsChild>
                <w:div w:id="233778653">
                  <w:marLeft w:val="0"/>
                  <w:marRight w:val="0"/>
                  <w:marTop w:val="0"/>
                  <w:marBottom w:val="0"/>
                  <w:divBdr>
                    <w:top w:val="none" w:sz="0" w:space="0" w:color="auto"/>
                    <w:left w:val="none" w:sz="0" w:space="0" w:color="auto"/>
                    <w:bottom w:val="none" w:sz="0" w:space="0" w:color="auto"/>
                    <w:right w:val="none" w:sz="0" w:space="0" w:color="auto"/>
                  </w:divBdr>
                  <w:divsChild>
                    <w:div w:id="4632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3125">
      <w:bodyDiv w:val="1"/>
      <w:marLeft w:val="0"/>
      <w:marRight w:val="0"/>
      <w:marTop w:val="0"/>
      <w:marBottom w:val="0"/>
      <w:divBdr>
        <w:top w:val="none" w:sz="0" w:space="0" w:color="auto"/>
        <w:left w:val="none" w:sz="0" w:space="0" w:color="auto"/>
        <w:bottom w:val="none" w:sz="0" w:space="0" w:color="auto"/>
        <w:right w:val="none" w:sz="0" w:space="0" w:color="auto"/>
      </w:divBdr>
      <w:divsChild>
        <w:div w:id="1783110573">
          <w:marLeft w:val="0"/>
          <w:marRight w:val="0"/>
          <w:marTop w:val="0"/>
          <w:marBottom w:val="0"/>
          <w:divBdr>
            <w:top w:val="none" w:sz="0" w:space="0" w:color="auto"/>
            <w:left w:val="none" w:sz="0" w:space="0" w:color="auto"/>
            <w:bottom w:val="none" w:sz="0" w:space="0" w:color="auto"/>
            <w:right w:val="none" w:sz="0" w:space="0" w:color="auto"/>
          </w:divBdr>
          <w:divsChild>
            <w:div w:id="1438869030">
              <w:marLeft w:val="0"/>
              <w:marRight w:val="0"/>
              <w:marTop w:val="0"/>
              <w:marBottom w:val="0"/>
              <w:divBdr>
                <w:top w:val="none" w:sz="0" w:space="0" w:color="auto"/>
                <w:left w:val="none" w:sz="0" w:space="0" w:color="auto"/>
                <w:bottom w:val="none" w:sz="0" w:space="0" w:color="auto"/>
                <w:right w:val="none" w:sz="0" w:space="0" w:color="auto"/>
              </w:divBdr>
              <w:divsChild>
                <w:div w:id="685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17476">
      <w:bodyDiv w:val="1"/>
      <w:marLeft w:val="0"/>
      <w:marRight w:val="0"/>
      <w:marTop w:val="0"/>
      <w:marBottom w:val="0"/>
      <w:divBdr>
        <w:top w:val="none" w:sz="0" w:space="0" w:color="auto"/>
        <w:left w:val="none" w:sz="0" w:space="0" w:color="auto"/>
        <w:bottom w:val="none" w:sz="0" w:space="0" w:color="auto"/>
        <w:right w:val="none" w:sz="0" w:space="0" w:color="auto"/>
      </w:divBdr>
      <w:divsChild>
        <w:div w:id="103765814">
          <w:marLeft w:val="0"/>
          <w:marRight w:val="0"/>
          <w:marTop w:val="0"/>
          <w:marBottom w:val="0"/>
          <w:divBdr>
            <w:top w:val="none" w:sz="0" w:space="0" w:color="auto"/>
            <w:left w:val="none" w:sz="0" w:space="0" w:color="auto"/>
            <w:bottom w:val="none" w:sz="0" w:space="0" w:color="auto"/>
            <w:right w:val="none" w:sz="0" w:space="0" w:color="auto"/>
          </w:divBdr>
          <w:divsChild>
            <w:div w:id="1113984902">
              <w:marLeft w:val="0"/>
              <w:marRight w:val="0"/>
              <w:marTop w:val="0"/>
              <w:marBottom w:val="0"/>
              <w:divBdr>
                <w:top w:val="none" w:sz="0" w:space="0" w:color="auto"/>
                <w:left w:val="none" w:sz="0" w:space="0" w:color="auto"/>
                <w:bottom w:val="none" w:sz="0" w:space="0" w:color="auto"/>
                <w:right w:val="none" w:sz="0" w:space="0" w:color="auto"/>
              </w:divBdr>
              <w:divsChild>
                <w:div w:id="1480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3089">
      <w:bodyDiv w:val="1"/>
      <w:marLeft w:val="0"/>
      <w:marRight w:val="0"/>
      <w:marTop w:val="0"/>
      <w:marBottom w:val="0"/>
      <w:divBdr>
        <w:top w:val="none" w:sz="0" w:space="0" w:color="auto"/>
        <w:left w:val="none" w:sz="0" w:space="0" w:color="auto"/>
        <w:bottom w:val="none" w:sz="0" w:space="0" w:color="auto"/>
        <w:right w:val="none" w:sz="0" w:space="0" w:color="auto"/>
      </w:divBdr>
      <w:divsChild>
        <w:div w:id="53551632">
          <w:marLeft w:val="0"/>
          <w:marRight w:val="0"/>
          <w:marTop w:val="0"/>
          <w:marBottom w:val="0"/>
          <w:divBdr>
            <w:top w:val="none" w:sz="0" w:space="0" w:color="auto"/>
            <w:left w:val="none" w:sz="0" w:space="0" w:color="auto"/>
            <w:bottom w:val="none" w:sz="0" w:space="0" w:color="auto"/>
            <w:right w:val="none" w:sz="0" w:space="0" w:color="auto"/>
          </w:divBdr>
          <w:divsChild>
            <w:div w:id="191771395">
              <w:marLeft w:val="0"/>
              <w:marRight w:val="0"/>
              <w:marTop w:val="0"/>
              <w:marBottom w:val="0"/>
              <w:divBdr>
                <w:top w:val="none" w:sz="0" w:space="0" w:color="auto"/>
                <w:left w:val="none" w:sz="0" w:space="0" w:color="auto"/>
                <w:bottom w:val="none" w:sz="0" w:space="0" w:color="auto"/>
                <w:right w:val="none" w:sz="0" w:space="0" w:color="auto"/>
              </w:divBdr>
              <w:divsChild>
                <w:div w:id="10106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4730">
      <w:bodyDiv w:val="1"/>
      <w:marLeft w:val="0"/>
      <w:marRight w:val="0"/>
      <w:marTop w:val="0"/>
      <w:marBottom w:val="0"/>
      <w:divBdr>
        <w:top w:val="none" w:sz="0" w:space="0" w:color="auto"/>
        <w:left w:val="none" w:sz="0" w:space="0" w:color="auto"/>
        <w:bottom w:val="none" w:sz="0" w:space="0" w:color="auto"/>
        <w:right w:val="none" w:sz="0" w:space="0" w:color="auto"/>
      </w:divBdr>
      <w:divsChild>
        <w:div w:id="1987709281">
          <w:marLeft w:val="0"/>
          <w:marRight w:val="0"/>
          <w:marTop w:val="0"/>
          <w:marBottom w:val="0"/>
          <w:divBdr>
            <w:top w:val="none" w:sz="0" w:space="0" w:color="auto"/>
            <w:left w:val="none" w:sz="0" w:space="0" w:color="auto"/>
            <w:bottom w:val="none" w:sz="0" w:space="0" w:color="auto"/>
            <w:right w:val="none" w:sz="0" w:space="0" w:color="auto"/>
          </w:divBdr>
          <w:divsChild>
            <w:div w:id="200825648">
              <w:marLeft w:val="0"/>
              <w:marRight w:val="0"/>
              <w:marTop w:val="0"/>
              <w:marBottom w:val="0"/>
              <w:divBdr>
                <w:top w:val="none" w:sz="0" w:space="0" w:color="auto"/>
                <w:left w:val="none" w:sz="0" w:space="0" w:color="auto"/>
                <w:bottom w:val="none" w:sz="0" w:space="0" w:color="auto"/>
                <w:right w:val="none" w:sz="0" w:space="0" w:color="auto"/>
              </w:divBdr>
              <w:divsChild>
                <w:div w:id="1849977240">
                  <w:marLeft w:val="0"/>
                  <w:marRight w:val="0"/>
                  <w:marTop w:val="0"/>
                  <w:marBottom w:val="0"/>
                  <w:divBdr>
                    <w:top w:val="none" w:sz="0" w:space="0" w:color="auto"/>
                    <w:left w:val="none" w:sz="0" w:space="0" w:color="auto"/>
                    <w:bottom w:val="none" w:sz="0" w:space="0" w:color="auto"/>
                    <w:right w:val="none" w:sz="0" w:space="0" w:color="auto"/>
                  </w:divBdr>
                  <w:divsChild>
                    <w:div w:id="2512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5175">
      <w:bodyDiv w:val="1"/>
      <w:marLeft w:val="0"/>
      <w:marRight w:val="0"/>
      <w:marTop w:val="0"/>
      <w:marBottom w:val="0"/>
      <w:divBdr>
        <w:top w:val="none" w:sz="0" w:space="0" w:color="auto"/>
        <w:left w:val="none" w:sz="0" w:space="0" w:color="auto"/>
        <w:bottom w:val="none" w:sz="0" w:space="0" w:color="auto"/>
        <w:right w:val="none" w:sz="0" w:space="0" w:color="auto"/>
      </w:divBdr>
      <w:divsChild>
        <w:div w:id="1277978774">
          <w:marLeft w:val="0"/>
          <w:marRight w:val="0"/>
          <w:marTop w:val="0"/>
          <w:marBottom w:val="0"/>
          <w:divBdr>
            <w:top w:val="none" w:sz="0" w:space="0" w:color="auto"/>
            <w:left w:val="none" w:sz="0" w:space="0" w:color="auto"/>
            <w:bottom w:val="none" w:sz="0" w:space="0" w:color="auto"/>
            <w:right w:val="none" w:sz="0" w:space="0" w:color="auto"/>
          </w:divBdr>
          <w:divsChild>
            <w:div w:id="1986663808">
              <w:marLeft w:val="0"/>
              <w:marRight w:val="0"/>
              <w:marTop w:val="0"/>
              <w:marBottom w:val="0"/>
              <w:divBdr>
                <w:top w:val="none" w:sz="0" w:space="0" w:color="auto"/>
                <w:left w:val="none" w:sz="0" w:space="0" w:color="auto"/>
                <w:bottom w:val="none" w:sz="0" w:space="0" w:color="auto"/>
                <w:right w:val="none" w:sz="0" w:space="0" w:color="auto"/>
              </w:divBdr>
              <w:divsChild>
                <w:div w:id="1823228629">
                  <w:marLeft w:val="0"/>
                  <w:marRight w:val="0"/>
                  <w:marTop w:val="0"/>
                  <w:marBottom w:val="0"/>
                  <w:divBdr>
                    <w:top w:val="none" w:sz="0" w:space="0" w:color="auto"/>
                    <w:left w:val="none" w:sz="0" w:space="0" w:color="auto"/>
                    <w:bottom w:val="none" w:sz="0" w:space="0" w:color="auto"/>
                    <w:right w:val="none" w:sz="0" w:space="0" w:color="auto"/>
                  </w:divBdr>
                  <w:divsChild>
                    <w:div w:id="12267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234">
      <w:bodyDiv w:val="1"/>
      <w:marLeft w:val="0"/>
      <w:marRight w:val="0"/>
      <w:marTop w:val="0"/>
      <w:marBottom w:val="0"/>
      <w:divBdr>
        <w:top w:val="none" w:sz="0" w:space="0" w:color="auto"/>
        <w:left w:val="none" w:sz="0" w:space="0" w:color="auto"/>
        <w:bottom w:val="none" w:sz="0" w:space="0" w:color="auto"/>
        <w:right w:val="none" w:sz="0" w:space="0" w:color="auto"/>
      </w:divBdr>
      <w:divsChild>
        <w:div w:id="902521989">
          <w:marLeft w:val="0"/>
          <w:marRight w:val="0"/>
          <w:marTop w:val="0"/>
          <w:marBottom w:val="0"/>
          <w:divBdr>
            <w:top w:val="none" w:sz="0" w:space="0" w:color="auto"/>
            <w:left w:val="none" w:sz="0" w:space="0" w:color="auto"/>
            <w:bottom w:val="none" w:sz="0" w:space="0" w:color="auto"/>
            <w:right w:val="none" w:sz="0" w:space="0" w:color="auto"/>
          </w:divBdr>
          <w:divsChild>
            <w:div w:id="365257529">
              <w:marLeft w:val="0"/>
              <w:marRight w:val="0"/>
              <w:marTop w:val="0"/>
              <w:marBottom w:val="0"/>
              <w:divBdr>
                <w:top w:val="none" w:sz="0" w:space="0" w:color="auto"/>
                <w:left w:val="none" w:sz="0" w:space="0" w:color="auto"/>
                <w:bottom w:val="none" w:sz="0" w:space="0" w:color="auto"/>
                <w:right w:val="none" w:sz="0" w:space="0" w:color="auto"/>
              </w:divBdr>
              <w:divsChild>
                <w:div w:id="613752745">
                  <w:marLeft w:val="0"/>
                  <w:marRight w:val="0"/>
                  <w:marTop w:val="0"/>
                  <w:marBottom w:val="0"/>
                  <w:divBdr>
                    <w:top w:val="none" w:sz="0" w:space="0" w:color="auto"/>
                    <w:left w:val="none" w:sz="0" w:space="0" w:color="auto"/>
                    <w:bottom w:val="none" w:sz="0" w:space="0" w:color="auto"/>
                    <w:right w:val="none" w:sz="0" w:space="0" w:color="auto"/>
                  </w:divBdr>
                  <w:divsChild>
                    <w:div w:id="1655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94766">
      <w:bodyDiv w:val="1"/>
      <w:marLeft w:val="0"/>
      <w:marRight w:val="0"/>
      <w:marTop w:val="0"/>
      <w:marBottom w:val="0"/>
      <w:divBdr>
        <w:top w:val="none" w:sz="0" w:space="0" w:color="auto"/>
        <w:left w:val="none" w:sz="0" w:space="0" w:color="auto"/>
        <w:bottom w:val="none" w:sz="0" w:space="0" w:color="auto"/>
        <w:right w:val="none" w:sz="0" w:space="0" w:color="auto"/>
      </w:divBdr>
    </w:div>
    <w:div w:id="1594968100">
      <w:bodyDiv w:val="1"/>
      <w:marLeft w:val="0"/>
      <w:marRight w:val="0"/>
      <w:marTop w:val="0"/>
      <w:marBottom w:val="0"/>
      <w:divBdr>
        <w:top w:val="none" w:sz="0" w:space="0" w:color="auto"/>
        <w:left w:val="none" w:sz="0" w:space="0" w:color="auto"/>
        <w:bottom w:val="none" w:sz="0" w:space="0" w:color="auto"/>
        <w:right w:val="none" w:sz="0" w:space="0" w:color="auto"/>
      </w:divBdr>
      <w:divsChild>
        <w:div w:id="1546403690">
          <w:marLeft w:val="0"/>
          <w:marRight w:val="0"/>
          <w:marTop w:val="0"/>
          <w:marBottom w:val="0"/>
          <w:divBdr>
            <w:top w:val="none" w:sz="0" w:space="0" w:color="auto"/>
            <w:left w:val="none" w:sz="0" w:space="0" w:color="auto"/>
            <w:bottom w:val="none" w:sz="0" w:space="0" w:color="auto"/>
            <w:right w:val="none" w:sz="0" w:space="0" w:color="auto"/>
          </w:divBdr>
          <w:divsChild>
            <w:div w:id="783110936">
              <w:marLeft w:val="0"/>
              <w:marRight w:val="0"/>
              <w:marTop w:val="0"/>
              <w:marBottom w:val="0"/>
              <w:divBdr>
                <w:top w:val="none" w:sz="0" w:space="0" w:color="auto"/>
                <w:left w:val="none" w:sz="0" w:space="0" w:color="auto"/>
                <w:bottom w:val="none" w:sz="0" w:space="0" w:color="auto"/>
                <w:right w:val="none" w:sz="0" w:space="0" w:color="auto"/>
              </w:divBdr>
              <w:divsChild>
                <w:div w:id="469369200">
                  <w:marLeft w:val="0"/>
                  <w:marRight w:val="0"/>
                  <w:marTop w:val="0"/>
                  <w:marBottom w:val="0"/>
                  <w:divBdr>
                    <w:top w:val="none" w:sz="0" w:space="0" w:color="auto"/>
                    <w:left w:val="none" w:sz="0" w:space="0" w:color="auto"/>
                    <w:bottom w:val="none" w:sz="0" w:space="0" w:color="auto"/>
                    <w:right w:val="none" w:sz="0" w:space="0" w:color="auto"/>
                  </w:divBdr>
                  <w:divsChild>
                    <w:div w:id="10942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71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sChild>
        <w:div w:id="750589612">
          <w:marLeft w:val="0"/>
          <w:marRight w:val="0"/>
          <w:marTop w:val="0"/>
          <w:marBottom w:val="0"/>
          <w:divBdr>
            <w:top w:val="none" w:sz="0" w:space="0" w:color="auto"/>
            <w:left w:val="none" w:sz="0" w:space="0" w:color="auto"/>
            <w:bottom w:val="none" w:sz="0" w:space="0" w:color="auto"/>
            <w:right w:val="none" w:sz="0" w:space="0" w:color="auto"/>
          </w:divBdr>
          <w:divsChild>
            <w:div w:id="1710954372">
              <w:marLeft w:val="0"/>
              <w:marRight w:val="0"/>
              <w:marTop w:val="0"/>
              <w:marBottom w:val="0"/>
              <w:divBdr>
                <w:top w:val="none" w:sz="0" w:space="0" w:color="auto"/>
                <w:left w:val="none" w:sz="0" w:space="0" w:color="auto"/>
                <w:bottom w:val="none" w:sz="0" w:space="0" w:color="auto"/>
                <w:right w:val="none" w:sz="0" w:space="0" w:color="auto"/>
              </w:divBdr>
              <w:divsChild>
                <w:div w:id="1549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710">
      <w:bodyDiv w:val="1"/>
      <w:marLeft w:val="0"/>
      <w:marRight w:val="0"/>
      <w:marTop w:val="0"/>
      <w:marBottom w:val="0"/>
      <w:divBdr>
        <w:top w:val="none" w:sz="0" w:space="0" w:color="auto"/>
        <w:left w:val="none" w:sz="0" w:space="0" w:color="auto"/>
        <w:bottom w:val="none" w:sz="0" w:space="0" w:color="auto"/>
        <w:right w:val="none" w:sz="0" w:space="0" w:color="auto"/>
      </w:divBdr>
      <w:divsChild>
        <w:div w:id="146823186">
          <w:marLeft w:val="0"/>
          <w:marRight w:val="0"/>
          <w:marTop w:val="0"/>
          <w:marBottom w:val="0"/>
          <w:divBdr>
            <w:top w:val="none" w:sz="0" w:space="0" w:color="auto"/>
            <w:left w:val="none" w:sz="0" w:space="0" w:color="auto"/>
            <w:bottom w:val="none" w:sz="0" w:space="0" w:color="auto"/>
            <w:right w:val="none" w:sz="0" w:space="0" w:color="auto"/>
          </w:divBdr>
          <w:divsChild>
            <w:div w:id="2113166182">
              <w:marLeft w:val="0"/>
              <w:marRight w:val="0"/>
              <w:marTop w:val="0"/>
              <w:marBottom w:val="0"/>
              <w:divBdr>
                <w:top w:val="none" w:sz="0" w:space="0" w:color="auto"/>
                <w:left w:val="none" w:sz="0" w:space="0" w:color="auto"/>
                <w:bottom w:val="none" w:sz="0" w:space="0" w:color="auto"/>
                <w:right w:val="none" w:sz="0" w:space="0" w:color="auto"/>
              </w:divBdr>
              <w:divsChild>
                <w:div w:id="2623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181">
      <w:bodyDiv w:val="1"/>
      <w:marLeft w:val="0"/>
      <w:marRight w:val="0"/>
      <w:marTop w:val="0"/>
      <w:marBottom w:val="0"/>
      <w:divBdr>
        <w:top w:val="none" w:sz="0" w:space="0" w:color="auto"/>
        <w:left w:val="none" w:sz="0" w:space="0" w:color="auto"/>
        <w:bottom w:val="none" w:sz="0" w:space="0" w:color="auto"/>
        <w:right w:val="none" w:sz="0" w:space="0" w:color="auto"/>
      </w:divBdr>
      <w:divsChild>
        <w:div w:id="725302005">
          <w:marLeft w:val="0"/>
          <w:marRight w:val="0"/>
          <w:marTop w:val="0"/>
          <w:marBottom w:val="0"/>
          <w:divBdr>
            <w:top w:val="none" w:sz="0" w:space="0" w:color="auto"/>
            <w:left w:val="none" w:sz="0" w:space="0" w:color="auto"/>
            <w:bottom w:val="none" w:sz="0" w:space="0" w:color="auto"/>
            <w:right w:val="none" w:sz="0" w:space="0" w:color="auto"/>
          </w:divBdr>
          <w:divsChild>
            <w:div w:id="939022753">
              <w:marLeft w:val="0"/>
              <w:marRight w:val="0"/>
              <w:marTop w:val="0"/>
              <w:marBottom w:val="0"/>
              <w:divBdr>
                <w:top w:val="none" w:sz="0" w:space="0" w:color="auto"/>
                <w:left w:val="none" w:sz="0" w:space="0" w:color="auto"/>
                <w:bottom w:val="none" w:sz="0" w:space="0" w:color="auto"/>
                <w:right w:val="none" w:sz="0" w:space="0" w:color="auto"/>
              </w:divBdr>
              <w:divsChild>
                <w:div w:id="24063271">
                  <w:marLeft w:val="0"/>
                  <w:marRight w:val="0"/>
                  <w:marTop w:val="0"/>
                  <w:marBottom w:val="0"/>
                  <w:divBdr>
                    <w:top w:val="none" w:sz="0" w:space="0" w:color="auto"/>
                    <w:left w:val="none" w:sz="0" w:space="0" w:color="auto"/>
                    <w:bottom w:val="none" w:sz="0" w:space="0" w:color="auto"/>
                    <w:right w:val="none" w:sz="0" w:space="0" w:color="auto"/>
                  </w:divBdr>
                  <w:divsChild>
                    <w:div w:id="6824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86335">
      <w:bodyDiv w:val="1"/>
      <w:marLeft w:val="0"/>
      <w:marRight w:val="0"/>
      <w:marTop w:val="0"/>
      <w:marBottom w:val="0"/>
      <w:divBdr>
        <w:top w:val="none" w:sz="0" w:space="0" w:color="auto"/>
        <w:left w:val="none" w:sz="0" w:space="0" w:color="auto"/>
        <w:bottom w:val="none" w:sz="0" w:space="0" w:color="auto"/>
        <w:right w:val="none" w:sz="0" w:space="0" w:color="auto"/>
      </w:divBdr>
      <w:divsChild>
        <w:div w:id="1121074453">
          <w:marLeft w:val="0"/>
          <w:marRight w:val="0"/>
          <w:marTop w:val="0"/>
          <w:marBottom w:val="0"/>
          <w:divBdr>
            <w:top w:val="none" w:sz="0" w:space="0" w:color="auto"/>
            <w:left w:val="none" w:sz="0" w:space="0" w:color="auto"/>
            <w:bottom w:val="none" w:sz="0" w:space="0" w:color="auto"/>
            <w:right w:val="none" w:sz="0" w:space="0" w:color="auto"/>
          </w:divBdr>
          <w:divsChild>
            <w:div w:id="1130126221">
              <w:marLeft w:val="0"/>
              <w:marRight w:val="0"/>
              <w:marTop w:val="0"/>
              <w:marBottom w:val="0"/>
              <w:divBdr>
                <w:top w:val="none" w:sz="0" w:space="0" w:color="auto"/>
                <w:left w:val="none" w:sz="0" w:space="0" w:color="auto"/>
                <w:bottom w:val="none" w:sz="0" w:space="0" w:color="auto"/>
                <w:right w:val="none" w:sz="0" w:space="0" w:color="auto"/>
              </w:divBdr>
              <w:divsChild>
                <w:div w:id="1968388639">
                  <w:marLeft w:val="0"/>
                  <w:marRight w:val="0"/>
                  <w:marTop w:val="0"/>
                  <w:marBottom w:val="0"/>
                  <w:divBdr>
                    <w:top w:val="none" w:sz="0" w:space="0" w:color="auto"/>
                    <w:left w:val="none" w:sz="0" w:space="0" w:color="auto"/>
                    <w:bottom w:val="none" w:sz="0" w:space="0" w:color="auto"/>
                    <w:right w:val="none" w:sz="0" w:space="0" w:color="auto"/>
                  </w:divBdr>
                  <w:divsChild>
                    <w:div w:id="8326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7903">
      <w:bodyDiv w:val="1"/>
      <w:marLeft w:val="0"/>
      <w:marRight w:val="0"/>
      <w:marTop w:val="0"/>
      <w:marBottom w:val="0"/>
      <w:divBdr>
        <w:top w:val="none" w:sz="0" w:space="0" w:color="auto"/>
        <w:left w:val="none" w:sz="0" w:space="0" w:color="auto"/>
        <w:bottom w:val="none" w:sz="0" w:space="0" w:color="auto"/>
        <w:right w:val="none" w:sz="0" w:space="0" w:color="auto"/>
      </w:divBdr>
      <w:divsChild>
        <w:div w:id="1829399068">
          <w:marLeft w:val="0"/>
          <w:marRight w:val="0"/>
          <w:marTop w:val="0"/>
          <w:marBottom w:val="0"/>
          <w:divBdr>
            <w:top w:val="none" w:sz="0" w:space="0" w:color="auto"/>
            <w:left w:val="none" w:sz="0" w:space="0" w:color="auto"/>
            <w:bottom w:val="none" w:sz="0" w:space="0" w:color="auto"/>
            <w:right w:val="none" w:sz="0" w:space="0" w:color="auto"/>
          </w:divBdr>
          <w:divsChild>
            <w:div w:id="213083449">
              <w:marLeft w:val="0"/>
              <w:marRight w:val="0"/>
              <w:marTop w:val="0"/>
              <w:marBottom w:val="0"/>
              <w:divBdr>
                <w:top w:val="none" w:sz="0" w:space="0" w:color="auto"/>
                <w:left w:val="none" w:sz="0" w:space="0" w:color="auto"/>
                <w:bottom w:val="none" w:sz="0" w:space="0" w:color="auto"/>
                <w:right w:val="none" w:sz="0" w:space="0" w:color="auto"/>
              </w:divBdr>
              <w:divsChild>
                <w:div w:id="99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2127">
      <w:bodyDiv w:val="1"/>
      <w:marLeft w:val="0"/>
      <w:marRight w:val="0"/>
      <w:marTop w:val="0"/>
      <w:marBottom w:val="0"/>
      <w:divBdr>
        <w:top w:val="none" w:sz="0" w:space="0" w:color="auto"/>
        <w:left w:val="none" w:sz="0" w:space="0" w:color="auto"/>
        <w:bottom w:val="none" w:sz="0" w:space="0" w:color="auto"/>
        <w:right w:val="none" w:sz="0" w:space="0" w:color="auto"/>
      </w:divBdr>
      <w:divsChild>
        <w:div w:id="1358970049">
          <w:marLeft w:val="0"/>
          <w:marRight w:val="0"/>
          <w:marTop w:val="0"/>
          <w:marBottom w:val="0"/>
          <w:divBdr>
            <w:top w:val="none" w:sz="0" w:space="0" w:color="auto"/>
            <w:left w:val="none" w:sz="0" w:space="0" w:color="auto"/>
            <w:bottom w:val="none" w:sz="0" w:space="0" w:color="auto"/>
            <w:right w:val="none" w:sz="0" w:space="0" w:color="auto"/>
          </w:divBdr>
          <w:divsChild>
            <w:div w:id="803693574">
              <w:marLeft w:val="0"/>
              <w:marRight w:val="0"/>
              <w:marTop w:val="0"/>
              <w:marBottom w:val="0"/>
              <w:divBdr>
                <w:top w:val="none" w:sz="0" w:space="0" w:color="auto"/>
                <w:left w:val="none" w:sz="0" w:space="0" w:color="auto"/>
                <w:bottom w:val="none" w:sz="0" w:space="0" w:color="auto"/>
                <w:right w:val="none" w:sz="0" w:space="0" w:color="auto"/>
              </w:divBdr>
              <w:divsChild>
                <w:div w:id="681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5317">
      <w:bodyDiv w:val="1"/>
      <w:marLeft w:val="0"/>
      <w:marRight w:val="0"/>
      <w:marTop w:val="0"/>
      <w:marBottom w:val="0"/>
      <w:divBdr>
        <w:top w:val="none" w:sz="0" w:space="0" w:color="auto"/>
        <w:left w:val="none" w:sz="0" w:space="0" w:color="auto"/>
        <w:bottom w:val="none" w:sz="0" w:space="0" w:color="auto"/>
        <w:right w:val="none" w:sz="0" w:space="0" w:color="auto"/>
      </w:divBdr>
      <w:divsChild>
        <w:div w:id="1276207590">
          <w:marLeft w:val="0"/>
          <w:marRight w:val="0"/>
          <w:marTop w:val="0"/>
          <w:marBottom w:val="0"/>
          <w:divBdr>
            <w:top w:val="none" w:sz="0" w:space="0" w:color="auto"/>
            <w:left w:val="none" w:sz="0" w:space="0" w:color="auto"/>
            <w:bottom w:val="none" w:sz="0" w:space="0" w:color="auto"/>
            <w:right w:val="none" w:sz="0" w:space="0" w:color="auto"/>
          </w:divBdr>
          <w:divsChild>
            <w:div w:id="1883666716">
              <w:marLeft w:val="0"/>
              <w:marRight w:val="0"/>
              <w:marTop w:val="0"/>
              <w:marBottom w:val="0"/>
              <w:divBdr>
                <w:top w:val="none" w:sz="0" w:space="0" w:color="auto"/>
                <w:left w:val="none" w:sz="0" w:space="0" w:color="auto"/>
                <w:bottom w:val="none" w:sz="0" w:space="0" w:color="auto"/>
                <w:right w:val="none" w:sz="0" w:space="0" w:color="auto"/>
              </w:divBdr>
              <w:divsChild>
                <w:div w:id="5406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697">
      <w:bodyDiv w:val="1"/>
      <w:marLeft w:val="0"/>
      <w:marRight w:val="0"/>
      <w:marTop w:val="0"/>
      <w:marBottom w:val="0"/>
      <w:divBdr>
        <w:top w:val="none" w:sz="0" w:space="0" w:color="auto"/>
        <w:left w:val="none" w:sz="0" w:space="0" w:color="auto"/>
        <w:bottom w:val="none" w:sz="0" w:space="0" w:color="auto"/>
        <w:right w:val="none" w:sz="0" w:space="0" w:color="auto"/>
      </w:divBdr>
      <w:divsChild>
        <w:div w:id="1606038534">
          <w:marLeft w:val="0"/>
          <w:marRight w:val="0"/>
          <w:marTop w:val="0"/>
          <w:marBottom w:val="0"/>
          <w:divBdr>
            <w:top w:val="none" w:sz="0" w:space="0" w:color="auto"/>
            <w:left w:val="none" w:sz="0" w:space="0" w:color="auto"/>
            <w:bottom w:val="none" w:sz="0" w:space="0" w:color="auto"/>
            <w:right w:val="none" w:sz="0" w:space="0" w:color="auto"/>
          </w:divBdr>
          <w:divsChild>
            <w:div w:id="1660576647">
              <w:marLeft w:val="0"/>
              <w:marRight w:val="0"/>
              <w:marTop w:val="0"/>
              <w:marBottom w:val="0"/>
              <w:divBdr>
                <w:top w:val="none" w:sz="0" w:space="0" w:color="auto"/>
                <w:left w:val="none" w:sz="0" w:space="0" w:color="auto"/>
                <w:bottom w:val="none" w:sz="0" w:space="0" w:color="auto"/>
                <w:right w:val="none" w:sz="0" w:space="0" w:color="auto"/>
              </w:divBdr>
              <w:divsChild>
                <w:div w:id="1284843455">
                  <w:marLeft w:val="0"/>
                  <w:marRight w:val="0"/>
                  <w:marTop w:val="0"/>
                  <w:marBottom w:val="0"/>
                  <w:divBdr>
                    <w:top w:val="none" w:sz="0" w:space="0" w:color="auto"/>
                    <w:left w:val="none" w:sz="0" w:space="0" w:color="auto"/>
                    <w:bottom w:val="none" w:sz="0" w:space="0" w:color="auto"/>
                    <w:right w:val="none" w:sz="0" w:space="0" w:color="auto"/>
                  </w:divBdr>
                  <w:divsChild>
                    <w:div w:id="1431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3481">
      <w:bodyDiv w:val="1"/>
      <w:marLeft w:val="0"/>
      <w:marRight w:val="0"/>
      <w:marTop w:val="0"/>
      <w:marBottom w:val="0"/>
      <w:divBdr>
        <w:top w:val="none" w:sz="0" w:space="0" w:color="auto"/>
        <w:left w:val="none" w:sz="0" w:space="0" w:color="auto"/>
        <w:bottom w:val="none" w:sz="0" w:space="0" w:color="auto"/>
        <w:right w:val="none" w:sz="0" w:space="0" w:color="auto"/>
      </w:divBdr>
    </w:div>
    <w:div w:id="1655714809">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1">
          <w:marLeft w:val="0"/>
          <w:marRight w:val="0"/>
          <w:marTop w:val="0"/>
          <w:marBottom w:val="0"/>
          <w:divBdr>
            <w:top w:val="none" w:sz="0" w:space="0" w:color="auto"/>
            <w:left w:val="none" w:sz="0" w:space="0" w:color="auto"/>
            <w:bottom w:val="none" w:sz="0" w:space="0" w:color="auto"/>
            <w:right w:val="none" w:sz="0" w:space="0" w:color="auto"/>
          </w:divBdr>
          <w:divsChild>
            <w:div w:id="1720784979">
              <w:marLeft w:val="0"/>
              <w:marRight w:val="0"/>
              <w:marTop w:val="0"/>
              <w:marBottom w:val="0"/>
              <w:divBdr>
                <w:top w:val="none" w:sz="0" w:space="0" w:color="auto"/>
                <w:left w:val="none" w:sz="0" w:space="0" w:color="auto"/>
                <w:bottom w:val="none" w:sz="0" w:space="0" w:color="auto"/>
                <w:right w:val="none" w:sz="0" w:space="0" w:color="auto"/>
              </w:divBdr>
              <w:divsChild>
                <w:div w:id="731195394">
                  <w:marLeft w:val="0"/>
                  <w:marRight w:val="0"/>
                  <w:marTop w:val="0"/>
                  <w:marBottom w:val="0"/>
                  <w:divBdr>
                    <w:top w:val="none" w:sz="0" w:space="0" w:color="auto"/>
                    <w:left w:val="none" w:sz="0" w:space="0" w:color="auto"/>
                    <w:bottom w:val="none" w:sz="0" w:space="0" w:color="auto"/>
                    <w:right w:val="none" w:sz="0" w:space="0" w:color="auto"/>
                  </w:divBdr>
                  <w:divsChild>
                    <w:div w:id="3210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0475">
      <w:bodyDiv w:val="1"/>
      <w:marLeft w:val="0"/>
      <w:marRight w:val="0"/>
      <w:marTop w:val="0"/>
      <w:marBottom w:val="0"/>
      <w:divBdr>
        <w:top w:val="none" w:sz="0" w:space="0" w:color="auto"/>
        <w:left w:val="none" w:sz="0" w:space="0" w:color="auto"/>
        <w:bottom w:val="none" w:sz="0" w:space="0" w:color="auto"/>
        <w:right w:val="none" w:sz="0" w:space="0" w:color="auto"/>
      </w:divBdr>
    </w:div>
    <w:div w:id="1676304675">
      <w:bodyDiv w:val="1"/>
      <w:marLeft w:val="0"/>
      <w:marRight w:val="0"/>
      <w:marTop w:val="0"/>
      <w:marBottom w:val="0"/>
      <w:divBdr>
        <w:top w:val="none" w:sz="0" w:space="0" w:color="auto"/>
        <w:left w:val="none" w:sz="0" w:space="0" w:color="auto"/>
        <w:bottom w:val="none" w:sz="0" w:space="0" w:color="auto"/>
        <w:right w:val="none" w:sz="0" w:space="0" w:color="auto"/>
      </w:divBdr>
      <w:divsChild>
        <w:div w:id="279454525">
          <w:marLeft w:val="0"/>
          <w:marRight w:val="0"/>
          <w:marTop w:val="0"/>
          <w:marBottom w:val="0"/>
          <w:divBdr>
            <w:top w:val="none" w:sz="0" w:space="0" w:color="auto"/>
            <w:left w:val="none" w:sz="0" w:space="0" w:color="auto"/>
            <w:bottom w:val="none" w:sz="0" w:space="0" w:color="auto"/>
            <w:right w:val="none" w:sz="0" w:space="0" w:color="auto"/>
          </w:divBdr>
          <w:divsChild>
            <w:div w:id="2127193192">
              <w:marLeft w:val="0"/>
              <w:marRight w:val="0"/>
              <w:marTop w:val="0"/>
              <w:marBottom w:val="0"/>
              <w:divBdr>
                <w:top w:val="none" w:sz="0" w:space="0" w:color="auto"/>
                <w:left w:val="none" w:sz="0" w:space="0" w:color="auto"/>
                <w:bottom w:val="none" w:sz="0" w:space="0" w:color="auto"/>
                <w:right w:val="none" w:sz="0" w:space="0" w:color="auto"/>
              </w:divBdr>
              <w:divsChild>
                <w:div w:id="19990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4183">
      <w:bodyDiv w:val="1"/>
      <w:marLeft w:val="0"/>
      <w:marRight w:val="0"/>
      <w:marTop w:val="0"/>
      <w:marBottom w:val="0"/>
      <w:divBdr>
        <w:top w:val="none" w:sz="0" w:space="0" w:color="auto"/>
        <w:left w:val="none" w:sz="0" w:space="0" w:color="auto"/>
        <w:bottom w:val="none" w:sz="0" w:space="0" w:color="auto"/>
        <w:right w:val="none" w:sz="0" w:space="0" w:color="auto"/>
      </w:divBdr>
      <w:divsChild>
        <w:div w:id="1594779905">
          <w:marLeft w:val="0"/>
          <w:marRight w:val="0"/>
          <w:marTop w:val="0"/>
          <w:marBottom w:val="0"/>
          <w:divBdr>
            <w:top w:val="none" w:sz="0" w:space="0" w:color="auto"/>
            <w:left w:val="none" w:sz="0" w:space="0" w:color="auto"/>
            <w:bottom w:val="none" w:sz="0" w:space="0" w:color="auto"/>
            <w:right w:val="none" w:sz="0" w:space="0" w:color="auto"/>
          </w:divBdr>
          <w:divsChild>
            <w:div w:id="415369603">
              <w:marLeft w:val="0"/>
              <w:marRight w:val="0"/>
              <w:marTop w:val="0"/>
              <w:marBottom w:val="0"/>
              <w:divBdr>
                <w:top w:val="none" w:sz="0" w:space="0" w:color="auto"/>
                <w:left w:val="none" w:sz="0" w:space="0" w:color="auto"/>
                <w:bottom w:val="none" w:sz="0" w:space="0" w:color="auto"/>
                <w:right w:val="none" w:sz="0" w:space="0" w:color="auto"/>
              </w:divBdr>
              <w:divsChild>
                <w:div w:id="773205753">
                  <w:marLeft w:val="0"/>
                  <w:marRight w:val="0"/>
                  <w:marTop w:val="0"/>
                  <w:marBottom w:val="0"/>
                  <w:divBdr>
                    <w:top w:val="none" w:sz="0" w:space="0" w:color="auto"/>
                    <w:left w:val="none" w:sz="0" w:space="0" w:color="auto"/>
                    <w:bottom w:val="none" w:sz="0" w:space="0" w:color="auto"/>
                    <w:right w:val="none" w:sz="0" w:space="0" w:color="auto"/>
                  </w:divBdr>
                  <w:divsChild>
                    <w:div w:id="4600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20641">
      <w:bodyDiv w:val="1"/>
      <w:marLeft w:val="0"/>
      <w:marRight w:val="0"/>
      <w:marTop w:val="0"/>
      <w:marBottom w:val="0"/>
      <w:divBdr>
        <w:top w:val="none" w:sz="0" w:space="0" w:color="auto"/>
        <w:left w:val="none" w:sz="0" w:space="0" w:color="auto"/>
        <w:bottom w:val="none" w:sz="0" w:space="0" w:color="auto"/>
        <w:right w:val="none" w:sz="0" w:space="0" w:color="auto"/>
      </w:divBdr>
      <w:divsChild>
        <w:div w:id="885533495">
          <w:marLeft w:val="0"/>
          <w:marRight w:val="0"/>
          <w:marTop w:val="0"/>
          <w:marBottom w:val="0"/>
          <w:divBdr>
            <w:top w:val="none" w:sz="0" w:space="0" w:color="auto"/>
            <w:left w:val="none" w:sz="0" w:space="0" w:color="auto"/>
            <w:bottom w:val="none" w:sz="0" w:space="0" w:color="auto"/>
            <w:right w:val="none" w:sz="0" w:space="0" w:color="auto"/>
          </w:divBdr>
          <w:divsChild>
            <w:div w:id="944919549">
              <w:marLeft w:val="0"/>
              <w:marRight w:val="0"/>
              <w:marTop w:val="0"/>
              <w:marBottom w:val="0"/>
              <w:divBdr>
                <w:top w:val="none" w:sz="0" w:space="0" w:color="auto"/>
                <w:left w:val="none" w:sz="0" w:space="0" w:color="auto"/>
                <w:bottom w:val="none" w:sz="0" w:space="0" w:color="auto"/>
                <w:right w:val="none" w:sz="0" w:space="0" w:color="auto"/>
              </w:divBdr>
              <w:divsChild>
                <w:div w:id="15951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69541">
      <w:bodyDiv w:val="1"/>
      <w:marLeft w:val="0"/>
      <w:marRight w:val="0"/>
      <w:marTop w:val="0"/>
      <w:marBottom w:val="0"/>
      <w:divBdr>
        <w:top w:val="none" w:sz="0" w:space="0" w:color="auto"/>
        <w:left w:val="none" w:sz="0" w:space="0" w:color="auto"/>
        <w:bottom w:val="none" w:sz="0" w:space="0" w:color="auto"/>
        <w:right w:val="none" w:sz="0" w:space="0" w:color="auto"/>
      </w:divBdr>
      <w:divsChild>
        <w:div w:id="242958850">
          <w:marLeft w:val="0"/>
          <w:marRight w:val="0"/>
          <w:marTop w:val="0"/>
          <w:marBottom w:val="0"/>
          <w:divBdr>
            <w:top w:val="none" w:sz="0" w:space="0" w:color="auto"/>
            <w:left w:val="none" w:sz="0" w:space="0" w:color="auto"/>
            <w:bottom w:val="none" w:sz="0" w:space="0" w:color="auto"/>
            <w:right w:val="none" w:sz="0" w:space="0" w:color="auto"/>
          </w:divBdr>
          <w:divsChild>
            <w:div w:id="742216864">
              <w:marLeft w:val="0"/>
              <w:marRight w:val="0"/>
              <w:marTop w:val="0"/>
              <w:marBottom w:val="0"/>
              <w:divBdr>
                <w:top w:val="none" w:sz="0" w:space="0" w:color="auto"/>
                <w:left w:val="none" w:sz="0" w:space="0" w:color="auto"/>
                <w:bottom w:val="none" w:sz="0" w:space="0" w:color="auto"/>
                <w:right w:val="none" w:sz="0" w:space="0" w:color="auto"/>
              </w:divBdr>
              <w:divsChild>
                <w:div w:id="1913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3913">
      <w:bodyDiv w:val="1"/>
      <w:marLeft w:val="0"/>
      <w:marRight w:val="0"/>
      <w:marTop w:val="0"/>
      <w:marBottom w:val="0"/>
      <w:divBdr>
        <w:top w:val="none" w:sz="0" w:space="0" w:color="auto"/>
        <w:left w:val="none" w:sz="0" w:space="0" w:color="auto"/>
        <w:bottom w:val="none" w:sz="0" w:space="0" w:color="auto"/>
        <w:right w:val="none" w:sz="0" w:space="0" w:color="auto"/>
      </w:divBdr>
      <w:divsChild>
        <w:div w:id="1144392711">
          <w:marLeft w:val="0"/>
          <w:marRight w:val="0"/>
          <w:marTop w:val="0"/>
          <w:marBottom w:val="0"/>
          <w:divBdr>
            <w:top w:val="none" w:sz="0" w:space="0" w:color="auto"/>
            <w:left w:val="none" w:sz="0" w:space="0" w:color="auto"/>
            <w:bottom w:val="none" w:sz="0" w:space="0" w:color="auto"/>
            <w:right w:val="none" w:sz="0" w:space="0" w:color="auto"/>
          </w:divBdr>
          <w:divsChild>
            <w:div w:id="381440461">
              <w:marLeft w:val="0"/>
              <w:marRight w:val="0"/>
              <w:marTop w:val="0"/>
              <w:marBottom w:val="0"/>
              <w:divBdr>
                <w:top w:val="none" w:sz="0" w:space="0" w:color="auto"/>
                <w:left w:val="none" w:sz="0" w:space="0" w:color="auto"/>
                <w:bottom w:val="none" w:sz="0" w:space="0" w:color="auto"/>
                <w:right w:val="none" w:sz="0" w:space="0" w:color="auto"/>
              </w:divBdr>
              <w:divsChild>
                <w:div w:id="1506242165">
                  <w:marLeft w:val="0"/>
                  <w:marRight w:val="0"/>
                  <w:marTop w:val="0"/>
                  <w:marBottom w:val="0"/>
                  <w:divBdr>
                    <w:top w:val="none" w:sz="0" w:space="0" w:color="auto"/>
                    <w:left w:val="none" w:sz="0" w:space="0" w:color="auto"/>
                    <w:bottom w:val="none" w:sz="0" w:space="0" w:color="auto"/>
                    <w:right w:val="none" w:sz="0" w:space="0" w:color="auto"/>
                  </w:divBdr>
                  <w:divsChild>
                    <w:div w:id="11022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13191">
      <w:bodyDiv w:val="1"/>
      <w:marLeft w:val="0"/>
      <w:marRight w:val="0"/>
      <w:marTop w:val="0"/>
      <w:marBottom w:val="0"/>
      <w:divBdr>
        <w:top w:val="none" w:sz="0" w:space="0" w:color="auto"/>
        <w:left w:val="none" w:sz="0" w:space="0" w:color="auto"/>
        <w:bottom w:val="none" w:sz="0" w:space="0" w:color="auto"/>
        <w:right w:val="none" w:sz="0" w:space="0" w:color="auto"/>
      </w:divBdr>
      <w:divsChild>
        <w:div w:id="560021191">
          <w:marLeft w:val="0"/>
          <w:marRight w:val="0"/>
          <w:marTop w:val="0"/>
          <w:marBottom w:val="0"/>
          <w:divBdr>
            <w:top w:val="none" w:sz="0" w:space="0" w:color="auto"/>
            <w:left w:val="none" w:sz="0" w:space="0" w:color="auto"/>
            <w:bottom w:val="none" w:sz="0" w:space="0" w:color="auto"/>
            <w:right w:val="none" w:sz="0" w:space="0" w:color="auto"/>
          </w:divBdr>
          <w:divsChild>
            <w:div w:id="820658385">
              <w:marLeft w:val="0"/>
              <w:marRight w:val="0"/>
              <w:marTop w:val="0"/>
              <w:marBottom w:val="0"/>
              <w:divBdr>
                <w:top w:val="none" w:sz="0" w:space="0" w:color="auto"/>
                <w:left w:val="none" w:sz="0" w:space="0" w:color="auto"/>
                <w:bottom w:val="none" w:sz="0" w:space="0" w:color="auto"/>
                <w:right w:val="none" w:sz="0" w:space="0" w:color="auto"/>
              </w:divBdr>
              <w:divsChild>
                <w:div w:id="673535487">
                  <w:marLeft w:val="0"/>
                  <w:marRight w:val="0"/>
                  <w:marTop w:val="0"/>
                  <w:marBottom w:val="0"/>
                  <w:divBdr>
                    <w:top w:val="none" w:sz="0" w:space="0" w:color="auto"/>
                    <w:left w:val="none" w:sz="0" w:space="0" w:color="auto"/>
                    <w:bottom w:val="none" w:sz="0" w:space="0" w:color="auto"/>
                    <w:right w:val="none" w:sz="0" w:space="0" w:color="auto"/>
                  </w:divBdr>
                  <w:divsChild>
                    <w:div w:id="1687753697">
                      <w:marLeft w:val="0"/>
                      <w:marRight w:val="0"/>
                      <w:marTop w:val="0"/>
                      <w:marBottom w:val="0"/>
                      <w:divBdr>
                        <w:top w:val="none" w:sz="0" w:space="0" w:color="auto"/>
                        <w:left w:val="none" w:sz="0" w:space="0" w:color="auto"/>
                        <w:bottom w:val="none" w:sz="0" w:space="0" w:color="auto"/>
                        <w:right w:val="none" w:sz="0" w:space="0" w:color="auto"/>
                      </w:divBdr>
                    </w:div>
                  </w:divsChild>
                </w:div>
                <w:div w:id="1131636030">
                  <w:marLeft w:val="0"/>
                  <w:marRight w:val="0"/>
                  <w:marTop w:val="0"/>
                  <w:marBottom w:val="0"/>
                  <w:divBdr>
                    <w:top w:val="none" w:sz="0" w:space="0" w:color="auto"/>
                    <w:left w:val="none" w:sz="0" w:space="0" w:color="auto"/>
                    <w:bottom w:val="none" w:sz="0" w:space="0" w:color="auto"/>
                    <w:right w:val="none" w:sz="0" w:space="0" w:color="auto"/>
                  </w:divBdr>
                  <w:divsChild>
                    <w:div w:id="1411348550">
                      <w:marLeft w:val="0"/>
                      <w:marRight w:val="0"/>
                      <w:marTop w:val="0"/>
                      <w:marBottom w:val="0"/>
                      <w:divBdr>
                        <w:top w:val="none" w:sz="0" w:space="0" w:color="auto"/>
                        <w:left w:val="none" w:sz="0" w:space="0" w:color="auto"/>
                        <w:bottom w:val="none" w:sz="0" w:space="0" w:color="auto"/>
                        <w:right w:val="none" w:sz="0" w:space="0" w:color="auto"/>
                      </w:divBdr>
                    </w:div>
                  </w:divsChild>
                </w:div>
                <w:div w:id="1661231535">
                  <w:marLeft w:val="0"/>
                  <w:marRight w:val="0"/>
                  <w:marTop w:val="0"/>
                  <w:marBottom w:val="0"/>
                  <w:divBdr>
                    <w:top w:val="none" w:sz="0" w:space="0" w:color="auto"/>
                    <w:left w:val="none" w:sz="0" w:space="0" w:color="auto"/>
                    <w:bottom w:val="none" w:sz="0" w:space="0" w:color="auto"/>
                    <w:right w:val="none" w:sz="0" w:space="0" w:color="auto"/>
                  </w:divBdr>
                  <w:divsChild>
                    <w:div w:id="1805007305">
                      <w:marLeft w:val="0"/>
                      <w:marRight w:val="0"/>
                      <w:marTop w:val="0"/>
                      <w:marBottom w:val="0"/>
                      <w:divBdr>
                        <w:top w:val="none" w:sz="0" w:space="0" w:color="auto"/>
                        <w:left w:val="none" w:sz="0" w:space="0" w:color="auto"/>
                        <w:bottom w:val="none" w:sz="0" w:space="0" w:color="auto"/>
                        <w:right w:val="none" w:sz="0" w:space="0" w:color="auto"/>
                      </w:divBdr>
                    </w:div>
                  </w:divsChild>
                </w:div>
                <w:div w:id="1871992314">
                  <w:marLeft w:val="0"/>
                  <w:marRight w:val="0"/>
                  <w:marTop w:val="0"/>
                  <w:marBottom w:val="0"/>
                  <w:divBdr>
                    <w:top w:val="none" w:sz="0" w:space="0" w:color="auto"/>
                    <w:left w:val="none" w:sz="0" w:space="0" w:color="auto"/>
                    <w:bottom w:val="none" w:sz="0" w:space="0" w:color="auto"/>
                    <w:right w:val="none" w:sz="0" w:space="0" w:color="auto"/>
                  </w:divBdr>
                  <w:divsChild>
                    <w:div w:id="1272778729">
                      <w:marLeft w:val="0"/>
                      <w:marRight w:val="0"/>
                      <w:marTop w:val="0"/>
                      <w:marBottom w:val="0"/>
                      <w:divBdr>
                        <w:top w:val="none" w:sz="0" w:space="0" w:color="auto"/>
                        <w:left w:val="none" w:sz="0" w:space="0" w:color="auto"/>
                        <w:bottom w:val="none" w:sz="0" w:space="0" w:color="auto"/>
                        <w:right w:val="none" w:sz="0" w:space="0" w:color="auto"/>
                      </w:divBdr>
                    </w:div>
                  </w:divsChild>
                </w:div>
                <w:div w:id="1960213521">
                  <w:marLeft w:val="0"/>
                  <w:marRight w:val="0"/>
                  <w:marTop w:val="0"/>
                  <w:marBottom w:val="0"/>
                  <w:divBdr>
                    <w:top w:val="none" w:sz="0" w:space="0" w:color="auto"/>
                    <w:left w:val="none" w:sz="0" w:space="0" w:color="auto"/>
                    <w:bottom w:val="none" w:sz="0" w:space="0" w:color="auto"/>
                    <w:right w:val="none" w:sz="0" w:space="0" w:color="auto"/>
                  </w:divBdr>
                  <w:divsChild>
                    <w:div w:id="947079379">
                      <w:marLeft w:val="0"/>
                      <w:marRight w:val="0"/>
                      <w:marTop w:val="0"/>
                      <w:marBottom w:val="0"/>
                      <w:divBdr>
                        <w:top w:val="none" w:sz="0" w:space="0" w:color="auto"/>
                        <w:left w:val="none" w:sz="0" w:space="0" w:color="auto"/>
                        <w:bottom w:val="none" w:sz="0" w:space="0" w:color="auto"/>
                        <w:right w:val="none" w:sz="0" w:space="0" w:color="auto"/>
                      </w:divBdr>
                    </w:div>
                  </w:divsChild>
                </w:div>
                <w:div w:id="1972317893">
                  <w:marLeft w:val="0"/>
                  <w:marRight w:val="0"/>
                  <w:marTop w:val="0"/>
                  <w:marBottom w:val="0"/>
                  <w:divBdr>
                    <w:top w:val="none" w:sz="0" w:space="0" w:color="auto"/>
                    <w:left w:val="none" w:sz="0" w:space="0" w:color="auto"/>
                    <w:bottom w:val="none" w:sz="0" w:space="0" w:color="auto"/>
                    <w:right w:val="none" w:sz="0" w:space="0" w:color="auto"/>
                  </w:divBdr>
                  <w:divsChild>
                    <w:div w:id="1498111142">
                      <w:marLeft w:val="0"/>
                      <w:marRight w:val="0"/>
                      <w:marTop w:val="0"/>
                      <w:marBottom w:val="0"/>
                      <w:divBdr>
                        <w:top w:val="none" w:sz="0" w:space="0" w:color="auto"/>
                        <w:left w:val="none" w:sz="0" w:space="0" w:color="auto"/>
                        <w:bottom w:val="none" w:sz="0" w:space="0" w:color="auto"/>
                        <w:right w:val="none" w:sz="0" w:space="0" w:color="auto"/>
                      </w:divBdr>
                    </w:div>
                  </w:divsChild>
                </w:div>
                <w:div w:id="2105375184">
                  <w:marLeft w:val="0"/>
                  <w:marRight w:val="0"/>
                  <w:marTop w:val="0"/>
                  <w:marBottom w:val="0"/>
                  <w:divBdr>
                    <w:top w:val="none" w:sz="0" w:space="0" w:color="auto"/>
                    <w:left w:val="none" w:sz="0" w:space="0" w:color="auto"/>
                    <w:bottom w:val="none" w:sz="0" w:space="0" w:color="auto"/>
                    <w:right w:val="none" w:sz="0" w:space="0" w:color="auto"/>
                  </w:divBdr>
                  <w:divsChild>
                    <w:div w:id="518858024">
                      <w:marLeft w:val="0"/>
                      <w:marRight w:val="0"/>
                      <w:marTop w:val="0"/>
                      <w:marBottom w:val="0"/>
                      <w:divBdr>
                        <w:top w:val="none" w:sz="0" w:space="0" w:color="auto"/>
                        <w:left w:val="none" w:sz="0" w:space="0" w:color="auto"/>
                        <w:bottom w:val="none" w:sz="0" w:space="0" w:color="auto"/>
                        <w:right w:val="none" w:sz="0" w:space="0" w:color="auto"/>
                      </w:divBdr>
                    </w:div>
                  </w:divsChild>
                </w:div>
                <w:div w:id="2112895245">
                  <w:marLeft w:val="0"/>
                  <w:marRight w:val="0"/>
                  <w:marTop w:val="0"/>
                  <w:marBottom w:val="0"/>
                  <w:divBdr>
                    <w:top w:val="none" w:sz="0" w:space="0" w:color="auto"/>
                    <w:left w:val="none" w:sz="0" w:space="0" w:color="auto"/>
                    <w:bottom w:val="none" w:sz="0" w:space="0" w:color="auto"/>
                    <w:right w:val="none" w:sz="0" w:space="0" w:color="auto"/>
                  </w:divBdr>
                  <w:divsChild>
                    <w:div w:id="81755468">
                      <w:marLeft w:val="0"/>
                      <w:marRight w:val="0"/>
                      <w:marTop w:val="0"/>
                      <w:marBottom w:val="0"/>
                      <w:divBdr>
                        <w:top w:val="none" w:sz="0" w:space="0" w:color="auto"/>
                        <w:left w:val="none" w:sz="0" w:space="0" w:color="auto"/>
                        <w:bottom w:val="none" w:sz="0" w:space="0" w:color="auto"/>
                        <w:right w:val="none" w:sz="0" w:space="0" w:color="auto"/>
                      </w:divBdr>
                    </w:div>
                  </w:divsChild>
                </w:div>
                <w:div w:id="2133939215">
                  <w:marLeft w:val="0"/>
                  <w:marRight w:val="0"/>
                  <w:marTop w:val="0"/>
                  <w:marBottom w:val="0"/>
                  <w:divBdr>
                    <w:top w:val="none" w:sz="0" w:space="0" w:color="auto"/>
                    <w:left w:val="none" w:sz="0" w:space="0" w:color="auto"/>
                    <w:bottom w:val="none" w:sz="0" w:space="0" w:color="auto"/>
                    <w:right w:val="none" w:sz="0" w:space="0" w:color="auto"/>
                  </w:divBdr>
                  <w:divsChild>
                    <w:div w:id="1336153783">
                      <w:marLeft w:val="0"/>
                      <w:marRight w:val="0"/>
                      <w:marTop w:val="0"/>
                      <w:marBottom w:val="0"/>
                      <w:divBdr>
                        <w:top w:val="none" w:sz="0" w:space="0" w:color="auto"/>
                        <w:left w:val="none" w:sz="0" w:space="0" w:color="auto"/>
                        <w:bottom w:val="none" w:sz="0" w:space="0" w:color="auto"/>
                        <w:right w:val="none" w:sz="0" w:space="0" w:color="auto"/>
                      </w:divBdr>
                    </w:div>
                  </w:divsChild>
                </w:div>
                <w:div w:id="2136173431">
                  <w:marLeft w:val="0"/>
                  <w:marRight w:val="0"/>
                  <w:marTop w:val="0"/>
                  <w:marBottom w:val="0"/>
                  <w:divBdr>
                    <w:top w:val="none" w:sz="0" w:space="0" w:color="auto"/>
                    <w:left w:val="none" w:sz="0" w:space="0" w:color="auto"/>
                    <w:bottom w:val="none" w:sz="0" w:space="0" w:color="auto"/>
                    <w:right w:val="none" w:sz="0" w:space="0" w:color="auto"/>
                  </w:divBdr>
                  <w:divsChild>
                    <w:div w:id="14939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32067">
      <w:bodyDiv w:val="1"/>
      <w:marLeft w:val="0"/>
      <w:marRight w:val="0"/>
      <w:marTop w:val="0"/>
      <w:marBottom w:val="0"/>
      <w:divBdr>
        <w:top w:val="none" w:sz="0" w:space="0" w:color="auto"/>
        <w:left w:val="none" w:sz="0" w:space="0" w:color="auto"/>
        <w:bottom w:val="none" w:sz="0" w:space="0" w:color="auto"/>
        <w:right w:val="none" w:sz="0" w:space="0" w:color="auto"/>
      </w:divBdr>
      <w:divsChild>
        <w:div w:id="417792957">
          <w:marLeft w:val="0"/>
          <w:marRight w:val="0"/>
          <w:marTop w:val="0"/>
          <w:marBottom w:val="0"/>
          <w:divBdr>
            <w:top w:val="none" w:sz="0" w:space="0" w:color="auto"/>
            <w:left w:val="none" w:sz="0" w:space="0" w:color="auto"/>
            <w:bottom w:val="none" w:sz="0" w:space="0" w:color="auto"/>
            <w:right w:val="none" w:sz="0" w:space="0" w:color="auto"/>
          </w:divBdr>
          <w:divsChild>
            <w:div w:id="1710035396">
              <w:marLeft w:val="0"/>
              <w:marRight w:val="0"/>
              <w:marTop w:val="0"/>
              <w:marBottom w:val="0"/>
              <w:divBdr>
                <w:top w:val="none" w:sz="0" w:space="0" w:color="auto"/>
                <w:left w:val="none" w:sz="0" w:space="0" w:color="auto"/>
                <w:bottom w:val="none" w:sz="0" w:space="0" w:color="auto"/>
                <w:right w:val="none" w:sz="0" w:space="0" w:color="auto"/>
              </w:divBdr>
              <w:divsChild>
                <w:div w:id="839079638">
                  <w:marLeft w:val="0"/>
                  <w:marRight w:val="0"/>
                  <w:marTop w:val="0"/>
                  <w:marBottom w:val="0"/>
                  <w:divBdr>
                    <w:top w:val="none" w:sz="0" w:space="0" w:color="auto"/>
                    <w:left w:val="none" w:sz="0" w:space="0" w:color="auto"/>
                    <w:bottom w:val="none" w:sz="0" w:space="0" w:color="auto"/>
                    <w:right w:val="none" w:sz="0" w:space="0" w:color="auto"/>
                  </w:divBdr>
                  <w:divsChild>
                    <w:div w:id="1055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6372">
      <w:bodyDiv w:val="1"/>
      <w:marLeft w:val="0"/>
      <w:marRight w:val="0"/>
      <w:marTop w:val="0"/>
      <w:marBottom w:val="0"/>
      <w:divBdr>
        <w:top w:val="none" w:sz="0" w:space="0" w:color="auto"/>
        <w:left w:val="none" w:sz="0" w:space="0" w:color="auto"/>
        <w:bottom w:val="none" w:sz="0" w:space="0" w:color="auto"/>
        <w:right w:val="none" w:sz="0" w:space="0" w:color="auto"/>
      </w:divBdr>
      <w:divsChild>
        <w:div w:id="1970672661">
          <w:marLeft w:val="-225"/>
          <w:marRight w:val="-225"/>
          <w:marTop w:val="0"/>
          <w:marBottom w:val="0"/>
          <w:divBdr>
            <w:top w:val="none" w:sz="0" w:space="0" w:color="auto"/>
            <w:left w:val="none" w:sz="0" w:space="0" w:color="auto"/>
            <w:bottom w:val="none" w:sz="0" w:space="0" w:color="auto"/>
            <w:right w:val="none" w:sz="0" w:space="0" w:color="auto"/>
          </w:divBdr>
          <w:divsChild>
            <w:div w:id="1795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8450">
      <w:bodyDiv w:val="1"/>
      <w:marLeft w:val="0"/>
      <w:marRight w:val="0"/>
      <w:marTop w:val="0"/>
      <w:marBottom w:val="0"/>
      <w:divBdr>
        <w:top w:val="none" w:sz="0" w:space="0" w:color="auto"/>
        <w:left w:val="none" w:sz="0" w:space="0" w:color="auto"/>
        <w:bottom w:val="none" w:sz="0" w:space="0" w:color="auto"/>
        <w:right w:val="none" w:sz="0" w:space="0" w:color="auto"/>
      </w:divBdr>
      <w:divsChild>
        <w:div w:id="854805579">
          <w:marLeft w:val="0"/>
          <w:marRight w:val="0"/>
          <w:marTop w:val="0"/>
          <w:marBottom w:val="0"/>
          <w:divBdr>
            <w:top w:val="none" w:sz="0" w:space="0" w:color="auto"/>
            <w:left w:val="none" w:sz="0" w:space="0" w:color="auto"/>
            <w:bottom w:val="none" w:sz="0" w:space="0" w:color="auto"/>
            <w:right w:val="none" w:sz="0" w:space="0" w:color="auto"/>
          </w:divBdr>
          <w:divsChild>
            <w:div w:id="1178346243">
              <w:marLeft w:val="0"/>
              <w:marRight w:val="0"/>
              <w:marTop w:val="0"/>
              <w:marBottom w:val="0"/>
              <w:divBdr>
                <w:top w:val="none" w:sz="0" w:space="0" w:color="auto"/>
                <w:left w:val="none" w:sz="0" w:space="0" w:color="auto"/>
                <w:bottom w:val="none" w:sz="0" w:space="0" w:color="auto"/>
                <w:right w:val="none" w:sz="0" w:space="0" w:color="auto"/>
              </w:divBdr>
              <w:divsChild>
                <w:div w:id="782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6867">
      <w:bodyDiv w:val="1"/>
      <w:marLeft w:val="0"/>
      <w:marRight w:val="0"/>
      <w:marTop w:val="0"/>
      <w:marBottom w:val="0"/>
      <w:divBdr>
        <w:top w:val="none" w:sz="0" w:space="0" w:color="auto"/>
        <w:left w:val="none" w:sz="0" w:space="0" w:color="auto"/>
        <w:bottom w:val="none" w:sz="0" w:space="0" w:color="auto"/>
        <w:right w:val="none" w:sz="0" w:space="0" w:color="auto"/>
      </w:divBdr>
      <w:divsChild>
        <w:div w:id="1628193979">
          <w:marLeft w:val="0"/>
          <w:marRight w:val="0"/>
          <w:marTop w:val="0"/>
          <w:marBottom w:val="0"/>
          <w:divBdr>
            <w:top w:val="none" w:sz="0" w:space="0" w:color="auto"/>
            <w:left w:val="none" w:sz="0" w:space="0" w:color="auto"/>
            <w:bottom w:val="none" w:sz="0" w:space="0" w:color="auto"/>
            <w:right w:val="none" w:sz="0" w:space="0" w:color="auto"/>
          </w:divBdr>
          <w:divsChild>
            <w:div w:id="1442264163">
              <w:marLeft w:val="0"/>
              <w:marRight w:val="0"/>
              <w:marTop w:val="0"/>
              <w:marBottom w:val="0"/>
              <w:divBdr>
                <w:top w:val="none" w:sz="0" w:space="0" w:color="auto"/>
                <w:left w:val="none" w:sz="0" w:space="0" w:color="auto"/>
                <w:bottom w:val="none" w:sz="0" w:space="0" w:color="auto"/>
                <w:right w:val="none" w:sz="0" w:space="0" w:color="auto"/>
              </w:divBdr>
              <w:divsChild>
                <w:div w:id="577447003">
                  <w:marLeft w:val="0"/>
                  <w:marRight w:val="0"/>
                  <w:marTop w:val="0"/>
                  <w:marBottom w:val="0"/>
                  <w:divBdr>
                    <w:top w:val="none" w:sz="0" w:space="0" w:color="auto"/>
                    <w:left w:val="none" w:sz="0" w:space="0" w:color="auto"/>
                    <w:bottom w:val="none" w:sz="0" w:space="0" w:color="auto"/>
                    <w:right w:val="none" w:sz="0" w:space="0" w:color="auto"/>
                  </w:divBdr>
                  <w:divsChild>
                    <w:div w:id="2144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23091">
      <w:bodyDiv w:val="1"/>
      <w:marLeft w:val="0"/>
      <w:marRight w:val="0"/>
      <w:marTop w:val="0"/>
      <w:marBottom w:val="0"/>
      <w:divBdr>
        <w:top w:val="none" w:sz="0" w:space="0" w:color="auto"/>
        <w:left w:val="none" w:sz="0" w:space="0" w:color="auto"/>
        <w:bottom w:val="none" w:sz="0" w:space="0" w:color="auto"/>
        <w:right w:val="none" w:sz="0" w:space="0" w:color="auto"/>
      </w:divBdr>
      <w:divsChild>
        <w:div w:id="933132145">
          <w:marLeft w:val="0"/>
          <w:marRight w:val="0"/>
          <w:marTop w:val="0"/>
          <w:marBottom w:val="0"/>
          <w:divBdr>
            <w:top w:val="none" w:sz="0" w:space="0" w:color="auto"/>
            <w:left w:val="none" w:sz="0" w:space="0" w:color="auto"/>
            <w:bottom w:val="none" w:sz="0" w:space="0" w:color="auto"/>
            <w:right w:val="none" w:sz="0" w:space="0" w:color="auto"/>
          </w:divBdr>
          <w:divsChild>
            <w:div w:id="1976835255">
              <w:marLeft w:val="0"/>
              <w:marRight w:val="0"/>
              <w:marTop w:val="0"/>
              <w:marBottom w:val="0"/>
              <w:divBdr>
                <w:top w:val="none" w:sz="0" w:space="0" w:color="auto"/>
                <w:left w:val="none" w:sz="0" w:space="0" w:color="auto"/>
                <w:bottom w:val="none" w:sz="0" w:space="0" w:color="auto"/>
                <w:right w:val="none" w:sz="0" w:space="0" w:color="auto"/>
              </w:divBdr>
              <w:divsChild>
                <w:div w:id="1368679210">
                  <w:marLeft w:val="0"/>
                  <w:marRight w:val="0"/>
                  <w:marTop w:val="0"/>
                  <w:marBottom w:val="0"/>
                  <w:divBdr>
                    <w:top w:val="none" w:sz="0" w:space="0" w:color="auto"/>
                    <w:left w:val="none" w:sz="0" w:space="0" w:color="auto"/>
                    <w:bottom w:val="none" w:sz="0" w:space="0" w:color="auto"/>
                    <w:right w:val="none" w:sz="0" w:space="0" w:color="auto"/>
                  </w:divBdr>
                  <w:divsChild>
                    <w:div w:id="18117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7043">
      <w:bodyDiv w:val="1"/>
      <w:marLeft w:val="0"/>
      <w:marRight w:val="0"/>
      <w:marTop w:val="0"/>
      <w:marBottom w:val="0"/>
      <w:divBdr>
        <w:top w:val="none" w:sz="0" w:space="0" w:color="auto"/>
        <w:left w:val="none" w:sz="0" w:space="0" w:color="auto"/>
        <w:bottom w:val="none" w:sz="0" w:space="0" w:color="auto"/>
        <w:right w:val="none" w:sz="0" w:space="0" w:color="auto"/>
      </w:divBdr>
      <w:divsChild>
        <w:div w:id="680939351">
          <w:marLeft w:val="0"/>
          <w:marRight w:val="0"/>
          <w:marTop w:val="0"/>
          <w:marBottom w:val="0"/>
          <w:divBdr>
            <w:top w:val="none" w:sz="0" w:space="0" w:color="auto"/>
            <w:left w:val="none" w:sz="0" w:space="0" w:color="auto"/>
            <w:bottom w:val="none" w:sz="0" w:space="0" w:color="auto"/>
            <w:right w:val="none" w:sz="0" w:space="0" w:color="auto"/>
          </w:divBdr>
          <w:divsChild>
            <w:div w:id="612519464">
              <w:marLeft w:val="0"/>
              <w:marRight w:val="0"/>
              <w:marTop w:val="0"/>
              <w:marBottom w:val="0"/>
              <w:divBdr>
                <w:top w:val="none" w:sz="0" w:space="0" w:color="auto"/>
                <w:left w:val="none" w:sz="0" w:space="0" w:color="auto"/>
                <w:bottom w:val="none" w:sz="0" w:space="0" w:color="auto"/>
                <w:right w:val="none" w:sz="0" w:space="0" w:color="auto"/>
              </w:divBdr>
              <w:divsChild>
                <w:div w:id="409623206">
                  <w:marLeft w:val="0"/>
                  <w:marRight w:val="0"/>
                  <w:marTop w:val="0"/>
                  <w:marBottom w:val="0"/>
                  <w:divBdr>
                    <w:top w:val="none" w:sz="0" w:space="0" w:color="auto"/>
                    <w:left w:val="none" w:sz="0" w:space="0" w:color="auto"/>
                    <w:bottom w:val="none" w:sz="0" w:space="0" w:color="auto"/>
                    <w:right w:val="none" w:sz="0" w:space="0" w:color="auto"/>
                  </w:divBdr>
                </w:div>
              </w:divsChild>
            </w:div>
            <w:div w:id="1827625635">
              <w:marLeft w:val="0"/>
              <w:marRight w:val="0"/>
              <w:marTop w:val="0"/>
              <w:marBottom w:val="0"/>
              <w:divBdr>
                <w:top w:val="none" w:sz="0" w:space="0" w:color="auto"/>
                <w:left w:val="none" w:sz="0" w:space="0" w:color="auto"/>
                <w:bottom w:val="none" w:sz="0" w:space="0" w:color="auto"/>
                <w:right w:val="none" w:sz="0" w:space="0" w:color="auto"/>
              </w:divBdr>
              <w:divsChild>
                <w:div w:id="422647992">
                  <w:marLeft w:val="0"/>
                  <w:marRight w:val="0"/>
                  <w:marTop w:val="0"/>
                  <w:marBottom w:val="0"/>
                  <w:divBdr>
                    <w:top w:val="none" w:sz="0" w:space="0" w:color="auto"/>
                    <w:left w:val="none" w:sz="0" w:space="0" w:color="auto"/>
                    <w:bottom w:val="none" w:sz="0" w:space="0" w:color="auto"/>
                    <w:right w:val="none" w:sz="0" w:space="0" w:color="auto"/>
                  </w:divBdr>
                  <w:divsChild>
                    <w:div w:id="20347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390">
              <w:marLeft w:val="0"/>
              <w:marRight w:val="0"/>
              <w:marTop w:val="0"/>
              <w:marBottom w:val="0"/>
              <w:divBdr>
                <w:top w:val="none" w:sz="0" w:space="0" w:color="auto"/>
                <w:left w:val="none" w:sz="0" w:space="0" w:color="auto"/>
                <w:bottom w:val="none" w:sz="0" w:space="0" w:color="auto"/>
                <w:right w:val="none" w:sz="0" w:space="0" w:color="auto"/>
              </w:divBdr>
              <w:divsChild>
                <w:div w:id="184945067">
                  <w:marLeft w:val="0"/>
                  <w:marRight w:val="0"/>
                  <w:marTop w:val="0"/>
                  <w:marBottom w:val="0"/>
                  <w:divBdr>
                    <w:top w:val="none" w:sz="0" w:space="0" w:color="auto"/>
                    <w:left w:val="none" w:sz="0" w:space="0" w:color="auto"/>
                    <w:bottom w:val="none" w:sz="0" w:space="0" w:color="auto"/>
                    <w:right w:val="none" w:sz="0" w:space="0" w:color="auto"/>
                  </w:divBdr>
                  <w:divsChild>
                    <w:div w:id="6071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19314">
      <w:bodyDiv w:val="1"/>
      <w:marLeft w:val="0"/>
      <w:marRight w:val="0"/>
      <w:marTop w:val="0"/>
      <w:marBottom w:val="0"/>
      <w:divBdr>
        <w:top w:val="none" w:sz="0" w:space="0" w:color="auto"/>
        <w:left w:val="none" w:sz="0" w:space="0" w:color="auto"/>
        <w:bottom w:val="none" w:sz="0" w:space="0" w:color="auto"/>
        <w:right w:val="none" w:sz="0" w:space="0" w:color="auto"/>
      </w:divBdr>
      <w:divsChild>
        <w:div w:id="1605923237">
          <w:marLeft w:val="0"/>
          <w:marRight w:val="0"/>
          <w:marTop w:val="0"/>
          <w:marBottom w:val="0"/>
          <w:divBdr>
            <w:top w:val="none" w:sz="0" w:space="0" w:color="auto"/>
            <w:left w:val="none" w:sz="0" w:space="0" w:color="auto"/>
            <w:bottom w:val="none" w:sz="0" w:space="0" w:color="auto"/>
            <w:right w:val="none" w:sz="0" w:space="0" w:color="auto"/>
          </w:divBdr>
          <w:divsChild>
            <w:div w:id="309789659">
              <w:marLeft w:val="0"/>
              <w:marRight w:val="0"/>
              <w:marTop w:val="0"/>
              <w:marBottom w:val="0"/>
              <w:divBdr>
                <w:top w:val="none" w:sz="0" w:space="0" w:color="auto"/>
                <w:left w:val="none" w:sz="0" w:space="0" w:color="auto"/>
                <w:bottom w:val="none" w:sz="0" w:space="0" w:color="auto"/>
                <w:right w:val="none" w:sz="0" w:space="0" w:color="auto"/>
              </w:divBdr>
              <w:divsChild>
                <w:div w:id="807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1892">
      <w:bodyDiv w:val="1"/>
      <w:marLeft w:val="0"/>
      <w:marRight w:val="0"/>
      <w:marTop w:val="0"/>
      <w:marBottom w:val="0"/>
      <w:divBdr>
        <w:top w:val="none" w:sz="0" w:space="0" w:color="auto"/>
        <w:left w:val="none" w:sz="0" w:space="0" w:color="auto"/>
        <w:bottom w:val="none" w:sz="0" w:space="0" w:color="auto"/>
        <w:right w:val="none" w:sz="0" w:space="0" w:color="auto"/>
      </w:divBdr>
      <w:divsChild>
        <w:div w:id="216288274">
          <w:marLeft w:val="0"/>
          <w:marRight w:val="0"/>
          <w:marTop w:val="0"/>
          <w:marBottom w:val="0"/>
          <w:divBdr>
            <w:top w:val="none" w:sz="0" w:space="0" w:color="auto"/>
            <w:left w:val="none" w:sz="0" w:space="0" w:color="auto"/>
            <w:bottom w:val="none" w:sz="0" w:space="0" w:color="auto"/>
            <w:right w:val="none" w:sz="0" w:space="0" w:color="auto"/>
          </w:divBdr>
          <w:divsChild>
            <w:div w:id="1726559860">
              <w:marLeft w:val="0"/>
              <w:marRight w:val="0"/>
              <w:marTop w:val="0"/>
              <w:marBottom w:val="0"/>
              <w:divBdr>
                <w:top w:val="none" w:sz="0" w:space="0" w:color="auto"/>
                <w:left w:val="none" w:sz="0" w:space="0" w:color="auto"/>
                <w:bottom w:val="none" w:sz="0" w:space="0" w:color="auto"/>
                <w:right w:val="none" w:sz="0" w:space="0" w:color="auto"/>
              </w:divBdr>
              <w:divsChild>
                <w:div w:id="1486627224">
                  <w:marLeft w:val="0"/>
                  <w:marRight w:val="0"/>
                  <w:marTop w:val="0"/>
                  <w:marBottom w:val="0"/>
                  <w:divBdr>
                    <w:top w:val="none" w:sz="0" w:space="0" w:color="auto"/>
                    <w:left w:val="none" w:sz="0" w:space="0" w:color="auto"/>
                    <w:bottom w:val="none" w:sz="0" w:space="0" w:color="auto"/>
                    <w:right w:val="none" w:sz="0" w:space="0" w:color="auto"/>
                  </w:divBdr>
                  <w:divsChild>
                    <w:div w:id="7042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7372">
      <w:bodyDiv w:val="1"/>
      <w:marLeft w:val="0"/>
      <w:marRight w:val="0"/>
      <w:marTop w:val="0"/>
      <w:marBottom w:val="0"/>
      <w:divBdr>
        <w:top w:val="none" w:sz="0" w:space="0" w:color="auto"/>
        <w:left w:val="none" w:sz="0" w:space="0" w:color="auto"/>
        <w:bottom w:val="none" w:sz="0" w:space="0" w:color="auto"/>
        <w:right w:val="none" w:sz="0" w:space="0" w:color="auto"/>
      </w:divBdr>
      <w:divsChild>
        <w:div w:id="948044379">
          <w:marLeft w:val="0"/>
          <w:marRight w:val="0"/>
          <w:marTop w:val="0"/>
          <w:marBottom w:val="0"/>
          <w:divBdr>
            <w:top w:val="none" w:sz="0" w:space="0" w:color="auto"/>
            <w:left w:val="none" w:sz="0" w:space="0" w:color="auto"/>
            <w:bottom w:val="none" w:sz="0" w:space="0" w:color="auto"/>
            <w:right w:val="none" w:sz="0" w:space="0" w:color="auto"/>
          </w:divBdr>
          <w:divsChild>
            <w:div w:id="142743922">
              <w:marLeft w:val="0"/>
              <w:marRight w:val="0"/>
              <w:marTop w:val="0"/>
              <w:marBottom w:val="0"/>
              <w:divBdr>
                <w:top w:val="none" w:sz="0" w:space="0" w:color="auto"/>
                <w:left w:val="none" w:sz="0" w:space="0" w:color="auto"/>
                <w:bottom w:val="none" w:sz="0" w:space="0" w:color="auto"/>
                <w:right w:val="none" w:sz="0" w:space="0" w:color="auto"/>
              </w:divBdr>
              <w:divsChild>
                <w:div w:id="1681467728">
                  <w:marLeft w:val="0"/>
                  <w:marRight w:val="0"/>
                  <w:marTop w:val="0"/>
                  <w:marBottom w:val="0"/>
                  <w:divBdr>
                    <w:top w:val="none" w:sz="0" w:space="0" w:color="auto"/>
                    <w:left w:val="none" w:sz="0" w:space="0" w:color="auto"/>
                    <w:bottom w:val="none" w:sz="0" w:space="0" w:color="auto"/>
                    <w:right w:val="none" w:sz="0" w:space="0" w:color="auto"/>
                  </w:divBdr>
                  <w:divsChild>
                    <w:div w:id="20986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2537">
      <w:bodyDiv w:val="1"/>
      <w:marLeft w:val="0"/>
      <w:marRight w:val="0"/>
      <w:marTop w:val="0"/>
      <w:marBottom w:val="0"/>
      <w:divBdr>
        <w:top w:val="none" w:sz="0" w:space="0" w:color="auto"/>
        <w:left w:val="none" w:sz="0" w:space="0" w:color="auto"/>
        <w:bottom w:val="none" w:sz="0" w:space="0" w:color="auto"/>
        <w:right w:val="none" w:sz="0" w:space="0" w:color="auto"/>
      </w:divBdr>
      <w:divsChild>
        <w:div w:id="1763990414">
          <w:marLeft w:val="0"/>
          <w:marRight w:val="0"/>
          <w:marTop w:val="0"/>
          <w:marBottom w:val="0"/>
          <w:divBdr>
            <w:top w:val="none" w:sz="0" w:space="0" w:color="auto"/>
            <w:left w:val="none" w:sz="0" w:space="0" w:color="auto"/>
            <w:bottom w:val="none" w:sz="0" w:space="0" w:color="auto"/>
            <w:right w:val="none" w:sz="0" w:space="0" w:color="auto"/>
          </w:divBdr>
          <w:divsChild>
            <w:div w:id="1252010440">
              <w:marLeft w:val="0"/>
              <w:marRight w:val="0"/>
              <w:marTop w:val="0"/>
              <w:marBottom w:val="0"/>
              <w:divBdr>
                <w:top w:val="none" w:sz="0" w:space="0" w:color="auto"/>
                <w:left w:val="none" w:sz="0" w:space="0" w:color="auto"/>
                <w:bottom w:val="none" w:sz="0" w:space="0" w:color="auto"/>
                <w:right w:val="none" w:sz="0" w:space="0" w:color="auto"/>
              </w:divBdr>
              <w:divsChild>
                <w:div w:id="14727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9536">
      <w:bodyDiv w:val="1"/>
      <w:marLeft w:val="0"/>
      <w:marRight w:val="0"/>
      <w:marTop w:val="0"/>
      <w:marBottom w:val="0"/>
      <w:divBdr>
        <w:top w:val="none" w:sz="0" w:space="0" w:color="auto"/>
        <w:left w:val="none" w:sz="0" w:space="0" w:color="auto"/>
        <w:bottom w:val="none" w:sz="0" w:space="0" w:color="auto"/>
        <w:right w:val="none" w:sz="0" w:space="0" w:color="auto"/>
      </w:divBdr>
      <w:divsChild>
        <w:div w:id="623773776">
          <w:marLeft w:val="0"/>
          <w:marRight w:val="0"/>
          <w:marTop w:val="0"/>
          <w:marBottom w:val="0"/>
          <w:divBdr>
            <w:top w:val="none" w:sz="0" w:space="0" w:color="auto"/>
            <w:left w:val="none" w:sz="0" w:space="0" w:color="auto"/>
            <w:bottom w:val="none" w:sz="0" w:space="0" w:color="auto"/>
            <w:right w:val="none" w:sz="0" w:space="0" w:color="auto"/>
          </w:divBdr>
          <w:divsChild>
            <w:div w:id="1477262915">
              <w:marLeft w:val="0"/>
              <w:marRight w:val="0"/>
              <w:marTop w:val="0"/>
              <w:marBottom w:val="0"/>
              <w:divBdr>
                <w:top w:val="none" w:sz="0" w:space="0" w:color="auto"/>
                <w:left w:val="none" w:sz="0" w:space="0" w:color="auto"/>
                <w:bottom w:val="none" w:sz="0" w:space="0" w:color="auto"/>
                <w:right w:val="none" w:sz="0" w:space="0" w:color="auto"/>
              </w:divBdr>
              <w:divsChild>
                <w:div w:id="1768883009">
                  <w:marLeft w:val="0"/>
                  <w:marRight w:val="0"/>
                  <w:marTop w:val="0"/>
                  <w:marBottom w:val="0"/>
                  <w:divBdr>
                    <w:top w:val="none" w:sz="0" w:space="0" w:color="auto"/>
                    <w:left w:val="none" w:sz="0" w:space="0" w:color="auto"/>
                    <w:bottom w:val="none" w:sz="0" w:space="0" w:color="auto"/>
                    <w:right w:val="none" w:sz="0" w:space="0" w:color="auto"/>
                  </w:divBdr>
                  <w:divsChild>
                    <w:div w:id="2109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5894">
      <w:bodyDiv w:val="1"/>
      <w:marLeft w:val="0"/>
      <w:marRight w:val="0"/>
      <w:marTop w:val="0"/>
      <w:marBottom w:val="0"/>
      <w:divBdr>
        <w:top w:val="none" w:sz="0" w:space="0" w:color="auto"/>
        <w:left w:val="none" w:sz="0" w:space="0" w:color="auto"/>
        <w:bottom w:val="none" w:sz="0" w:space="0" w:color="auto"/>
        <w:right w:val="none" w:sz="0" w:space="0" w:color="auto"/>
      </w:divBdr>
      <w:divsChild>
        <w:div w:id="922688914">
          <w:marLeft w:val="0"/>
          <w:marRight w:val="0"/>
          <w:marTop w:val="0"/>
          <w:marBottom w:val="0"/>
          <w:divBdr>
            <w:top w:val="none" w:sz="0" w:space="0" w:color="auto"/>
            <w:left w:val="none" w:sz="0" w:space="0" w:color="auto"/>
            <w:bottom w:val="none" w:sz="0" w:space="0" w:color="auto"/>
            <w:right w:val="none" w:sz="0" w:space="0" w:color="auto"/>
          </w:divBdr>
          <w:divsChild>
            <w:div w:id="2137487690">
              <w:marLeft w:val="0"/>
              <w:marRight w:val="0"/>
              <w:marTop w:val="0"/>
              <w:marBottom w:val="0"/>
              <w:divBdr>
                <w:top w:val="none" w:sz="0" w:space="0" w:color="auto"/>
                <w:left w:val="none" w:sz="0" w:space="0" w:color="auto"/>
                <w:bottom w:val="none" w:sz="0" w:space="0" w:color="auto"/>
                <w:right w:val="none" w:sz="0" w:space="0" w:color="auto"/>
              </w:divBdr>
              <w:divsChild>
                <w:div w:id="2227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6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004">
          <w:marLeft w:val="0"/>
          <w:marRight w:val="0"/>
          <w:marTop w:val="0"/>
          <w:marBottom w:val="0"/>
          <w:divBdr>
            <w:top w:val="none" w:sz="0" w:space="0" w:color="auto"/>
            <w:left w:val="none" w:sz="0" w:space="0" w:color="auto"/>
            <w:bottom w:val="none" w:sz="0" w:space="0" w:color="auto"/>
            <w:right w:val="none" w:sz="0" w:space="0" w:color="auto"/>
          </w:divBdr>
          <w:divsChild>
            <w:div w:id="1717316678">
              <w:marLeft w:val="0"/>
              <w:marRight w:val="0"/>
              <w:marTop w:val="0"/>
              <w:marBottom w:val="0"/>
              <w:divBdr>
                <w:top w:val="none" w:sz="0" w:space="0" w:color="auto"/>
                <w:left w:val="none" w:sz="0" w:space="0" w:color="auto"/>
                <w:bottom w:val="none" w:sz="0" w:space="0" w:color="auto"/>
                <w:right w:val="none" w:sz="0" w:space="0" w:color="auto"/>
              </w:divBdr>
              <w:divsChild>
                <w:div w:id="2138182603">
                  <w:marLeft w:val="0"/>
                  <w:marRight w:val="0"/>
                  <w:marTop w:val="0"/>
                  <w:marBottom w:val="0"/>
                  <w:divBdr>
                    <w:top w:val="none" w:sz="0" w:space="0" w:color="auto"/>
                    <w:left w:val="none" w:sz="0" w:space="0" w:color="auto"/>
                    <w:bottom w:val="none" w:sz="0" w:space="0" w:color="auto"/>
                    <w:right w:val="none" w:sz="0" w:space="0" w:color="auto"/>
                  </w:divBdr>
                  <w:divsChild>
                    <w:div w:id="12555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98371">
      <w:bodyDiv w:val="1"/>
      <w:marLeft w:val="0"/>
      <w:marRight w:val="0"/>
      <w:marTop w:val="0"/>
      <w:marBottom w:val="0"/>
      <w:divBdr>
        <w:top w:val="none" w:sz="0" w:space="0" w:color="auto"/>
        <w:left w:val="none" w:sz="0" w:space="0" w:color="auto"/>
        <w:bottom w:val="none" w:sz="0" w:space="0" w:color="auto"/>
        <w:right w:val="none" w:sz="0" w:space="0" w:color="auto"/>
      </w:divBdr>
      <w:divsChild>
        <w:div w:id="1254777722">
          <w:marLeft w:val="0"/>
          <w:marRight w:val="0"/>
          <w:marTop w:val="0"/>
          <w:marBottom w:val="0"/>
          <w:divBdr>
            <w:top w:val="none" w:sz="0" w:space="0" w:color="auto"/>
            <w:left w:val="none" w:sz="0" w:space="0" w:color="auto"/>
            <w:bottom w:val="none" w:sz="0" w:space="0" w:color="auto"/>
            <w:right w:val="none" w:sz="0" w:space="0" w:color="auto"/>
          </w:divBdr>
          <w:divsChild>
            <w:div w:id="1863128474">
              <w:marLeft w:val="0"/>
              <w:marRight w:val="0"/>
              <w:marTop w:val="0"/>
              <w:marBottom w:val="0"/>
              <w:divBdr>
                <w:top w:val="none" w:sz="0" w:space="0" w:color="auto"/>
                <w:left w:val="none" w:sz="0" w:space="0" w:color="auto"/>
                <w:bottom w:val="none" w:sz="0" w:space="0" w:color="auto"/>
                <w:right w:val="none" w:sz="0" w:space="0" w:color="auto"/>
              </w:divBdr>
              <w:divsChild>
                <w:div w:id="12949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6371">
      <w:bodyDiv w:val="1"/>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sChild>
            <w:div w:id="126170142">
              <w:marLeft w:val="0"/>
              <w:marRight w:val="0"/>
              <w:marTop w:val="0"/>
              <w:marBottom w:val="0"/>
              <w:divBdr>
                <w:top w:val="none" w:sz="0" w:space="0" w:color="auto"/>
                <w:left w:val="none" w:sz="0" w:space="0" w:color="auto"/>
                <w:bottom w:val="none" w:sz="0" w:space="0" w:color="auto"/>
                <w:right w:val="none" w:sz="0" w:space="0" w:color="auto"/>
              </w:divBdr>
              <w:divsChild>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75105">
      <w:bodyDiv w:val="1"/>
      <w:marLeft w:val="0"/>
      <w:marRight w:val="0"/>
      <w:marTop w:val="0"/>
      <w:marBottom w:val="0"/>
      <w:divBdr>
        <w:top w:val="none" w:sz="0" w:space="0" w:color="auto"/>
        <w:left w:val="none" w:sz="0" w:space="0" w:color="auto"/>
        <w:bottom w:val="none" w:sz="0" w:space="0" w:color="auto"/>
        <w:right w:val="none" w:sz="0" w:space="0" w:color="auto"/>
      </w:divBdr>
      <w:divsChild>
        <w:div w:id="1638027759">
          <w:marLeft w:val="0"/>
          <w:marRight w:val="0"/>
          <w:marTop w:val="0"/>
          <w:marBottom w:val="0"/>
          <w:divBdr>
            <w:top w:val="none" w:sz="0" w:space="0" w:color="auto"/>
            <w:left w:val="none" w:sz="0" w:space="0" w:color="auto"/>
            <w:bottom w:val="none" w:sz="0" w:space="0" w:color="auto"/>
            <w:right w:val="none" w:sz="0" w:space="0" w:color="auto"/>
          </w:divBdr>
          <w:divsChild>
            <w:div w:id="250623829">
              <w:marLeft w:val="0"/>
              <w:marRight w:val="0"/>
              <w:marTop w:val="0"/>
              <w:marBottom w:val="0"/>
              <w:divBdr>
                <w:top w:val="none" w:sz="0" w:space="0" w:color="auto"/>
                <w:left w:val="none" w:sz="0" w:space="0" w:color="auto"/>
                <w:bottom w:val="none" w:sz="0" w:space="0" w:color="auto"/>
                <w:right w:val="none" w:sz="0" w:space="0" w:color="auto"/>
              </w:divBdr>
              <w:divsChild>
                <w:div w:id="258102612">
                  <w:marLeft w:val="0"/>
                  <w:marRight w:val="0"/>
                  <w:marTop w:val="0"/>
                  <w:marBottom w:val="0"/>
                  <w:divBdr>
                    <w:top w:val="none" w:sz="0" w:space="0" w:color="auto"/>
                    <w:left w:val="none" w:sz="0" w:space="0" w:color="auto"/>
                    <w:bottom w:val="none" w:sz="0" w:space="0" w:color="auto"/>
                    <w:right w:val="none" w:sz="0" w:space="0" w:color="auto"/>
                  </w:divBdr>
                  <w:divsChild>
                    <w:div w:id="4786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9114">
      <w:bodyDiv w:val="1"/>
      <w:marLeft w:val="0"/>
      <w:marRight w:val="0"/>
      <w:marTop w:val="0"/>
      <w:marBottom w:val="0"/>
      <w:divBdr>
        <w:top w:val="none" w:sz="0" w:space="0" w:color="auto"/>
        <w:left w:val="none" w:sz="0" w:space="0" w:color="auto"/>
        <w:bottom w:val="none" w:sz="0" w:space="0" w:color="auto"/>
        <w:right w:val="none" w:sz="0" w:space="0" w:color="auto"/>
      </w:divBdr>
      <w:divsChild>
        <w:div w:id="1121455788">
          <w:marLeft w:val="0"/>
          <w:marRight w:val="0"/>
          <w:marTop w:val="0"/>
          <w:marBottom w:val="0"/>
          <w:divBdr>
            <w:top w:val="none" w:sz="0" w:space="0" w:color="auto"/>
            <w:left w:val="none" w:sz="0" w:space="0" w:color="auto"/>
            <w:bottom w:val="none" w:sz="0" w:space="0" w:color="auto"/>
            <w:right w:val="none" w:sz="0" w:space="0" w:color="auto"/>
          </w:divBdr>
          <w:divsChild>
            <w:div w:id="349180921">
              <w:marLeft w:val="0"/>
              <w:marRight w:val="0"/>
              <w:marTop w:val="0"/>
              <w:marBottom w:val="0"/>
              <w:divBdr>
                <w:top w:val="none" w:sz="0" w:space="0" w:color="auto"/>
                <w:left w:val="none" w:sz="0" w:space="0" w:color="auto"/>
                <w:bottom w:val="none" w:sz="0" w:space="0" w:color="auto"/>
                <w:right w:val="none" w:sz="0" w:space="0" w:color="auto"/>
              </w:divBdr>
              <w:divsChild>
                <w:div w:id="561717711">
                  <w:marLeft w:val="0"/>
                  <w:marRight w:val="0"/>
                  <w:marTop w:val="0"/>
                  <w:marBottom w:val="0"/>
                  <w:divBdr>
                    <w:top w:val="none" w:sz="0" w:space="0" w:color="auto"/>
                    <w:left w:val="none" w:sz="0" w:space="0" w:color="auto"/>
                    <w:bottom w:val="none" w:sz="0" w:space="0" w:color="auto"/>
                    <w:right w:val="none" w:sz="0" w:space="0" w:color="auto"/>
                  </w:divBdr>
                  <w:divsChild>
                    <w:div w:id="7228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4022">
      <w:bodyDiv w:val="1"/>
      <w:marLeft w:val="0"/>
      <w:marRight w:val="0"/>
      <w:marTop w:val="0"/>
      <w:marBottom w:val="0"/>
      <w:divBdr>
        <w:top w:val="none" w:sz="0" w:space="0" w:color="auto"/>
        <w:left w:val="none" w:sz="0" w:space="0" w:color="auto"/>
        <w:bottom w:val="none" w:sz="0" w:space="0" w:color="auto"/>
        <w:right w:val="none" w:sz="0" w:space="0" w:color="auto"/>
      </w:divBdr>
      <w:divsChild>
        <w:div w:id="671840831">
          <w:marLeft w:val="0"/>
          <w:marRight w:val="0"/>
          <w:marTop w:val="0"/>
          <w:marBottom w:val="0"/>
          <w:divBdr>
            <w:top w:val="none" w:sz="0" w:space="0" w:color="auto"/>
            <w:left w:val="none" w:sz="0" w:space="0" w:color="auto"/>
            <w:bottom w:val="none" w:sz="0" w:space="0" w:color="auto"/>
            <w:right w:val="none" w:sz="0" w:space="0" w:color="auto"/>
          </w:divBdr>
          <w:divsChild>
            <w:div w:id="1305702195">
              <w:marLeft w:val="0"/>
              <w:marRight w:val="0"/>
              <w:marTop w:val="0"/>
              <w:marBottom w:val="0"/>
              <w:divBdr>
                <w:top w:val="none" w:sz="0" w:space="0" w:color="auto"/>
                <w:left w:val="none" w:sz="0" w:space="0" w:color="auto"/>
                <w:bottom w:val="none" w:sz="0" w:space="0" w:color="auto"/>
                <w:right w:val="none" w:sz="0" w:space="0" w:color="auto"/>
              </w:divBdr>
              <w:divsChild>
                <w:div w:id="21193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79724">
      <w:bodyDiv w:val="1"/>
      <w:marLeft w:val="0"/>
      <w:marRight w:val="0"/>
      <w:marTop w:val="0"/>
      <w:marBottom w:val="0"/>
      <w:divBdr>
        <w:top w:val="none" w:sz="0" w:space="0" w:color="auto"/>
        <w:left w:val="none" w:sz="0" w:space="0" w:color="auto"/>
        <w:bottom w:val="none" w:sz="0" w:space="0" w:color="auto"/>
        <w:right w:val="none" w:sz="0" w:space="0" w:color="auto"/>
      </w:divBdr>
      <w:divsChild>
        <w:div w:id="1882548317">
          <w:marLeft w:val="0"/>
          <w:marRight w:val="0"/>
          <w:marTop w:val="0"/>
          <w:marBottom w:val="0"/>
          <w:divBdr>
            <w:top w:val="none" w:sz="0" w:space="0" w:color="auto"/>
            <w:left w:val="none" w:sz="0" w:space="0" w:color="auto"/>
            <w:bottom w:val="none" w:sz="0" w:space="0" w:color="auto"/>
            <w:right w:val="none" w:sz="0" w:space="0" w:color="auto"/>
          </w:divBdr>
          <w:divsChild>
            <w:div w:id="289748348">
              <w:marLeft w:val="0"/>
              <w:marRight w:val="0"/>
              <w:marTop w:val="0"/>
              <w:marBottom w:val="0"/>
              <w:divBdr>
                <w:top w:val="none" w:sz="0" w:space="0" w:color="auto"/>
                <w:left w:val="none" w:sz="0" w:space="0" w:color="auto"/>
                <w:bottom w:val="none" w:sz="0" w:space="0" w:color="auto"/>
                <w:right w:val="none" w:sz="0" w:space="0" w:color="auto"/>
              </w:divBdr>
              <w:divsChild>
                <w:div w:id="11732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29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878">
          <w:marLeft w:val="0"/>
          <w:marRight w:val="0"/>
          <w:marTop w:val="0"/>
          <w:marBottom w:val="0"/>
          <w:divBdr>
            <w:top w:val="none" w:sz="0" w:space="0" w:color="auto"/>
            <w:left w:val="none" w:sz="0" w:space="0" w:color="auto"/>
            <w:bottom w:val="none" w:sz="0" w:space="0" w:color="auto"/>
            <w:right w:val="none" w:sz="0" w:space="0" w:color="auto"/>
          </w:divBdr>
          <w:divsChild>
            <w:div w:id="1516503890">
              <w:marLeft w:val="0"/>
              <w:marRight w:val="0"/>
              <w:marTop w:val="0"/>
              <w:marBottom w:val="0"/>
              <w:divBdr>
                <w:top w:val="none" w:sz="0" w:space="0" w:color="auto"/>
                <w:left w:val="none" w:sz="0" w:space="0" w:color="auto"/>
                <w:bottom w:val="none" w:sz="0" w:space="0" w:color="auto"/>
                <w:right w:val="none" w:sz="0" w:space="0" w:color="auto"/>
              </w:divBdr>
              <w:divsChild>
                <w:div w:id="1686515224">
                  <w:marLeft w:val="0"/>
                  <w:marRight w:val="0"/>
                  <w:marTop w:val="0"/>
                  <w:marBottom w:val="0"/>
                  <w:divBdr>
                    <w:top w:val="none" w:sz="0" w:space="0" w:color="auto"/>
                    <w:left w:val="none" w:sz="0" w:space="0" w:color="auto"/>
                    <w:bottom w:val="none" w:sz="0" w:space="0" w:color="auto"/>
                    <w:right w:val="none" w:sz="0" w:space="0" w:color="auto"/>
                  </w:divBdr>
                  <w:divsChild>
                    <w:div w:id="18469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4785">
      <w:bodyDiv w:val="1"/>
      <w:marLeft w:val="0"/>
      <w:marRight w:val="0"/>
      <w:marTop w:val="0"/>
      <w:marBottom w:val="0"/>
      <w:divBdr>
        <w:top w:val="none" w:sz="0" w:space="0" w:color="auto"/>
        <w:left w:val="none" w:sz="0" w:space="0" w:color="auto"/>
        <w:bottom w:val="none" w:sz="0" w:space="0" w:color="auto"/>
        <w:right w:val="none" w:sz="0" w:space="0" w:color="auto"/>
      </w:divBdr>
      <w:divsChild>
        <w:div w:id="1085031805">
          <w:marLeft w:val="0"/>
          <w:marRight w:val="0"/>
          <w:marTop w:val="0"/>
          <w:marBottom w:val="0"/>
          <w:divBdr>
            <w:top w:val="none" w:sz="0" w:space="0" w:color="auto"/>
            <w:left w:val="none" w:sz="0" w:space="0" w:color="auto"/>
            <w:bottom w:val="none" w:sz="0" w:space="0" w:color="auto"/>
            <w:right w:val="none" w:sz="0" w:space="0" w:color="auto"/>
          </w:divBdr>
          <w:divsChild>
            <w:div w:id="1313604366">
              <w:marLeft w:val="0"/>
              <w:marRight w:val="0"/>
              <w:marTop w:val="0"/>
              <w:marBottom w:val="0"/>
              <w:divBdr>
                <w:top w:val="none" w:sz="0" w:space="0" w:color="auto"/>
                <w:left w:val="none" w:sz="0" w:space="0" w:color="auto"/>
                <w:bottom w:val="none" w:sz="0" w:space="0" w:color="auto"/>
                <w:right w:val="none" w:sz="0" w:space="0" w:color="auto"/>
              </w:divBdr>
              <w:divsChild>
                <w:div w:id="1004434125">
                  <w:marLeft w:val="0"/>
                  <w:marRight w:val="0"/>
                  <w:marTop w:val="0"/>
                  <w:marBottom w:val="0"/>
                  <w:divBdr>
                    <w:top w:val="none" w:sz="0" w:space="0" w:color="auto"/>
                    <w:left w:val="none" w:sz="0" w:space="0" w:color="auto"/>
                    <w:bottom w:val="none" w:sz="0" w:space="0" w:color="auto"/>
                    <w:right w:val="none" w:sz="0" w:space="0" w:color="auto"/>
                  </w:divBdr>
                  <w:divsChild>
                    <w:div w:id="1009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2719">
      <w:bodyDiv w:val="1"/>
      <w:marLeft w:val="0"/>
      <w:marRight w:val="0"/>
      <w:marTop w:val="0"/>
      <w:marBottom w:val="0"/>
      <w:divBdr>
        <w:top w:val="none" w:sz="0" w:space="0" w:color="auto"/>
        <w:left w:val="none" w:sz="0" w:space="0" w:color="auto"/>
        <w:bottom w:val="none" w:sz="0" w:space="0" w:color="auto"/>
        <w:right w:val="none" w:sz="0" w:space="0" w:color="auto"/>
      </w:divBdr>
      <w:divsChild>
        <w:div w:id="567766677">
          <w:marLeft w:val="0"/>
          <w:marRight w:val="0"/>
          <w:marTop w:val="0"/>
          <w:marBottom w:val="0"/>
          <w:divBdr>
            <w:top w:val="none" w:sz="0" w:space="0" w:color="auto"/>
            <w:left w:val="none" w:sz="0" w:space="0" w:color="auto"/>
            <w:bottom w:val="none" w:sz="0" w:space="0" w:color="auto"/>
            <w:right w:val="none" w:sz="0" w:space="0" w:color="auto"/>
          </w:divBdr>
          <w:divsChild>
            <w:div w:id="945884896">
              <w:marLeft w:val="0"/>
              <w:marRight w:val="0"/>
              <w:marTop w:val="0"/>
              <w:marBottom w:val="0"/>
              <w:divBdr>
                <w:top w:val="none" w:sz="0" w:space="0" w:color="auto"/>
                <w:left w:val="none" w:sz="0" w:space="0" w:color="auto"/>
                <w:bottom w:val="none" w:sz="0" w:space="0" w:color="auto"/>
                <w:right w:val="none" w:sz="0" w:space="0" w:color="auto"/>
              </w:divBdr>
              <w:divsChild>
                <w:div w:id="1049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52333">
      <w:bodyDiv w:val="1"/>
      <w:marLeft w:val="0"/>
      <w:marRight w:val="0"/>
      <w:marTop w:val="0"/>
      <w:marBottom w:val="0"/>
      <w:divBdr>
        <w:top w:val="none" w:sz="0" w:space="0" w:color="auto"/>
        <w:left w:val="none" w:sz="0" w:space="0" w:color="auto"/>
        <w:bottom w:val="none" w:sz="0" w:space="0" w:color="auto"/>
        <w:right w:val="none" w:sz="0" w:space="0" w:color="auto"/>
      </w:divBdr>
      <w:divsChild>
        <w:div w:id="187985453">
          <w:marLeft w:val="0"/>
          <w:marRight w:val="0"/>
          <w:marTop w:val="0"/>
          <w:marBottom w:val="0"/>
          <w:divBdr>
            <w:top w:val="none" w:sz="0" w:space="0" w:color="auto"/>
            <w:left w:val="none" w:sz="0" w:space="0" w:color="auto"/>
            <w:bottom w:val="none" w:sz="0" w:space="0" w:color="auto"/>
            <w:right w:val="none" w:sz="0" w:space="0" w:color="auto"/>
          </w:divBdr>
          <w:divsChild>
            <w:div w:id="1367757646">
              <w:marLeft w:val="0"/>
              <w:marRight w:val="0"/>
              <w:marTop w:val="0"/>
              <w:marBottom w:val="0"/>
              <w:divBdr>
                <w:top w:val="none" w:sz="0" w:space="0" w:color="auto"/>
                <w:left w:val="none" w:sz="0" w:space="0" w:color="auto"/>
                <w:bottom w:val="none" w:sz="0" w:space="0" w:color="auto"/>
                <w:right w:val="none" w:sz="0" w:space="0" w:color="auto"/>
              </w:divBdr>
              <w:divsChild>
                <w:div w:id="261113192">
                  <w:marLeft w:val="0"/>
                  <w:marRight w:val="0"/>
                  <w:marTop w:val="0"/>
                  <w:marBottom w:val="0"/>
                  <w:divBdr>
                    <w:top w:val="none" w:sz="0" w:space="0" w:color="auto"/>
                    <w:left w:val="none" w:sz="0" w:space="0" w:color="auto"/>
                    <w:bottom w:val="none" w:sz="0" w:space="0" w:color="auto"/>
                    <w:right w:val="none" w:sz="0" w:space="0" w:color="auto"/>
                  </w:divBdr>
                  <w:divsChild>
                    <w:div w:id="95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5030">
      <w:bodyDiv w:val="1"/>
      <w:marLeft w:val="0"/>
      <w:marRight w:val="0"/>
      <w:marTop w:val="0"/>
      <w:marBottom w:val="0"/>
      <w:divBdr>
        <w:top w:val="none" w:sz="0" w:space="0" w:color="auto"/>
        <w:left w:val="none" w:sz="0" w:space="0" w:color="auto"/>
        <w:bottom w:val="none" w:sz="0" w:space="0" w:color="auto"/>
        <w:right w:val="none" w:sz="0" w:space="0" w:color="auto"/>
      </w:divBdr>
      <w:divsChild>
        <w:div w:id="522791968">
          <w:marLeft w:val="0"/>
          <w:marRight w:val="0"/>
          <w:marTop w:val="0"/>
          <w:marBottom w:val="0"/>
          <w:divBdr>
            <w:top w:val="none" w:sz="0" w:space="0" w:color="auto"/>
            <w:left w:val="none" w:sz="0" w:space="0" w:color="auto"/>
            <w:bottom w:val="none" w:sz="0" w:space="0" w:color="auto"/>
            <w:right w:val="none" w:sz="0" w:space="0" w:color="auto"/>
          </w:divBdr>
          <w:divsChild>
            <w:div w:id="1715038256">
              <w:marLeft w:val="0"/>
              <w:marRight w:val="0"/>
              <w:marTop w:val="0"/>
              <w:marBottom w:val="0"/>
              <w:divBdr>
                <w:top w:val="none" w:sz="0" w:space="0" w:color="auto"/>
                <w:left w:val="none" w:sz="0" w:space="0" w:color="auto"/>
                <w:bottom w:val="none" w:sz="0" w:space="0" w:color="auto"/>
                <w:right w:val="none" w:sz="0" w:space="0" w:color="auto"/>
              </w:divBdr>
              <w:divsChild>
                <w:div w:id="896822722">
                  <w:marLeft w:val="0"/>
                  <w:marRight w:val="0"/>
                  <w:marTop w:val="0"/>
                  <w:marBottom w:val="0"/>
                  <w:divBdr>
                    <w:top w:val="none" w:sz="0" w:space="0" w:color="auto"/>
                    <w:left w:val="none" w:sz="0" w:space="0" w:color="auto"/>
                    <w:bottom w:val="none" w:sz="0" w:space="0" w:color="auto"/>
                    <w:right w:val="none" w:sz="0" w:space="0" w:color="auto"/>
                  </w:divBdr>
                  <w:divsChild>
                    <w:div w:id="7084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4693">
      <w:bodyDiv w:val="1"/>
      <w:marLeft w:val="0"/>
      <w:marRight w:val="0"/>
      <w:marTop w:val="0"/>
      <w:marBottom w:val="0"/>
      <w:divBdr>
        <w:top w:val="none" w:sz="0" w:space="0" w:color="auto"/>
        <w:left w:val="none" w:sz="0" w:space="0" w:color="auto"/>
        <w:bottom w:val="none" w:sz="0" w:space="0" w:color="auto"/>
        <w:right w:val="none" w:sz="0" w:space="0" w:color="auto"/>
      </w:divBdr>
      <w:divsChild>
        <w:div w:id="1680422638">
          <w:marLeft w:val="0"/>
          <w:marRight w:val="0"/>
          <w:marTop w:val="0"/>
          <w:marBottom w:val="0"/>
          <w:divBdr>
            <w:top w:val="none" w:sz="0" w:space="0" w:color="auto"/>
            <w:left w:val="none" w:sz="0" w:space="0" w:color="auto"/>
            <w:bottom w:val="none" w:sz="0" w:space="0" w:color="auto"/>
            <w:right w:val="none" w:sz="0" w:space="0" w:color="auto"/>
          </w:divBdr>
          <w:divsChild>
            <w:div w:id="628897408">
              <w:marLeft w:val="0"/>
              <w:marRight w:val="0"/>
              <w:marTop w:val="0"/>
              <w:marBottom w:val="0"/>
              <w:divBdr>
                <w:top w:val="none" w:sz="0" w:space="0" w:color="auto"/>
                <w:left w:val="none" w:sz="0" w:space="0" w:color="auto"/>
                <w:bottom w:val="none" w:sz="0" w:space="0" w:color="auto"/>
                <w:right w:val="none" w:sz="0" w:space="0" w:color="auto"/>
              </w:divBdr>
              <w:divsChild>
                <w:div w:id="1001008229">
                  <w:marLeft w:val="0"/>
                  <w:marRight w:val="0"/>
                  <w:marTop w:val="0"/>
                  <w:marBottom w:val="0"/>
                  <w:divBdr>
                    <w:top w:val="none" w:sz="0" w:space="0" w:color="auto"/>
                    <w:left w:val="none" w:sz="0" w:space="0" w:color="auto"/>
                    <w:bottom w:val="none" w:sz="0" w:space="0" w:color="auto"/>
                    <w:right w:val="none" w:sz="0" w:space="0" w:color="auto"/>
                  </w:divBdr>
                  <w:divsChild>
                    <w:div w:id="18693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42638">
      <w:bodyDiv w:val="1"/>
      <w:marLeft w:val="0"/>
      <w:marRight w:val="0"/>
      <w:marTop w:val="0"/>
      <w:marBottom w:val="0"/>
      <w:divBdr>
        <w:top w:val="none" w:sz="0" w:space="0" w:color="auto"/>
        <w:left w:val="none" w:sz="0" w:space="0" w:color="auto"/>
        <w:bottom w:val="none" w:sz="0" w:space="0" w:color="auto"/>
        <w:right w:val="none" w:sz="0" w:space="0" w:color="auto"/>
      </w:divBdr>
      <w:divsChild>
        <w:div w:id="1212419292">
          <w:marLeft w:val="0"/>
          <w:marRight w:val="0"/>
          <w:marTop w:val="0"/>
          <w:marBottom w:val="0"/>
          <w:divBdr>
            <w:top w:val="none" w:sz="0" w:space="0" w:color="auto"/>
            <w:left w:val="none" w:sz="0" w:space="0" w:color="auto"/>
            <w:bottom w:val="none" w:sz="0" w:space="0" w:color="auto"/>
            <w:right w:val="none" w:sz="0" w:space="0" w:color="auto"/>
          </w:divBdr>
          <w:divsChild>
            <w:div w:id="937758810">
              <w:marLeft w:val="0"/>
              <w:marRight w:val="0"/>
              <w:marTop w:val="0"/>
              <w:marBottom w:val="0"/>
              <w:divBdr>
                <w:top w:val="none" w:sz="0" w:space="0" w:color="auto"/>
                <w:left w:val="none" w:sz="0" w:space="0" w:color="auto"/>
                <w:bottom w:val="none" w:sz="0" w:space="0" w:color="auto"/>
                <w:right w:val="none" w:sz="0" w:space="0" w:color="auto"/>
              </w:divBdr>
              <w:divsChild>
                <w:div w:id="4447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8237">
      <w:bodyDiv w:val="1"/>
      <w:marLeft w:val="0"/>
      <w:marRight w:val="0"/>
      <w:marTop w:val="0"/>
      <w:marBottom w:val="0"/>
      <w:divBdr>
        <w:top w:val="none" w:sz="0" w:space="0" w:color="auto"/>
        <w:left w:val="none" w:sz="0" w:space="0" w:color="auto"/>
        <w:bottom w:val="none" w:sz="0" w:space="0" w:color="auto"/>
        <w:right w:val="none" w:sz="0" w:space="0" w:color="auto"/>
      </w:divBdr>
      <w:divsChild>
        <w:div w:id="1142697666">
          <w:marLeft w:val="0"/>
          <w:marRight w:val="0"/>
          <w:marTop w:val="0"/>
          <w:marBottom w:val="0"/>
          <w:divBdr>
            <w:top w:val="none" w:sz="0" w:space="0" w:color="auto"/>
            <w:left w:val="none" w:sz="0" w:space="0" w:color="auto"/>
            <w:bottom w:val="none" w:sz="0" w:space="0" w:color="auto"/>
            <w:right w:val="none" w:sz="0" w:space="0" w:color="auto"/>
          </w:divBdr>
          <w:divsChild>
            <w:div w:id="404229856">
              <w:marLeft w:val="0"/>
              <w:marRight w:val="0"/>
              <w:marTop w:val="0"/>
              <w:marBottom w:val="0"/>
              <w:divBdr>
                <w:top w:val="none" w:sz="0" w:space="0" w:color="auto"/>
                <w:left w:val="none" w:sz="0" w:space="0" w:color="auto"/>
                <w:bottom w:val="none" w:sz="0" w:space="0" w:color="auto"/>
                <w:right w:val="none" w:sz="0" w:space="0" w:color="auto"/>
              </w:divBdr>
              <w:divsChild>
                <w:div w:id="9097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2796">
      <w:bodyDiv w:val="1"/>
      <w:marLeft w:val="0"/>
      <w:marRight w:val="0"/>
      <w:marTop w:val="0"/>
      <w:marBottom w:val="0"/>
      <w:divBdr>
        <w:top w:val="none" w:sz="0" w:space="0" w:color="auto"/>
        <w:left w:val="none" w:sz="0" w:space="0" w:color="auto"/>
        <w:bottom w:val="none" w:sz="0" w:space="0" w:color="auto"/>
        <w:right w:val="none" w:sz="0" w:space="0" w:color="auto"/>
      </w:divBdr>
      <w:divsChild>
        <w:div w:id="201943520">
          <w:marLeft w:val="0"/>
          <w:marRight w:val="0"/>
          <w:marTop w:val="0"/>
          <w:marBottom w:val="0"/>
          <w:divBdr>
            <w:top w:val="none" w:sz="0" w:space="0" w:color="auto"/>
            <w:left w:val="none" w:sz="0" w:space="0" w:color="auto"/>
            <w:bottom w:val="none" w:sz="0" w:space="0" w:color="auto"/>
            <w:right w:val="none" w:sz="0" w:space="0" w:color="auto"/>
          </w:divBdr>
          <w:divsChild>
            <w:div w:id="251277919">
              <w:marLeft w:val="0"/>
              <w:marRight w:val="0"/>
              <w:marTop w:val="0"/>
              <w:marBottom w:val="0"/>
              <w:divBdr>
                <w:top w:val="none" w:sz="0" w:space="0" w:color="auto"/>
                <w:left w:val="none" w:sz="0" w:space="0" w:color="auto"/>
                <w:bottom w:val="none" w:sz="0" w:space="0" w:color="auto"/>
                <w:right w:val="none" w:sz="0" w:space="0" w:color="auto"/>
              </w:divBdr>
              <w:divsChild>
                <w:div w:id="1122310019">
                  <w:marLeft w:val="0"/>
                  <w:marRight w:val="0"/>
                  <w:marTop w:val="0"/>
                  <w:marBottom w:val="0"/>
                  <w:divBdr>
                    <w:top w:val="none" w:sz="0" w:space="0" w:color="auto"/>
                    <w:left w:val="none" w:sz="0" w:space="0" w:color="auto"/>
                    <w:bottom w:val="none" w:sz="0" w:space="0" w:color="auto"/>
                    <w:right w:val="none" w:sz="0" w:space="0" w:color="auto"/>
                  </w:divBdr>
                  <w:divsChild>
                    <w:div w:id="4195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8933">
      <w:bodyDiv w:val="1"/>
      <w:marLeft w:val="0"/>
      <w:marRight w:val="0"/>
      <w:marTop w:val="0"/>
      <w:marBottom w:val="0"/>
      <w:divBdr>
        <w:top w:val="none" w:sz="0" w:space="0" w:color="auto"/>
        <w:left w:val="none" w:sz="0" w:space="0" w:color="auto"/>
        <w:bottom w:val="none" w:sz="0" w:space="0" w:color="auto"/>
        <w:right w:val="none" w:sz="0" w:space="0" w:color="auto"/>
      </w:divBdr>
      <w:divsChild>
        <w:div w:id="1876890718">
          <w:marLeft w:val="0"/>
          <w:marRight w:val="0"/>
          <w:marTop w:val="0"/>
          <w:marBottom w:val="0"/>
          <w:divBdr>
            <w:top w:val="none" w:sz="0" w:space="0" w:color="auto"/>
            <w:left w:val="none" w:sz="0" w:space="0" w:color="auto"/>
            <w:bottom w:val="none" w:sz="0" w:space="0" w:color="auto"/>
            <w:right w:val="none" w:sz="0" w:space="0" w:color="auto"/>
          </w:divBdr>
          <w:divsChild>
            <w:div w:id="272246733">
              <w:marLeft w:val="0"/>
              <w:marRight w:val="0"/>
              <w:marTop w:val="0"/>
              <w:marBottom w:val="0"/>
              <w:divBdr>
                <w:top w:val="none" w:sz="0" w:space="0" w:color="auto"/>
                <w:left w:val="none" w:sz="0" w:space="0" w:color="auto"/>
                <w:bottom w:val="none" w:sz="0" w:space="0" w:color="auto"/>
                <w:right w:val="none" w:sz="0" w:space="0" w:color="auto"/>
              </w:divBdr>
              <w:divsChild>
                <w:div w:id="350111713">
                  <w:marLeft w:val="0"/>
                  <w:marRight w:val="0"/>
                  <w:marTop w:val="0"/>
                  <w:marBottom w:val="0"/>
                  <w:divBdr>
                    <w:top w:val="none" w:sz="0" w:space="0" w:color="auto"/>
                    <w:left w:val="none" w:sz="0" w:space="0" w:color="auto"/>
                    <w:bottom w:val="none" w:sz="0" w:space="0" w:color="auto"/>
                    <w:right w:val="none" w:sz="0" w:space="0" w:color="auto"/>
                  </w:divBdr>
                  <w:divsChild>
                    <w:div w:id="13288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7219">
      <w:bodyDiv w:val="1"/>
      <w:marLeft w:val="0"/>
      <w:marRight w:val="0"/>
      <w:marTop w:val="0"/>
      <w:marBottom w:val="0"/>
      <w:divBdr>
        <w:top w:val="none" w:sz="0" w:space="0" w:color="auto"/>
        <w:left w:val="none" w:sz="0" w:space="0" w:color="auto"/>
        <w:bottom w:val="none" w:sz="0" w:space="0" w:color="auto"/>
        <w:right w:val="none" w:sz="0" w:space="0" w:color="auto"/>
      </w:divBdr>
      <w:divsChild>
        <w:div w:id="1521889460">
          <w:marLeft w:val="0"/>
          <w:marRight w:val="0"/>
          <w:marTop w:val="0"/>
          <w:marBottom w:val="0"/>
          <w:divBdr>
            <w:top w:val="none" w:sz="0" w:space="0" w:color="auto"/>
            <w:left w:val="none" w:sz="0" w:space="0" w:color="auto"/>
            <w:bottom w:val="none" w:sz="0" w:space="0" w:color="auto"/>
            <w:right w:val="none" w:sz="0" w:space="0" w:color="auto"/>
          </w:divBdr>
          <w:divsChild>
            <w:div w:id="457913170">
              <w:marLeft w:val="0"/>
              <w:marRight w:val="0"/>
              <w:marTop w:val="0"/>
              <w:marBottom w:val="0"/>
              <w:divBdr>
                <w:top w:val="none" w:sz="0" w:space="0" w:color="auto"/>
                <w:left w:val="none" w:sz="0" w:space="0" w:color="auto"/>
                <w:bottom w:val="none" w:sz="0" w:space="0" w:color="auto"/>
                <w:right w:val="none" w:sz="0" w:space="0" w:color="auto"/>
              </w:divBdr>
              <w:divsChild>
                <w:div w:id="506599940">
                  <w:marLeft w:val="0"/>
                  <w:marRight w:val="0"/>
                  <w:marTop w:val="0"/>
                  <w:marBottom w:val="0"/>
                  <w:divBdr>
                    <w:top w:val="none" w:sz="0" w:space="0" w:color="auto"/>
                    <w:left w:val="none" w:sz="0" w:space="0" w:color="auto"/>
                    <w:bottom w:val="none" w:sz="0" w:space="0" w:color="auto"/>
                    <w:right w:val="none" w:sz="0" w:space="0" w:color="auto"/>
                  </w:divBdr>
                  <w:divsChild>
                    <w:div w:id="2157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3405">
      <w:bodyDiv w:val="1"/>
      <w:marLeft w:val="0"/>
      <w:marRight w:val="0"/>
      <w:marTop w:val="0"/>
      <w:marBottom w:val="0"/>
      <w:divBdr>
        <w:top w:val="none" w:sz="0" w:space="0" w:color="auto"/>
        <w:left w:val="none" w:sz="0" w:space="0" w:color="auto"/>
        <w:bottom w:val="none" w:sz="0" w:space="0" w:color="auto"/>
        <w:right w:val="none" w:sz="0" w:space="0" w:color="auto"/>
      </w:divBdr>
      <w:divsChild>
        <w:div w:id="684482539">
          <w:marLeft w:val="0"/>
          <w:marRight w:val="0"/>
          <w:marTop w:val="0"/>
          <w:marBottom w:val="0"/>
          <w:divBdr>
            <w:top w:val="none" w:sz="0" w:space="0" w:color="auto"/>
            <w:left w:val="none" w:sz="0" w:space="0" w:color="auto"/>
            <w:bottom w:val="none" w:sz="0" w:space="0" w:color="auto"/>
            <w:right w:val="none" w:sz="0" w:space="0" w:color="auto"/>
          </w:divBdr>
          <w:divsChild>
            <w:div w:id="633602543">
              <w:marLeft w:val="0"/>
              <w:marRight w:val="0"/>
              <w:marTop w:val="0"/>
              <w:marBottom w:val="0"/>
              <w:divBdr>
                <w:top w:val="none" w:sz="0" w:space="0" w:color="auto"/>
                <w:left w:val="none" w:sz="0" w:space="0" w:color="auto"/>
                <w:bottom w:val="none" w:sz="0" w:space="0" w:color="auto"/>
                <w:right w:val="none" w:sz="0" w:space="0" w:color="auto"/>
              </w:divBdr>
              <w:divsChild>
                <w:div w:id="203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4947">
      <w:bodyDiv w:val="1"/>
      <w:marLeft w:val="0"/>
      <w:marRight w:val="0"/>
      <w:marTop w:val="0"/>
      <w:marBottom w:val="0"/>
      <w:divBdr>
        <w:top w:val="none" w:sz="0" w:space="0" w:color="auto"/>
        <w:left w:val="none" w:sz="0" w:space="0" w:color="auto"/>
        <w:bottom w:val="none" w:sz="0" w:space="0" w:color="auto"/>
        <w:right w:val="none" w:sz="0" w:space="0" w:color="auto"/>
      </w:divBdr>
      <w:divsChild>
        <w:div w:id="487288512">
          <w:marLeft w:val="0"/>
          <w:marRight w:val="0"/>
          <w:marTop w:val="0"/>
          <w:marBottom w:val="0"/>
          <w:divBdr>
            <w:top w:val="none" w:sz="0" w:space="0" w:color="auto"/>
            <w:left w:val="none" w:sz="0" w:space="0" w:color="auto"/>
            <w:bottom w:val="none" w:sz="0" w:space="0" w:color="auto"/>
            <w:right w:val="none" w:sz="0" w:space="0" w:color="auto"/>
          </w:divBdr>
          <w:divsChild>
            <w:div w:id="1175346240">
              <w:marLeft w:val="0"/>
              <w:marRight w:val="0"/>
              <w:marTop w:val="0"/>
              <w:marBottom w:val="0"/>
              <w:divBdr>
                <w:top w:val="none" w:sz="0" w:space="0" w:color="auto"/>
                <w:left w:val="none" w:sz="0" w:space="0" w:color="auto"/>
                <w:bottom w:val="none" w:sz="0" w:space="0" w:color="auto"/>
                <w:right w:val="none" w:sz="0" w:space="0" w:color="auto"/>
              </w:divBdr>
              <w:divsChild>
                <w:div w:id="1359282361">
                  <w:marLeft w:val="0"/>
                  <w:marRight w:val="0"/>
                  <w:marTop w:val="0"/>
                  <w:marBottom w:val="0"/>
                  <w:divBdr>
                    <w:top w:val="none" w:sz="0" w:space="0" w:color="auto"/>
                    <w:left w:val="none" w:sz="0" w:space="0" w:color="auto"/>
                    <w:bottom w:val="none" w:sz="0" w:space="0" w:color="auto"/>
                    <w:right w:val="none" w:sz="0" w:space="0" w:color="auto"/>
                  </w:divBdr>
                  <w:divsChild>
                    <w:div w:id="3689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2965">
      <w:bodyDiv w:val="1"/>
      <w:marLeft w:val="0"/>
      <w:marRight w:val="0"/>
      <w:marTop w:val="0"/>
      <w:marBottom w:val="0"/>
      <w:divBdr>
        <w:top w:val="none" w:sz="0" w:space="0" w:color="auto"/>
        <w:left w:val="none" w:sz="0" w:space="0" w:color="auto"/>
        <w:bottom w:val="none" w:sz="0" w:space="0" w:color="auto"/>
        <w:right w:val="none" w:sz="0" w:space="0" w:color="auto"/>
      </w:divBdr>
    </w:div>
    <w:div w:id="1856845077">
      <w:bodyDiv w:val="1"/>
      <w:marLeft w:val="0"/>
      <w:marRight w:val="0"/>
      <w:marTop w:val="0"/>
      <w:marBottom w:val="0"/>
      <w:divBdr>
        <w:top w:val="none" w:sz="0" w:space="0" w:color="auto"/>
        <w:left w:val="none" w:sz="0" w:space="0" w:color="auto"/>
        <w:bottom w:val="none" w:sz="0" w:space="0" w:color="auto"/>
        <w:right w:val="none" w:sz="0" w:space="0" w:color="auto"/>
      </w:divBdr>
      <w:divsChild>
        <w:div w:id="587732172">
          <w:marLeft w:val="0"/>
          <w:marRight w:val="0"/>
          <w:marTop w:val="0"/>
          <w:marBottom w:val="0"/>
          <w:divBdr>
            <w:top w:val="none" w:sz="0" w:space="0" w:color="auto"/>
            <w:left w:val="none" w:sz="0" w:space="0" w:color="auto"/>
            <w:bottom w:val="none" w:sz="0" w:space="0" w:color="auto"/>
            <w:right w:val="none" w:sz="0" w:space="0" w:color="auto"/>
          </w:divBdr>
          <w:divsChild>
            <w:div w:id="627396064">
              <w:marLeft w:val="0"/>
              <w:marRight w:val="0"/>
              <w:marTop w:val="0"/>
              <w:marBottom w:val="0"/>
              <w:divBdr>
                <w:top w:val="none" w:sz="0" w:space="0" w:color="auto"/>
                <w:left w:val="none" w:sz="0" w:space="0" w:color="auto"/>
                <w:bottom w:val="none" w:sz="0" w:space="0" w:color="auto"/>
                <w:right w:val="none" w:sz="0" w:space="0" w:color="auto"/>
              </w:divBdr>
              <w:divsChild>
                <w:div w:id="6234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2375">
      <w:bodyDiv w:val="1"/>
      <w:marLeft w:val="0"/>
      <w:marRight w:val="0"/>
      <w:marTop w:val="0"/>
      <w:marBottom w:val="0"/>
      <w:divBdr>
        <w:top w:val="none" w:sz="0" w:space="0" w:color="auto"/>
        <w:left w:val="none" w:sz="0" w:space="0" w:color="auto"/>
        <w:bottom w:val="none" w:sz="0" w:space="0" w:color="auto"/>
        <w:right w:val="none" w:sz="0" w:space="0" w:color="auto"/>
      </w:divBdr>
      <w:divsChild>
        <w:div w:id="1745371217">
          <w:marLeft w:val="0"/>
          <w:marRight w:val="0"/>
          <w:marTop w:val="0"/>
          <w:marBottom w:val="0"/>
          <w:divBdr>
            <w:top w:val="none" w:sz="0" w:space="0" w:color="auto"/>
            <w:left w:val="none" w:sz="0" w:space="0" w:color="auto"/>
            <w:bottom w:val="none" w:sz="0" w:space="0" w:color="auto"/>
            <w:right w:val="none" w:sz="0" w:space="0" w:color="auto"/>
          </w:divBdr>
          <w:divsChild>
            <w:div w:id="1932469737">
              <w:marLeft w:val="0"/>
              <w:marRight w:val="0"/>
              <w:marTop w:val="0"/>
              <w:marBottom w:val="0"/>
              <w:divBdr>
                <w:top w:val="none" w:sz="0" w:space="0" w:color="auto"/>
                <w:left w:val="none" w:sz="0" w:space="0" w:color="auto"/>
                <w:bottom w:val="none" w:sz="0" w:space="0" w:color="auto"/>
                <w:right w:val="none" w:sz="0" w:space="0" w:color="auto"/>
              </w:divBdr>
              <w:divsChild>
                <w:div w:id="408239495">
                  <w:marLeft w:val="0"/>
                  <w:marRight w:val="0"/>
                  <w:marTop w:val="0"/>
                  <w:marBottom w:val="0"/>
                  <w:divBdr>
                    <w:top w:val="none" w:sz="0" w:space="0" w:color="auto"/>
                    <w:left w:val="none" w:sz="0" w:space="0" w:color="auto"/>
                    <w:bottom w:val="none" w:sz="0" w:space="0" w:color="auto"/>
                    <w:right w:val="none" w:sz="0" w:space="0" w:color="auto"/>
                  </w:divBdr>
                  <w:divsChild>
                    <w:div w:id="9850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9591">
      <w:bodyDiv w:val="1"/>
      <w:marLeft w:val="0"/>
      <w:marRight w:val="0"/>
      <w:marTop w:val="0"/>
      <w:marBottom w:val="0"/>
      <w:divBdr>
        <w:top w:val="none" w:sz="0" w:space="0" w:color="auto"/>
        <w:left w:val="none" w:sz="0" w:space="0" w:color="auto"/>
        <w:bottom w:val="none" w:sz="0" w:space="0" w:color="auto"/>
        <w:right w:val="none" w:sz="0" w:space="0" w:color="auto"/>
      </w:divBdr>
      <w:divsChild>
        <w:div w:id="1098410198">
          <w:marLeft w:val="0"/>
          <w:marRight w:val="0"/>
          <w:marTop w:val="0"/>
          <w:marBottom w:val="0"/>
          <w:divBdr>
            <w:top w:val="none" w:sz="0" w:space="0" w:color="auto"/>
            <w:left w:val="none" w:sz="0" w:space="0" w:color="auto"/>
            <w:bottom w:val="none" w:sz="0" w:space="0" w:color="auto"/>
            <w:right w:val="none" w:sz="0" w:space="0" w:color="auto"/>
          </w:divBdr>
          <w:divsChild>
            <w:div w:id="37706253">
              <w:marLeft w:val="0"/>
              <w:marRight w:val="0"/>
              <w:marTop w:val="0"/>
              <w:marBottom w:val="0"/>
              <w:divBdr>
                <w:top w:val="none" w:sz="0" w:space="0" w:color="auto"/>
                <w:left w:val="none" w:sz="0" w:space="0" w:color="auto"/>
                <w:bottom w:val="none" w:sz="0" w:space="0" w:color="auto"/>
                <w:right w:val="none" w:sz="0" w:space="0" w:color="auto"/>
              </w:divBdr>
              <w:divsChild>
                <w:div w:id="10302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3572">
      <w:bodyDiv w:val="1"/>
      <w:marLeft w:val="0"/>
      <w:marRight w:val="0"/>
      <w:marTop w:val="0"/>
      <w:marBottom w:val="0"/>
      <w:divBdr>
        <w:top w:val="none" w:sz="0" w:space="0" w:color="auto"/>
        <w:left w:val="none" w:sz="0" w:space="0" w:color="auto"/>
        <w:bottom w:val="none" w:sz="0" w:space="0" w:color="auto"/>
        <w:right w:val="none" w:sz="0" w:space="0" w:color="auto"/>
      </w:divBdr>
      <w:divsChild>
        <w:div w:id="1233273790">
          <w:marLeft w:val="0"/>
          <w:marRight w:val="0"/>
          <w:marTop w:val="0"/>
          <w:marBottom w:val="0"/>
          <w:divBdr>
            <w:top w:val="none" w:sz="0" w:space="0" w:color="auto"/>
            <w:left w:val="none" w:sz="0" w:space="0" w:color="auto"/>
            <w:bottom w:val="none" w:sz="0" w:space="0" w:color="auto"/>
            <w:right w:val="none" w:sz="0" w:space="0" w:color="auto"/>
          </w:divBdr>
          <w:divsChild>
            <w:div w:id="1842548782">
              <w:marLeft w:val="0"/>
              <w:marRight w:val="0"/>
              <w:marTop w:val="0"/>
              <w:marBottom w:val="0"/>
              <w:divBdr>
                <w:top w:val="none" w:sz="0" w:space="0" w:color="auto"/>
                <w:left w:val="none" w:sz="0" w:space="0" w:color="auto"/>
                <w:bottom w:val="none" w:sz="0" w:space="0" w:color="auto"/>
                <w:right w:val="none" w:sz="0" w:space="0" w:color="auto"/>
              </w:divBdr>
              <w:divsChild>
                <w:div w:id="2122527123">
                  <w:marLeft w:val="0"/>
                  <w:marRight w:val="0"/>
                  <w:marTop w:val="0"/>
                  <w:marBottom w:val="0"/>
                  <w:divBdr>
                    <w:top w:val="none" w:sz="0" w:space="0" w:color="auto"/>
                    <w:left w:val="none" w:sz="0" w:space="0" w:color="auto"/>
                    <w:bottom w:val="none" w:sz="0" w:space="0" w:color="auto"/>
                    <w:right w:val="none" w:sz="0" w:space="0" w:color="auto"/>
                  </w:divBdr>
                  <w:divsChild>
                    <w:div w:id="16916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42924">
      <w:bodyDiv w:val="1"/>
      <w:marLeft w:val="0"/>
      <w:marRight w:val="0"/>
      <w:marTop w:val="0"/>
      <w:marBottom w:val="0"/>
      <w:divBdr>
        <w:top w:val="none" w:sz="0" w:space="0" w:color="auto"/>
        <w:left w:val="none" w:sz="0" w:space="0" w:color="auto"/>
        <w:bottom w:val="none" w:sz="0" w:space="0" w:color="auto"/>
        <w:right w:val="none" w:sz="0" w:space="0" w:color="auto"/>
      </w:divBdr>
      <w:divsChild>
        <w:div w:id="1519852112">
          <w:marLeft w:val="0"/>
          <w:marRight w:val="0"/>
          <w:marTop w:val="0"/>
          <w:marBottom w:val="0"/>
          <w:divBdr>
            <w:top w:val="none" w:sz="0" w:space="0" w:color="auto"/>
            <w:left w:val="none" w:sz="0" w:space="0" w:color="auto"/>
            <w:bottom w:val="none" w:sz="0" w:space="0" w:color="auto"/>
            <w:right w:val="none" w:sz="0" w:space="0" w:color="auto"/>
          </w:divBdr>
          <w:divsChild>
            <w:div w:id="42216477">
              <w:marLeft w:val="0"/>
              <w:marRight w:val="0"/>
              <w:marTop w:val="0"/>
              <w:marBottom w:val="0"/>
              <w:divBdr>
                <w:top w:val="none" w:sz="0" w:space="0" w:color="auto"/>
                <w:left w:val="none" w:sz="0" w:space="0" w:color="auto"/>
                <w:bottom w:val="none" w:sz="0" w:space="0" w:color="auto"/>
                <w:right w:val="none" w:sz="0" w:space="0" w:color="auto"/>
              </w:divBdr>
              <w:divsChild>
                <w:div w:id="914239765">
                  <w:marLeft w:val="0"/>
                  <w:marRight w:val="0"/>
                  <w:marTop w:val="0"/>
                  <w:marBottom w:val="0"/>
                  <w:divBdr>
                    <w:top w:val="none" w:sz="0" w:space="0" w:color="auto"/>
                    <w:left w:val="none" w:sz="0" w:space="0" w:color="auto"/>
                    <w:bottom w:val="none" w:sz="0" w:space="0" w:color="auto"/>
                    <w:right w:val="none" w:sz="0" w:space="0" w:color="auto"/>
                  </w:divBdr>
                  <w:divsChild>
                    <w:div w:id="592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4280">
      <w:bodyDiv w:val="1"/>
      <w:marLeft w:val="0"/>
      <w:marRight w:val="0"/>
      <w:marTop w:val="0"/>
      <w:marBottom w:val="0"/>
      <w:divBdr>
        <w:top w:val="none" w:sz="0" w:space="0" w:color="auto"/>
        <w:left w:val="none" w:sz="0" w:space="0" w:color="auto"/>
        <w:bottom w:val="none" w:sz="0" w:space="0" w:color="auto"/>
        <w:right w:val="none" w:sz="0" w:space="0" w:color="auto"/>
      </w:divBdr>
      <w:divsChild>
        <w:div w:id="1387994444">
          <w:marLeft w:val="0"/>
          <w:marRight w:val="0"/>
          <w:marTop w:val="0"/>
          <w:marBottom w:val="0"/>
          <w:divBdr>
            <w:top w:val="none" w:sz="0" w:space="0" w:color="auto"/>
            <w:left w:val="none" w:sz="0" w:space="0" w:color="auto"/>
            <w:bottom w:val="none" w:sz="0" w:space="0" w:color="auto"/>
            <w:right w:val="none" w:sz="0" w:space="0" w:color="auto"/>
          </w:divBdr>
          <w:divsChild>
            <w:div w:id="470293968">
              <w:marLeft w:val="0"/>
              <w:marRight w:val="0"/>
              <w:marTop w:val="0"/>
              <w:marBottom w:val="0"/>
              <w:divBdr>
                <w:top w:val="none" w:sz="0" w:space="0" w:color="auto"/>
                <w:left w:val="none" w:sz="0" w:space="0" w:color="auto"/>
                <w:bottom w:val="none" w:sz="0" w:space="0" w:color="auto"/>
                <w:right w:val="none" w:sz="0" w:space="0" w:color="auto"/>
              </w:divBdr>
              <w:divsChild>
                <w:div w:id="780103718">
                  <w:marLeft w:val="0"/>
                  <w:marRight w:val="0"/>
                  <w:marTop w:val="0"/>
                  <w:marBottom w:val="0"/>
                  <w:divBdr>
                    <w:top w:val="none" w:sz="0" w:space="0" w:color="auto"/>
                    <w:left w:val="none" w:sz="0" w:space="0" w:color="auto"/>
                    <w:bottom w:val="none" w:sz="0" w:space="0" w:color="auto"/>
                    <w:right w:val="none" w:sz="0" w:space="0" w:color="auto"/>
                  </w:divBdr>
                  <w:divsChild>
                    <w:div w:id="2332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4043">
      <w:bodyDiv w:val="1"/>
      <w:marLeft w:val="0"/>
      <w:marRight w:val="0"/>
      <w:marTop w:val="0"/>
      <w:marBottom w:val="0"/>
      <w:divBdr>
        <w:top w:val="none" w:sz="0" w:space="0" w:color="auto"/>
        <w:left w:val="none" w:sz="0" w:space="0" w:color="auto"/>
        <w:bottom w:val="none" w:sz="0" w:space="0" w:color="auto"/>
        <w:right w:val="none" w:sz="0" w:space="0" w:color="auto"/>
      </w:divBdr>
      <w:divsChild>
        <w:div w:id="1426611793">
          <w:marLeft w:val="-225"/>
          <w:marRight w:val="-225"/>
          <w:marTop w:val="0"/>
          <w:marBottom w:val="0"/>
          <w:divBdr>
            <w:top w:val="none" w:sz="0" w:space="0" w:color="auto"/>
            <w:left w:val="none" w:sz="0" w:space="0" w:color="auto"/>
            <w:bottom w:val="none" w:sz="0" w:space="0" w:color="auto"/>
            <w:right w:val="none" w:sz="0" w:space="0" w:color="auto"/>
          </w:divBdr>
          <w:divsChild>
            <w:div w:id="157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8200">
      <w:bodyDiv w:val="1"/>
      <w:marLeft w:val="0"/>
      <w:marRight w:val="0"/>
      <w:marTop w:val="0"/>
      <w:marBottom w:val="0"/>
      <w:divBdr>
        <w:top w:val="none" w:sz="0" w:space="0" w:color="auto"/>
        <w:left w:val="none" w:sz="0" w:space="0" w:color="auto"/>
        <w:bottom w:val="none" w:sz="0" w:space="0" w:color="auto"/>
        <w:right w:val="none" w:sz="0" w:space="0" w:color="auto"/>
      </w:divBdr>
      <w:divsChild>
        <w:div w:id="17826339">
          <w:marLeft w:val="0"/>
          <w:marRight w:val="0"/>
          <w:marTop w:val="0"/>
          <w:marBottom w:val="0"/>
          <w:divBdr>
            <w:top w:val="none" w:sz="0" w:space="0" w:color="auto"/>
            <w:left w:val="none" w:sz="0" w:space="0" w:color="auto"/>
            <w:bottom w:val="none" w:sz="0" w:space="0" w:color="auto"/>
            <w:right w:val="none" w:sz="0" w:space="0" w:color="auto"/>
          </w:divBdr>
          <w:divsChild>
            <w:div w:id="609897491">
              <w:marLeft w:val="0"/>
              <w:marRight w:val="0"/>
              <w:marTop w:val="0"/>
              <w:marBottom w:val="0"/>
              <w:divBdr>
                <w:top w:val="none" w:sz="0" w:space="0" w:color="auto"/>
                <w:left w:val="none" w:sz="0" w:space="0" w:color="auto"/>
                <w:bottom w:val="none" w:sz="0" w:space="0" w:color="auto"/>
                <w:right w:val="none" w:sz="0" w:space="0" w:color="auto"/>
              </w:divBdr>
              <w:divsChild>
                <w:div w:id="15698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3782">
      <w:bodyDiv w:val="1"/>
      <w:marLeft w:val="0"/>
      <w:marRight w:val="0"/>
      <w:marTop w:val="0"/>
      <w:marBottom w:val="0"/>
      <w:divBdr>
        <w:top w:val="none" w:sz="0" w:space="0" w:color="auto"/>
        <w:left w:val="none" w:sz="0" w:space="0" w:color="auto"/>
        <w:bottom w:val="none" w:sz="0" w:space="0" w:color="auto"/>
        <w:right w:val="none" w:sz="0" w:space="0" w:color="auto"/>
      </w:divBdr>
      <w:divsChild>
        <w:div w:id="1965194528">
          <w:marLeft w:val="0"/>
          <w:marRight w:val="0"/>
          <w:marTop w:val="0"/>
          <w:marBottom w:val="0"/>
          <w:divBdr>
            <w:top w:val="none" w:sz="0" w:space="0" w:color="auto"/>
            <w:left w:val="none" w:sz="0" w:space="0" w:color="auto"/>
            <w:bottom w:val="none" w:sz="0" w:space="0" w:color="auto"/>
            <w:right w:val="none" w:sz="0" w:space="0" w:color="auto"/>
          </w:divBdr>
          <w:divsChild>
            <w:div w:id="222177830">
              <w:marLeft w:val="0"/>
              <w:marRight w:val="0"/>
              <w:marTop w:val="0"/>
              <w:marBottom w:val="0"/>
              <w:divBdr>
                <w:top w:val="none" w:sz="0" w:space="0" w:color="auto"/>
                <w:left w:val="none" w:sz="0" w:space="0" w:color="auto"/>
                <w:bottom w:val="none" w:sz="0" w:space="0" w:color="auto"/>
                <w:right w:val="none" w:sz="0" w:space="0" w:color="auto"/>
              </w:divBdr>
              <w:divsChild>
                <w:div w:id="1875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417">
      <w:bodyDiv w:val="1"/>
      <w:marLeft w:val="0"/>
      <w:marRight w:val="0"/>
      <w:marTop w:val="0"/>
      <w:marBottom w:val="0"/>
      <w:divBdr>
        <w:top w:val="none" w:sz="0" w:space="0" w:color="auto"/>
        <w:left w:val="none" w:sz="0" w:space="0" w:color="auto"/>
        <w:bottom w:val="none" w:sz="0" w:space="0" w:color="auto"/>
        <w:right w:val="none" w:sz="0" w:space="0" w:color="auto"/>
      </w:divBdr>
      <w:divsChild>
        <w:div w:id="830365132">
          <w:marLeft w:val="0"/>
          <w:marRight w:val="0"/>
          <w:marTop w:val="0"/>
          <w:marBottom w:val="0"/>
          <w:divBdr>
            <w:top w:val="none" w:sz="0" w:space="0" w:color="auto"/>
            <w:left w:val="none" w:sz="0" w:space="0" w:color="auto"/>
            <w:bottom w:val="none" w:sz="0" w:space="0" w:color="auto"/>
            <w:right w:val="none" w:sz="0" w:space="0" w:color="auto"/>
          </w:divBdr>
          <w:divsChild>
            <w:div w:id="784930665">
              <w:marLeft w:val="0"/>
              <w:marRight w:val="0"/>
              <w:marTop w:val="0"/>
              <w:marBottom w:val="0"/>
              <w:divBdr>
                <w:top w:val="none" w:sz="0" w:space="0" w:color="auto"/>
                <w:left w:val="none" w:sz="0" w:space="0" w:color="auto"/>
                <w:bottom w:val="none" w:sz="0" w:space="0" w:color="auto"/>
                <w:right w:val="none" w:sz="0" w:space="0" w:color="auto"/>
              </w:divBdr>
              <w:divsChild>
                <w:div w:id="12923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69422">
      <w:bodyDiv w:val="1"/>
      <w:marLeft w:val="0"/>
      <w:marRight w:val="0"/>
      <w:marTop w:val="0"/>
      <w:marBottom w:val="0"/>
      <w:divBdr>
        <w:top w:val="none" w:sz="0" w:space="0" w:color="auto"/>
        <w:left w:val="none" w:sz="0" w:space="0" w:color="auto"/>
        <w:bottom w:val="none" w:sz="0" w:space="0" w:color="auto"/>
        <w:right w:val="none" w:sz="0" w:space="0" w:color="auto"/>
      </w:divBdr>
      <w:divsChild>
        <w:div w:id="286088632">
          <w:marLeft w:val="0"/>
          <w:marRight w:val="0"/>
          <w:marTop w:val="0"/>
          <w:marBottom w:val="0"/>
          <w:divBdr>
            <w:top w:val="none" w:sz="0" w:space="0" w:color="auto"/>
            <w:left w:val="none" w:sz="0" w:space="0" w:color="auto"/>
            <w:bottom w:val="none" w:sz="0" w:space="0" w:color="auto"/>
            <w:right w:val="none" w:sz="0" w:space="0" w:color="auto"/>
          </w:divBdr>
          <w:divsChild>
            <w:div w:id="134107052">
              <w:marLeft w:val="0"/>
              <w:marRight w:val="0"/>
              <w:marTop w:val="0"/>
              <w:marBottom w:val="0"/>
              <w:divBdr>
                <w:top w:val="none" w:sz="0" w:space="0" w:color="auto"/>
                <w:left w:val="none" w:sz="0" w:space="0" w:color="auto"/>
                <w:bottom w:val="none" w:sz="0" w:space="0" w:color="auto"/>
                <w:right w:val="none" w:sz="0" w:space="0" w:color="auto"/>
              </w:divBdr>
              <w:divsChild>
                <w:div w:id="171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6254">
      <w:bodyDiv w:val="1"/>
      <w:marLeft w:val="0"/>
      <w:marRight w:val="0"/>
      <w:marTop w:val="0"/>
      <w:marBottom w:val="0"/>
      <w:divBdr>
        <w:top w:val="none" w:sz="0" w:space="0" w:color="auto"/>
        <w:left w:val="none" w:sz="0" w:space="0" w:color="auto"/>
        <w:bottom w:val="none" w:sz="0" w:space="0" w:color="auto"/>
        <w:right w:val="none" w:sz="0" w:space="0" w:color="auto"/>
      </w:divBdr>
      <w:divsChild>
        <w:div w:id="1979257273">
          <w:marLeft w:val="0"/>
          <w:marRight w:val="0"/>
          <w:marTop w:val="0"/>
          <w:marBottom w:val="0"/>
          <w:divBdr>
            <w:top w:val="none" w:sz="0" w:space="0" w:color="auto"/>
            <w:left w:val="none" w:sz="0" w:space="0" w:color="auto"/>
            <w:bottom w:val="none" w:sz="0" w:space="0" w:color="auto"/>
            <w:right w:val="none" w:sz="0" w:space="0" w:color="auto"/>
          </w:divBdr>
          <w:divsChild>
            <w:div w:id="728266506">
              <w:marLeft w:val="0"/>
              <w:marRight w:val="0"/>
              <w:marTop w:val="0"/>
              <w:marBottom w:val="0"/>
              <w:divBdr>
                <w:top w:val="none" w:sz="0" w:space="0" w:color="auto"/>
                <w:left w:val="none" w:sz="0" w:space="0" w:color="auto"/>
                <w:bottom w:val="none" w:sz="0" w:space="0" w:color="auto"/>
                <w:right w:val="none" w:sz="0" w:space="0" w:color="auto"/>
              </w:divBdr>
              <w:divsChild>
                <w:div w:id="263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04036">
      <w:bodyDiv w:val="1"/>
      <w:marLeft w:val="0"/>
      <w:marRight w:val="0"/>
      <w:marTop w:val="0"/>
      <w:marBottom w:val="0"/>
      <w:divBdr>
        <w:top w:val="none" w:sz="0" w:space="0" w:color="auto"/>
        <w:left w:val="none" w:sz="0" w:space="0" w:color="auto"/>
        <w:bottom w:val="none" w:sz="0" w:space="0" w:color="auto"/>
        <w:right w:val="none" w:sz="0" w:space="0" w:color="auto"/>
      </w:divBdr>
      <w:divsChild>
        <w:div w:id="1651208146">
          <w:marLeft w:val="0"/>
          <w:marRight w:val="0"/>
          <w:marTop w:val="0"/>
          <w:marBottom w:val="0"/>
          <w:divBdr>
            <w:top w:val="none" w:sz="0" w:space="0" w:color="auto"/>
            <w:left w:val="none" w:sz="0" w:space="0" w:color="auto"/>
            <w:bottom w:val="none" w:sz="0" w:space="0" w:color="auto"/>
            <w:right w:val="none" w:sz="0" w:space="0" w:color="auto"/>
          </w:divBdr>
          <w:divsChild>
            <w:div w:id="905913162">
              <w:marLeft w:val="0"/>
              <w:marRight w:val="0"/>
              <w:marTop w:val="0"/>
              <w:marBottom w:val="0"/>
              <w:divBdr>
                <w:top w:val="none" w:sz="0" w:space="0" w:color="auto"/>
                <w:left w:val="none" w:sz="0" w:space="0" w:color="auto"/>
                <w:bottom w:val="none" w:sz="0" w:space="0" w:color="auto"/>
                <w:right w:val="none" w:sz="0" w:space="0" w:color="auto"/>
              </w:divBdr>
              <w:divsChild>
                <w:div w:id="1626887626">
                  <w:marLeft w:val="0"/>
                  <w:marRight w:val="0"/>
                  <w:marTop w:val="0"/>
                  <w:marBottom w:val="0"/>
                  <w:divBdr>
                    <w:top w:val="none" w:sz="0" w:space="0" w:color="auto"/>
                    <w:left w:val="none" w:sz="0" w:space="0" w:color="auto"/>
                    <w:bottom w:val="none" w:sz="0" w:space="0" w:color="auto"/>
                    <w:right w:val="none" w:sz="0" w:space="0" w:color="auto"/>
                  </w:divBdr>
                </w:div>
              </w:divsChild>
            </w:div>
            <w:div w:id="1708482259">
              <w:marLeft w:val="0"/>
              <w:marRight w:val="0"/>
              <w:marTop w:val="0"/>
              <w:marBottom w:val="0"/>
              <w:divBdr>
                <w:top w:val="none" w:sz="0" w:space="0" w:color="auto"/>
                <w:left w:val="none" w:sz="0" w:space="0" w:color="auto"/>
                <w:bottom w:val="none" w:sz="0" w:space="0" w:color="auto"/>
                <w:right w:val="none" w:sz="0" w:space="0" w:color="auto"/>
              </w:divBdr>
              <w:divsChild>
                <w:div w:id="2503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5378">
      <w:bodyDiv w:val="1"/>
      <w:marLeft w:val="0"/>
      <w:marRight w:val="0"/>
      <w:marTop w:val="0"/>
      <w:marBottom w:val="0"/>
      <w:divBdr>
        <w:top w:val="none" w:sz="0" w:space="0" w:color="auto"/>
        <w:left w:val="none" w:sz="0" w:space="0" w:color="auto"/>
        <w:bottom w:val="none" w:sz="0" w:space="0" w:color="auto"/>
        <w:right w:val="none" w:sz="0" w:space="0" w:color="auto"/>
      </w:divBdr>
      <w:divsChild>
        <w:div w:id="1408844831">
          <w:marLeft w:val="0"/>
          <w:marRight w:val="0"/>
          <w:marTop w:val="0"/>
          <w:marBottom w:val="0"/>
          <w:divBdr>
            <w:top w:val="none" w:sz="0" w:space="0" w:color="auto"/>
            <w:left w:val="none" w:sz="0" w:space="0" w:color="auto"/>
            <w:bottom w:val="none" w:sz="0" w:space="0" w:color="auto"/>
            <w:right w:val="none" w:sz="0" w:space="0" w:color="auto"/>
          </w:divBdr>
          <w:divsChild>
            <w:div w:id="7871308">
              <w:marLeft w:val="0"/>
              <w:marRight w:val="0"/>
              <w:marTop w:val="0"/>
              <w:marBottom w:val="0"/>
              <w:divBdr>
                <w:top w:val="none" w:sz="0" w:space="0" w:color="auto"/>
                <w:left w:val="none" w:sz="0" w:space="0" w:color="auto"/>
                <w:bottom w:val="none" w:sz="0" w:space="0" w:color="auto"/>
                <w:right w:val="none" w:sz="0" w:space="0" w:color="auto"/>
              </w:divBdr>
              <w:divsChild>
                <w:div w:id="1542864100">
                  <w:marLeft w:val="0"/>
                  <w:marRight w:val="0"/>
                  <w:marTop w:val="0"/>
                  <w:marBottom w:val="0"/>
                  <w:divBdr>
                    <w:top w:val="none" w:sz="0" w:space="0" w:color="auto"/>
                    <w:left w:val="none" w:sz="0" w:space="0" w:color="auto"/>
                    <w:bottom w:val="none" w:sz="0" w:space="0" w:color="auto"/>
                    <w:right w:val="none" w:sz="0" w:space="0" w:color="auto"/>
                  </w:divBdr>
                  <w:divsChild>
                    <w:div w:id="17095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8024">
      <w:bodyDiv w:val="1"/>
      <w:marLeft w:val="0"/>
      <w:marRight w:val="0"/>
      <w:marTop w:val="0"/>
      <w:marBottom w:val="0"/>
      <w:divBdr>
        <w:top w:val="none" w:sz="0" w:space="0" w:color="auto"/>
        <w:left w:val="none" w:sz="0" w:space="0" w:color="auto"/>
        <w:bottom w:val="none" w:sz="0" w:space="0" w:color="auto"/>
        <w:right w:val="none" w:sz="0" w:space="0" w:color="auto"/>
      </w:divBdr>
      <w:divsChild>
        <w:div w:id="1377850483">
          <w:marLeft w:val="0"/>
          <w:marRight w:val="0"/>
          <w:marTop w:val="0"/>
          <w:marBottom w:val="0"/>
          <w:divBdr>
            <w:top w:val="none" w:sz="0" w:space="0" w:color="auto"/>
            <w:left w:val="none" w:sz="0" w:space="0" w:color="auto"/>
            <w:bottom w:val="none" w:sz="0" w:space="0" w:color="auto"/>
            <w:right w:val="none" w:sz="0" w:space="0" w:color="auto"/>
          </w:divBdr>
          <w:divsChild>
            <w:div w:id="502093031">
              <w:marLeft w:val="0"/>
              <w:marRight w:val="0"/>
              <w:marTop w:val="0"/>
              <w:marBottom w:val="0"/>
              <w:divBdr>
                <w:top w:val="none" w:sz="0" w:space="0" w:color="auto"/>
                <w:left w:val="none" w:sz="0" w:space="0" w:color="auto"/>
                <w:bottom w:val="none" w:sz="0" w:space="0" w:color="auto"/>
                <w:right w:val="none" w:sz="0" w:space="0" w:color="auto"/>
              </w:divBdr>
              <w:divsChild>
                <w:div w:id="4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4656">
      <w:bodyDiv w:val="1"/>
      <w:marLeft w:val="0"/>
      <w:marRight w:val="0"/>
      <w:marTop w:val="0"/>
      <w:marBottom w:val="0"/>
      <w:divBdr>
        <w:top w:val="none" w:sz="0" w:space="0" w:color="auto"/>
        <w:left w:val="none" w:sz="0" w:space="0" w:color="auto"/>
        <w:bottom w:val="none" w:sz="0" w:space="0" w:color="auto"/>
        <w:right w:val="none" w:sz="0" w:space="0" w:color="auto"/>
      </w:divBdr>
      <w:divsChild>
        <w:div w:id="1198082393">
          <w:marLeft w:val="0"/>
          <w:marRight w:val="0"/>
          <w:marTop w:val="0"/>
          <w:marBottom w:val="0"/>
          <w:divBdr>
            <w:top w:val="none" w:sz="0" w:space="0" w:color="auto"/>
            <w:left w:val="none" w:sz="0" w:space="0" w:color="auto"/>
            <w:bottom w:val="none" w:sz="0" w:space="0" w:color="auto"/>
            <w:right w:val="none" w:sz="0" w:space="0" w:color="auto"/>
          </w:divBdr>
          <w:divsChild>
            <w:div w:id="1447117293">
              <w:marLeft w:val="0"/>
              <w:marRight w:val="0"/>
              <w:marTop w:val="0"/>
              <w:marBottom w:val="0"/>
              <w:divBdr>
                <w:top w:val="none" w:sz="0" w:space="0" w:color="auto"/>
                <w:left w:val="none" w:sz="0" w:space="0" w:color="auto"/>
                <w:bottom w:val="none" w:sz="0" w:space="0" w:color="auto"/>
                <w:right w:val="none" w:sz="0" w:space="0" w:color="auto"/>
              </w:divBdr>
              <w:divsChild>
                <w:div w:id="174073137">
                  <w:marLeft w:val="0"/>
                  <w:marRight w:val="0"/>
                  <w:marTop w:val="0"/>
                  <w:marBottom w:val="0"/>
                  <w:divBdr>
                    <w:top w:val="none" w:sz="0" w:space="0" w:color="auto"/>
                    <w:left w:val="none" w:sz="0" w:space="0" w:color="auto"/>
                    <w:bottom w:val="none" w:sz="0" w:space="0" w:color="auto"/>
                    <w:right w:val="none" w:sz="0" w:space="0" w:color="auto"/>
                  </w:divBdr>
                  <w:divsChild>
                    <w:div w:id="1698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95728">
      <w:bodyDiv w:val="1"/>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909580773">
              <w:marLeft w:val="0"/>
              <w:marRight w:val="0"/>
              <w:marTop w:val="0"/>
              <w:marBottom w:val="0"/>
              <w:divBdr>
                <w:top w:val="none" w:sz="0" w:space="0" w:color="auto"/>
                <w:left w:val="none" w:sz="0" w:space="0" w:color="auto"/>
                <w:bottom w:val="none" w:sz="0" w:space="0" w:color="auto"/>
                <w:right w:val="none" w:sz="0" w:space="0" w:color="auto"/>
              </w:divBdr>
              <w:divsChild>
                <w:div w:id="1702124091">
                  <w:marLeft w:val="0"/>
                  <w:marRight w:val="0"/>
                  <w:marTop w:val="0"/>
                  <w:marBottom w:val="0"/>
                  <w:divBdr>
                    <w:top w:val="none" w:sz="0" w:space="0" w:color="auto"/>
                    <w:left w:val="none" w:sz="0" w:space="0" w:color="auto"/>
                    <w:bottom w:val="none" w:sz="0" w:space="0" w:color="auto"/>
                    <w:right w:val="none" w:sz="0" w:space="0" w:color="auto"/>
                  </w:divBdr>
                  <w:divsChild>
                    <w:div w:id="908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456198">
      <w:bodyDiv w:val="1"/>
      <w:marLeft w:val="0"/>
      <w:marRight w:val="0"/>
      <w:marTop w:val="0"/>
      <w:marBottom w:val="0"/>
      <w:divBdr>
        <w:top w:val="none" w:sz="0" w:space="0" w:color="auto"/>
        <w:left w:val="none" w:sz="0" w:space="0" w:color="auto"/>
        <w:bottom w:val="none" w:sz="0" w:space="0" w:color="auto"/>
        <w:right w:val="none" w:sz="0" w:space="0" w:color="auto"/>
      </w:divBdr>
      <w:divsChild>
        <w:div w:id="1876573682">
          <w:marLeft w:val="0"/>
          <w:marRight w:val="0"/>
          <w:marTop w:val="0"/>
          <w:marBottom w:val="0"/>
          <w:divBdr>
            <w:top w:val="none" w:sz="0" w:space="0" w:color="auto"/>
            <w:left w:val="none" w:sz="0" w:space="0" w:color="auto"/>
            <w:bottom w:val="none" w:sz="0" w:space="0" w:color="auto"/>
            <w:right w:val="none" w:sz="0" w:space="0" w:color="auto"/>
          </w:divBdr>
          <w:divsChild>
            <w:div w:id="1915309955">
              <w:marLeft w:val="0"/>
              <w:marRight w:val="0"/>
              <w:marTop w:val="0"/>
              <w:marBottom w:val="0"/>
              <w:divBdr>
                <w:top w:val="none" w:sz="0" w:space="0" w:color="auto"/>
                <w:left w:val="none" w:sz="0" w:space="0" w:color="auto"/>
                <w:bottom w:val="none" w:sz="0" w:space="0" w:color="auto"/>
                <w:right w:val="none" w:sz="0" w:space="0" w:color="auto"/>
              </w:divBdr>
              <w:divsChild>
                <w:div w:id="458768948">
                  <w:marLeft w:val="0"/>
                  <w:marRight w:val="0"/>
                  <w:marTop w:val="0"/>
                  <w:marBottom w:val="0"/>
                  <w:divBdr>
                    <w:top w:val="none" w:sz="0" w:space="0" w:color="auto"/>
                    <w:left w:val="none" w:sz="0" w:space="0" w:color="auto"/>
                    <w:bottom w:val="none" w:sz="0" w:space="0" w:color="auto"/>
                    <w:right w:val="none" w:sz="0" w:space="0" w:color="auto"/>
                  </w:divBdr>
                  <w:divsChild>
                    <w:div w:id="8367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4041">
      <w:bodyDiv w:val="1"/>
      <w:marLeft w:val="0"/>
      <w:marRight w:val="0"/>
      <w:marTop w:val="0"/>
      <w:marBottom w:val="0"/>
      <w:divBdr>
        <w:top w:val="none" w:sz="0" w:space="0" w:color="auto"/>
        <w:left w:val="none" w:sz="0" w:space="0" w:color="auto"/>
        <w:bottom w:val="none" w:sz="0" w:space="0" w:color="auto"/>
        <w:right w:val="none" w:sz="0" w:space="0" w:color="auto"/>
      </w:divBdr>
      <w:divsChild>
        <w:div w:id="549272750">
          <w:marLeft w:val="-225"/>
          <w:marRight w:val="-225"/>
          <w:marTop w:val="0"/>
          <w:marBottom w:val="0"/>
          <w:divBdr>
            <w:top w:val="none" w:sz="0" w:space="0" w:color="auto"/>
            <w:left w:val="none" w:sz="0" w:space="0" w:color="auto"/>
            <w:bottom w:val="none" w:sz="0" w:space="0" w:color="auto"/>
            <w:right w:val="none" w:sz="0" w:space="0" w:color="auto"/>
          </w:divBdr>
          <w:divsChild>
            <w:div w:id="9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6273">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1829">
      <w:bodyDiv w:val="1"/>
      <w:marLeft w:val="0"/>
      <w:marRight w:val="0"/>
      <w:marTop w:val="0"/>
      <w:marBottom w:val="0"/>
      <w:divBdr>
        <w:top w:val="none" w:sz="0" w:space="0" w:color="auto"/>
        <w:left w:val="none" w:sz="0" w:space="0" w:color="auto"/>
        <w:bottom w:val="none" w:sz="0" w:space="0" w:color="auto"/>
        <w:right w:val="none" w:sz="0" w:space="0" w:color="auto"/>
      </w:divBdr>
      <w:divsChild>
        <w:div w:id="1971403072">
          <w:marLeft w:val="0"/>
          <w:marRight w:val="0"/>
          <w:marTop w:val="0"/>
          <w:marBottom w:val="0"/>
          <w:divBdr>
            <w:top w:val="none" w:sz="0" w:space="0" w:color="auto"/>
            <w:left w:val="none" w:sz="0" w:space="0" w:color="auto"/>
            <w:bottom w:val="none" w:sz="0" w:space="0" w:color="auto"/>
            <w:right w:val="none" w:sz="0" w:space="0" w:color="auto"/>
          </w:divBdr>
          <w:divsChild>
            <w:div w:id="1934623480">
              <w:marLeft w:val="0"/>
              <w:marRight w:val="0"/>
              <w:marTop w:val="0"/>
              <w:marBottom w:val="0"/>
              <w:divBdr>
                <w:top w:val="none" w:sz="0" w:space="0" w:color="auto"/>
                <w:left w:val="none" w:sz="0" w:space="0" w:color="auto"/>
                <w:bottom w:val="none" w:sz="0" w:space="0" w:color="auto"/>
                <w:right w:val="none" w:sz="0" w:space="0" w:color="auto"/>
              </w:divBdr>
              <w:divsChild>
                <w:div w:id="774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6649">
      <w:bodyDiv w:val="1"/>
      <w:marLeft w:val="0"/>
      <w:marRight w:val="0"/>
      <w:marTop w:val="0"/>
      <w:marBottom w:val="0"/>
      <w:divBdr>
        <w:top w:val="none" w:sz="0" w:space="0" w:color="auto"/>
        <w:left w:val="none" w:sz="0" w:space="0" w:color="auto"/>
        <w:bottom w:val="none" w:sz="0" w:space="0" w:color="auto"/>
        <w:right w:val="none" w:sz="0" w:space="0" w:color="auto"/>
      </w:divBdr>
      <w:divsChild>
        <w:div w:id="889614130">
          <w:marLeft w:val="0"/>
          <w:marRight w:val="0"/>
          <w:marTop w:val="0"/>
          <w:marBottom w:val="0"/>
          <w:divBdr>
            <w:top w:val="none" w:sz="0" w:space="0" w:color="auto"/>
            <w:left w:val="none" w:sz="0" w:space="0" w:color="auto"/>
            <w:bottom w:val="none" w:sz="0" w:space="0" w:color="auto"/>
            <w:right w:val="none" w:sz="0" w:space="0" w:color="auto"/>
          </w:divBdr>
          <w:divsChild>
            <w:div w:id="1459421656">
              <w:marLeft w:val="0"/>
              <w:marRight w:val="0"/>
              <w:marTop w:val="0"/>
              <w:marBottom w:val="0"/>
              <w:divBdr>
                <w:top w:val="none" w:sz="0" w:space="0" w:color="auto"/>
                <w:left w:val="none" w:sz="0" w:space="0" w:color="auto"/>
                <w:bottom w:val="none" w:sz="0" w:space="0" w:color="auto"/>
                <w:right w:val="none" w:sz="0" w:space="0" w:color="auto"/>
              </w:divBdr>
              <w:divsChild>
                <w:div w:id="19071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137">
      <w:bodyDiv w:val="1"/>
      <w:marLeft w:val="0"/>
      <w:marRight w:val="0"/>
      <w:marTop w:val="0"/>
      <w:marBottom w:val="0"/>
      <w:divBdr>
        <w:top w:val="none" w:sz="0" w:space="0" w:color="auto"/>
        <w:left w:val="none" w:sz="0" w:space="0" w:color="auto"/>
        <w:bottom w:val="none" w:sz="0" w:space="0" w:color="auto"/>
        <w:right w:val="none" w:sz="0" w:space="0" w:color="auto"/>
      </w:divBdr>
      <w:divsChild>
        <w:div w:id="2100431">
          <w:marLeft w:val="0"/>
          <w:marRight w:val="0"/>
          <w:marTop w:val="0"/>
          <w:marBottom w:val="0"/>
          <w:divBdr>
            <w:top w:val="none" w:sz="0" w:space="0" w:color="auto"/>
            <w:left w:val="none" w:sz="0" w:space="0" w:color="auto"/>
            <w:bottom w:val="none" w:sz="0" w:space="0" w:color="auto"/>
            <w:right w:val="none" w:sz="0" w:space="0" w:color="auto"/>
          </w:divBdr>
          <w:divsChild>
            <w:div w:id="575363842">
              <w:marLeft w:val="0"/>
              <w:marRight w:val="0"/>
              <w:marTop w:val="0"/>
              <w:marBottom w:val="0"/>
              <w:divBdr>
                <w:top w:val="none" w:sz="0" w:space="0" w:color="auto"/>
                <w:left w:val="none" w:sz="0" w:space="0" w:color="auto"/>
                <w:bottom w:val="none" w:sz="0" w:space="0" w:color="auto"/>
                <w:right w:val="none" w:sz="0" w:space="0" w:color="auto"/>
              </w:divBdr>
              <w:divsChild>
                <w:div w:id="1934971964">
                  <w:marLeft w:val="0"/>
                  <w:marRight w:val="0"/>
                  <w:marTop w:val="0"/>
                  <w:marBottom w:val="0"/>
                  <w:divBdr>
                    <w:top w:val="none" w:sz="0" w:space="0" w:color="auto"/>
                    <w:left w:val="none" w:sz="0" w:space="0" w:color="auto"/>
                    <w:bottom w:val="none" w:sz="0" w:space="0" w:color="auto"/>
                    <w:right w:val="none" w:sz="0" w:space="0" w:color="auto"/>
                  </w:divBdr>
                  <w:divsChild>
                    <w:div w:id="21285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6808">
      <w:bodyDiv w:val="1"/>
      <w:marLeft w:val="0"/>
      <w:marRight w:val="0"/>
      <w:marTop w:val="0"/>
      <w:marBottom w:val="0"/>
      <w:divBdr>
        <w:top w:val="none" w:sz="0" w:space="0" w:color="auto"/>
        <w:left w:val="none" w:sz="0" w:space="0" w:color="auto"/>
        <w:bottom w:val="none" w:sz="0" w:space="0" w:color="auto"/>
        <w:right w:val="none" w:sz="0" w:space="0" w:color="auto"/>
      </w:divBdr>
      <w:divsChild>
        <w:div w:id="861361514">
          <w:marLeft w:val="0"/>
          <w:marRight w:val="0"/>
          <w:marTop w:val="0"/>
          <w:marBottom w:val="0"/>
          <w:divBdr>
            <w:top w:val="none" w:sz="0" w:space="0" w:color="auto"/>
            <w:left w:val="none" w:sz="0" w:space="0" w:color="auto"/>
            <w:bottom w:val="none" w:sz="0" w:space="0" w:color="auto"/>
            <w:right w:val="none" w:sz="0" w:space="0" w:color="auto"/>
          </w:divBdr>
          <w:divsChild>
            <w:div w:id="270821748">
              <w:marLeft w:val="0"/>
              <w:marRight w:val="0"/>
              <w:marTop w:val="0"/>
              <w:marBottom w:val="0"/>
              <w:divBdr>
                <w:top w:val="none" w:sz="0" w:space="0" w:color="auto"/>
                <w:left w:val="none" w:sz="0" w:space="0" w:color="auto"/>
                <w:bottom w:val="none" w:sz="0" w:space="0" w:color="auto"/>
                <w:right w:val="none" w:sz="0" w:space="0" w:color="auto"/>
              </w:divBdr>
              <w:divsChild>
                <w:div w:id="222369894">
                  <w:marLeft w:val="0"/>
                  <w:marRight w:val="0"/>
                  <w:marTop w:val="0"/>
                  <w:marBottom w:val="0"/>
                  <w:divBdr>
                    <w:top w:val="none" w:sz="0" w:space="0" w:color="auto"/>
                    <w:left w:val="none" w:sz="0" w:space="0" w:color="auto"/>
                    <w:bottom w:val="none" w:sz="0" w:space="0" w:color="auto"/>
                    <w:right w:val="none" w:sz="0" w:space="0" w:color="auto"/>
                  </w:divBdr>
                  <w:divsChild>
                    <w:div w:id="2062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0671">
      <w:bodyDiv w:val="1"/>
      <w:marLeft w:val="0"/>
      <w:marRight w:val="0"/>
      <w:marTop w:val="0"/>
      <w:marBottom w:val="0"/>
      <w:divBdr>
        <w:top w:val="none" w:sz="0" w:space="0" w:color="auto"/>
        <w:left w:val="none" w:sz="0" w:space="0" w:color="auto"/>
        <w:bottom w:val="none" w:sz="0" w:space="0" w:color="auto"/>
        <w:right w:val="none" w:sz="0" w:space="0" w:color="auto"/>
      </w:divBdr>
      <w:divsChild>
        <w:div w:id="1981762782">
          <w:marLeft w:val="0"/>
          <w:marRight w:val="0"/>
          <w:marTop w:val="0"/>
          <w:marBottom w:val="0"/>
          <w:divBdr>
            <w:top w:val="none" w:sz="0" w:space="0" w:color="auto"/>
            <w:left w:val="none" w:sz="0" w:space="0" w:color="auto"/>
            <w:bottom w:val="none" w:sz="0" w:space="0" w:color="auto"/>
            <w:right w:val="none" w:sz="0" w:space="0" w:color="auto"/>
          </w:divBdr>
          <w:divsChild>
            <w:div w:id="1870147797">
              <w:marLeft w:val="0"/>
              <w:marRight w:val="0"/>
              <w:marTop w:val="0"/>
              <w:marBottom w:val="0"/>
              <w:divBdr>
                <w:top w:val="none" w:sz="0" w:space="0" w:color="auto"/>
                <w:left w:val="none" w:sz="0" w:space="0" w:color="auto"/>
                <w:bottom w:val="none" w:sz="0" w:space="0" w:color="auto"/>
                <w:right w:val="none" w:sz="0" w:space="0" w:color="auto"/>
              </w:divBdr>
              <w:divsChild>
                <w:div w:id="894853647">
                  <w:marLeft w:val="0"/>
                  <w:marRight w:val="0"/>
                  <w:marTop w:val="0"/>
                  <w:marBottom w:val="0"/>
                  <w:divBdr>
                    <w:top w:val="none" w:sz="0" w:space="0" w:color="auto"/>
                    <w:left w:val="none" w:sz="0" w:space="0" w:color="auto"/>
                    <w:bottom w:val="none" w:sz="0" w:space="0" w:color="auto"/>
                    <w:right w:val="none" w:sz="0" w:space="0" w:color="auto"/>
                  </w:divBdr>
                  <w:divsChild>
                    <w:div w:id="2775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523579">
      <w:bodyDiv w:val="1"/>
      <w:marLeft w:val="0"/>
      <w:marRight w:val="0"/>
      <w:marTop w:val="0"/>
      <w:marBottom w:val="0"/>
      <w:divBdr>
        <w:top w:val="none" w:sz="0" w:space="0" w:color="auto"/>
        <w:left w:val="none" w:sz="0" w:space="0" w:color="auto"/>
        <w:bottom w:val="none" w:sz="0" w:space="0" w:color="auto"/>
        <w:right w:val="none" w:sz="0" w:space="0" w:color="auto"/>
      </w:divBdr>
      <w:divsChild>
        <w:div w:id="1946647724">
          <w:marLeft w:val="0"/>
          <w:marRight w:val="0"/>
          <w:marTop w:val="0"/>
          <w:marBottom w:val="0"/>
          <w:divBdr>
            <w:top w:val="none" w:sz="0" w:space="0" w:color="auto"/>
            <w:left w:val="none" w:sz="0" w:space="0" w:color="auto"/>
            <w:bottom w:val="none" w:sz="0" w:space="0" w:color="auto"/>
            <w:right w:val="none" w:sz="0" w:space="0" w:color="auto"/>
          </w:divBdr>
          <w:divsChild>
            <w:div w:id="850994382">
              <w:marLeft w:val="0"/>
              <w:marRight w:val="0"/>
              <w:marTop w:val="0"/>
              <w:marBottom w:val="0"/>
              <w:divBdr>
                <w:top w:val="none" w:sz="0" w:space="0" w:color="auto"/>
                <w:left w:val="none" w:sz="0" w:space="0" w:color="auto"/>
                <w:bottom w:val="none" w:sz="0" w:space="0" w:color="auto"/>
                <w:right w:val="none" w:sz="0" w:space="0" w:color="auto"/>
              </w:divBdr>
              <w:divsChild>
                <w:div w:id="2054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1320">
      <w:bodyDiv w:val="1"/>
      <w:marLeft w:val="0"/>
      <w:marRight w:val="0"/>
      <w:marTop w:val="0"/>
      <w:marBottom w:val="0"/>
      <w:divBdr>
        <w:top w:val="none" w:sz="0" w:space="0" w:color="auto"/>
        <w:left w:val="none" w:sz="0" w:space="0" w:color="auto"/>
        <w:bottom w:val="none" w:sz="0" w:space="0" w:color="auto"/>
        <w:right w:val="none" w:sz="0" w:space="0" w:color="auto"/>
      </w:divBdr>
      <w:divsChild>
        <w:div w:id="683365799">
          <w:marLeft w:val="0"/>
          <w:marRight w:val="0"/>
          <w:marTop w:val="0"/>
          <w:marBottom w:val="0"/>
          <w:divBdr>
            <w:top w:val="none" w:sz="0" w:space="0" w:color="auto"/>
            <w:left w:val="none" w:sz="0" w:space="0" w:color="auto"/>
            <w:bottom w:val="none" w:sz="0" w:space="0" w:color="auto"/>
            <w:right w:val="none" w:sz="0" w:space="0" w:color="auto"/>
          </w:divBdr>
          <w:divsChild>
            <w:div w:id="1459955105">
              <w:marLeft w:val="0"/>
              <w:marRight w:val="0"/>
              <w:marTop w:val="0"/>
              <w:marBottom w:val="0"/>
              <w:divBdr>
                <w:top w:val="none" w:sz="0" w:space="0" w:color="auto"/>
                <w:left w:val="none" w:sz="0" w:space="0" w:color="auto"/>
                <w:bottom w:val="none" w:sz="0" w:space="0" w:color="auto"/>
                <w:right w:val="none" w:sz="0" w:space="0" w:color="auto"/>
              </w:divBdr>
              <w:divsChild>
                <w:div w:id="1175071232">
                  <w:marLeft w:val="0"/>
                  <w:marRight w:val="0"/>
                  <w:marTop w:val="0"/>
                  <w:marBottom w:val="0"/>
                  <w:divBdr>
                    <w:top w:val="none" w:sz="0" w:space="0" w:color="auto"/>
                    <w:left w:val="none" w:sz="0" w:space="0" w:color="auto"/>
                    <w:bottom w:val="none" w:sz="0" w:space="0" w:color="auto"/>
                    <w:right w:val="none" w:sz="0" w:space="0" w:color="auto"/>
                  </w:divBdr>
                  <w:divsChild>
                    <w:div w:id="11761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5867">
      <w:bodyDiv w:val="1"/>
      <w:marLeft w:val="0"/>
      <w:marRight w:val="0"/>
      <w:marTop w:val="0"/>
      <w:marBottom w:val="0"/>
      <w:divBdr>
        <w:top w:val="none" w:sz="0" w:space="0" w:color="auto"/>
        <w:left w:val="none" w:sz="0" w:space="0" w:color="auto"/>
        <w:bottom w:val="none" w:sz="0" w:space="0" w:color="auto"/>
        <w:right w:val="none" w:sz="0" w:space="0" w:color="auto"/>
      </w:divBdr>
      <w:divsChild>
        <w:div w:id="1544781165">
          <w:marLeft w:val="0"/>
          <w:marRight w:val="0"/>
          <w:marTop w:val="0"/>
          <w:marBottom w:val="0"/>
          <w:divBdr>
            <w:top w:val="none" w:sz="0" w:space="0" w:color="auto"/>
            <w:left w:val="none" w:sz="0" w:space="0" w:color="auto"/>
            <w:bottom w:val="none" w:sz="0" w:space="0" w:color="auto"/>
            <w:right w:val="none" w:sz="0" w:space="0" w:color="auto"/>
          </w:divBdr>
          <w:divsChild>
            <w:div w:id="1373767953">
              <w:marLeft w:val="0"/>
              <w:marRight w:val="0"/>
              <w:marTop w:val="0"/>
              <w:marBottom w:val="0"/>
              <w:divBdr>
                <w:top w:val="none" w:sz="0" w:space="0" w:color="auto"/>
                <w:left w:val="none" w:sz="0" w:space="0" w:color="auto"/>
                <w:bottom w:val="none" w:sz="0" w:space="0" w:color="auto"/>
                <w:right w:val="none" w:sz="0" w:space="0" w:color="auto"/>
              </w:divBdr>
              <w:divsChild>
                <w:div w:id="19209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2583">
      <w:bodyDiv w:val="1"/>
      <w:marLeft w:val="0"/>
      <w:marRight w:val="0"/>
      <w:marTop w:val="0"/>
      <w:marBottom w:val="0"/>
      <w:divBdr>
        <w:top w:val="none" w:sz="0" w:space="0" w:color="auto"/>
        <w:left w:val="none" w:sz="0" w:space="0" w:color="auto"/>
        <w:bottom w:val="none" w:sz="0" w:space="0" w:color="auto"/>
        <w:right w:val="none" w:sz="0" w:space="0" w:color="auto"/>
      </w:divBdr>
      <w:divsChild>
        <w:div w:id="1188372272">
          <w:marLeft w:val="0"/>
          <w:marRight w:val="0"/>
          <w:marTop w:val="0"/>
          <w:marBottom w:val="0"/>
          <w:divBdr>
            <w:top w:val="none" w:sz="0" w:space="0" w:color="auto"/>
            <w:left w:val="none" w:sz="0" w:space="0" w:color="auto"/>
            <w:bottom w:val="none" w:sz="0" w:space="0" w:color="auto"/>
            <w:right w:val="none" w:sz="0" w:space="0" w:color="auto"/>
          </w:divBdr>
          <w:divsChild>
            <w:div w:id="189951589">
              <w:marLeft w:val="0"/>
              <w:marRight w:val="0"/>
              <w:marTop w:val="0"/>
              <w:marBottom w:val="0"/>
              <w:divBdr>
                <w:top w:val="none" w:sz="0" w:space="0" w:color="auto"/>
                <w:left w:val="none" w:sz="0" w:space="0" w:color="auto"/>
                <w:bottom w:val="none" w:sz="0" w:space="0" w:color="auto"/>
                <w:right w:val="none" w:sz="0" w:space="0" w:color="auto"/>
              </w:divBdr>
              <w:divsChild>
                <w:div w:id="1005400575">
                  <w:marLeft w:val="0"/>
                  <w:marRight w:val="0"/>
                  <w:marTop w:val="0"/>
                  <w:marBottom w:val="0"/>
                  <w:divBdr>
                    <w:top w:val="none" w:sz="0" w:space="0" w:color="auto"/>
                    <w:left w:val="none" w:sz="0" w:space="0" w:color="auto"/>
                    <w:bottom w:val="none" w:sz="0" w:space="0" w:color="auto"/>
                    <w:right w:val="none" w:sz="0" w:space="0" w:color="auto"/>
                  </w:divBdr>
                  <w:divsChild>
                    <w:div w:id="18530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5028">
      <w:bodyDiv w:val="1"/>
      <w:marLeft w:val="0"/>
      <w:marRight w:val="0"/>
      <w:marTop w:val="0"/>
      <w:marBottom w:val="0"/>
      <w:divBdr>
        <w:top w:val="none" w:sz="0" w:space="0" w:color="auto"/>
        <w:left w:val="none" w:sz="0" w:space="0" w:color="auto"/>
        <w:bottom w:val="none" w:sz="0" w:space="0" w:color="auto"/>
        <w:right w:val="none" w:sz="0" w:space="0" w:color="auto"/>
      </w:divBdr>
      <w:divsChild>
        <w:div w:id="1951625844">
          <w:marLeft w:val="0"/>
          <w:marRight w:val="0"/>
          <w:marTop w:val="0"/>
          <w:marBottom w:val="0"/>
          <w:divBdr>
            <w:top w:val="none" w:sz="0" w:space="0" w:color="auto"/>
            <w:left w:val="none" w:sz="0" w:space="0" w:color="auto"/>
            <w:bottom w:val="none" w:sz="0" w:space="0" w:color="auto"/>
            <w:right w:val="none" w:sz="0" w:space="0" w:color="auto"/>
          </w:divBdr>
          <w:divsChild>
            <w:div w:id="40329819">
              <w:marLeft w:val="0"/>
              <w:marRight w:val="0"/>
              <w:marTop w:val="0"/>
              <w:marBottom w:val="0"/>
              <w:divBdr>
                <w:top w:val="none" w:sz="0" w:space="0" w:color="auto"/>
                <w:left w:val="none" w:sz="0" w:space="0" w:color="auto"/>
                <w:bottom w:val="none" w:sz="0" w:space="0" w:color="auto"/>
                <w:right w:val="none" w:sz="0" w:space="0" w:color="auto"/>
              </w:divBdr>
              <w:divsChild>
                <w:div w:id="16739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2502">
      <w:bodyDiv w:val="1"/>
      <w:marLeft w:val="0"/>
      <w:marRight w:val="0"/>
      <w:marTop w:val="0"/>
      <w:marBottom w:val="0"/>
      <w:divBdr>
        <w:top w:val="none" w:sz="0" w:space="0" w:color="auto"/>
        <w:left w:val="none" w:sz="0" w:space="0" w:color="auto"/>
        <w:bottom w:val="none" w:sz="0" w:space="0" w:color="auto"/>
        <w:right w:val="none" w:sz="0" w:space="0" w:color="auto"/>
      </w:divBdr>
      <w:divsChild>
        <w:div w:id="203642846">
          <w:marLeft w:val="0"/>
          <w:marRight w:val="0"/>
          <w:marTop w:val="0"/>
          <w:marBottom w:val="0"/>
          <w:divBdr>
            <w:top w:val="none" w:sz="0" w:space="0" w:color="auto"/>
            <w:left w:val="none" w:sz="0" w:space="0" w:color="auto"/>
            <w:bottom w:val="none" w:sz="0" w:space="0" w:color="auto"/>
            <w:right w:val="none" w:sz="0" w:space="0" w:color="auto"/>
          </w:divBdr>
          <w:divsChild>
            <w:div w:id="540678543">
              <w:marLeft w:val="0"/>
              <w:marRight w:val="0"/>
              <w:marTop w:val="0"/>
              <w:marBottom w:val="0"/>
              <w:divBdr>
                <w:top w:val="none" w:sz="0" w:space="0" w:color="auto"/>
                <w:left w:val="none" w:sz="0" w:space="0" w:color="auto"/>
                <w:bottom w:val="none" w:sz="0" w:space="0" w:color="auto"/>
                <w:right w:val="none" w:sz="0" w:space="0" w:color="auto"/>
              </w:divBdr>
              <w:divsChild>
                <w:div w:id="830873363">
                  <w:marLeft w:val="0"/>
                  <w:marRight w:val="0"/>
                  <w:marTop w:val="0"/>
                  <w:marBottom w:val="0"/>
                  <w:divBdr>
                    <w:top w:val="none" w:sz="0" w:space="0" w:color="auto"/>
                    <w:left w:val="none" w:sz="0" w:space="0" w:color="auto"/>
                    <w:bottom w:val="none" w:sz="0" w:space="0" w:color="auto"/>
                    <w:right w:val="none" w:sz="0" w:space="0" w:color="auto"/>
                  </w:divBdr>
                  <w:divsChild>
                    <w:div w:id="1096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68865">
      <w:bodyDiv w:val="1"/>
      <w:marLeft w:val="0"/>
      <w:marRight w:val="0"/>
      <w:marTop w:val="0"/>
      <w:marBottom w:val="0"/>
      <w:divBdr>
        <w:top w:val="none" w:sz="0" w:space="0" w:color="auto"/>
        <w:left w:val="none" w:sz="0" w:space="0" w:color="auto"/>
        <w:bottom w:val="none" w:sz="0" w:space="0" w:color="auto"/>
        <w:right w:val="none" w:sz="0" w:space="0" w:color="auto"/>
      </w:divBdr>
      <w:divsChild>
        <w:div w:id="265188069">
          <w:marLeft w:val="0"/>
          <w:marRight w:val="0"/>
          <w:marTop w:val="0"/>
          <w:marBottom w:val="0"/>
          <w:divBdr>
            <w:top w:val="none" w:sz="0" w:space="0" w:color="auto"/>
            <w:left w:val="none" w:sz="0" w:space="0" w:color="auto"/>
            <w:bottom w:val="none" w:sz="0" w:space="0" w:color="auto"/>
            <w:right w:val="none" w:sz="0" w:space="0" w:color="auto"/>
          </w:divBdr>
          <w:divsChild>
            <w:div w:id="509761262">
              <w:marLeft w:val="0"/>
              <w:marRight w:val="0"/>
              <w:marTop w:val="0"/>
              <w:marBottom w:val="0"/>
              <w:divBdr>
                <w:top w:val="none" w:sz="0" w:space="0" w:color="auto"/>
                <w:left w:val="none" w:sz="0" w:space="0" w:color="auto"/>
                <w:bottom w:val="none" w:sz="0" w:space="0" w:color="auto"/>
                <w:right w:val="none" w:sz="0" w:space="0" w:color="auto"/>
              </w:divBdr>
              <w:divsChild>
                <w:div w:id="15566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40145">
      <w:bodyDiv w:val="1"/>
      <w:marLeft w:val="0"/>
      <w:marRight w:val="0"/>
      <w:marTop w:val="0"/>
      <w:marBottom w:val="0"/>
      <w:divBdr>
        <w:top w:val="none" w:sz="0" w:space="0" w:color="auto"/>
        <w:left w:val="none" w:sz="0" w:space="0" w:color="auto"/>
        <w:bottom w:val="none" w:sz="0" w:space="0" w:color="auto"/>
        <w:right w:val="none" w:sz="0" w:space="0" w:color="auto"/>
      </w:divBdr>
      <w:divsChild>
        <w:div w:id="432550752">
          <w:marLeft w:val="0"/>
          <w:marRight w:val="0"/>
          <w:marTop w:val="0"/>
          <w:marBottom w:val="0"/>
          <w:divBdr>
            <w:top w:val="none" w:sz="0" w:space="0" w:color="auto"/>
            <w:left w:val="none" w:sz="0" w:space="0" w:color="auto"/>
            <w:bottom w:val="none" w:sz="0" w:space="0" w:color="auto"/>
            <w:right w:val="none" w:sz="0" w:space="0" w:color="auto"/>
          </w:divBdr>
          <w:divsChild>
            <w:div w:id="1213077326">
              <w:marLeft w:val="0"/>
              <w:marRight w:val="0"/>
              <w:marTop w:val="0"/>
              <w:marBottom w:val="0"/>
              <w:divBdr>
                <w:top w:val="none" w:sz="0" w:space="0" w:color="auto"/>
                <w:left w:val="none" w:sz="0" w:space="0" w:color="auto"/>
                <w:bottom w:val="none" w:sz="0" w:space="0" w:color="auto"/>
                <w:right w:val="none" w:sz="0" w:space="0" w:color="auto"/>
              </w:divBdr>
              <w:divsChild>
                <w:div w:id="19996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13429">
      <w:bodyDiv w:val="1"/>
      <w:marLeft w:val="0"/>
      <w:marRight w:val="0"/>
      <w:marTop w:val="0"/>
      <w:marBottom w:val="0"/>
      <w:divBdr>
        <w:top w:val="none" w:sz="0" w:space="0" w:color="auto"/>
        <w:left w:val="none" w:sz="0" w:space="0" w:color="auto"/>
        <w:bottom w:val="none" w:sz="0" w:space="0" w:color="auto"/>
        <w:right w:val="none" w:sz="0" w:space="0" w:color="auto"/>
      </w:divBdr>
      <w:divsChild>
        <w:div w:id="2146241246">
          <w:marLeft w:val="0"/>
          <w:marRight w:val="0"/>
          <w:marTop w:val="0"/>
          <w:marBottom w:val="0"/>
          <w:divBdr>
            <w:top w:val="none" w:sz="0" w:space="0" w:color="auto"/>
            <w:left w:val="none" w:sz="0" w:space="0" w:color="auto"/>
            <w:bottom w:val="none" w:sz="0" w:space="0" w:color="auto"/>
            <w:right w:val="none" w:sz="0" w:space="0" w:color="auto"/>
          </w:divBdr>
          <w:divsChild>
            <w:div w:id="1209729701">
              <w:marLeft w:val="0"/>
              <w:marRight w:val="0"/>
              <w:marTop w:val="0"/>
              <w:marBottom w:val="0"/>
              <w:divBdr>
                <w:top w:val="none" w:sz="0" w:space="0" w:color="auto"/>
                <w:left w:val="none" w:sz="0" w:space="0" w:color="auto"/>
                <w:bottom w:val="none" w:sz="0" w:space="0" w:color="auto"/>
                <w:right w:val="none" w:sz="0" w:space="0" w:color="auto"/>
              </w:divBdr>
              <w:divsChild>
                <w:div w:id="756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0092">
      <w:bodyDiv w:val="1"/>
      <w:marLeft w:val="0"/>
      <w:marRight w:val="0"/>
      <w:marTop w:val="0"/>
      <w:marBottom w:val="0"/>
      <w:divBdr>
        <w:top w:val="none" w:sz="0" w:space="0" w:color="auto"/>
        <w:left w:val="none" w:sz="0" w:space="0" w:color="auto"/>
        <w:bottom w:val="none" w:sz="0" w:space="0" w:color="auto"/>
        <w:right w:val="none" w:sz="0" w:space="0" w:color="auto"/>
      </w:divBdr>
      <w:divsChild>
        <w:div w:id="2104835403">
          <w:marLeft w:val="0"/>
          <w:marRight w:val="0"/>
          <w:marTop w:val="0"/>
          <w:marBottom w:val="0"/>
          <w:divBdr>
            <w:top w:val="none" w:sz="0" w:space="0" w:color="auto"/>
            <w:left w:val="none" w:sz="0" w:space="0" w:color="auto"/>
            <w:bottom w:val="none" w:sz="0" w:space="0" w:color="auto"/>
            <w:right w:val="none" w:sz="0" w:space="0" w:color="auto"/>
          </w:divBdr>
          <w:divsChild>
            <w:div w:id="1864437097">
              <w:marLeft w:val="0"/>
              <w:marRight w:val="0"/>
              <w:marTop w:val="0"/>
              <w:marBottom w:val="0"/>
              <w:divBdr>
                <w:top w:val="none" w:sz="0" w:space="0" w:color="auto"/>
                <w:left w:val="none" w:sz="0" w:space="0" w:color="auto"/>
                <w:bottom w:val="none" w:sz="0" w:space="0" w:color="auto"/>
                <w:right w:val="none" w:sz="0" w:space="0" w:color="auto"/>
              </w:divBdr>
              <w:divsChild>
                <w:div w:id="3960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6737">
      <w:bodyDiv w:val="1"/>
      <w:marLeft w:val="0"/>
      <w:marRight w:val="0"/>
      <w:marTop w:val="0"/>
      <w:marBottom w:val="0"/>
      <w:divBdr>
        <w:top w:val="none" w:sz="0" w:space="0" w:color="auto"/>
        <w:left w:val="none" w:sz="0" w:space="0" w:color="auto"/>
        <w:bottom w:val="none" w:sz="0" w:space="0" w:color="auto"/>
        <w:right w:val="none" w:sz="0" w:space="0" w:color="auto"/>
      </w:divBdr>
    </w:div>
    <w:div w:id="2042589633">
      <w:bodyDiv w:val="1"/>
      <w:marLeft w:val="0"/>
      <w:marRight w:val="0"/>
      <w:marTop w:val="0"/>
      <w:marBottom w:val="0"/>
      <w:divBdr>
        <w:top w:val="none" w:sz="0" w:space="0" w:color="auto"/>
        <w:left w:val="none" w:sz="0" w:space="0" w:color="auto"/>
        <w:bottom w:val="none" w:sz="0" w:space="0" w:color="auto"/>
        <w:right w:val="none" w:sz="0" w:space="0" w:color="auto"/>
      </w:divBdr>
      <w:divsChild>
        <w:div w:id="626745017">
          <w:marLeft w:val="0"/>
          <w:marRight w:val="0"/>
          <w:marTop w:val="0"/>
          <w:marBottom w:val="0"/>
          <w:divBdr>
            <w:top w:val="none" w:sz="0" w:space="0" w:color="auto"/>
            <w:left w:val="none" w:sz="0" w:space="0" w:color="auto"/>
            <w:bottom w:val="none" w:sz="0" w:space="0" w:color="auto"/>
            <w:right w:val="none" w:sz="0" w:space="0" w:color="auto"/>
          </w:divBdr>
          <w:divsChild>
            <w:div w:id="917591787">
              <w:marLeft w:val="0"/>
              <w:marRight w:val="0"/>
              <w:marTop w:val="0"/>
              <w:marBottom w:val="0"/>
              <w:divBdr>
                <w:top w:val="none" w:sz="0" w:space="0" w:color="auto"/>
                <w:left w:val="none" w:sz="0" w:space="0" w:color="auto"/>
                <w:bottom w:val="none" w:sz="0" w:space="0" w:color="auto"/>
                <w:right w:val="none" w:sz="0" w:space="0" w:color="auto"/>
              </w:divBdr>
              <w:divsChild>
                <w:div w:id="2312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049">
      <w:bodyDiv w:val="1"/>
      <w:marLeft w:val="0"/>
      <w:marRight w:val="0"/>
      <w:marTop w:val="0"/>
      <w:marBottom w:val="0"/>
      <w:divBdr>
        <w:top w:val="none" w:sz="0" w:space="0" w:color="auto"/>
        <w:left w:val="none" w:sz="0" w:space="0" w:color="auto"/>
        <w:bottom w:val="none" w:sz="0" w:space="0" w:color="auto"/>
        <w:right w:val="none" w:sz="0" w:space="0" w:color="auto"/>
      </w:divBdr>
      <w:divsChild>
        <w:div w:id="1603538227">
          <w:marLeft w:val="0"/>
          <w:marRight w:val="0"/>
          <w:marTop w:val="0"/>
          <w:marBottom w:val="0"/>
          <w:divBdr>
            <w:top w:val="none" w:sz="0" w:space="0" w:color="auto"/>
            <w:left w:val="none" w:sz="0" w:space="0" w:color="auto"/>
            <w:bottom w:val="none" w:sz="0" w:space="0" w:color="auto"/>
            <w:right w:val="none" w:sz="0" w:space="0" w:color="auto"/>
          </w:divBdr>
          <w:divsChild>
            <w:div w:id="1591506745">
              <w:marLeft w:val="0"/>
              <w:marRight w:val="0"/>
              <w:marTop w:val="0"/>
              <w:marBottom w:val="0"/>
              <w:divBdr>
                <w:top w:val="none" w:sz="0" w:space="0" w:color="auto"/>
                <w:left w:val="none" w:sz="0" w:space="0" w:color="auto"/>
                <w:bottom w:val="none" w:sz="0" w:space="0" w:color="auto"/>
                <w:right w:val="none" w:sz="0" w:space="0" w:color="auto"/>
              </w:divBdr>
              <w:divsChild>
                <w:div w:id="1904442035">
                  <w:marLeft w:val="0"/>
                  <w:marRight w:val="0"/>
                  <w:marTop w:val="0"/>
                  <w:marBottom w:val="0"/>
                  <w:divBdr>
                    <w:top w:val="none" w:sz="0" w:space="0" w:color="auto"/>
                    <w:left w:val="none" w:sz="0" w:space="0" w:color="auto"/>
                    <w:bottom w:val="none" w:sz="0" w:space="0" w:color="auto"/>
                    <w:right w:val="none" w:sz="0" w:space="0" w:color="auto"/>
                  </w:divBdr>
                  <w:divsChild>
                    <w:div w:id="18652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16048">
      <w:bodyDiv w:val="1"/>
      <w:marLeft w:val="0"/>
      <w:marRight w:val="0"/>
      <w:marTop w:val="0"/>
      <w:marBottom w:val="0"/>
      <w:divBdr>
        <w:top w:val="none" w:sz="0" w:space="0" w:color="auto"/>
        <w:left w:val="none" w:sz="0" w:space="0" w:color="auto"/>
        <w:bottom w:val="none" w:sz="0" w:space="0" w:color="auto"/>
        <w:right w:val="none" w:sz="0" w:space="0" w:color="auto"/>
      </w:divBdr>
      <w:divsChild>
        <w:div w:id="932394097">
          <w:marLeft w:val="0"/>
          <w:marRight w:val="0"/>
          <w:marTop w:val="0"/>
          <w:marBottom w:val="0"/>
          <w:divBdr>
            <w:top w:val="none" w:sz="0" w:space="0" w:color="auto"/>
            <w:left w:val="none" w:sz="0" w:space="0" w:color="auto"/>
            <w:bottom w:val="none" w:sz="0" w:space="0" w:color="auto"/>
            <w:right w:val="none" w:sz="0" w:space="0" w:color="auto"/>
          </w:divBdr>
          <w:divsChild>
            <w:div w:id="1204832349">
              <w:marLeft w:val="0"/>
              <w:marRight w:val="0"/>
              <w:marTop w:val="0"/>
              <w:marBottom w:val="0"/>
              <w:divBdr>
                <w:top w:val="none" w:sz="0" w:space="0" w:color="auto"/>
                <w:left w:val="none" w:sz="0" w:space="0" w:color="auto"/>
                <w:bottom w:val="none" w:sz="0" w:space="0" w:color="auto"/>
                <w:right w:val="none" w:sz="0" w:space="0" w:color="auto"/>
              </w:divBdr>
              <w:divsChild>
                <w:div w:id="264852134">
                  <w:marLeft w:val="0"/>
                  <w:marRight w:val="0"/>
                  <w:marTop w:val="0"/>
                  <w:marBottom w:val="0"/>
                  <w:divBdr>
                    <w:top w:val="none" w:sz="0" w:space="0" w:color="auto"/>
                    <w:left w:val="none" w:sz="0" w:space="0" w:color="auto"/>
                    <w:bottom w:val="none" w:sz="0" w:space="0" w:color="auto"/>
                    <w:right w:val="none" w:sz="0" w:space="0" w:color="auto"/>
                  </w:divBdr>
                  <w:divsChild>
                    <w:div w:id="18821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2393">
      <w:bodyDiv w:val="1"/>
      <w:marLeft w:val="0"/>
      <w:marRight w:val="0"/>
      <w:marTop w:val="0"/>
      <w:marBottom w:val="0"/>
      <w:divBdr>
        <w:top w:val="none" w:sz="0" w:space="0" w:color="auto"/>
        <w:left w:val="none" w:sz="0" w:space="0" w:color="auto"/>
        <w:bottom w:val="none" w:sz="0" w:space="0" w:color="auto"/>
        <w:right w:val="none" w:sz="0" w:space="0" w:color="auto"/>
      </w:divBdr>
      <w:divsChild>
        <w:div w:id="1478843335">
          <w:marLeft w:val="0"/>
          <w:marRight w:val="0"/>
          <w:marTop w:val="0"/>
          <w:marBottom w:val="0"/>
          <w:divBdr>
            <w:top w:val="none" w:sz="0" w:space="0" w:color="auto"/>
            <w:left w:val="none" w:sz="0" w:space="0" w:color="auto"/>
            <w:bottom w:val="none" w:sz="0" w:space="0" w:color="auto"/>
            <w:right w:val="none" w:sz="0" w:space="0" w:color="auto"/>
          </w:divBdr>
          <w:divsChild>
            <w:div w:id="1015691237">
              <w:marLeft w:val="0"/>
              <w:marRight w:val="0"/>
              <w:marTop w:val="0"/>
              <w:marBottom w:val="0"/>
              <w:divBdr>
                <w:top w:val="none" w:sz="0" w:space="0" w:color="auto"/>
                <w:left w:val="none" w:sz="0" w:space="0" w:color="auto"/>
                <w:bottom w:val="none" w:sz="0" w:space="0" w:color="auto"/>
                <w:right w:val="none" w:sz="0" w:space="0" w:color="auto"/>
              </w:divBdr>
              <w:divsChild>
                <w:div w:id="15055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6121">
      <w:bodyDiv w:val="1"/>
      <w:marLeft w:val="0"/>
      <w:marRight w:val="0"/>
      <w:marTop w:val="0"/>
      <w:marBottom w:val="0"/>
      <w:divBdr>
        <w:top w:val="none" w:sz="0" w:space="0" w:color="auto"/>
        <w:left w:val="none" w:sz="0" w:space="0" w:color="auto"/>
        <w:bottom w:val="none" w:sz="0" w:space="0" w:color="auto"/>
        <w:right w:val="none" w:sz="0" w:space="0" w:color="auto"/>
      </w:divBdr>
      <w:divsChild>
        <w:div w:id="1719665654">
          <w:marLeft w:val="0"/>
          <w:marRight w:val="0"/>
          <w:marTop w:val="0"/>
          <w:marBottom w:val="0"/>
          <w:divBdr>
            <w:top w:val="none" w:sz="0" w:space="0" w:color="auto"/>
            <w:left w:val="none" w:sz="0" w:space="0" w:color="auto"/>
            <w:bottom w:val="none" w:sz="0" w:space="0" w:color="auto"/>
            <w:right w:val="none" w:sz="0" w:space="0" w:color="auto"/>
          </w:divBdr>
          <w:divsChild>
            <w:div w:id="1723093087">
              <w:marLeft w:val="0"/>
              <w:marRight w:val="0"/>
              <w:marTop w:val="0"/>
              <w:marBottom w:val="0"/>
              <w:divBdr>
                <w:top w:val="none" w:sz="0" w:space="0" w:color="auto"/>
                <w:left w:val="none" w:sz="0" w:space="0" w:color="auto"/>
                <w:bottom w:val="none" w:sz="0" w:space="0" w:color="auto"/>
                <w:right w:val="none" w:sz="0" w:space="0" w:color="auto"/>
              </w:divBdr>
              <w:divsChild>
                <w:div w:id="2602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5962">
      <w:bodyDiv w:val="1"/>
      <w:marLeft w:val="0"/>
      <w:marRight w:val="0"/>
      <w:marTop w:val="0"/>
      <w:marBottom w:val="0"/>
      <w:divBdr>
        <w:top w:val="none" w:sz="0" w:space="0" w:color="auto"/>
        <w:left w:val="none" w:sz="0" w:space="0" w:color="auto"/>
        <w:bottom w:val="none" w:sz="0" w:space="0" w:color="auto"/>
        <w:right w:val="none" w:sz="0" w:space="0" w:color="auto"/>
      </w:divBdr>
      <w:divsChild>
        <w:div w:id="275138388">
          <w:marLeft w:val="0"/>
          <w:marRight w:val="0"/>
          <w:marTop w:val="0"/>
          <w:marBottom w:val="0"/>
          <w:divBdr>
            <w:top w:val="none" w:sz="0" w:space="0" w:color="auto"/>
            <w:left w:val="none" w:sz="0" w:space="0" w:color="auto"/>
            <w:bottom w:val="none" w:sz="0" w:space="0" w:color="auto"/>
            <w:right w:val="none" w:sz="0" w:space="0" w:color="auto"/>
          </w:divBdr>
          <w:divsChild>
            <w:div w:id="2129661093">
              <w:marLeft w:val="0"/>
              <w:marRight w:val="0"/>
              <w:marTop w:val="0"/>
              <w:marBottom w:val="0"/>
              <w:divBdr>
                <w:top w:val="none" w:sz="0" w:space="0" w:color="auto"/>
                <w:left w:val="none" w:sz="0" w:space="0" w:color="auto"/>
                <w:bottom w:val="none" w:sz="0" w:space="0" w:color="auto"/>
                <w:right w:val="none" w:sz="0" w:space="0" w:color="auto"/>
              </w:divBdr>
              <w:divsChild>
                <w:div w:id="1993873983">
                  <w:marLeft w:val="0"/>
                  <w:marRight w:val="0"/>
                  <w:marTop w:val="0"/>
                  <w:marBottom w:val="0"/>
                  <w:divBdr>
                    <w:top w:val="none" w:sz="0" w:space="0" w:color="auto"/>
                    <w:left w:val="none" w:sz="0" w:space="0" w:color="auto"/>
                    <w:bottom w:val="none" w:sz="0" w:space="0" w:color="auto"/>
                    <w:right w:val="none" w:sz="0" w:space="0" w:color="auto"/>
                  </w:divBdr>
                  <w:divsChild>
                    <w:div w:id="237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088">
      <w:bodyDiv w:val="1"/>
      <w:marLeft w:val="0"/>
      <w:marRight w:val="0"/>
      <w:marTop w:val="0"/>
      <w:marBottom w:val="0"/>
      <w:divBdr>
        <w:top w:val="none" w:sz="0" w:space="0" w:color="auto"/>
        <w:left w:val="none" w:sz="0" w:space="0" w:color="auto"/>
        <w:bottom w:val="none" w:sz="0" w:space="0" w:color="auto"/>
        <w:right w:val="none" w:sz="0" w:space="0" w:color="auto"/>
      </w:divBdr>
      <w:divsChild>
        <w:div w:id="577447818">
          <w:marLeft w:val="0"/>
          <w:marRight w:val="0"/>
          <w:marTop w:val="0"/>
          <w:marBottom w:val="0"/>
          <w:divBdr>
            <w:top w:val="none" w:sz="0" w:space="0" w:color="auto"/>
            <w:left w:val="none" w:sz="0" w:space="0" w:color="auto"/>
            <w:bottom w:val="none" w:sz="0" w:space="0" w:color="auto"/>
            <w:right w:val="none" w:sz="0" w:space="0" w:color="auto"/>
          </w:divBdr>
          <w:divsChild>
            <w:div w:id="2091271624">
              <w:marLeft w:val="0"/>
              <w:marRight w:val="0"/>
              <w:marTop w:val="0"/>
              <w:marBottom w:val="0"/>
              <w:divBdr>
                <w:top w:val="none" w:sz="0" w:space="0" w:color="auto"/>
                <w:left w:val="none" w:sz="0" w:space="0" w:color="auto"/>
                <w:bottom w:val="none" w:sz="0" w:space="0" w:color="auto"/>
                <w:right w:val="none" w:sz="0" w:space="0" w:color="auto"/>
              </w:divBdr>
              <w:divsChild>
                <w:div w:id="16747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4916">
      <w:bodyDiv w:val="1"/>
      <w:marLeft w:val="0"/>
      <w:marRight w:val="0"/>
      <w:marTop w:val="0"/>
      <w:marBottom w:val="0"/>
      <w:divBdr>
        <w:top w:val="none" w:sz="0" w:space="0" w:color="auto"/>
        <w:left w:val="none" w:sz="0" w:space="0" w:color="auto"/>
        <w:bottom w:val="none" w:sz="0" w:space="0" w:color="auto"/>
        <w:right w:val="none" w:sz="0" w:space="0" w:color="auto"/>
      </w:divBdr>
      <w:divsChild>
        <w:div w:id="1926768109">
          <w:marLeft w:val="0"/>
          <w:marRight w:val="0"/>
          <w:marTop w:val="0"/>
          <w:marBottom w:val="0"/>
          <w:divBdr>
            <w:top w:val="none" w:sz="0" w:space="0" w:color="auto"/>
            <w:left w:val="none" w:sz="0" w:space="0" w:color="auto"/>
            <w:bottom w:val="none" w:sz="0" w:space="0" w:color="auto"/>
            <w:right w:val="none" w:sz="0" w:space="0" w:color="auto"/>
          </w:divBdr>
          <w:divsChild>
            <w:div w:id="1979332251">
              <w:marLeft w:val="0"/>
              <w:marRight w:val="0"/>
              <w:marTop w:val="0"/>
              <w:marBottom w:val="0"/>
              <w:divBdr>
                <w:top w:val="none" w:sz="0" w:space="0" w:color="auto"/>
                <w:left w:val="none" w:sz="0" w:space="0" w:color="auto"/>
                <w:bottom w:val="none" w:sz="0" w:space="0" w:color="auto"/>
                <w:right w:val="none" w:sz="0" w:space="0" w:color="auto"/>
              </w:divBdr>
              <w:divsChild>
                <w:div w:id="817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6020">
      <w:bodyDiv w:val="1"/>
      <w:marLeft w:val="0"/>
      <w:marRight w:val="0"/>
      <w:marTop w:val="0"/>
      <w:marBottom w:val="0"/>
      <w:divBdr>
        <w:top w:val="none" w:sz="0" w:space="0" w:color="auto"/>
        <w:left w:val="none" w:sz="0" w:space="0" w:color="auto"/>
        <w:bottom w:val="none" w:sz="0" w:space="0" w:color="auto"/>
        <w:right w:val="none" w:sz="0" w:space="0" w:color="auto"/>
      </w:divBdr>
      <w:divsChild>
        <w:div w:id="1727332512">
          <w:marLeft w:val="0"/>
          <w:marRight w:val="0"/>
          <w:marTop w:val="0"/>
          <w:marBottom w:val="0"/>
          <w:divBdr>
            <w:top w:val="none" w:sz="0" w:space="0" w:color="auto"/>
            <w:left w:val="none" w:sz="0" w:space="0" w:color="auto"/>
            <w:bottom w:val="none" w:sz="0" w:space="0" w:color="auto"/>
            <w:right w:val="none" w:sz="0" w:space="0" w:color="auto"/>
          </w:divBdr>
          <w:divsChild>
            <w:div w:id="87506822">
              <w:marLeft w:val="0"/>
              <w:marRight w:val="0"/>
              <w:marTop w:val="0"/>
              <w:marBottom w:val="0"/>
              <w:divBdr>
                <w:top w:val="none" w:sz="0" w:space="0" w:color="auto"/>
                <w:left w:val="none" w:sz="0" w:space="0" w:color="auto"/>
                <w:bottom w:val="none" w:sz="0" w:space="0" w:color="auto"/>
                <w:right w:val="none" w:sz="0" w:space="0" w:color="auto"/>
              </w:divBdr>
              <w:divsChild>
                <w:div w:id="1422023259">
                  <w:marLeft w:val="0"/>
                  <w:marRight w:val="0"/>
                  <w:marTop w:val="0"/>
                  <w:marBottom w:val="0"/>
                  <w:divBdr>
                    <w:top w:val="none" w:sz="0" w:space="0" w:color="auto"/>
                    <w:left w:val="none" w:sz="0" w:space="0" w:color="auto"/>
                    <w:bottom w:val="none" w:sz="0" w:space="0" w:color="auto"/>
                    <w:right w:val="none" w:sz="0" w:space="0" w:color="auto"/>
                  </w:divBdr>
                </w:div>
              </w:divsChild>
            </w:div>
            <w:div w:id="729695072">
              <w:marLeft w:val="0"/>
              <w:marRight w:val="0"/>
              <w:marTop w:val="0"/>
              <w:marBottom w:val="0"/>
              <w:divBdr>
                <w:top w:val="none" w:sz="0" w:space="0" w:color="auto"/>
                <w:left w:val="none" w:sz="0" w:space="0" w:color="auto"/>
                <w:bottom w:val="none" w:sz="0" w:space="0" w:color="auto"/>
                <w:right w:val="none" w:sz="0" w:space="0" w:color="auto"/>
              </w:divBdr>
              <w:divsChild>
                <w:div w:id="1575703252">
                  <w:marLeft w:val="0"/>
                  <w:marRight w:val="0"/>
                  <w:marTop w:val="0"/>
                  <w:marBottom w:val="0"/>
                  <w:divBdr>
                    <w:top w:val="none" w:sz="0" w:space="0" w:color="auto"/>
                    <w:left w:val="none" w:sz="0" w:space="0" w:color="auto"/>
                    <w:bottom w:val="none" w:sz="0" w:space="0" w:color="auto"/>
                    <w:right w:val="none" w:sz="0" w:space="0" w:color="auto"/>
                  </w:divBdr>
                </w:div>
              </w:divsChild>
            </w:div>
            <w:div w:id="790440261">
              <w:marLeft w:val="0"/>
              <w:marRight w:val="0"/>
              <w:marTop w:val="0"/>
              <w:marBottom w:val="0"/>
              <w:divBdr>
                <w:top w:val="none" w:sz="0" w:space="0" w:color="auto"/>
                <w:left w:val="none" w:sz="0" w:space="0" w:color="auto"/>
                <w:bottom w:val="none" w:sz="0" w:space="0" w:color="auto"/>
                <w:right w:val="none" w:sz="0" w:space="0" w:color="auto"/>
              </w:divBdr>
              <w:divsChild>
                <w:div w:id="132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1717">
      <w:bodyDiv w:val="1"/>
      <w:marLeft w:val="0"/>
      <w:marRight w:val="0"/>
      <w:marTop w:val="0"/>
      <w:marBottom w:val="0"/>
      <w:divBdr>
        <w:top w:val="none" w:sz="0" w:space="0" w:color="auto"/>
        <w:left w:val="none" w:sz="0" w:space="0" w:color="auto"/>
        <w:bottom w:val="none" w:sz="0" w:space="0" w:color="auto"/>
        <w:right w:val="none" w:sz="0" w:space="0" w:color="auto"/>
      </w:divBdr>
      <w:divsChild>
        <w:div w:id="1573585089">
          <w:marLeft w:val="0"/>
          <w:marRight w:val="0"/>
          <w:marTop w:val="0"/>
          <w:marBottom w:val="0"/>
          <w:divBdr>
            <w:top w:val="none" w:sz="0" w:space="0" w:color="auto"/>
            <w:left w:val="none" w:sz="0" w:space="0" w:color="auto"/>
            <w:bottom w:val="none" w:sz="0" w:space="0" w:color="auto"/>
            <w:right w:val="none" w:sz="0" w:space="0" w:color="auto"/>
          </w:divBdr>
          <w:divsChild>
            <w:div w:id="1196846577">
              <w:marLeft w:val="0"/>
              <w:marRight w:val="0"/>
              <w:marTop w:val="0"/>
              <w:marBottom w:val="0"/>
              <w:divBdr>
                <w:top w:val="none" w:sz="0" w:space="0" w:color="auto"/>
                <w:left w:val="none" w:sz="0" w:space="0" w:color="auto"/>
                <w:bottom w:val="none" w:sz="0" w:space="0" w:color="auto"/>
                <w:right w:val="none" w:sz="0" w:space="0" w:color="auto"/>
              </w:divBdr>
              <w:divsChild>
                <w:div w:id="1653947064">
                  <w:marLeft w:val="0"/>
                  <w:marRight w:val="0"/>
                  <w:marTop w:val="0"/>
                  <w:marBottom w:val="0"/>
                  <w:divBdr>
                    <w:top w:val="none" w:sz="0" w:space="0" w:color="auto"/>
                    <w:left w:val="none" w:sz="0" w:space="0" w:color="auto"/>
                    <w:bottom w:val="none" w:sz="0" w:space="0" w:color="auto"/>
                    <w:right w:val="none" w:sz="0" w:space="0" w:color="auto"/>
                  </w:divBdr>
                  <w:divsChild>
                    <w:div w:id="6161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2673">
      <w:bodyDiv w:val="1"/>
      <w:marLeft w:val="0"/>
      <w:marRight w:val="0"/>
      <w:marTop w:val="0"/>
      <w:marBottom w:val="0"/>
      <w:divBdr>
        <w:top w:val="none" w:sz="0" w:space="0" w:color="auto"/>
        <w:left w:val="none" w:sz="0" w:space="0" w:color="auto"/>
        <w:bottom w:val="none" w:sz="0" w:space="0" w:color="auto"/>
        <w:right w:val="none" w:sz="0" w:space="0" w:color="auto"/>
      </w:divBdr>
      <w:divsChild>
        <w:div w:id="1559827984">
          <w:marLeft w:val="0"/>
          <w:marRight w:val="0"/>
          <w:marTop w:val="0"/>
          <w:marBottom w:val="0"/>
          <w:divBdr>
            <w:top w:val="none" w:sz="0" w:space="0" w:color="auto"/>
            <w:left w:val="none" w:sz="0" w:space="0" w:color="auto"/>
            <w:bottom w:val="none" w:sz="0" w:space="0" w:color="auto"/>
            <w:right w:val="none" w:sz="0" w:space="0" w:color="auto"/>
          </w:divBdr>
          <w:divsChild>
            <w:div w:id="701396916">
              <w:marLeft w:val="0"/>
              <w:marRight w:val="0"/>
              <w:marTop w:val="0"/>
              <w:marBottom w:val="0"/>
              <w:divBdr>
                <w:top w:val="none" w:sz="0" w:space="0" w:color="auto"/>
                <w:left w:val="none" w:sz="0" w:space="0" w:color="auto"/>
                <w:bottom w:val="none" w:sz="0" w:space="0" w:color="auto"/>
                <w:right w:val="none" w:sz="0" w:space="0" w:color="auto"/>
              </w:divBdr>
              <w:divsChild>
                <w:div w:id="9131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2779">
      <w:bodyDiv w:val="1"/>
      <w:marLeft w:val="0"/>
      <w:marRight w:val="0"/>
      <w:marTop w:val="0"/>
      <w:marBottom w:val="0"/>
      <w:divBdr>
        <w:top w:val="none" w:sz="0" w:space="0" w:color="auto"/>
        <w:left w:val="none" w:sz="0" w:space="0" w:color="auto"/>
        <w:bottom w:val="none" w:sz="0" w:space="0" w:color="auto"/>
        <w:right w:val="none" w:sz="0" w:space="0" w:color="auto"/>
      </w:divBdr>
      <w:divsChild>
        <w:div w:id="1192456130">
          <w:marLeft w:val="0"/>
          <w:marRight w:val="0"/>
          <w:marTop w:val="0"/>
          <w:marBottom w:val="0"/>
          <w:divBdr>
            <w:top w:val="none" w:sz="0" w:space="0" w:color="auto"/>
            <w:left w:val="none" w:sz="0" w:space="0" w:color="auto"/>
            <w:bottom w:val="none" w:sz="0" w:space="0" w:color="auto"/>
            <w:right w:val="none" w:sz="0" w:space="0" w:color="auto"/>
          </w:divBdr>
          <w:divsChild>
            <w:div w:id="1444961825">
              <w:marLeft w:val="0"/>
              <w:marRight w:val="0"/>
              <w:marTop w:val="0"/>
              <w:marBottom w:val="0"/>
              <w:divBdr>
                <w:top w:val="none" w:sz="0" w:space="0" w:color="auto"/>
                <w:left w:val="none" w:sz="0" w:space="0" w:color="auto"/>
                <w:bottom w:val="none" w:sz="0" w:space="0" w:color="auto"/>
                <w:right w:val="none" w:sz="0" w:space="0" w:color="auto"/>
              </w:divBdr>
              <w:divsChild>
                <w:div w:id="5096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389">
      <w:bodyDiv w:val="1"/>
      <w:marLeft w:val="0"/>
      <w:marRight w:val="0"/>
      <w:marTop w:val="0"/>
      <w:marBottom w:val="0"/>
      <w:divBdr>
        <w:top w:val="none" w:sz="0" w:space="0" w:color="auto"/>
        <w:left w:val="none" w:sz="0" w:space="0" w:color="auto"/>
        <w:bottom w:val="none" w:sz="0" w:space="0" w:color="auto"/>
        <w:right w:val="none" w:sz="0" w:space="0" w:color="auto"/>
      </w:divBdr>
      <w:divsChild>
        <w:div w:id="1543245691">
          <w:marLeft w:val="0"/>
          <w:marRight w:val="0"/>
          <w:marTop w:val="0"/>
          <w:marBottom w:val="0"/>
          <w:divBdr>
            <w:top w:val="none" w:sz="0" w:space="0" w:color="auto"/>
            <w:left w:val="none" w:sz="0" w:space="0" w:color="auto"/>
            <w:bottom w:val="none" w:sz="0" w:space="0" w:color="auto"/>
            <w:right w:val="none" w:sz="0" w:space="0" w:color="auto"/>
          </w:divBdr>
          <w:divsChild>
            <w:div w:id="1529682478">
              <w:marLeft w:val="0"/>
              <w:marRight w:val="0"/>
              <w:marTop w:val="0"/>
              <w:marBottom w:val="0"/>
              <w:divBdr>
                <w:top w:val="none" w:sz="0" w:space="0" w:color="auto"/>
                <w:left w:val="none" w:sz="0" w:space="0" w:color="auto"/>
                <w:bottom w:val="none" w:sz="0" w:space="0" w:color="auto"/>
                <w:right w:val="none" w:sz="0" w:space="0" w:color="auto"/>
              </w:divBdr>
              <w:divsChild>
                <w:div w:id="9493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068">
      <w:bodyDiv w:val="1"/>
      <w:marLeft w:val="0"/>
      <w:marRight w:val="0"/>
      <w:marTop w:val="0"/>
      <w:marBottom w:val="0"/>
      <w:divBdr>
        <w:top w:val="none" w:sz="0" w:space="0" w:color="auto"/>
        <w:left w:val="none" w:sz="0" w:space="0" w:color="auto"/>
        <w:bottom w:val="none" w:sz="0" w:space="0" w:color="auto"/>
        <w:right w:val="none" w:sz="0" w:space="0" w:color="auto"/>
      </w:divBdr>
      <w:divsChild>
        <w:div w:id="1206673952">
          <w:marLeft w:val="0"/>
          <w:marRight w:val="0"/>
          <w:marTop w:val="0"/>
          <w:marBottom w:val="0"/>
          <w:divBdr>
            <w:top w:val="none" w:sz="0" w:space="0" w:color="auto"/>
            <w:left w:val="none" w:sz="0" w:space="0" w:color="auto"/>
            <w:bottom w:val="none" w:sz="0" w:space="0" w:color="auto"/>
            <w:right w:val="none" w:sz="0" w:space="0" w:color="auto"/>
          </w:divBdr>
          <w:divsChild>
            <w:div w:id="1932470920">
              <w:marLeft w:val="0"/>
              <w:marRight w:val="0"/>
              <w:marTop w:val="0"/>
              <w:marBottom w:val="0"/>
              <w:divBdr>
                <w:top w:val="none" w:sz="0" w:space="0" w:color="auto"/>
                <w:left w:val="none" w:sz="0" w:space="0" w:color="auto"/>
                <w:bottom w:val="none" w:sz="0" w:space="0" w:color="auto"/>
                <w:right w:val="none" w:sz="0" w:space="0" w:color="auto"/>
              </w:divBdr>
              <w:divsChild>
                <w:div w:id="1728454514">
                  <w:marLeft w:val="0"/>
                  <w:marRight w:val="0"/>
                  <w:marTop w:val="0"/>
                  <w:marBottom w:val="0"/>
                  <w:divBdr>
                    <w:top w:val="none" w:sz="0" w:space="0" w:color="auto"/>
                    <w:left w:val="none" w:sz="0" w:space="0" w:color="auto"/>
                    <w:bottom w:val="none" w:sz="0" w:space="0" w:color="auto"/>
                    <w:right w:val="none" w:sz="0" w:space="0" w:color="auto"/>
                  </w:divBdr>
                  <w:divsChild>
                    <w:div w:id="1351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96673">
      <w:bodyDiv w:val="1"/>
      <w:marLeft w:val="0"/>
      <w:marRight w:val="0"/>
      <w:marTop w:val="0"/>
      <w:marBottom w:val="0"/>
      <w:divBdr>
        <w:top w:val="none" w:sz="0" w:space="0" w:color="auto"/>
        <w:left w:val="none" w:sz="0" w:space="0" w:color="auto"/>
        <w:bottom w:val="none" w:sz="0" w:space="0" w:color="auto"/>
        <w:right w:val="none" w:sz="0" w:space="0" w:color="auto"/>
      </w:divBdr>
      <w:divsChild>
        <w:div w:id="324479512">
          <w:marLeft w:val="0"/>
          <w:marRight w:val="0"/>
          <w:marTop w:val="0"/>
          <w:marBottom w:val="0"/>
          <w:divBdr>
            <w:top w:val="none" w:sz="0" w:space="0" w:color="auto"/>
            <w:left w:val="none" w:sz="0" w:space="0" w:color="auto"/>
            <w:bottom w:val="none" w:sz="0" w:space="0" w:color="auto"/>
            <w:right w:val="none" w:sz="0" w:space="0" w:color="auto"/>
          </w:divBdr>
          <w:divsChild>
            <w:div w:id="1238325928">
              <w:marLeft w:val="0"/>
              <w:marRight w:val="0"/>
              <w:marTop w:val="0"/>
              <w:marBottom w:val="0"/>
              <w:divBdr>
                <w:top w:val="none" w:sz="0" w:space="0" w:color="auto"/>
                <w:left w:val="none" w:sz="0" w:space="0" w:color="auto"/>
                <w:bottom w:val="none" w:sz="0" w:space="0" w:color="auto"/>
                <w:right w:val="none" w:sz="0" w:space="0" w:color="auto"/>
              </w:divBdr>
              <w:divsChild>
                <w:div w:id="20204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3915">
      <w:bodyDiv w:val="1"/>
      <w:marLeft w:val="0"/>
      <w:marRight w:val="0"/>
      <w:marTop w:val="0"/>
      <w:marBottom w:val="0"/>
      <w:divBdr>
        <w:top w:val="none" w:sz="0" w:space="0" w:color="auto"/>
        <w:left w:val="none" w:sz="0" w:space="0" w:color="auto"/>
        <w:bottom w:val="none" w:sz="0" w:space="0" w:color="auto"/>
        <w:right w:val="none" w:sz="0" w:space="0" w:color="auto"/>
      </w:divBdr>
      <w:divsChild>
        <w:div w:id="395667590">
          <w:marLeft w:val="0"/>
          <w:marRight w:val="0"/>
          <w:marTop w:val="0"/>
          <w:marBottom w:val="0"/>
          <w:divBdr>
            <w:top w:val="none" w:sz="0" w:space="0" w:color="auto"/>
            <w:left w:val="none" w:sz="0" w:space="0" w:color="auto"/>
            <w:bottom w:val="none" w:sz="0" w:space="0" w:color="auto"/>
            <w:right w:val="none" w:sz="0" w:space="0" w:color="auto"/>
          </w:divBdr>
          <w:divsChild>
            <w:div w:id="120463853">
              <w:marLeft w:val="0"/>
              <w:marRight w:val="0"/>
              <w:marTop w:val="0"/>
              <w:marBottom w:val="0"/>
              <w:divBdr>
                <w:top w:val="none" w:sz="0" w:space="0" w:color="auto"/>
                <w:left w:val="none" w:sz="0" w:space="0" w:color="auto"/>
                <w:bottom w:val="none" w:sz="0" w:space="0" w:color="auto"/>
                <w:right w:val="none" w:sz="0" w:space="0" w:color="auto"/>
              </w:divBdr>
              <w:divsChild>
                <w:div w:id="1475030546">
                  <w:marLeft w:val="0"/>
                  <w:marRight w:val="0"/>
                  <w:marTop w:val="0"/>
                  <w:marBottom w:val="0"/>
                  <w:divBdr>
                    <w:top w:val="none" w:sz="0" w:space="0" w:color="auto"/>
                    <w:left w:val="none" w:sz="0" w:space="0" w:color="auto"/>
                    <w:bottom w:val="none" w:sz="0" w:space="0" w:color="auto"/>
                    <w:right w:val="none" w:sz="0" w:space="0" w:color="auto"/>
                  </w:divBdr>
                  <w:divsChild>
                    <w:div w:id="16468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6084">
      <w:bodyDiv w:val="1"/>
      <w:marLeft w:val="0"/>
      <w:marRight w:val="0"/>
      <w:marTop w:val="0"/>
      <w:marBottom w:val="0"/>
      <w:divBdr>
        <w:top w:val="none" w:sz="0" w:space="0" w:color="auto"/>
        <w:left w:val="none" w:sz="0" w:space="0" w:color="auto"/>
        <w:bottom w:val="none" w:sz="0" w:space="0" w:color="auto"/>
        <w:right w:val="none" w:sz="0" w:space="0" w:color="auto"/>
      </w:divBdr>
      <w:divsChild>
        <w:div w:id="625234760">
          <w:marLeft w:val="0"/>
          <w:marRight w:val="0"/>
          <w:marTop w:val="0"/>
          <w:marBottom w:val="0"/>
          <w:divBdr>
            <w:top w:val="none" w:sz="0" w:space="0" w:color="auto"/>
            <w:left w:val="none" w:sz="0" w:space="0" w:color="auto"/>
            <w:bottom w:val="none" w:sz="0" w:space="0" w:color="auto"/>
            <w:right w:val="none" w:sz="0" w:space="0" w:color="auto"/>
          </w:divBdr>
          <w:divsChild>
            <w:div w:id="1172723922">
              <w:marLeft w:val="0"/>
              <w:marRight w:val="0"/>
              <w:marTop w:val="0"/>
              <w:marBottom w:val="0"/>
              <w:divBdr>
                <w:top w:val="none" w:sz="0" w:space="0" w:color="auto"/>
                <w:left w:val="none" w:sz="0" w:space="0" w:color="auto"/>
                <w:bottom w:val="none" w:sz="0" w:space="0" w:color="auto"/>
                <w:right w:val="none" w:sz="0" w:space="0" w:color="auto"/>
              </w:divBdr>
              <w:divsChild>
                <w:div w:id="723604451">
                  <w:marLeft w:val="0"/>
                  <w:marRight w:val="0"/>
                  <w:marTop w:val="0"/>
                  <w:marBottom w:val="0"/>
                  <w:divBdr>
                    <w:top w:val="none" w:sz="0" w:space="0" w:color="auto"/>
                    <w:left w:val="none" w:sz="0" w:space="0" w:color="auto"/>
                    <w:bottom w:val="none" w:sz="0" w:space="0" w:color="auto"/>
                    <w:right w:val="none" w:sz="0" w:space="0" w:color="auto"/>
                  </w:divBdr>
                  <w:divsChild>
                    <w:div w:id="202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8076">
      <w:bodyDiv w:val="1"/>
      <w:marLeft w:val="0"/>
      <w:marRight w:val="0"/>
      <w:marTop w:val="0"/>
      <w:marBottom w:val="0"/>
      <w:divBdr>
        <w:top w:val="none" w:sz="0" w:space="0" w:color="auto"/>
        <w:left w:val="none" w:sz="0" w:space="0" w:color="auto"/>
        <w:bottom w:val="none" w:sz="0" w:space="0" w:color="auto"/>
        <w:right w:val="none" w:sz="0" w:space="0" w:color="auto"/>
      </w:divBdr>
      <w:divsChild>
        <w:div w:id="657423138">
          <w:marLeft w:val="0"/>
          <w:marRight w:val="0"/>
          <w:marTop w:val="0"/>
          <w:marBottom w:val="0"/>
          <w:divBdr>
            <w:top w:val="none" w:sz="0" w:space="0" w:color="auto"/>
            <w:left w:val="none" w:sz="0" w:space="0" w:color="auto"/>
            <w:bottom w:val="none" w:sz="0" w:space="0" w:color="auto"/>
            <w:right w:val="none" w:sz="0" w:space="0" w:color="auto"/>
          </w:divBdr>
          <w:divsChild>
            <w:div w:id="1817061470">
              <w:marLeft w:val="0"/>
              <w:marRight w:val="0"/>
              <w:marTop w:val="0"/>
              <w:marBottom w:val="0"/>
              <w:divBdr>
                <w:top w:val="none" w:sz="0" w:space="0" w:color="auto"/>
                <w:left w:val="none" w:sz="0" w:space="0" w:color="auto"/>
                <w:bottom w:val="none" w:sz="0" w:space="0" w:color="auto"/>
                <w:right w:val="none" w:sz="0" w:space="0" w:color="auto"/>
              </w:divBdr>
              <w:divsChild>
                <w:div w:id="1924757605">
                  <w:marLeft w:val="0"/>
                  <w:marRight w:val="0"/>
                  <w:marTop w:val="0"/>
                  <w:marBottom w:val="0"/>
                  <w:divBdr>
                    <w:top w:val="none" w:sz="0" w:space="0" w:color="auto"/>
                    <w:left w:val="none" w:sz="0" w:space="0" w:color="auto"/>
                    <w:bottom w:val="none" w:sz="0" w:space="0" w:color="auto"/>
                    <w:right w:val="none" w:sz="0" w:space="0" w:color="auto"/>
                  </w:divBdr>
                  <w:divsChild>
                    <w:div w:id="17966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9088">
      <w:bodyDiv w:val="1"/>
      <w:marLeft w:val="0"/>
      <w:marRight w:val="0"/>
      <w:marTop w:val="0"/>
      <w:marBottom w:val="0"/>
      <w:divBdr>
        <w:top w:val="none" w:sz="0" w:space="0" w:color="auto"/>
        <w:left w:val="none" w:sz="0" w:space="0" w:color="auto"/>
        <w:bottom w:val="none" w:sz="0" w:space="0" w:color="auto"/>
        <w:right w:val="none" w:sz="0" w:space="0" w:color="auto"/>
      </w:divBdr>
      <w:divsChild>
        <w:div w:id="1091321060">
          <w:marLeft w:val="0"/>
          <w:marRight w:val="0"/>
          <w:marTop w:val="0"/>
          <w:marBottom w:val="0"/>
          <w:divBdr>
            <w:top w:val="none" w:sz="0" w:space="0" w:color="auto"/>
            <w:left w:val="none" w:sz="0" w:space="0" w:color="auto"/>
            <w:bottom w:val="none" w:sz="0" w:space="0" w:color="auto"/>
            <w:right w:val="none" w:sz="0" w:space="0" w:color="auto"/>
          </w:divBdr>
          <w:divsChild>
            <w:div w:id="464742786">
              <w:marLeft w:val="0"/>
              <w:marRight w:val="0"/>
              <w:marTop w:val="0"/>
              <w:marBottom w:val="0"/>
              <w:divBdr>
                <w:top w:val="none" w:sz="0" w:space="0" w:color="auto"/>
                <w:left w:val="none" w:sz="0" w:space="0" w:color="auto"/>
                <w:bottom w:val="none" w:sz="0" w:space="0" w:color="auto"/>
                <w:right w:val="none" w:sz="0" w:space="0" w:color="auto"/>
              </w:divBdr>
              <w:divsChild>
                <w:div w:id="395706902">
                  <w:marLeft w:val="0"/>
                  <w:marRight w:val="0"/>
                  <w:marTop w:val="0"/>
                  <w:marBottom w:val="0"/>
                  <w:divBdr>
                    <w:top w:val="none" w:sz="0" w:space="0" w:color="auto"/>
                    <w:left w:val="none" w:sz="0" w:space="0" w:color="auto"/>
                    <w:bottom w:val="none" w:sz="0" w:space="0" w:color="auto"/>
                    <w:right w:val="none" w:sz="0" w:space="0" w:color="auto"/>
                  </w:divBdr>
                  <w:divsChild>
                    <w:div w:id="10692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78162">
      <w:bodyDiv w:val="1"/>
      <w:marLeft w:val="0"/>
      <w:marRight w:val="0"/>
      <w:marTop w:val="0"/>
      <w:marBottom w:val="0"/>
      <w:divBdr>
        <w:top w:val="none" w:sz="0" w:space="0" w:color="auto"/>
        <w:left w:val="none" w:sz="0" w:space="0" w:color="auto"/>
        <w:bottom w:val="none" w:sz="0" w:space="0" w:color="auto"/>
        <w:right w:val="none" w:sz="0" w:space="0" w:color="auto"/>
      </w:divBdr>
      <w:divsChild>
        <w:div w:id="1132401168">
          <w:marLeft w:val="0"/>
          <w:marRight w:val="0"/>
          <w:marTop w:val="0"/>
          <w:marBottom w:val="0"/>
          <w:divBdr>
            <w:top w:val="none" w:sz="0" w:space="0" w:color="auto"/>
            <w:left w:val="none" w:sz="0" w:space="0" w:color="auto"/>
            <w:bottom w:val="none" w:sz="0" w:space="0" w:color="auto"/>
            <w:right w:val="none" w:sz="0" w:space="0" w:color="auto"/>
          </w:divBdr>
          <w:divsChild>
            <w:div w:id="1641690190">
              <w:marLeft w:val="0"/>
              <w:marRight w:val="0"/>
              <w:marTop w:val="0"/>
              <w:marBottom w:val="0"/>
              <w:divBdr>
                <w:top w:val="none" w:sz="0" w:space="0" w:color="auto"/>
                <w:left w:val="none" w:sz="0" w:space="0" w:color="auto"/>
                <w:bottom w:val="none" w:sz="0" w:space="0" w:color="auto"/>
                <w:right w:val="none" w:sz="0" w:space="0" w:color="auto"/>
              </w:divBdr>
              <w:divsChild>
                <w:div w:id="1951624412">
                  <w:marLeft w:val="0"/>
                  <w:marRight w:val="0"/>
                  <w:marTop w:val="0"/>
                  <w:marBottom w:val="0"/>
                  <w:divBdr>
                    <w:top w:val="none" w:sz="0" w:space="0" w:color="auto"/>
                    <w:left w:val="none" w:sz="0" w:space="0" w:color="auto"/>
                    <w:bottom w:val="none" w:sz="0" w:space="0" w:color="auto"/>
                    <w:right w:val="none" w:sz="0" w:space="0" w:color="auto"/>
                  </w:divBdr>
                </w:div>
              </w:divsChild>
            </w:div>
            <w:div w:id="2018775029">
              <w:marLeft w:val="0"/>
              <w:marRight w:val="0"/>
              <w:marTop w:val="0"/>
              <w:marBottom w:val="0"/>
              <w:divBdr>
                <w:top w:val="none" w:sz="0" w:space="0" w:color="auto"/>
                <w:left w:val="none" w:sz="0" w:space="0" w:color="auto"/>
                <w:bottom w:val="none" w:sz="0" w:space="0" w:color="auto"/>
                <w:right w:val="none" w:sz="0" w:space="0" w:color="auto"/>
              </w:divBdr>
              <w:divsChild>
                <w:div w:id="249705146">
                  <w:marLeft w:val="0"/>
                  <w:marRight w:val="0"/>
                  <w:marTop w:val="0"/>
                  <w:marBottom w:val="0"/>
                  <w:divBdr>
                    <w:top w:val="none" w:sz="0" w:space="0" w:color="auto"/>
                    <w:left w:val="none" w:sz="0" w:space="0" w:color="auto"/>
                    <w:bottom w:val="none" w:sz="0" w:space="0" w:color="auto"/>
                    <w:right w:val="none" w:sz="0" w:space="0" w:color="auto"/>
                  </w:divBdr>
                  <w:divsChild>
                    <w:div w:id="207768245">
                      <w:marLeft w:val="0"/>
                      <w:marRight w:val="0"/>
                      <w:marTop w:val="0"/>
                      <w:marBottom w:val="0"/>
                      <w:divBdr>
                        <w:top w:val="none" w:sz="0" w:space="0" w:color="auto"/>
                        <w:left w:val="none" w:sz="0" w:space="0" w:color="auto"/>
                        <w:bottom w:val="none" w:sz="0" w:space="0" w:color="auto"/>
                        <w:right w:val="none" w:sz="0" w:space="0" w:color="auto"/>
                      </w:divBdr>
                    </w:div>
                  </w:divsChild>
                </w:div>
                <w:div w:id="1159536440">
                  <w:marLeft w:val="0"/>
                  <w:marRight w:val="0"/>
                  <w:marTop w:val="0"/>
                  <w:marBottom w:val="0"/>
                  <w:divBdr>
                    <w:top w:val="none" w:sz="0" w:space="0" w:color="auto"/>
                    <w:left w:val="none" w:sz="0" w:space="0" w:color="auto"/>
                    <w:bottom w:val="none" w:sz="0" w:space="0" w:color="auto"/>
                    <w:right w:val="none" w:sz="0" w:space="0" w:color="auto"/>
                  </w:divBdr>
                  <w:divsChild>
                    <w:div w:id="2034115308">
                      <w:marLeft w:val="0"/>
                      <w:marRight w:val="0"/>
                      <w:marTop w:val="0"/>
                      <w:marBottom w:val="0"/>
                      <w:divBdr>
                        <w:top w:val="none" w:sz="0" w:space="0" w:color="auto"/>
                        <w:left w:val="none" w:sz="0" w:space="0" w:color="auto"/>
                        <w:bottom w:val="none" w:sz="0" w:space="0" w:color="auto"/>
                        <w:right w:val="none" w:sz="0" w:space="0" w:color="auto"/>
                      </w:divBdr>
                    </w:div>
                  </w:divsChild>
                </w:div>
                <w:div w:id="1472088889">
                  <w:marLeft w:val="0"/>
                  <w:marRight w:val="0"/>
                  <w:marTop w:val="0"/>
                  <w:marBottom w:val="0"/>
                  <w:divBdr>
                    <w:top w:val="none" w:sz="0" w:space="0" w:color="auto"/>
                    <w:left w:val="none" w:sz="0" w:space="0" w:color="auto"/>
                    <w:bottom w:val="none" w:sz="0" w:space="0" w:color="auto"/>
                    <w:right w:val="none" w:sz="0" w:space="0" w:color="auto"/>
                  </w:divBdr>
                  <w:divsChild>
                    <w:div w:id="1048380875">
                      <w:marLeft w:val="0"/>
                      <w:marRight w:val="0"/>
                      <w:marTop w:val="0"/>
                      <w:marBottom w:val="0"/>
                      <w:divBdr>
                        <w:top w:val="none" w:sz="0" w:space="0" w:color="auto"/>
                        <w:left w:val="none" w:sz="0" w:space="0" w:color="auto"/>
                        <w:bottom w:val="none" w:sz="0" w:space="0" w:color="auto"/>
                        <w:right w:val="none" w:sz="0" w:space="0" w:color="auto"/>
                      </w:divBdr>
                    </w:div>
                  </w:divsChild>
                </w:div>
                <w:div w:id="1520122227">
                  <w:marLeft w:val="0"/>
                  <w:marRight w:val="0"/>
                  <w:marTop w:val="0"/>
                  <w:marBottom w:val="0"/>
                  <w:divBdr>
                    <w:top w:val="none" w:sz="0" w:space="0" w:color="auto"/>
                    <w:left w:val="none" w:sz="0" w:space="0" w:color="auto"/>
                    <w:bottom w:val="none" w:sz="0" w:space="0" w:color="auto"/>
                    <w:right w:val="none" w:sz="0" w:space="0" w:color="auto"/>
                  </w:divBdr>
                  <w:divsChild>
                    <w:div w:id="749277261">
                      <w:marLeft w:val="0"/>
                      <w:marRight w:val="0"/>
                      <w:marTop w:val="0"/>
                      <w:marBottom w:val="0"/>
                      <w:divBdr>
                        <w:top w:val="none" w:sz="0" w:space="0" w:color="auto"/>
                        <w:left w:val="none" w:sz="0" w:space="0" w:color="auto"/>
                        <w:bottom w:val="none" w:sz="0" w:space="0" w:color="auto"/>
                        <w:right w:val="none" w:sz="0" w:space="0" w:color="auto"/>
                      </w:divBdr>
                    </w:div>
                  </w:divsChild>
                </w:div>
                <w:div w:id="1889804567">
                  <w:marLeft w:val="0"/>
                  <w:marRight w:val="0"/>
                  <w:marTop w:val="0"/>
                  <w:marBottom w:val="0"/>
                  <w:divBdr>
                    <w:top w:val="none" w:sz="0" w:space="0" w:color="auto"/>
                    <w:left w:val="none" w:sz="0" w:space="0" w:color="auto"/>
                    <w:bottom w:val="none" w:sz="0" w:space="0" w:color="auto"/>
                    <w:right w:val="none" w:sz="0" w:space="0" w:color="auto"/>
                  </w:divBdr>
                  <w:divsChild>
                    <w:div w:id="9047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82680">
      <w:bodyDiv w:val="1"/>
      <w:marLeft w:val="0"/>
      <w:marRight w:val="0"/>
      <w:marTop w:val="0"/>
      <w:marBottom w:val="0"/>
      <w:divBdr>
        <w:top w:val="none" w:sz="0" w:space="0" w:color="auto"/>
        <w:left w:val="none" w:sz="0" w:space="0" w:color="auto"/>
        <w:bottom w:val="none" w:sz="0" w:space="0" w:color="auto"/>
        <w:right w:val="none" w:sz="0" w:space="0" w:color="auto"/>
      </w:divBdr>
      <w:divsChild>
        <w:div w:id="1335452946">
          <w:marLeft w:val="0"/>
          <w:marRight w:val="0"/>
          <w:marTop w:val="0"/>
          <w:marBottom w:val="0"/>
          <w:divBdr>
            <w:top w:val="none" w:sz="0" w:space="0" w:color="auto"/>
            <w:left w:val="none" w:sz="0" w:space="0" w:color="auto"/>
            <w:bottom w:val="none" w:sz="0" w:space="0" w:color="auto"/>
            <w:right w:val="none" w:sz="0" w:space="0" w:color="auto"/>
          </w:divBdr>
          <w:divsChild>
            <w:div w:id="1349599682">
              <w:marLeft w:val="0"/>
              <w:marRight w:val="0"/>
              <w:marTop w:val="0"/>
              <w:marBottom w:val="0"/>
              <w:divBdr>
                <w:top w:val="none" w:sz="0" w:space="0" w:color="auto"/>
                <w:left w:val="none" w:sz="0" w:space="0" w:color="auto"/>
                <w:bottom w:val="none" w:sz="0" w:space="0" w:color="auto"/>
                <w:right w:val="none" w:sz="0" w:space="0" w:color="auto"/>
              </w:divBdr>
              <w:divsChild>
                <w:div w:id="122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4958">
      <w:bodyDiv w:val="1"/>
      <w:marLeft w:val="0"/>
      <w:marRight w:val="0"/>
      <w:marTop w:val="0"/>
      <w:marBottom w:val="0"/>
      <w:divBdr>
        <w:top w:val="none" w:sz="0" w:space="0" w:color="auto"/>
        <w:left w:val="none" w:sz="0" w:space="0" w:color="auto"/>
        <w:bottom w:val="none" w:sz="0" w:space="0" w:color="auto"/>
        <w:right w:val="none" w:sz="0" w:space="0" w:color="auto"/>
      </w:divBdr>
      <w:divsChild>
        <w:div w:id="2138529622">
          <w:marLeft w:val="0"/>
          <w:marRight w:val="0"/>
          <w:marTop w:val="0"/>
          <w:marBottom w:val="0"/>
          <w:divBdr>
            <w:top w:val="none" w:sz="0" w:space="0" w:color="auto"/>
            <w:left w:val="none" w:sz="0" w:space="0" w:color="auto"/>
            <w:bottom w:val="none" w:sz="0" w:space="0" w:color="auto"/>
            <w:right w:val="none" w:sz="0" w:space="0" w:color="auto"/>
          </w:divBdr>
          <w:divsChild>
            <w:div w:id="657614001">
              <w:marLeft w:val="0"/>
              <w:marRight w:val="0"/>
              <w:marTop w:val="0"/>
              <w:marBottom w:val="0"/>
              <w:divBdr>
                <w:top w:val="none" w:sz="0" w:space="0" w:color="auto"/>
                <w:left w:val="none" w:sz="0" w:space="0" w:color="auto"/>
                <w:bottom w:val="none" w:sz="0" w:space="0" w:color="auto"/>
                <w:right w:val="none" w:sz="0" w:space="0" w:color="auto"/>
              </w:divBdr>
              <w:divsChild>
                <w:div w:id="16108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b.mx/cea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elfinanciero.com.mx/tech/2022/10/02/hackeo-a-la-sedena-que-tanto-cabe-en-los-6-terabytes-filtrados/" TargetMode="External"/><Relationship Id="rId21" Type="http://schemas.openxmlformats.org/officeDocument/2006/relationships/hyperlink" Target="https://www.animalpolitico.com/2022/09/matan-nina-ejercito-crimen-organizado-nuevo-laredo-amlo/" TargetMode="External"/><Relationship Id="rId42" Type="http://schemas.openxmlformats.org/officeDocument/2006/relationships/hyperlink" Target="https://www.animalpolitico.com/la-lucha-cotidiana-de-los-derechos-humanos/frente-a-la-crisis-forense-identificacionya/" TargetMode="External"/><Relationship Id="rId63" Type="http://schemas.openxmlformats.org/officeDocument/2006/relationships/hyperlink" Target="https://www.infobae.com/america/mexico/2022/10/08/tres-mujeres-trans-fueron-asesinadas-en-cuatro-dias-y-en-diferentes-ciudades/" TargetMode="External"/><Relationship Id="rId84" Type="http://schemas.openxmlformats.org/officeDocument/2006/relationships/hyperlink" Target="https://www.cndh.org.mx/web/diagnostico-nacional-de-supervision-penitenciaria" TargetMode="External"/><Relationship Id="rId138" Type="http://schemas.openxmlformats.org/officeDocument/2006/relationships/hyperlink" Target="https://www.jornada.com.mx/notas/2022/02/10/estados/asesinan-a-periodista-heber-lopez-en-salina-cruz-oaxaca/" TargetMode="External"/><Relationship Id="rId159" Type="http://schemas.openxmlformats.org/officeDocument/2006/relationships/hyperlink" Target="https://www.animalpolitico.com/2022/08/matan-periodista-ernesto-mendez-tu-voz-guanajuato/" TargetMode="External"/><Relationship Id="rId170" Type="http://schemas.openxmlformats.org/officeDocument/2006/relationships/hyperlink" Target="https://elpais.com/mexico/2022-01-24/periodistas-asesinados-y-agresores-en-la-calle-que-falla-en-el-sistema-de-proteccion-a-reporteros.html" TargetMode="External"/><Relationship Id="rId191" Type="http://schemas.openxmlformats.org/officeDocument/2006/relationships/hyperlink" Target="https://cpj.org/es/reports/2022/11/la-impunidad-por-el-asesinato-de-periodistas-la-gran-mayoria-de-los-asesinos-de-periodistas-andan-libres/" TargetMode="External"/><Relationship Id="rId205" Type="http://schemas.openxmlformats.org/officeDocument/2006/relationships/hyperlink" Target="https://m-x.com.mx/investigaciones/con-amlo-se-disparan-las-negativas-a-dar-informacion-por-estar-reservada-o-clasificada" TargetMode="External"/><Relationship Id="rId107" Type="http://schemas.openxmlformats.org/officeDocument/2006/relationships/hyperlink" Target="https://latinus.us/2022/02/21/asf-documenta-fallas-en-la-operacion-del-fondo-de-proteccion-de-defensores-de-dh-y-periodistas/" TargetMode="External"/><Relationship Id="rId11" Type="http://schemas.openxmlformats.org/officeDocument/2006/relationships/hyperlink" Target="http://www.hchr.org.mx/images/GTDFI2011.pdf" TargetMode="External"/><Relationship Id="rId32" Type="http://schemas.openxmlformats.org/officeDocument/2006/relationships/hyperlink" Target="https://www.inegi.org.mx/contenidos/saladeprensa/boletines/2022/endiseg/Resul_Endiseg21.pdf" TargetMode="External"/><Relationship Id="rId53" Type="http://schemas.openxmlformats.org/officeDocument/2006/relationships/hyperlink" Target="https://actualidad.rt.com/actualidad/443890-caso-esmeralda-gallardo-madres-buscadoras-asesinadas" TargetMode="External"/><Relationship Id="rId74" Type="http://schemas.openxmlformats.org/officeDocument/2006/relationships/hyperlink" Target="http://www.oas.org/es/cidh/ppl/informes/pdfs/informe-pp-2013-es.pdf" TargetMode="External"/><Relationship Id="rId128" Type="http://schemas.openxmlformats.org/officeDocument/2006/relationships/hyperlink" Target="https://www.jornada.com.mx/notas/2022/01/18/estados/asesinan-en-tijuana-al-periodista-margarito-martinez/" TargetMode="External"/><Relationship Id="rId149" Type="http://schemas.openxmlformats.org/officeDocument/2006/relationships/hyperlink" Target="https://elpais.com/mexico/2022-05-05/asesinado-el-periodista-luis-enrique-ramirez-el-noveno-crimen-contra-la-prensa-en-este-ano.html" TargetMode="External"/><Relationship Id="rId5" Type="http://schemas.openxmlformats.org/officeDocument/2006/relationships/hyperlink" Target="https://dof.gob.mx/nota_detalle.php?codigo=5664065&amp;fecha=09/09/2022" TargetMode="External"/><Relationship Id="rId95" Type="http://schemas.openxmlformats.org/officeDocument/2006/relationships/hyperlink" Target="https://www.gob.mx/prevencionyreadaptacion/documentos/cuaderno-mensual-de-informacion-estadistica-penitenciaria-nacional?idiom=es" TargetMode="External"/><Relationship Id="rId160" Type="http://schemas.openxmlformats.org/officeDocument/2006/relationships/hyperlink" Target="https://www.infobae.com/america/mexico/2022/08/22/asesinaron-en-guerrero-al-periodista-fredy-roman/" TargetMode="External"/><Relationship Id="rId181" Type="http://schemas.openxmlformats.org/officeDocument/2006/relationships/hyperlink" Target="https://www.inegi.org.mx/contenidos/saladeprensa/aproposito/2020/LibertadPrensa2020_Nal.pdf" TargetMode="External"/><Relationship Id="rId216" Type="http://schemas.openxmlformats.org/officeDocument/2006/relationships/hyperlink" Target="https://www.gob.mx/cms/uploads/attachment/file/701450/informe_gn_2021_.pdf" TargetMode="External"/><Relationship Id="rId22" Type="http://schemas.openxmlformats.org/officeDocument/2006/relationships/hyperlink" Target="https://www.proceso.com.mx/nacional/2022/9/8/familia-de-heidi-mariana-nina-asesinada-en-nuevo-laredo-exige-amlo-investigacion-imparcial-293006.html" TargetMode="External"/><Relationship Id="rId43" Type="http://schemas.openxmlformats.org/officeDocument/2006/relationships/hyperlink" Target="https://www.sinembargo.mx/04-10-2022/4263509" TargetMode="External"/><Relationship Id="rId64" Type="http://schemas.openxmlformats.org/officeDocument/2006/relationships/hyperlink" Target="https://www.swissinfo.ch/spa/m%C3%A9xico-lgbt_el-presidente-de-m%C3%A9xico-condena-los-cr%C3%ADmenes-de-odio-contra-la-comunidad-lgbt/48077924" TargetMode="External"/><Relationship Id="rId118" Type="http://schemas.openxmlformats.org/officeDocument/2006/relationships/hyperlink" Target="https://latinus.us/2022/09/30/hackers-guacamaya-reivindican-ciberataque-sedena-buscan-evidenciar-excesivo-poder-militares-corrupcion/" TargetMode="External"/><Relationship Id="rId139" Type="http://schemas.openxmlformats.org/officeDocument/2006/relationships/hyperlink" Target="https://articulo19.org/jorge-luis-camero-periodista-asesinado-en-sonora/" TargetMode="External"/><Relationship Id="rId85" Type="http://schemas.openxmlformats.org/officeDocument/2006/relationships/hyperlink" Target="https://www.cndh.org.mx/web/diagnostico-nacional-de-supervision-penitenciaria" TargetMode="External"/><Relationship Id="rId150" Type="http://schemas.openxmlformats.org/officeDocument/2006/relationships/hyperlink" Target="https://www.oas.org/es/cidh/expresion/showarticle.asp?artID=1237&amp;lID=2" TargetMode="External"/><Relationship Id="rId171" Type="http://schemas.openxmlformats.org/officeDocument/2006/relationships/hyperlink" Target="https://elpais.com/mexico/2022-02-12/letal-2022-para-la-prensa-en-mexico-un-periodista-asesinado-cada-ocho-dias.html" TargetMode="External"/><Relationship Id="rId192" Type="http://schemas.openxmlformats.org/officeDocument/2006/relationships/hyperlink" Target="https://www.swissinfo.ch/spa/m%C3%A9xico-prensa_la-impunidad-da-alas-a-los-cr%C3%ADmenes-contra-los-periodistas-en-m%C3%A9xico/47078476" TargetMode="External"/><Relationship Id="rId206" Type="http://schemas.openxmlformats.org/officeDocument/2006/relationships/hyperlink" Target="https://articulo19.org/enogdai/" TargetMode="External"/><Relationship Id="rId12" Type="http://schemas.openxmlformats.org/officeDocument/2006/relationships/hyperlink" Target="https://www.oas.org/es/cidh/prensa/comunicados/2022/185PS_ResumenAudiencias.pdf" TargetMode="External"/><Relationship Id="rId33" Type="http://schemas.openxmlformats.org/officeDocument/2006/relationships/hyperlink" Target="https://versionpublicarnpdno.segob.gob.mx/Dashboard/Index" TargetMode="External"/><Relationship Id="rId108" Type="http://schemas.openxmlformats.org/officeDocument/2006/relationships/hyperlink" Target="https://www.oas.org/es/CIDH/jsForm/?File=/es/cidh/prensa/comunicados/2022/244.asp" TargetMode="External"/><Relationship Id="rId129" Type="http://schemas.openxmlformats.org/officeDocument/2006/relationships/hyperlink" Target="https://www.animalpolitico.com/2022/01/asesinan-fotoperiodista-margarito-martinez-tijuana-baja-california/" TargetMode="External"/><Relationship Id="rId54" Type="http://schemas.openxmlformats.org/officeDocument/2006/relationships/hyperlink" Target="https://www.eleconomista.com.mx/politica/Buscaban-a-un-familiar-desaparecido-fueron-asesinados-20210805-0041.html" TargetMode="External"/><Relationship Id="rId75" Type="http://schemas.openxmlformats.org/officeDocument/2006/relationships/hyperlink" Target="http://www.oas.org/es/cidh/ppl/informes/pdfs/informe-pp-2013-es.pdf" TargetMode="External"/><Relationship Id="rId96" Type="http://schemas.openxmlformats.org/officeDocument/2006/relationships/hyperlink" Target="https://www.oas.org/es/cidh/docs/anual/2020/capitulos/IA2020cap5.MX-es.pdf" TargetMode="External"/><Relationship Id="rId140" Type="http://schemas.openxmlformats.org/officeDocument/2006/relationships/hyperlink" Target="https://aristeguinoticias.com/2502/mexico/matan-al-periodista-jorge-camero-zazueta-en-sonora/" TargetMode="External"/><Relationship Id="rId161" Type="http://schemas.openxmlformats.org/officeDocument/2006/relationships/hyperlink" Target="https://cnnespanol.cnn.com/2022/08/23/fredid-roman-homicidio-periodista-mexico-guerrero-orix/" TargetMode="External"/><Relationship Id="rId182" Type="http://schemas.openxmlformats.org/officeDocument/2006/relationships/hyperlink" Target="https://www.eleconomista.com.mx/politica/Feadle-rechaza-indagar-71-de-asesinatos-de-periodistas-20211022-0010.html" TargetMode="External"/><Relationship Id="rId217" Type="http://schemas.openxmlformats.org/officeDocument/2006/relationships/hyperlink" Target="http://www.oas.org/es/cidh/expresion/informes/DerechoInformacionSeguridadNacional.pdf" TargetMode="External"/><Relationship Id="rId6" Type="http://schemas.openxmlformats.org/officeDocument/2006/relationships/hyperlink" Target="https://www.animalpolitico.com/la-lucha-cotidiana-de-los-derechos-humanos/militarizacion-discernir-la-verdad/" TargetMode="External"/><Relationship Id="rId23" Type="http://schemas.openxmlformats.org/officeDocument/2006/relationships/hyperlink" Target="https://aristeguinoticias.com/0509/mexico/asesinato-de-hedi-mariana-excepcion-a-la-regla-en-operacion-de-sedena-en-seguridad-publica-amlo/" TargetMode="External"/><Relationship Id="rId119" Type="http://schemas.openxmlformats.org/officeDocument/2006/relationships/hyperlink" Target="https://la-lista.com/derechos-humanos/2022/10/04/guacamayaleaks-el-ejercito-espia-a-periodistas-activistas-organizaciones-universidades" TargetMode="External"/><Relationship Id="rId44" Type="http://schemas.openxmlformats.org/officeDocument/2006/relationships/hyperlink" Target="https://adondevanlosdesaparecidos.org/2022/09/06/a-un-ano-de-operar-el-mecanismo-de-identificacion-forense-ha-iniciado-trabajos-en-tres-estados/" TargetMode="External"/><Relationship Id="rId65" Type="http://schemas.openxmlformats.org/officeDocument/2006/relationships/hyperlink" Target="https://www.animalpolitico.com/la-lucha-cotidiana-de-los-derechos-humanos/el-estado-lo-reconoce-persiste-la-tortura-sexual/" TargetMode="External"/><Relationship Id="rId86" Type="http://schemas.openxmlformats.org/officeDocument/2006/relationships/hyperlink" Target="https://asilegal.org.mx/comunicados/maternidad-tras-las-rejas-una-realidad-de-miles-de-mujeres-en-el-sistema-penitenciario-mexicano/" TargetMode="External"/><Relationship Id="rId130" Type="http://schemas.openxmlformats.org/officeDocument/2006/relationships/hyperlink" Target="https://www.oas.org/es/CIDH/jsForm/?File=/es/cidh/prensa/comunicados/2022/020.asp" TargetMode="External"/><Relationship Id="rId151" Type="http://schemas.openxmlformats.org/officeDocument/2006/relationships/hyperlink" Target="https://cpj.org/es/2022/05/las-periodistas-mexicanas-yessenia-mollinedo-y-johana-garcia-mueren-asesinadas-en-veracruz/" TargetMode="External"/><Relationship Id="rId172" Type="http://schemas.openxmlformats.org/officeDocument/2006/relationships/hyperlink" Target="https://www.infobae.com/america/agencias/2022/03/16/con-miedo-e-impotencia-los-periodistas-trabajan-en-mexico/" TargetMode="External"/><Relationship Id="rId193" Type="http://schemas.openxmlformats.org/officeDocument/2006/relationships/hyperlink" Target="https://latinus.us/2021/11/02/en-mexico-quedan-impunes-98-de-las-agresiones-contra-periodistas-articulo-19/" TargetMode="External"/><Relationship Id="rId207" Type="http://schemas.openxmlformats.org/officeDocument/2006/relationships/hyperlink" Target="https://articulo19.org/negacion/" TargetMode="External"/><Relationship Id="rId13" Type="http://schemas.openxmlformats.org/officeDocument/2006/relationships/hyperlink" Target="https://www.scjn.gob.mx/sites/default/files/versiones-taquigraficas/documento/2022-11-09/09112022%20PS%20P%C3%9ABLICA.pdf" TargetMode="External"/><Relationship Id="rId109" Type="http://schemas.openxmlformats.org/officeDocument/2006/relationships/hyperlink" Target="https://www.oas.org/es/CIDH/jsForm/?File=/es/cidh/prensa/comunicados/2022/114.asp" TargetMode="External"/><Relationship Id="rId34" Type="http://schemas.openxmlformats.org/officeDocument/2006/relationships/hyperlink" Target="https://www.unodc.org/documents/wdr/WDR_2009/Executive_summary_Spanish.pdf" TargetMode="External"/><Relationship Id="rId55" Type="http://schemas.openxmlformats.org/officeDocument/2006/relationships/hyperlink" Target="https://elpais.com/mexico/2022-07-22/el-asesinato-de-cecilia-monzon-inspira-una-ley-para-quitar-la-patria-potestad-a-los-feminicidas-en-puebla.html" TargetMode="External"/><Relationship Id="rId76" Type="http://schemas.openxmlformats.org/officeDocument/2006/relationships/hyperlink" Target="https://www.penitenciario.cdmx.gob.mx/comunicacion/nota/ssc-y-sedeco-firman-convenio-para-fortalecer-la-capacitacion-y-el-trabajo-penitenciario" TargetMode="External"/><Relationship Id="rId97" Type="http://schemas.openxmlformats.org/officeDocument/2006/relationships/hyperlink" Target="https://www.gob.mx/cms/uploads/attachment/file/701450/informe_gn_2021_.pdf" TargetMode="External"/><Relationship Id="rId120" Type="http://schemas.openxmlformats.org/officeDocument/2006/relationships/hyperlink" Target="https://nortedigital.mx/ejercito-ubica-a-15-grupos-feministas-y-hasta-a-mon-laferte-guacamaya-leaks/" TargetMode="External"/><Relationship Id="rId141" Type="http://schemas.openxmlformats.org/officeDocument/2006/relationships/hyperlink" Target="https://cpj.org/es/2022/03/asesinan-a-tiros-al-periodista-mexicano-juan-carlos-muniz-en-zacatecas/" TargetMode="External"/><Relationship Id="rId7" Type="http://schemas.openxmlformats.org/officeDocument/2006/relationships/hyperlink" Target="https://www.oas.org/es/CIDH/jsForm/?File=/es/cidh/prensa/comunicados/2022/201.asp" TargetMode="External"/><Relationship Id="rId162" Type="http://schemas.openxmlformats.org/officeDocument/2006/relationships/hyperlink" Target="https://cpj.org/es/2022/09/pistoleros-amenazan-al-reportero-mexicano-rodrigo-bustillos-en-tehuacan/" TargetMode="External"/><Relationship Id="rId183" Type="http://schemas.openxmlformats.org/officeDocument/2006/relationships/hyperlink" Target="https://www.animalpolitico.com/2021/09/presupuesto-fiscalias-torturas-ataques-periodistas-2022/" TargetMode="External"/><Relationship Id="rId24" Type="http://schemas.openxmlformats.org/officeDocument/2006/relationships/hyperlink" Target="https://aristeguinoticias.com/0509/mexico/asesinato-de-hedi-mariana-excepcion-a-la-regla-en-operacion-de-sedena-en-seguridad-publica-amlo" TargetMode="External"/><Relationship Id="rId45" Type="http://schemas.openxmlformats.org/officeDocument/2006/relationships/hyperlink" Target="https://mexico.un.org/es/181653-la-onu-dh-saluda-la-creacion-del-centro-nacional-de-identificacion-humana-como-parte-de-la" TargetMode="External"/><Relationship Id="rId66" Type="http://schemas.openxmlformats.org/officeDocument/2006/relationships/hyperlink" Target="http://ymlp.com/zfv8H0" TargetMode="External"/><Relationship Id="rId87" Type="http://schemas.openxmlformats.org/officeDocument/2006/relationships/hyperlink" Target="https://www.cndh.org.mx/web/diagnostico-nacional-de-supervision-penitenciaria" TargetMode="External"/><Relationship Id="rId110" Type="http://schemas.openxmlformats.org/officeDocument/2006/relationships/hyperlink" Target="https://www.youtube.com/watch?v=Wchwxr0D37M" TargetMode="External"/><Relationship Id="rId131" Type="http://schemas.openxmlformats.org/officeDocument/2006/relationships/hyperlink" Target="https://cpj.org/es/2022/01/continua-la-violencia-lourdes-maldonado-es-la-tercera-periodista-que-muere-asesinada-en-mexico-en-menos-de-un-mes/" TargetMode="External"/><Relationship Id="rId152" Type="http://schemas.openxmlformats.org/officeDocument/2006/relationships/hyperlink" Target="https://cpj.org/es/2022/05/las-periodistas-mexicanas-yessenia-mollinedo-y-johana-garcia-mueren-asesinadas-en-veracruz/" TargetMode="External"/><Relationship Id="rId173" Type="http://schemas.openxmlformats.org/officeDocument/2006/relationships/hyperlink" Target="https://www.animalpolitico.com/2021/08/2021-agresiones-periodistas-mexico-libertad-expresion-asesinato/" TargetMode="External"/><Relationship Id="rId194" Type="http://schemas.openxmlformats.org/officeDocument/2006/relationships/hyperlink" Target="https://cpj.org/es/reports/2022/11/la-impunidad-por-el-asesinato-de-periodistas-la-gran-mayoria-de-los-asesinos-de-periodistas-andan-libres/" TargetMode="External"/><Relationship Id="rId208" Type="http://schemas.openxmlformats.org/officeDocument/2006/relationships/hyperlink" Target="https://www.onu.org.mx/onu-dh-saluda-la-orden-a-la-guardia-nacional-de-hacer-publicos-sus-informes-sobre-uso-de-la-fuerza/" TargetMode="External"/><Relationship Id="rId14" Type="http://schemas.openxmlformats.org/officeDocument/2006/relationships/hyperlink" Target="https://www.diputados.gob.mx/LeyesBiblio/pdf/LNUF.pdf" TargetMode="External"/><Relationship Id="rId30" Type="http://schemas.openxmlformats.org/officeDocument/2006/relationships/hyperlink" Target="http://cedoc.inmujeres.gob.mx/Boletines.php" TargetMode="External"/><Relationship Id="rId35" Type="http://schemas.openxmlformats.org/officeDocument/2006/relationships/hyperlink" Target="https://centroprodh.org.mx/2022/01/05/poder-judicial-revisara-incumplimiento-de-fgr-ante-el-rezago-forense/" TargetMode="External"/><Relationship Id="rId56" Type="http://schemas.openxmlformats.org/officeDocument/2006/relationships/hyperlink" Target="https://www.semana.com/mundo/articulo/asesinan-a-un-juez-en-mexico-y-el-poder-judicial-del-pais-promete-responder-contundentemente/202219/" TargetMode="External"/><Relationship Id="rId77" Type="http://schemas.openxmlformats.org/officeDocument/2006/relationships/hyperlink" Target="https://www.oas.org/ext/es/derechos-humanos/simore/Recomendaciones/Detalles/rid/402" TargetMode="External"/><Relationship Id="rId100" Type="http://schemas.openxmlformats.org/officeDocument/2006/relationships/hyperlink" Target="https://www.jornada.com.mx/notas/2022/03/18/estados/llega-a-nuevo-leon-despliegue-militar-para-zona-fronteriza/" TargetMode="External"/><Relationship Id="rId105" Type="http://schemas.openxmlformats.org/officeDocument/2006/relationships/hyperlink" Target="https://www.oas.org/es/cidh/prensa/comunicados/2019/100.asp" TargetMode="External"/><Relationship Id="rId126" Type="http://schemas.openxmlformats.org/officeDocument/2006/relationships/hyperlink" Target="https://www.animalpolitico.com/2022/01/matan-periodista-jose-luis-gamboa-veracruz/" TargetMode="External"/><Relationship Id="rId147" Type="http://schemas.openxmlformats.org/officeDocument/2006/relationships/hyperlink" Target="https://www.oas.org/es/cidh/expresion/showarticle.asp?artID=1237&amp;lID=2" TargetMode="External"/><Relationship Id="rId168" Type="http://schemas.openxmlformats.org/officeDocument/2006/relationships/hyperlink" Target="https://www.jornada.com.mx/notas/2022/07/17/estados/atacan-a-balazos-a-periodista-ruben-haro-en-cajeme-sonora/" TargetMode="External"/><Relationship Id="rId8" Type="http://schemas.openxmlformats.org/officeDocument/2006/relationships/hyperlink" Target="https://www.canaldelcongreso.gob.mx/noticias/15965/Avalan_ampliar_periodo_de_las_Fuerzas_Armadas_en_tareas_de_seguridad_pblica_hasta_2028" TargetMode="External"/><Relationship Id="rId51" Type="http://schemas.openxmlformats.org/officeDocument/2006/relationships/hyperlink" Target="https://www.proceso.com.mx/nacional/estados/2022/7/29/atacan-colectivo-mientras-buscaban-desaparecidos-en-rioverde-slp-290581.html" TargetMode="External"/><Relationship Id="rId72" Type="http://schemas.openxmlformats.org/officeDocument/2006/relationships/hyperlink" Target="http://www.oas.org/es/cidh/informes/pdfs/PrisionPreventiva.pdf" TargetMode="External"/><Relationship Id="rId93" Type="http://schemas.openxmlformats.org/officeDocument/2006/relationships/hyperlink" Target="https://www.gob.mx/cms/uploads/attachment/file/762382/CE_2022_08.pdf" TargetMode="External"/><Relationship Id="rId98" Type="http://schemas.openxmlformats.org/officeDocument/2006/relationships/hyperlink" Target="https://www.gob.mx/cms/uploads/attachment/file/701450/informe_gn_2021_.pdf" TargetMode="External"/><Relationship Id="rId121" Type="http://schemas.openxmlformats.org/officeDocument/2006/relationships/hyperlink" Target="https://www.publimetro.com.mx/nacional/2022/10/03/hackeo-sedena-ejercito-sigue-actividades-del-ezln-feministas-y-organizaciones-sociales/" TargetMode="External"/><Relationship Id="rId142" Type="http://schemas.openxmlformats.org/officeDocument/2006/relationships/hyperlink" Target="https://elpais.com/mexico/2022-03-04/asesinado-el-periodista-juan-carlos-muniz-el-septimo-crimen-contra-la-prensa-en-mexico-este-ano.html" TargetMode="External"/><Relationship Id="rId163" Type="http://schemas.openxmlformats.org/officeDocument/2006/relationships/hyperlink" Target="https://www.animalpolitico.com/2022/01/jose-ignacio-periodista-zapoteco-atacado-oaxaca/" TargetMode="External"/><Relationship Id="rId184" Type="http://schemas.openxmlformats.org/officeDocument/2006/relationships/hyperlink" Target="https://latamjournalismreview.org/es/articles/en-mexico-la-fiscalia-especial-para-la-atencion-de-delitos-cometidos-contra-la-libertad-de-expresion-tiene-larga-historia-pero-pocos-resultados/" TargetMode="External"/><Relationship Id="rId189" Type="http://schemas.openxmlformats.org/officeDocument/2006/relationships/hyperlink" Target="https://cpj.org/es/reports/2022/11/la-impunidad-por-el-asesinato-de-periodistas-la-gran-mayoria-de-los-asesinos-de-periodistas-andan-libres/" TargetMode="External"/><Relationship Id="rId3" Type="http://schemas.openxmlformats.org/officeDocument/2006/relationships/hyperlink" Target="https://comunicacionsocial.diputados.gob.mx/index.php/boletines/en-lo-general-y-en-lo-particular-la-camara-de-diputados-aprobo-reformas-en-materia-de-guardia-nacional" TargetMode="External"/><Relationship Id="rId214" Type="http://schemas.openxmlformats.org/officeDocument/2006/relationships/hyperlink" Target="https://www.gob.mx/cms/uploads/attachment/file/701450/informe_gn_2021_.pdf" TargetMode="External"/><Relationship Id="rId25" Type="http://schemas.openxmlformats.org/officeDocument/2006/relationships/hyperlink" Target="https://aristeguinoticias.com/0509/mexico/asesinato-de-hedi-mariana-excepcion-a-la-regla-en-operacion-de-sedena-en-seguridad-publica-amlo/" TargetMode="External"/><Relationship Id="rId46" Type="http://schemas.openxmlformats.org/officeDocument/2006/relationships/hyperlink" Target="https://www.animalpolitico.com/la-lucha-cotidiana-de-los-derechos-humanos/frente-a-la-crisis-forense-identificacionya/" TargetMode="External"/><Relationship Id="rId67" Type="http://schemas.openxmlformats.org/officeDocument/2006/relationships/hyperlink" Target="https://centroprodh.org.mx/2021/09/19/fiscalia-del-estado-de-mexico-debera-remitir-a-fgr-la-investigacion-del-caso-mujeres-de-atenco/" TargetMode="External"/><Relationship Id="rId116" Type="http://schemas.openxmlformats.org/officeDocument/2006/relationships/hyperlink" Target="https://latinus.us/2022/09/29/loret-capitulo-96/" TargetMode="External"/><Relationship Id="rId137" Type="http://schemas.openxmlformats.org/officeDocument/2006/relationships/hyperlink" Target="https://www.eluniversal.com.mx/estados/periodistas-asesinados-matan-al-periodista-heber-lopez-en-su-estudio-de-grabacion-en-oaxaca" TargetMode="External"/><Relationship Id="rId158" Type="http://schemas.openxmlformats.org/officeDocument/2006/relationships/hyperlink" Target="https://www.dw.com/es/asesinan-a-periodista-n%C3%BAmero-13-en-m%C3%A9xico-en-2022/a-62701041" TargetMode="External"/><Relationship Id="rId20" Type="http://schemas.openxmlformats.org/officeDocument/2006/relationships/hyperlink" Target="https://centroprodh.org.mx/sididh_2_0_alfa/?p=69805" TargetMode="External"/><Relationship Id="rId41" Type="http://schemas.openxmlformats.org/officeDocument/2006/relationships/hyperlink" Target="http://www.cmdpdh.org/publicaciones-pdf/cmdpdh-arraigo-2019.pdf." TargetMode="External"/><Relationship Id="rId62" Type="http://schemas.openxmlformats.org/officeDocument/2006/relationships/hyperlink" Target="https://www.mexicoevalua.org/mexicoevalua/wp-content/uploads/2022/10/hallazgos2021resumen-ejecutivo-vf.pdf" TargetMode="External"/><Relationship Id="rId83" Type="http://schemas.openxmlformats.org/officeDocument/2006/relationships/hyperlink" Target="https://www.oas.org/es/cidh/docs/anual/2021/capitulos/IA2021cap5.MX-es.pdf" TargetMode="External"/><Relationship Id="rId88" Type="http://schemas.openxmlformats.org/officeDocument/2006/relationships/hyperlink" Target="https://www.cndh.org.mx/web/diagnostico-nacional-de-supervision-penitenciaria" TargetMode="External"/><Relationship Id="rId111" Type="http://schemas.openxmlformats.org/officeDocument/2006/relationships/hyperlink" Target="https://www.forbes.com.mx/noticias-mexico-reconoce-impunidad-en-90-de-agresiones-contra-periodistas-y-defensores/" TargetMode="External"/><Relationship Id="rId132" Type="http://schemas.openxmlformats.org/officeDocument/2006/relationships/hyperlink" Target="https://www.cbsnews.com/news/lourdes-maldonado-journalist-killed-mexico/" TargetMode="External"/><Relationship Id="rId153" Type="http://schemas.openxmlformats.org/officeDocument/2006/relationships/hyperlink" Target="https://www.bbc.com/mundo/noticias-america-latina-61388996" TargetMode="External"/><Relationship Id="rId174" Type="http://schemas.openxmlformats.org/officeDocument/2006/relationships/hyperlink" Target="https://www.oas.org/es/cidh/expresion/showarticle.asp?artID=1230&amp;lID=2" TargetMode="External"/><Relationship Id="rId179" Type="http://schemas.openxmlformats.org/officeDocument/2006/relationships/hyperlink" Target="https://www.oas.org/es/cidh/expresion/docs/informes/Etica/ETICA%20EN%20LOS%20MEDIOS%20DE%20DIFUSION.pdf" TargetMode="External"/><Relationship Id="rId195" Type="http://schemas.openxmlformats.org/officeDocument/2006/relationships/hyperlink" Target="https://www.oas.org/es/cidh/docs/anual/2021/capitulos/IA2021cap5.MX-es.pdf" TargetMode="External"/><Relationship Id="rId209" Type="http://schemas.openxmlformats.org/officeDocument/2006/relationships/hyperlink" Target="https://www.animalpolitico.com/2021/10/guardia-nacional-datos-uso-fuerza-armamento/" TargetMode="External"/><Relationship Id="rId190" Type="http://schemas.openxmlformats.org/officeDocument/2006/relationships/hyperlink" Target="https://latamjournalismreview.org/es/articles/en-mexico-la-fiscalia-especial-para-la-atencion-de-delitos-cometidos-contra-la-libertad-de-expresion-tiene-larga-historia-pero-pocos-resultados/" TargetMode="External"/><Relationship Id="rId204" Type="http://schemas.openxmlformats.org/officeDocument/2006/relationships/hyperlink" Target="https://www.hrw.org/es/news/2021/01/28/mexico-la-transparencia-y-la-privacidad-amenazadas" TargetMode="External"/><Relationship Id="rId15" Type="http://schemas.openxmlformats.org/officeDocument/2006/relationships/hyperlink" Target="https://www.animalpolitico.com/la-lucha-cotidiana-de-los-derechos-humanos/angel-yael-el-impacto-de-la-militarizacion/" TargetMode="External"/><Relationship Id="rId36" Type="http://schemas.openxmlformats.org/officeDocument/2006/relationships/hyperlink" Target="https://centroprodh.org.mx/2022/10/20/ordena-juez-a-fgr-implementar-el-banco-nacional-de-datos-forenses-en-40-dias/" TargetMode="External"/><Relationship Id="rId57" Type="http://schemas.openxmlformats.org/officeDocument/2006/relationships/hyperlink" Target="https://www.gob.mx/segob/prensa/inician-formalmente-trabajos-de-comision-por-violaciones-graves-a-derechos-humanos-durante-guerra-sucia?idiom=es" TargetMode="External"/><Relationship Id="rId106" Type="http://schemas.openxmlformats.org/officeDocument/2006/relationships/hyperlink" Target="https://www.gob.mx/segob/prensa/inicia-gobernacion-dialogos-rumbo-a-una-nueva-ley-general-para-personas-%20defensoras-de-derechos-humanos-y-periodistas" TargetMode="External"/><Relationship Id="rId127" Type="http://schemas.openxmlformats.org/officeDocument/2006/relationships/hyperlink" Target="https://cpj.org/es/2022/01/matan-a-disparos-al-fotoperiodista-mexicano-margarito-martinez-en-tijuana/" TargetMode="External"/><Relationship Id="rId10" Type="http://schemas.openxmlformats.org/officeDocument/2006/relationships/hyperlink" Target="https://www.hchr.org.mx/images/doc_pub/SRHRD-END-OF-MISSION-STATEMENT-FINAL_ESP.pdf." TargetMode="External"/><Relationship Id="rId31" Type="http://schemas.openxmlformats.org/officeDocument/2006/relationships/hyperlink" Target="http://www.politicamigratoria.gob.mx/es/PoliticaMigratoria/Delitos_Perpetrados" TargetMode="External"/><Relationship Id="rId52" Type="http://schemas.openxmlformats.org/officeDocument/2006/relationships/hyperlink" Target="https://noticias.imer.mx/blog/las-madres-y-padres-asesinados-en-la-busqueda-de-sus-desaparecidos/" TargetMode="External"/><Relationship Id="rId73" Type="http://schemas.openxmlformats.org/officeDocument/2006/relationships/hyperlink" Target="http://www.oas.org/es/cidh/informes/pdfs/prisionpreventiva.pdf" TargetMode="External"/><Relationship Id="rId78" Type="http://schemas.openxmlformats.org/officeDocument/2006/relationships/hyperlink" Target="https://www.cndh.org.mx/sites/default/files/documentos/2022-04/DNSP_2021.pdf" TargetMode="External"/><Relationship Id="rId94" Type="http://schemas.openxmlformats.org/officeDocument/2006/relationships/hyperlink" Target="https://justicia.segob.gob.mx/es/UASJ/Ley_de_Amnistia" TargetMode="External"/><Relationship Id="rId99" Type="http://schemas.openxmlformats.org/officeDocument/2006/relationships/hyperlink" Target="https://www.gob.mx/cms/uploads/attachment/file/701450/informe_gn_2021_.pdf" TargetMode="External"/><Relationship Id="rId101" Type="http://schemas.openxmlformats.org/officeDocument/2006/relationships/hyperlink" Target="https://www.animalpolitico.com/2022/10/sedena-leaks-gobierno-militares-detencion-migrantes/" TargetMode="External"/><Relationship Id="rId122" Type="http://schemas.openxmlformats.org/officeDocument/2006/relationships/hyperlink" Target="https://www.lajornadamaya.mx/nacional/204719/ganamos-el-premio-de-la-paz-y-la-sedena-nos-criminaliza-hector-cerezo-" TargetMode="External"/><Relationship Id="rId143" Type="http://schemas.openxmlformats.org/officeDocument/2006/relationships/hyperlink" Target="https://www.eluniversal.com.mx/estados/asesinan-juan-carlos-muniz-reportero-de-testigo-minero-en-fresnillo-zacatecas" TargetMode="External"/><Relationship Id="rId148" Type="http://schemas.openxmlformats.org/officeDocument/2006/relationships/hyperlink" Target="https://cpj.org/es/2022/05/el-periodista-mexicano-luis-enrique-ramirez-es-hallado-sin-vida-en-culiacan/" TargetMode="External"/><Relationship Id="rId164" Type="http://schemas.openxmlformats.org/officeDocument/2006/relationships/hyperlink" Target="https://elpais.com/mexico/2022-01-27/atacado-a-balazos-un-periodista-en-oaxaca-en-mexico-en-cualquier-momento-te-puede-acallar-la-delincuencia-o-la-autoridad.html" TargetMode="External"/><Relationship Id="rId169" Type="http://schemas.openxmlformats.org/officeDocument/2006/relationships/hyperlink" Target="https://articulo19.org/informe-semestral-2022/" TargetMode="External"/><Relationship Id="rId185" Type="http://schemas.openxmlformats.org/officeDocument/2006/relationships/hyperlink" Target="https://www.animalpolitico.com/2021/09/presupuesto-fiscalias-torturas-ataques-periodistas-2022/" TargetMode="External"/><Relationship Id="rId4" Type="http://schemas.openxmlformats.org/officeDocument/2006/relationships/hyperlink" Target="https://comunicacionsocial.senado.gob.mx/informacion/comunicados/3606-senado-aprueba-reformas-a-la-guardia-nacional-turna-el-dictamen-al-ejecutivo-federal" TargetMode="External"/><Relationship Id="rId9" Type="http://schemas.openxmlformats.org/officeDocument/2006/relationships/hyperlink" Target="https://www.wola.org/es/analisis/mexico-profundiza-militarizacion-hechos-muestran-estrategia-fallida/" TargetMode="External"/><Relationship Id="rId180" Type="http://schemas.openxmlformats.org/officeDocument/2006/relationships/hyperlink" Target="https://www.gob.mx/fgr/documentos/conoce-a-la-fiscalia-especial-para-la-atencion-de-delitos-cometidos-contra-la-libertad-de-expresion" TargetMode="External"/><Relationship Id="rId210" Type="http://schemas.openxmlformats.org/officeDocument/2006/relationships/hyperlink" Target="https://www.gob.mx/cms/uploads/attachment/file/668215/Informe_Actividades_2020.pdf" TargetMode="External"/><Relationship Id="rId215" Type="http://schemas.openxmlformats.org/officeDocument/2006/relationships/hyperlink" Target="https://www.gob.mx/cms/uploads/attachment/file/701450/informe_gn_2021_.pdf" TargetMode="External"/><Relationship Id="rId26" Type="http://schemas.openxmlformats.org/officeDocument/2006/relationships/hyperlink" Target="https://www.oas.org/es/cidh/docs/anual/2020/capitulos/IA2020cap5.MX-es.pdf" TargetMode="External"/><Relationship Id="rId47" Type="http://schemas.openxmlformats.org/officeDocument/2006/relationships/hyperlink" Target="https://www.animalpolitico.com/2022/04/crisis-forense-120-anos-para-identificar-52-cuerpos-o-mas/" TargetMode="External"/><Relationship Id="rId68" Type="http://schemas.openxmlformats.org/officeDocument/2006/relationships/hyperlink" Target="https://centroprodh.org.mx/2022/06/27/reconoce-segob-la-existencia-de-tortura-sexual-como-una-practica-persistente-contra-mujeres/" TargetMode="External"/><Relationship Id="rId89" Type="http://schemas.openxmlformats.org/officeDocument/2006/relationships/hyperlink" Target="https://www.oas.org/ext/es/derechos-humanos/simore/Recomendaciones/Detalles/rid/403" TargetMode="External"/><Relationship Id="rId112" Type="http://schemas.openxmlformats.org/officeDocument/2006/relationships/hyperlink" Target="https://www.jornada.com.mx/notas/2022/01/27/politica/no-se-minimizaran-agresiones-a-periodistas-dice-alejandro-encinas/" TargetMode="External"/><Relationship Id="rId133" Type="http://schemas.openxmlformats.org/officeDocument/2006/relationships/hyperlink" Target="https://www.jornada.com.mx/notas/2022/01/23/estados/asesinan-en-tijuana-a-la-periodista-lourdes-maldonado/" TargetMode="External"/><Relationship Id="rId154" Type="http://schemas.openxmlformats.org/officeDocument/2006/relationships/hyperlink" Target="https://www.oas.org/es/cidh/expresion/showarticle.asp?artID=1244&amp;lID=2" TargetMode="External"/><Relationship Id="rId175" Type="http://schemas.openxmlformats.org/officeDocument/2006/relationships/hyperlink" Target="https://www.oas.org/es/cidh/expresion/showarticle.asp?artID=1230&amp;lID=2" TargetMode="External"/><Relationship Id="rId196" Type="http://schemas.openxmlformats.org/officeDocument/2006/relationships/hyperlink" Target="https://articulo19.org/negacion/" TargetMode="External"/><Relationship Id="rId200" Type="http://schemas.openxmlformats.org/officeDocument/2006/relationships/hyperlink" Target="https://m-x.com.mx/investigaciones/con-amlo-se-disparan-las-negativas-a-dar-informacion-por-estar-reservada-o-clasificada" TargetMode="External"/><Relationship Id="rId16" Type="http://schemas.openxmlformats.org/officeDocument/2006/relationships/hyperlink" Target="https://politica.expansion.mx/presidencia/2022/05/02/las-polemicas-de-la-guardia-nacional-entre-agresiones-y-violaciones-a-dh" TargetMode="External"/><Relationship Id="rId37" Type="http://schemas.openxmlformats.org/officeDocument/2006/relationships/hyperlink" Target="https://movndmx.org/wp-content/uploads/2021/08/Informe-La-Crisis-Forense-en-M&#233;xico.pdf" TargetMode="External"/><Relationship Id="rId58" Type="http://schemas.openxmlformats.org/officeDocument/2006/relationships/hyperlink" Target="https://youtu.be/BBYRDMm2H50?t=850%20%20https://youtu.be/BBYRDMm2H50?t=2278" TargetMode="External"/><Relationship Id="rId79" Type="http://schemas.openxmlformats.org/officeDocument/2006/relationships/hyperlink" Target="https://www.inegi.org.mx/contenidos/programas/enpol/2021/doc/enpol2021_presentacion_nacional.pdf" TargetMode="External"/><Relationship Id="rId102" Type="http://schemas.openxmlformats.org/officeDocument/2006/relationships/hyperlink" Target="http://transparencia.sedena.gob.mx/pdf/Informe_de_Labores_2019-2024/4o_Informe_de_Labores_2019-2024.pdf" TargetMode="External"/><Relationship Id="rId123" Type="http://schemas.openxmlformats.org/officeDocument/2006/relationships/hyperlink" Target="https://pulsoslp.com.mx/slp/colectivos-feministas-de-slp-han-sido-vigilados-por-la-sedena-revela-filtracion-de-guacamaya-leaks/1554621" TargetMode="External"/><Relationship Id="rId144" Type="http://schemas.openxmlformats.org/officeDocument/2006/relationships/hyperlink" Target="https://cpj.org/es/2022/03/asesinan-a-disparos-al-periodista-mexicano-armando-linares-en-zitacuaro/" TargetMode="External"/><Relationship Id="rId90" Type="http://schemas.openxmlformats.org/officeDocument/2006/relationships/hyperlink" Target="https://www.oas.org/ext/es/derechos-humanos/simore/Recomendaciones/Detalles/rid/403" TargetMode="External"/><Relationship Id="rId165" Type="http://schemas.openxmlformats.org/officeDocument/2006/relationships/hyperlink" Target="https://cpj.org/es/2022/07/la-periodista-mexicana-susana-carreno-resulta-herida-de-gravedad-cuando-la-atacan-con-un-cuchillo-en-puerto-vallarta/" TargetMode="External"/><Relationship Id="rId186" Type="http://schemas.openxmlformats.org/officeDocument/2006/relationships/hyperlink" Target="https://www.elfinanciero.com.mx/nacional/2022/01/26/caso-lourdes-maldonado-93-de-crimenes-contra-periodistas-quedan-impunes/" TargetMode="External"/><Relationship Id="rId211" Type="http://schemas.openxmlformats.org/officeDocument/2006/relationships/hyperlink" Target="https://www.gob.mx/cms/uploads/attachment/file/701450/informe_gn_2021_.pdf" TargetMode="External"/><Relationship Id="rId27" Type="http://schemas.openxmlformats.org/officeDocument/2006/relationships/hyperlink" Target="https://www.oas.org/es/cidh/docs/anual/2021/capitulos/IA2021cap5.MX-es.pdf" TargetMode="External"/><Relationship Id="rId48" Type="http://schemas.openxmlformats.org/officeDocument/2006/relationships/hyperlink" Target="https://www2.scjn.gob.mx/ConsultaTematica/PaginasPub/DetallePub.aspx?AsuntoID=179863" TargetMode="External"/><Relationship Id="rId69" Type="http://schemas.openxmlformats.org/officeDocument/2006/relationships/hyperlink" Target="https://www.oas.org/es/cidh/informes/pdfs/violencia-discriminacion-mujeres-anexo1-es.pdf" TargetMode="External"/><Relationship Id="rId113" Type="http://schemas.openxmlformats.org/officeDocument/2006/relationships/hyperlink" Target="https://articulo19.org/periodistasasesinados/" TargetMode="External"/><Relationship Id="rId134" Type="http://schemas.openxmlformats.org/officeDocument/2006/relationships/hyperlink" Target="https://cpj.org/es/2022/02/roberto-toledo-es-el-cuarto-periodista-mexicano-asesinado-en-menos-de-cuatro-semanas/" TargetMode="External"/><Relationship Id="rId80" Type="http://schemas.openxmlformats.org/officeDocument/2006/relationships/hyperlink" Target="https://www.gob.mx/cms/uploads/attachment/file/679288/CE_2021_09.pdf" TargetMode="External"/><Relationship Id="rId155" Type="http://schemas.openxmlformats.org/officeDocument/2006/relationships/hyperlink" Target="https://cpj.org/es/2022/07/asesinan-a-disparos-al-periodista-mexicano-antonio-de-la-cruz-en-ciudad-victoria/" TargetMode="External"/><Relationship Id="rId176" Type="http://schemas.openxmlformats.org/officeDocument/2006/relationships/hyperlink" Target="http://www.oas.org/es/cidh/expresion/docs/publicaciones/zonas_silenciadas_esp.pdf" TargetMode="External"/><Relationship Id="rId197" Type="http://schemas.openxmlformats.org/officeDocument/2006/relationships/hyperlink" Target="https://www.eleconomista.com.mx/politica/Niega-Presidencia-tener-datos-sobre-eventos-que-organiza-20220218-0003.html" TargetMode="External"/><Relationship Id="rId201" Type="http://schemas.openxmlformats.org/officeDocument/2006/relationships/hyperlink" Target="https://articulo19.org/enogdai/" TargetMode="External"/><Relationship Id="rId17" Type="http://schemas.openxmlformats.org/officeDocument/2006/relationships/hyperlink" Target="https://www.oas.org/es/cidh/docs/anual/2019/indice.asp" TargetMode="External"/><Relationship Id="rId38" Type="http://schemas.openxmlformats.org/officeDocument/2006/relationships/hyperlink" Target="https://www.facebook.com/watch/live/?ref=watch_permalink&amp;v=1081983472572564" TargetMode="External"/><Relationship Id="rId59" Type="http://schemas.openxmlformats.org/officeDocument/2006/relationships/hyperlink" Target="https://www.animalpolitico.com/la-lucha-cotidiana-de-los-derechos-humanos/echeverria-y-la-deuda-con-la-guerra-sucia/" TargetMode="External"/><Relationship Id="rId103" Type="http://schemas.openxmlformats.org/officeDocument/2006/relationships/hyperlink" Target="https://transparencia.semar.gob.mx/informes_labores/4TO_INF_LAB_SEMAR_2021-2022.pdf.pdf" TargetMode="External"/><Relationship Id="rId124" Type="http://schemas.openxmlformats.org/officeDocument/2006/relationships/hyperlink" Target="https://cpj.org/es/2022/01/matan-a-punaladas-al-periodista-mexicano-jose-luis-gamboa-en-veracruz/" TargetMode="External"/><Relationship Id="rId70" Type="http://schemas.openxmlformats.org/officeDocument/2006/relationships/hyperlink" Target="https://www.gob.mx/semarnat/acciones-y-programas/el-acuerdo-de-escazu" TargetMode="External"/><Relationship Id="rId91" Type="http://schemas.openxmlformats.org/officeDocument/2006/relationships/hyperlink" Target="https://www.oas.org/ext/es/derechos-humanos/simore/Recomendaciones/Detalles/rid/403" TargetMode="External"/><Relationship Id="rId145" Type="http://schemas.openxmlformats.org/officeDocument/2006/relationships/hyperlink" Target="https://aristeguinoticias.com/1503/mexico/asesinan-al-periodista-armando-linares-en-zitacuaro-michoacan/" TargetMode="External"/><Relationship Id="rId166" Type="http://schemas.openxmlformats.org/officeDocument/2006/relationships/hyperlink" Target="https://www.animalpolitico.com/2022/07/periodista-susana-carreno-hieren-puerto-vallarta-jalisco/" TargetMode="External"/><Relationship Id="rId187" Type="http://schemas.openxmlformats.org/officeDocument/2006/relationships/hyperlink" Target="https://www.eleconomista.com.mx/politica/Feadle-rechaza-indagar-71-de-asesinatos-de-periodistas-20211022-0010.html" TargetMode="External"/><Relationship Id="rId1" Type="http://schemas.openxmlformats.org/officeDocument/2006/relationships/hyperlink" Target="https://www.oas.org/es/CIDH/docs/anual/2022/obs/IA2022_C_5_Mexico_ObservacionesEstado.docx" TargetMode="External"/><Relationship Id="rId212" Type="http://schemas.openxmlformats.org/officeDocument/2006/relationships/hyperlink" Target="https://www.gob.mx/cms/uploads/attachment/file/701450/informe_gn_2021_.pdf" TargetMode="External"/><Relationship Id="rId28" Type="http://schemas.openxmlformats.org/officeDocument/2006/relationships/hyperlink" Target="https://latinus.us/2022/10/06/correos-sedena-presidente-cndh-negocio-recomendacion-caso-tlatlaya-cambio-apoyo-ministro-scjn/" TargetMode="External"/><Relationship Id="rId49" Type="http://schemas.openxmlformats.org/officeDocument/2006/relationships/hyperlink" Target="https://im-defensoras.org/2022/07/alerta-defensoras-mexico-asesinan-a-la-defensora-brenda-jazmin-beltran-del-colectivo-guerreras-buscadoras-de-cajeme-sonora/" TargetMode="External"/><Relationship Id="rId114" Type="http://schemas.openxmlformats.org/officeDocument/2006/relationships/hyperlink" Target="https://articulo19.org/wp-content/uploads/2021/05/INFORME-LEYES-DEL-SILENCIO.pdf" TargetMode="External"/><Relationship Id="rId60" Type="http://schemas.openxmlformats.org/officeDocument/2006/relationships/hyperlink" Target="http://www.oas.org/es/cidh/informes/pdfs/Derecho-Verdad-es.pdf" TargetMode="External"/><Relationship Id="rId81" Type="http://schemas.openxmlformats.org/officeDocument/2006/relationships/hyperlink" Target="https://www.gob.mx/cms/uploads/attachment/file/762382/CE_2022_08.pdf" TargetMode="External"/><Relationship Id="rId135" Type="http://schemas.openxmlformats.org/officeDocument/2006/relationships/hyperlink" Target="https://elpais.com/mexico/2022-01-31/asesinado-el-periodista-roberto-toledo-en-michoacan-el-cuarto-crimen-contra-la-prensa-en-un-mes-en-mexico.html" TargetMode="External"/><Relationship Id="rId156" Type="http://schemas.openxmlformats.org/officeDocument/2006/relationships/hyperlink" Target="https://www.animalpolitico.com/2022/06/antonio-de-la-cruz-duodecimo-periodista-asesinado-en-el-sexenio-de-amlo/" TargetMode="External"/><Relationship Id="rId177" Type="http://schemas.openxmlformats.org/officeDocument/2006/relationships/hyperlink" Target="http://www.oas.org/es/cidh/expresion/docs/publicaciones/zonas_silenciadas_esp.pdf" TargetMode="External"/><Relationship Id="rId198" Type="http://schemas.openxmlformats.org/officeDocument/2006/relationships/hyperlink" Target="https://www.washingtonpost.com/es/post-opinion/2022/03/16/inai-amlo-ataques-transparencia-informacion/" TargetMode="External"/><Relationship Id="rId202" Type="http://schemas.openxmlformats.org/officeDocument/2006/relationships/hyperlink" Target="https://www.eleconomista.com.mx/politica/Niega-Presidencia-tener-datos-sobre-eventos-que-organiza-20220218-0003.html" TargetMode="External"/><Relationship Id="rId18" Type="http://schemas.openxmlformats.org/officeDocument/2006/relationships/hyperlink" Target="https://www.oas.org/es/cidh/docs/anual/2020/capitulos/IA2020cap5.MX-es.pdf" TargetMode="External"/><Relationship Id="rId39" Type="http://schemas.openxmlformats.org/officeDocument/2006/relationships/hyperlink" Target="https://www.oas.org/es/cidh/giei/ayotzinapa/mesa/docs/Informe_MESA_2022.pdf" TargetMode="External"/><Relationship Id="rId50" Type="http://schemas.openxmlformats.org/officeDocument/2006/relationships/hyperlink" Target="https://elpais.com/mexico/2022-08-31/asesinada-una-madre-buscadora-al-salir-de-una-misa-en-honor-a-su-hijo-desaparecido-en-sinaloa.html" TargetMode="External"/><Relationship Id="rId104" Type="http://schemas.openxmlformats.org/officeDocument/2006/relationships/hyperlink" Target="https://www.proceso.com.mx/reportajes/2022/10/5/mexico-rompe-record-en-detencion-de-migrantes-el-control-de-la-migracion-tambien-se-militariza-294595.html" TargetMode="External"/><Relationship Id="rId125" Type="http://schemas.openxmlformats.org/officeDocument/2006/relationships/hyperlink" Target="https://lasillarota.com/veracruz/local/2022/1/15/asesinan-comunicador-en-colonia-del-puerto-de-veracruz-312692.html" TargetMode="External"/><Relationship Id="rId146" Type="http://schemas.openxmlformats.org/officeDocument/2006/relationships/hyperlink" Target="https://www.animalpolitico.com/2022/03/asesinan-michoacan-periodista-armando-linares-denuncio-amenazas/" TargetMode="External"/><Relationship Id="rId167" Type="http://schemas.openxmlformats.org/officeDocument/2006/relationships/hyperlink" Target="https://cpj.org/es/2022/07/el-periodista-mexicano-ruben-haro-sobrevive-atentado-en-ciudad-obregon/" TargetMode="External"/><Relationship Id="rId188" Type="http://schemas.openxmlformats.org/officeDocument/2006/relationships/hyperlink" Target="https://latamjournalismreview.org/es/articles/en-mexico-la-fiscalia-especial-para-la-atencion-de-delitos-cometidos-contra-la-libertad-de-expresion-tiene-larga-historia-pero-pocos-resultados/" TargetMode="External"/><Relationship Id="rId71" Type="http://schemas.openxmlformats.org/officeDocument/2006/relationships/hyperlink" Target="https://eljuegodelacorte.nexos.com.mx/en-que-quedo-entonces-la-prision-preventiva-oficiosa-en-mexico/" TargetMode="External"/><Relationship Id="rId92" Type="http://schemas.openxmlformats.org/officeDocument/2006/relationships/hyperlink" Target="https://www.gob.mx/cms/uploads/attachment/file/679288/CE_2021_09.pdf" TargetMode="External"/><Relationship Id="rId213" Type="http://schemas.openxmlformats.org/officeDocument/2006/relationships/hyperlink" Target="https://www.gob.mx/cms/uploads/attachment/file/701450/informe_gn_2021_.pdf" TargetMode="External"/><Relationship Id="rId2" Type="http://schemas.openxmlformats.org/officeDocument/2006/relationships/hyperlink" Target="https://www.oas.org/es/cidh/actividades/seguimiento/pdf/Directrices-es.pdf" TargetMode="External"/><Relationship Id="rId29" Type="http://schemas.openxmlformats.org/officeDocument/2006/relationships/hyperlink" Target="https://www.oas.org/es/cidh/docs/anual/2021/capitulos/IA2021cap5.MX-es.pdf" TargetMode="External"/><Relationship Id="rId40" Type="http://schemas.openxmlformats.org/officeDocument/2006/relationships/hyperlink" Target="https://www.oas.org/es/cidh/docs/anual/2019/indice.asp" TargetMode="External"/><Relationship Id="rId115" Type="http://schemas.openxmlformats.org/officeDocument/2006/relationships/hyperlink" Target="https://articulo19.org/exigimos-al-gobierno-y-a-la-sedena-probar-sus-descalificaciones-a-la-investigacion-ejercito-espia/" TargetMode="External"/><Relationship Id="rId136" Type="http://schemas.openxmlformats.org/officeDocument/2006/relationships/hyperlink" Target="https://cpj.org/es/2022/02/asesinan-a-tiros-al-periodista-mexicano-heber-lopez-en-oaxaca-y-las-autoridades-detienen-a-dos-sospechosos-del-crimen/" TargetMode="External"/><Relationship Id="rId157" Type="http://schemas.openxmlformats.org/officeDocument/2006/relationships/hyperlink" Target="https://www.oas.org/es/cidh/expresion/showarticle.asp?artID=1248&amp;lID=2" TargetMode="External"/><Relationship Id="rId178" Type="http://schemas.openxmlformats.org/officeDocument/2006/relationships/hyperlink" Target="https://www.oas.org/es/cidh/expresion/showarticle.asp?artID=132&amp;lID=2" TargetMode="External"/><Relationship Id="rId61" Type="http://schemas.openxmlformats.org/officeDocument/2006/relationships/hyperlink" Target="http://www.oas.org/es/cidh/docs/anual/2017/docs/IA2017cap.5MX-es.pdf" TargetMode="External"/><Relationship Id="rId82" Type="http://schemas.openxmlformats.org/officeDocument/2006/relationships/hyperlink" Target="https://www.gob.mx/cms/uploads/attachment/file/736460/DIAGNOSTICORESUMENEJECUTIVO.pdf" TargetMode="External"/><Relationship Id="rId199" Type="http://schemas.openxmlformats.org/officeDocument/2006/relationships/hyperlink" Target="https://www.hrw.org/es/news/2021/01/28/mexico-la-transparencia-y-la-privacidad-amenazadas" TargetMode="External"/><Relationship Id="rId203" Type="http://schemas.openxmlformats.org/officeDocument/2006/relationships/hyperlink" Target="https://www.washingtonpost.com/es/post-opinion/2022/03/16/inai-amlo-ataques-transparencia-informacion/" TargetMode="External"/><Relationship Id="rId19" Type="http://schemas.openxmlformats.org/officeDocument/2006/relationships/hyperlink" Target="https://www.oas.org/es/cidh/docs/anual/2021/capitulos/IA2021cap5.MX-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2DDD23-C7D3-4D49-87E3-ACBFDB049118}"/>
      </w:docPartPr>
      <w:docPartBody>
        <w:p w:rsidR="00D933B3" w:rsidRDefault="00D933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Spectral">
    <w:altName w:val="Cambria"/>
    <w:panose1 w:val="020B060402020202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3B3"/>
    <w:rsid w:val="00002488"/>
    <w:rsid w:val="000408AA"/>
    <w:rsid w:val="00050663"/>
    <w:rsid w:val="00057B51"/>
    <w:rsid w:val="00084C40"/>
    <w:rsid w:val="00085523"/>
    <w:rsid w:val="00093C65"/>
    <w:rsid w:val="000A5CFB"/>
    <w:rsid w:val="000B6E5D"/>
    <w:rsid w:val="00101ED3"/>
    <w:rsid w:val="00103E15"/>
    <w:rsid w:val="00121203"/>
    <w:rsid w:val="00142B8C"/>
    <w:rsid w:val="001569BE"/>
    <w:rsid w:val="00182116"/>
    <w:rsid w:val="00191013"/>
    <w:rsid w:val="001A34B1"/>
    <w:rsid w:val="001A4D4E"/>
    <w:rsid w:val="001D5A06"/>
    <w:rsid w:val="001E10D6"/>
    <w:rsid w:val="001E1B83"/>
    <w:rsid w:val="001E6B76"/>
    <w:rsid w:val="002240FD"/>
    <w:rsid w:val="00224C84"/>
    <w:rsid w:val="00251148"/>
    <w:rsid w:val="0025312D"/>
    <w:rsid w:val="00254DC9"/>
    <w:rsid w:val="00255C45"/>
    <w:rsid w:val="0025741F"/>
    <w:rsid w:val="00296E64"/>
    <w:rsid w:val="002A0870"/>
    <w:rsid w:val="00307DC9"/>
    <w:rsid w:val="003163A1"/>
    <w:rsid w:val="00340FA1"/>
    <w:rsid w:val="00345C57"/>
    <w:rsid w:val="00355286"/>
    <w:rsid w:val="003939FB"/>
    <w:rsid w:val="00397283"/>
    <w:rsid w:val="003B53A1"/>
    <w:rsid w:val="0040771B"/>
    <w:rsid w:val="004A3EAF"/>
    <w:rsid w:val="004B0C22"/>
    <w:rsid w:val="004C296B"/>
    <w:rsid w:val="004E04C3"/>
    <w:rsid w:val="005446D1"/>
    <w:rsid w:val="00583A09"/>
    <w:rsid w:val="00595939"/>
    <w:rsid w:val="005E5B15"/>
    <w:rsid w:val="00604114"/>
    <w:rsid w:val="006047F3"/>
    <w:rsid w:val="006207B1"/>
    <w:rsid w:val="00655FC1"/>
    <w:rsid w:val="00672867"/>
    <w:rsid w:val="00674DBB"/>
    <w:rsid w:val="006D465F"/>
    <w:rsid w:val="006E083D"/>
    <w:rsid w:val="006E19F1"/>
    <w:rsid w:val="006F5B5B"/>
    <w:rsid w:val="00705491"/>
    <w:rsid w:val="0071708D"/>
    <w:rsid w:val="00762B86"/>
    <w:rsid w:val="00781789"/>
    <w:rsid w:val="007A5F48"/>
    <w:rsid w:val="007B0FE5"/>
    <w:rsid w:val="007E323F"/>
    <w:rsid w:val="00800526"/>
    <w:rsid w:val="00837F95"/>
    <w:rsid w:val="0085412F"/>
    <w:rsid w:val="00857478"/>
    <w:rsid w:val="008A0B3A"/>
    <w:rsid w:val="008E4679"/>
    <w:rsid w:val="008F05EF"/>
    <w:rsid w:val="0091177D"/>
    <w:rsid w:val="0092232B"/>
    <w:rsid w:val="00971798"/>
    <w:rsid w:val="00981645"/>
    <w:rsid w:val="00987202"/>
    <w:rsid w:val="009A772A"/>
    <w:rsid w:val="009E4983"/>
    <w:rsid w:val="00A07377"/>
    <w:rsid w:val="00A354F2"/>
    <w:rsid w:val="00A41F87"/>
    <w:rsid w:val="00A55C66"/>
    <w:rsid w:val="00AD2A5F"/>
    <w:rsid w:val="00AE0C41"/>
    <w:rsid w:val="00B41665"/>
    <w:rsid w:val="00B44411"/>
    <w:rsid w:val="00BA2C3D"/>
    <w:rsid w:val="00BA6DF0"/>
    <w:rsid w:val="00BB0838"/>
    <w:rsid w:val="00BC7184"/>
    <w:rsid w:val="00BE22EA"/>
    <w:rsid w:val="00BF487B"/>
    <w:rsid w:val="00C469AD"/>
    <w:rsid w:val="00C517C9"/>
    <w:rsid w:val="00C52B7A"/>
    <w:rsid w:val="00C55243"/>
    <w:rsid w:val="00C927BE"/>
    <w:rsid w:val="00CA66F5"/>
    <w:rsid w:val="00CB0367"/>
    <w:rsid w:val="00CB149A"/>
    <w:rsid w:val="00CB3F2D"/>
    <w:rsid w:val="00CE4B22"/>
    <w:rsid w:val="00D06FDB"/>
    <w:rsid w:val="00D15F38"/>
    <w:rsid w:val="00D22199"/>
    <w:rsid w:val="00D40059"/>
    <w:rsid w:val="00D933B3"/>
    <w:rsid w:val="00DA4856"/>
    <w:rsid w:val="00DA4E48"/>
    <w:rsid w:val="00E07BA1"/>
    <w:rsid w:val="00E14452"/>
    <w:rsid w:val="00E22324"/>
    <w:rsid w:val="00E35659"/>
    <w:rsid w:val="00E6665D"/>
    <w:rsid w:val="00E67FCB"/>
    <w:rsid w:val="00E75E98"/>
    <w:rsid w:val="00E94FA4"/>
    <w:rsid w:val="00ED199E"/>
    <w:rsid w:val="00F06A8F"/>
    <w:rsid w:val="00F236CE"/>
    <w:rsid w:val="00F50DCD"/>
    <w:rsid w:val="00F8675E"/>
    <w:rsid w:val="00F86831"/>
    <w:rsid w:val="00F90879"/>
    <w:rsid w:val="00F9755D"/>
    <w:rsid w:val="00FB20F0"/>
    <w:rsid w:val="00FC3B49"/>
    <w:rsid w:val="00FC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874C-1B02-4A72-A96B-8643F04645E4}">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customXml/itemProps2.xml><?xml version="1.0" encoding="utf-8"?>
<ds:datastoreItem xmlns:ds="http://schemas.openxmlformats.org/officeDocument/2006/customXml" ds:itemID="{821C04BA-79E1-4BD6-80F1-E783280E216D}">
  <ds:schemaRefs>
    <ds:schemaRef ds:uri="http://schemas.microsoft.com/sharepoint/v3/contenttype/forms"/>
  </ds:schemaRefs>
</ds:datastoreItem>
</file>

<file path=customXml/itemProps3.xml><?xml version="1.0" encoding="utf-8"?>
<ds:datastoreItem xmlns:ds="http://schemas.openxmlformats.org/officeDocument/2006/customXml" ds:itemID="{100E1FD7-D3D7-46E3-B432-9CA1BB82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59896</Words>
  <Characters>341412</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AR2022 Chapter 5 MX</vt:lpstr>
    </vt:vector>
  </TitlesOfParts>
  <Company/>
  <LinksUpToDate>false</LinksUpToDate>
  <CharactersWithSpaces>400507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AR2022 Chapter 5 MX</dc:title>
  <dc:subject/>
  <dc:creator/>
  <cp:keywords/>
  <dc:description/>
  <cp:lastModifiedBy/>
  <cp:revision>1</cp:revision>
  <dcterms:created xsi:type="dcterms:W3CDTF">2023-04-17T23:23:00Z</dcterms:created>
  <dcterms:modified xsi:type="dcterms:W3CDTF">2023-04-19T18:50:00Z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