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3C2E696F" w14:textId="77777777" w:rsidR="000B3318" w:rsidRPr="007175E2" w:rsidRDefault="000B3318"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TECHNICAL INFORMATION SHEET</w:t>
      </w:r>
    </w:p>
    <w:p w14:paraId="5B8F988C" w14:textId="77777777" w:rsidR="000B3318" w:rsidRPr="007175E2" w:rsidRDefault="000B3318" w:rsidP="00B8008C">
      <w:pPr>
        <w:spacing w:after="0" w:line="240" w:lineRule="auto"/>
        <w:ind w:right="4"/>
        <w:contextualSpacing/>
        <w:jc w:val="center"/>
        <w:rPr>
          <w:rFonts w:ascii="Cambria" w:hAnsi="Cambria"/>
          <w:b/>
          <w:color w:val="000000"/>
        </w:rPr>
      </w:pPr>
      <w:r w:rsidRPr="007175E2">
        <w:rPr>
          <w:rFonts w:ascii="Cambria" w:hAnsi="Cambria"/>
          <w:b/>
          <w:color w:val="000000"/>
        </w:rPr>
        <w:t>CASE 13.011 GRACIELA RAMOS ROCHA AND FAMILY</w:t>
      </w:r>
    </w:p>
    <w:p w14:paraId="2EDC08CE" w14:textId="77777777" w:rsidR="000B3318" w:rsidRPr="007175E2" w:rsidRDefault="000B3318"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REPORT No.</w:t>
      </w:r>
      <w:hyperlink r:id="rId11" w:history="1">
        <w:r w:rsidRPr="007175E2">
          <w:rPr>
            <w:rStyle w:val="Hyperlink"/>
            <w:rFonts w:ascii="Cambria" w:eastAsia="Batang" w:hAnsi="Cambria"/>
            <w:b/>
            <w:bCs/>
            <w:color w:val="000000" w:themeColor="text1"/>
            <w:u w:val="none"/>
          </w:rPr>
          <w:t>197/20</w:t>
        </w:r>
      </w:hyperlink>
    </w:p>
    <w:p w14:paraId="4A4A876C" w14:textId="77777777" w:rsidR="000B3318" w:rsidRPr="007175E2" w:rsidRDefault="000B3318" w:rsidP="00B8008C">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283A2A1B" w14:textId="77777777" w:rsidR="000B3318" w:rsidRPr="007175E2" w:rsidRDefault="000B3318" w:rsidP="00B8008C">
      <w:pPr>
        <w:spacing w:after="0" w:line="240" w:lineRule="auto"/>
        <w:ind w:right="4"/>
        <w:contextualSpacing/>
        <w:jc w:val="center"/>
        <w:rPr>
          <w:rFonts w:ascii="Cambria" w:eastAsia="Batang" w:hAnsi="Cambria"/>
          <w:b/>
          <w:color w:val="000000"/>
          <w:lang w:val="es-ES"/>
        </w:rPr>
      </w:pPr>
      <w:r w:rsidRPr="007175E2">
        <w:rPr>
          <w:rFonts w:ascii="Cambria" w:eastAsia="Batang" w:hAnsi="Cambria"/>
          <w:b/>
          <w:color w:val="000000"/>
          <w:lang w:val="es-ES"/>
        </w:rPr>
        <w:t>(ARGENTINA)</w:t>
      </w:r>
    </w:p>
    <w:p w14:paraId="5A6E088D" w14:textId="77777777" w:rsidR="000B3318" w:rsidRPr="007175E2" w:rsidRDefault="000B3318" w:rsidP="000B3318">
      <w:pPr>
        <w:spacing w:after="0" w:line="240" w:lineRule="auto"/>
        <w:ind w:right="-270"/>
        <w:jc w:val="center"/>
        <w:rPr>
          <w:rFonts w:ascii="Cambria" w:eastAsia="Batang" w:hAnsi="Cambria"/>
          <w:b/>
          <w:color w:val="000000"/>
          <w:lang w:val="es-ES"/>
        </w:rPr>
      </w:pPr>
    </w:p>
    <w:p w14:paraId="4A4AF2A5" w14:textId="77777777" w:rsidR="000B3318" w:rsidRPr="007175E2" w:rsidRDefault="000B3318" w:rsidP="00637AFB">
      <w:pPr>
        <w:numPr>
          <w:ilvl w:val="0"/>
          <w:numId w:val="19"/>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384B9396" w14:textId="77777777" w:rsidR="000B3318" w:rsidRPr="007175E2" w:rsidRDefault="000B3318" w:rsidP="000B3318">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0B3318" w:rsidRPr="007175E2" w14:paraId="713740FB" w14:textId="77777777" w:rsidTr="00F024F0">
        <w:trPr>
          <w:trHeight w:val="6520"/>
          <w:jc w:val="center"/>
        </w:trPr>
        <w:tc>
          <w:tcPr>
            <w:tcW w:w="9576" w:type="dxa"/>
            <w:shd w:val="clear" w:color="auto" w:fill="F2F2F2"/>
          </w:tcPr>
          <w:p w14:paraId="4669ADB2"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Victim (s): </w:t>
            </w:r>
            <w:r w:rsidRPr="007175E2">
              <w:rPr>
                <w:rFonts w:ascii="Cambria" w:eastAsia="Batang" w:hAnsi="Cambria"/>
                <w:color w:val="000000"/>
              </w:rPr>
              <w:t>Graciela Ramos Rocha and family</w:t>
            </w:r>
          </w:p>
          <w:p w14:paraId="5F395516"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Petitioner (s): </w:t>
            </w:r>
            <w:r w:rsidRPr="007175E2">
              <w:rPr>
                <w:rFonts w:ascii="Cambria" w:eastAsia="Batang" w:hAnsi="Cambria"/>
                <w:color w:val="000000"/>
              </w:rPr>
              <w:t>Stella Maris Martínez</w:t>
            </w:r>
          </w:p>
          <w:p w14:paraId="35821B83"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color w:val="000000"/>
              </w:rPr>
              <w:t>Argentina</w:t>
            </w:r>
          </w:p>
          <w:p w14:paraId="5B66475B"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Negotiation start date: </w:t>
            </w:r>
            <w:r w:rsidRPr="007175E2">
              <w:rPr>
                <w:rFonts w:ascii="Cambria" w:eastAsia="Batang" w:hAnsi="Cambria"/>
                <w:color w:val="000000"/>
              </w:rPr>
              <w:t>April 4, 2019</w:t>
            </w:r>
          </w:p>
          <w:p w14:paraId="7DCC54EF" w14:textId="2BEC8078" w:rsidR="000B3318" w:rsidRPr="007175E2" w:rsidRDefault="000B3318"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FSA Signature Date: </w:t>
            </w:r>
            <w:r w:rsidRPr="007175E2">
              <w:rPr>
                <w:rFonts w:ascii="Cambria" w:eastAsia="Batang" w:hAnsi="Cambria"/>
                <w:color w:val="000000"/>
              </w:rPr>
              <w:t>May 29, 2020</w:t>
            </w:r>
          </w:p>
          <w:p w14:paraId="2B093F1B" w14:textId="3D997171" w:rsidR="00402700" w:rsidRPr="007175E2" w:rsidRDefault="00402700"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Admissibility Report </w:t>
            </w:r>
            <w:r w:rsidR="008145AE" w:rsidRPr="007175E2">
              <w:rPr>
                <w:rFonts w:ascii="Cambria" w:eastAsia="Batang" w:hAnsi="Cambria"/>
                <w:b/>
                <w:color w:val="000000" w:themeColor="text1"/>
                <w:lang w:val="es-CO"/>
              </w:rPr>
              <w:t>Nº</w:t>
            </w:r>
            <w:r w:rsidR="008145AE" w:rsidRPr="007175E2">
              <w:rPr>
                <w:rFonts w:ascii="Cambria" w:eastAsia="Batang" w:hAnsi="Cambria"/>
                <w:bCs/>
                <w:color w:val="000000" w:themeColor="text1"/>
                <w:lang w:val="es-CO"/>
              </w:rPr>
              <w:t xml:space="preserve">: </w:t>
            </w:r>
            <w:hyperlink r:id="rId12" w:history="1">
              <w:r w:rsidR="008145AE" w:rsidRPr="007175E2">
                <w:rPr>
                  <w:rStyle w:val="Hyperlink"/>
                  <w:rFonts w:ascii="Cambria" w:hAnsi="Cambria"/>
                  <w:b/>
                  <w:color w:val="auto"/>
                </w:rPr>
                <w:t>62/15</w:t>
              </w:r>
            </w:hyperlink>
          </w:p>
          <w:p w14:paraId="22E33DBA" w14:textId="77777777" w:rsidR="000B3318" w:rsidRPr="007175E2" w:rsidRDefault="000B3318"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Friendly Settlement Agreement Report </w:t>
            </w:r>
            <w:r w:rsidR="00F7589F" w:rsidRPr="007175E2">
              <w:rPr>
                <w:rFonts w:ascii="Cambria" w:eastAsia="Batang" w:hAnsi="Cambria"/>
                <w:b/>
                <w:color w:val="000000"/>
              </w:rPr>
              <w:t>N</w:t>
            </w:r>
            <w:r w:rsidR="00F7589F" w:rsidRPr="007175E2">
              <w:rPr>
                <w:rFonts w:ascii="Cambria" w:eastAsia="Batang" w:hAnsi="Cambria"/>
                <w:b/>
                <w:color w:val="000000" w:themeColor="text1"/>
              </w:rPr>
              <w:t>º</w:t>
            </w:r>
            <w:r w:rsidRPr="007175E2">
              <w:rPr>
                <w:rFonts w:ascii="Cambria" w:eastAsia="Batang" w:hAnsi="Cambria"/>
                <w:b/>
                <w:color w:val="000000"/>
              </w:rPr>
              <w:t xml:space="preserve">: </w:t>
            </w:r>
            <w:hyperlink r:id="rId13" w:history="1">
              <w:r w:rsidRPr="007175E2">
                <w:rPr>
                  <w:rStyle w:val="Hyperlink"/>
                  <w:rFonts w:ascii="Cambria" w:eastAsia="Batang" w:hAnsi="Cambria"/>
                  <w:b/>
                  <w:bCs/>
                  <w:color w:val="000000" w:themeColor="text1"/>
                </w:rPr>
                <w:t>197/20</w:t>
              </w:r>
            </w:hyperlink>
            <w:r w:rsidRPr="007175E2">
              <w:rPr>
                <w:rFonts w:ascii="Cambria" w:eastAsia="Batang" w:hAnsi="Cambria"/>
                <w:b/>
                <w:bCs/>
                <w:color w:val="000000" w:themeColor="text1"/>
              </w:rPr>
              <w:t>,</w:t>
            </w:r>
            <w:r w:rsidRPr="007175E2">
              <w:rPr>
                <w:rFonts w:ascii="Cambria" w:eastAsia="Batang" w:hAnsi="Cambria"/>
                <w:bCs/>
                <w:color w:val="000000" w:themeColor="text1"/>
              </w:rPr>
              <w:t xml:space="preserve"> </w:t>
            </w:r>
            <w:r w:rsidRPr="007175E2">
              <w:rPr>
                <w:rFonts w:ascii="Cambria" w:eastAsia="Batang" w:hAnsi="Cambria"/>
                <w:bCs/>
                <w:color w:val="000000"/>
              </w:rPr>
              <w:t>published on July 12, 2020</w:t>
            </w:r>
          </w:p>
          <w:p w14:paraId="02C3C770" w14:textId="2BF8BB76"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Estimated duration of the negotiation phase: </w:t>
            </w:r>
            <w:r w:rsidR="00335042" w:rsidRPr="007175E2">
              <w:rPr>
                <w:rFonts w:ascii="Cambria" w:eastAsia="Batang" w:hAnsi="Cambria"/>
                <w:bCs/>
                <w:color w:val="000000"/>
              </w:rPr>
              <w:t xml:space="preserve">1 year, </w:t>
            </w:r>
            <w:r w:rsidR="004F5CA9" w:rsidRPr="007175E2">
              <w:rPr>
                <w:rFonts w:ascii="Cambria" w:eastAsia="Batang" w:hAnsi="Cambria"/>
                <w:bCs/>
                <w:color w:val="000000"/>
              </w:rPr>
              <w:t xml:space="preserve">2 </w:t>
            </w:r>
            <w:r w:rsidRPr="007175E2">
              <w:rPr>
                <w:rFonts w:ascii="Cambria" w:eastAsia="Batang" w:hAnsi="Cambria"/>
                <w:bCs/>
                <w:color w:val="000000"/>
              </w:rPr>
              <w:t>months</w:t>
            </w:r>
          </w:p>
          <w:p w14:paraId="2BC6D660"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Related Rapporteurship: </w:t>
            </w:r>
            <w:r w:rsidRPr="007175E2">
              <w:rPr>
                <w:rFonts w:ascii="Cambria" w:eastAsia="Batang" w:hAnsi="Cambria"/>
                <w:color w:val="000000"/>
              </w:rPr>
              <w:t>Rapporteurship on the Rights of Women/Rapporteurship on the Rights of Persons Deprived of Liberty/Special Rapporteurship on Economic, Social, Cultural, and Environmental Rights</w:t>
            </w:r>
          </w:p>
          <w:p w14:paraId="061AEDAF" w14:textId="77777777" w:rsidR="000B3318" w:rsidRPr="007175E2" w:rsidRDefault="000B3318"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color w:val="000000"/>
              </w:rPr>
              <w:t xml:space="preserve">Topics: </w:t>
            </w:r>
            <w:r w:rsidRPr="007175E2">
              <w:rPr>
                <w:rFonts w:ascii="Cambria" w:eastAsia="Batang" w:hAnsi="Cambria"/>
                <w:color w:val="000000"/>
              </w:rPr>
              <w:t>Guarantees of Judicial Protection/Poverty and Human Rights/Principle of Legality and Retroactivity/Gender-Based Violence/Right to Housing</w:t>
            </w:r>
          </w:p>
          <w:p w14:paraId="521CFDA8" w14:textId="77777777" w:rsidR="000B3318" w:rsidRPr="007175E2" w:rsidRDefault="000B3318" w:rsidP="00F024F0">
            <w:pPr>
              <w:tabs>
                <w:tab w:val="left" w:pos="9270"/>
              </w:tabs>
              <w:spacing w:after="0" w:line="240" w:lineRule="auto"/>
              <w:jc w:val="both"/>
              <w:rPr>
                <w:rFonts w:ascii="Cambria" w:eastAsia="Batang" w:hAnsi="Cambria"/>
                <w:b/>
                <w:color w:val="000000"/>
              </w:rPr>
            </w:pPr>
          </w:p>
          <w:p w14:paraId="3D3C00E1" w14:textId="77777777" w:rsidR="000B3318" w:rsidRPr="007175E2" w:rsidRDefault="000B3318"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Facts: </w:t>
            </w:r>
            <w:r w:rsidRPr="007175E2">
              <w:rPr>
                <w:rFonts w:ascii="Cambria" w:eastAsia="Batang" w:hAnsi="Cambria"/>
                <w:color w:val="000000"/>
              </w:rPr>
              <w:t>The petitioners indicated that in 2001, Mrs. Graciela Ramos Rocha was pregnant and nearly indigent, with three minor children, one of whom has a severe disability. A victim of domestic violence, Mrs. Ramos Rocha reportedly entered a vacant house seeking refuge. The petitioners alleged that Graciela Ramos Rocha’s conduct did not rise to the level of criminality, unlawfulness, and guilt, and that therefore the sentence was imposed in violation of the principle of legality. The victim was conditionally sentenced to one year in prison, having been found criminally liable for the crime of squatting.</w:t>
            </w:r>
          </w:p>
          <w:p w14:paraId="41FA9254" w14:textId="77777777" w:rsidR="000B3318" w:rsidRPr="007175E2" w:rsidRDefault="000B3318" w:rsidP="00F024F0">
            <w:pPr>
              <w:tabs>
                <w:tab w:val="left" w:pos="9270"/>
              </w:tabs>
              <w:spacing w:after="0" w:line="240" w:lineRule="auto"/>
              <w:jc w:val="both"/>
              <w:rPr>
                <w:rFonts w:ascii="Cambria" w:eastAsia="Batang" w:hAnsi="Cambria"/>
                <w:b/>
                <w:color w:val="000000"/>
              </w:rPr>
            </w:pPr>
          </w:p>
          <w:p w14:paraId="44CC6B25" w14:textId="77777777" w:rsidR="000B3318" w:rsidRPr="007175E2" w:rsidRDefault="000B3318"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declared admissible: </w:t>
            </w:r>
            <w:r w:rsidRPr="007175E2">
              <w:rPr>
                <w:rFonts w:ascii="Cambria" w:eastAsia="Batang" w:hAnsi="Cambria"/>
                <w:color w:val="000000"/>
              </w:rPr>
              <w:t>On October 26, 2015, the IACHR declared the petition admissible in relation to Articles 8 (right to a fair trial), 9 (principle of legality and freedom from ex post facto laws), and 25 (right to judicial protection) of the American Convention in connection with the obligations established in articles 1(1) and 2 of the same instrument.</w:t>
            </w:r>
          </w:p>
        </w:tc>
      </w:tr>
    </w:tbl>
    <w:p w14:paraId="6FC4D584" w14:textId="77777777" w:rsidR="000B3318" w:rsidRPr="007175E2" w:rsidRDefault="000B3318" w:rsidP="000B3318">
      <w:pPr>
        <w:spacing w:after="0" w:line="240" w:lineRule="auto"/>
        <w:ind w:left="720"/>
        <w:contextualSpacing/>
        <w:jc w:val="both"/>
        <w:rPr>
          <w:rFonts w:ascii="Cambria" w:eastAsia="Batang" w:hAnsi="Cambria" w:cs="Calibri Light"/>
          <w:b/>
          <w:color w:val="000000"/>
        </w:rPr>
      </w:pPr>
    </w:p>
    <w:p w14:paraId="6D401E5D" w14:textId="77777777" w:rsidR="000B3318" w:rsidRPr="007175E2" w:rsidRDefault="000B3318" w:rsidP="00637AFB">
      <w:pPr>
        <w:numPr>
          <w:ilvl w:val="0"/>
          <w:numId w:val="19"/>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4FD9C7E6" w14:textId="77777777" w:rsidR="000B3318" w:rsidRPr="007175E2" w:rsidRDefault="000B3318" w:rsidP="000B3318">
      <w:pPr>
        <w:spacing w:after="0" w:line="240" w:lineRule="auto"/>
        <w:ind w:firstLine="720"/>
        <w:contextualSpacing/>
        <w:jc w:val="both"/>
        <w:rPr>
          <w:rFonts w:ascii="Cambria" w:eastAsia="Batang" w:hAnsi="Cambria" w:cs="Calibri Light"/>
          <w:b/>
          <w:color w:val="000000"/>
        </w:rPr>
      </w:pPr>
    </w:p>
    <w:p w14:paraId="68E9B6B8" w14:textId="00C50A7D" w:rsidR="003B6C43" w:rsidRDefault="000B3318" w:rsidP="003B6C43">
      <w:pPr>
        <w:pStyle w:val="ListParagraph"/>
        <w:numPr>
          <w:ilvl w:val="0"/>
          <w:numId w:val="41"/>
        </w:numPr>
        <w:spacing w:after="0" w:line="240" w:lineRule="auto"/>
        <w:jc w:val="both"/>
        <w:rPr>
          <w:rFonts w:ascii="Cambria" w:eastAsia="Batang" w:hAnsi="Cambria" w:cs="Calibri Light"/>
          <w:color w:val="000000"/>
        </w:rPr>
      </w:pPr>
      <w:r w:rsidRPr="003B6C43">
        <w:rPr>
          <w:rFonts w:ascii="Cambria" w:eastAsia="Batang" w:hAnsi="Cambria" w:cs="Calibri Light"/>
          <w:color w:val="000000"/>
        </w:rPr>
        <w:t>On May 29, 2020, the parties signed a friendly settlement agreement.</w:t>
      </w:r>
    </w:p>
    <w:p w14:paraId="222FFC6F" w14:textId="77777777" w:rsidR="003B6C43" w:rsidRPr="003B6C43" w:rsidRDefault="003B6C43" w:rsidP="003B6C43">
      <w:pPr>
        <w:pStyle w:val="ListParagraph"/>
        <w:spacing w:after="0" w:line="240" w:lineRule="auto"/>
        <w:ind w:left="1444"/>
        <w:jc w:val="both"/>
        <w:rPr>
          <w:rFonts w:ascii="Cambria" w:eastAsia="Batang" w:hAnsi="Cambria" w:cs="Calibri Light"/>
          <w:color w:val="000000"/>
        </w:rPr>
      </w:pPr>
    </w:p>
    <w:p w14:paraId="2A3A44D7" w14:textId="60BA5F5F" w:rsidR="000B3318" w:rsidRPr="003B6C43" w:rsidRDefault="000B3318" w:rsidP="003B6C43">
      <w:pPr>
        <w:pStyle w:val="ListParagraph"/>
        <w:numPr>
          <w:ilvl w:val="0"/>
          <w:numId w:val="41"/>
        </w:numPr>
        <w:spacing w:after="0" w:line="240" w:lineRule="auto"/>
        <w:jc w:val="both"/>
        <w:rPr>
          <w:rFonts w:ascii="Cambria" w:eastAsia="Batang" w:hAnsi="Cambria" w:cs="Calibri Light"/>
          <w:color w:val="000000"/>
        </w:rPr>
      </w:pPr>
      <w:r w:rsidRPr="003B6C43">
        <w:rPr>
          <w:rFonts w:ascii="Cambria" w:eastAsia="Batang" w:hAnsi="Cambria" w:cs="Calibri Light"/>
          <w:color w:val="000000"/>
        </w:rPr>
        <w:t>On July 12, 2020, the Commission approved the agreement signed by the parties, by means of Report No.197/20.</w:t>
      </w:r>
    </w:p>
    <w:p w14:paraId="0F778FB7" w14:textId="77777777" w:rsidR="000B3318" w:rsidRPr="007175E2" w:rsidRDefault="000B3318" w:rsidP="000B3318">
      <w:pPr>
        <w:spacing w:after="0" w:line="240" w:lineRule="auto"/>
        <w:ind w:firstLine="709"/>
        <w:contextualSpacing/>
        <w:jc w:val="both"/>
        <w:rPr>
          <w:rFonts w:ascii="Cambria" w:eastAsia="Batang" w:hAnsi="Cambria" w:cs="Calibri Light"/>
          <w:b/>
          <w:color w:val="000000"/>
          <w:highlight w:val="yellow"/>
        </w:rPr>
      </w:pPr>
    </w:p>
    <w:p w14:paraId="78D118A6" w14:textId="77777777" w:rsidR="001011E0" w:rsidRPr="007175E2" w:rsidRDefault="001011E0" w:rsidP="00637AFB">
      <w:pPr>
        <w:pStyle w:val="ListParagraph"/>
        <w:numPr>
          <w:ilvl w:val="0"/>
          <w:numId w:val="19"/>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AGREEMENT </w:t>
      </w:r>
    </w:p>
    <w:p w14:paraId="08AB88DA" w14:textId="77777777" w:rsidR="00F14821" w:rsidRPr="007175E2" w:rsidRDefault="00F14821" w:rsidP="00B74EA5">
      <w:pPr>
        <w:spacing w:after="0" w:line="240" w:lineRule="auto"/>
        <w:ind w:firstLine="709"/>
        <w:contextualSpacing/>
        <w:jc w:val="both"/>
        <w:rPr>
          <w:rFonts w:ascii="Cambria" w:eastAsia="Batang" w:hAnsi="Cambria" w:cs="Calibri Light"/>
          <w:color w:val="000000"/>
          <w:highlight w:val="cy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1011E0" w:rsidRPr="007175E2" w14:paraId="07121F8C"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ADC014" w14:textId="77777777" w:rsidR="001011E0" w:rsidRPr="007175E2" w:rsidRDefault="001011E0"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lastRenderedPageBreak/>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AE918A" w14:textId="77777777" w:rsidR="001011E0" w:rsidRPr="007175E2" w:rsidRDefault="001011E0"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1011E0" w:rsidRPr="007175E2" w14:paraId="0458ACA7" w14:textId="77777777" w:rsidTr="00655003">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D50EB1D" w14:textId="77777777" w:rsidR="001011E0" w:rsidRPr="007175E2" w:rsidRDefault="001011E0" w:rsidP="00637AFB">
            <w:pPr>
              <w:numPr>
                <w:ilvl w:val="0"/>
                <w:numId w:val="20"/>
              </w:numPr>
              <w:spacing w:after="0" w:line="240" w:lineRule="auto"/>
              <w:ind w:left="460"/>
              <w:jc w:val="both"/>
              <w:rPr>
                <w:rFonts w:ascii="Cambria" w:hAnsi="Cambria"/>
                <w:b/>
                <w:bCs/>
                <w:sz w:val="20"/>
                <w:szCs w:val="20"/>
              </w:rPr>
            </w:pPr>
            <w:r w:rsidRPr="007175E2">
              <w:rPr>
                <w:rFonts w:ascii="Cambria" w:hAnsi="Cambria"/>
                <w:b/>
                <w:bCs/>
                <w:sz w:val="20"/>
                <w:szCs w:val="20"/>
              </w:rPr>
              <w:t>Housing situation</w:t>
            </w:r>
          </w:p>
        </w:tc>
      </w:tr>
      <w:tr w:rsidR="001011E0" w:rsidRPr="007175E2" w14:paraId="0EC42CD4"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58E43279" w14:textId="77777777" w:rsidR="001011E0" w:rsidRPr="007175E2" w:rsidRDefault="001011E0" w:rsidP="00F024F0">
            <w:pPr>
              <w:spacing w:after="0" w:line="240" w:lineRule="auto"/>
              <w:ind w:right="72"/>
              <w:jc w:val="both"/>
              <w:rPr>
                <w:rFonts w:ascii="Cambria" w:hAnsi="Cambria"/>
                <w:bCs/>
                <w:color w:val="000000"/>
                <w:kern w:val="36"/>
              </w:rPr>
            </w:pPr>
            <w:r w:rsidRPr="007175E2">
              <w:rPr>
                <w:rFonts w:ascii="Cambria" w:hAnsi="Cambria"/>
                <w:color w:val="000000"/>
              </w:rPr>
              <w:t>1. The Government of the Province of Mendoza undertakes to hand over to Mrs. Graciela Ramos Rocha possession and ownership of the home [in the] Province of Mendoza, consisting of a total area of ONE HUNDRED FORTY-SIX SQUARE METERS FORTY SQUARE CENTIMETERS (146, 40), AS PER CADASTRAL NOMENCLATURE No. XXX, which was awarded by means of Resolution No. XXX, dated September 11, 2018. The property will be turned over to the petitioner by right, without or her family group being responsible for any kind of payment, and with no type of debts or encumbrances.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712173" w14:textId="77777777" w:rsidR="001011E0" w:rsidRPr="007175E2" w:rsidRDefault="001011E0" w:rsidP="00F024F0">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1"/>
            </w:r>
          </w:p>
          <w:p w14:paraId="201D1C49" w14:textId="77777777" w:rsidR="001011E0" w:rsidRPr="007175E2" w:rsidRDefault="001011E0" w:rsidP="00F024F0">
            <w:pPr>
              <w:spacing w:after="0" w:line="240" w:lineRule="auto"/>
              <w:jc w:val="center"/>
              <w:rPr>
                <w:rFonts w:ascii="Cambria" w:hAnsi="Cambria"/>
                <w:b/>
                <w:color w:val="000000"/>
              </w:rPr>
            </w:pPr>
          </w:p>
          <w:p w14:paraId="17D2D864" w14:textId="77777777" w:rsidR="001011E0" w:rsidRPr="007175E2" w:rsidRDefault="001011E0" w:rsidP="00F024F0">
            <w:pPr>
              <w:spacing w:after="0" w:line="240" w:lineRule="auto"/>
              <w:jc w:val="center"/>
              <w:rPr>
                <w:rFonts w:ascii="Cambria" w:eastAsia="Batang" w:hAnsi="Cambria"/>
                <w:b/>
                <w:bCs/>
                <w:color w:val="000000"/>
              </w:rPr>
            </w:pPr>
          </w:p>
        </w:tc>
      </w:tr>
      <w:tr w:rsidR="001011E0" w:rsidRPr="007175E2" w14:paraId="07550D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16F872D9" w14:textId="77777777" w:rsidR="001011E0" w:rsidRPr="007175E2" w:rsidRDefault="001011E0" w:rsidP="00F024F0">
            <w:pPr>
              <w:spacing w:after="0" w:line="240" w:lineRule="auto"/>
              <w:ind w:right="72"/>
              <w:jc w:val="both"/>
              <w:rPr>
                <w:rFonts w:ascii="Cambria" w:eastAsia="Batang" w:hAnsi="Cambria" w:cs="Calibri Light"/>
                <w:color w:val="000000"/>
              </w:rPr>
            </w:pPr>
            <w:r w:rsidRPr="007175E2">
              <w:rPr>
                <w:rFonts w:ascii="Cambria" w:eastAsia="Times New Roman" w:hAnsi="Cambria"/>
              </w:rPr>
              <w:t>2. The Government of the Province of Mendoza turns over the renovated and refurbished property, in accordance with the guidelines duly indicated in the architectural technical report prepared by the National Public Defender’s Office (</w:t>
            </w:r>
            <w:r w:rsidRPr="007175E2">
              <w:rPr>
                <w:rFonts w:ascii="Cambria" w:eastAsia="Times New Roman" w:hAnsi="Cambria"/>
                <w:i/>
                <w:iCs/>
              </w:rPr>
              <w:t>Defensoría General de la Nación</w:t>
            </w:r>
            <w:r w:rsidRPr="007175E2">
              <w:rPr>
                <w:rFonts w:ascii="Cambria" w:eastAsia="Times New Roman" w:hAnsi="Cambria"/>
              </w:rPr>
              <w:t>), which is attached hereto. These guidelines are aimed at ensuring living conditions that are satisfactory for the family and adequate for the health of C.M.</w:t>
            </w:r>
          </w:p>
        </w:tc>
        <w:tc>
          <w:tcPr>
            <w:tcW w:w="1985" w:type="dxa"/>
            <w:tcBorders>
              <w:top w:val="single" w:sz="4" w:space="0" w:color="auto"/>
              <w:left w:val="single" w:sz="4" w:space="0" w:color="auto"/>
              <w:bottom w:val="single" w:sz="4" w:space="0" w:color="auto"/>
              <w:right w:val="single" w:sz="4" w:space="0" w:color="auto"/>
            </w:tcBorders>
            <w:vAlign w:val="center"/>
          </w:tcPr>
          <w:p w14:paraId="545A9A4A" w14:textId="77777777" w:rsidR="001011E0" w:rsidRPr="007175E2" w:rsidRDefault="001011E0" w:rsidP="00F024F0">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2"/>
            </w:r>
          </w:p>
          <w:p w14:paraId="32DDF036" w14:textId="77777777" w:rsidR="001011E0" w:rsidRPr="007175E2" w:rsidRDefault="001011E0" w:rsidP="00F024F0">
            <w:pPr>
              <w:spacing w:after="0" w:line="240" w:lineRule="auto"/>
              <w:jc w:val="center"/>
              <w:rPr>
                <w:rFonts w:ascii="Cambria" w:eastAsia="Batang" w:hAnsi="Cambria"/>
                <w:b/>
                <w:color w:val="000000"/>
              </w:rPr>
            </w:pPr>
          </w:p>
        </w:tc>
      </w:tr>
      <w:tr w:rsidR="001011E0" w:rsidRPr="007175E2" w14:paraId="226A4528"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64F79972" w14:textId="77777777" w:rsidR="001011E0" w:rsidRPr="007175E2" w:rsidRDefault="001011E0" w:rsidP="00F024F0">
            <w:pPr>
              <w:spacing w:after="0" w:line="240" w:lineRule="auto"/>
              <w:ind w:right="72"/>
              <w:jc w:val="both"/>
              <w:rPr>
                <w:rFonts w:ascii="Cambria" w:eastAsia="Batang" w:hAnsi="Cambria" w:cs="Calibri Light"/>
                <w:color w:val="000000"/>
              </w:rPr>
            </w:pPr>
            <w:r w:rsidRPr="007175E2">
              <w:rPr>
                <w:rFonts w:ascii="Cambria" w:eastAsia="Times New Roman" w:hAnsi="Cambria"/>
              </w:rPr>
              <w:t xml:space="preserve">3. Ownership must be turned over to Mrs. Graciela Ramos Rocha within a maximum period of 15 days from the signing of this document, by means of a Notarization performed by General Government Clerk’s Office of the Province of Mendoza. </w:t>
            </w:r>
          </w:p>
        </w:tc>
        <w:tc>
          <w:tcPr>
            <w:tcW w:w="1985" w:type="dxa"/>
            <w:tcBorders>
              <w:top w:val="single" w:sz="4" w:space="0" w:color="auto"/>
              <w:left w:val="single" w:sz="4" w:space="0" w:color="auto"/>
              <w:bottom w:val="single" w:sz="4" w:space="0" w:color="auto"/>
              <w:right w:val="single" w:sz="4" w:space="0" w:color="auto"/>
            </w:tcBorders>
            <w:vAlign w:val="center"/>
          </w:tcPr>
          <w:p w14:paraId="09C695B7" w14:textId="77777777" w:rsidR="001011E0" w:rsidRPr="007175E2" w:rsidRDefault="001011E0"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eastAsia="Batang" w:hAnsi="Cambria"/>
                <w:b/>
                <w:color w:val="000000"/>
                <w:vertAlign w:val="superscript"/>
              </w:rPr>
              <w:footnoteReference w:id="3"/>
            </w:r>
          </w:p>
        </w:tc>
      </w:tr>
      <w:tr w:rsidR="001011E0" w:rsidRPr="007175E2" w14:paraId="43A073BE"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61EBC16F" w14:textId="77777777" w:rsidR="001011E0" w:rsidRPr="007175E2" w:rsidRDefault="001011E0" w:rsidP="00F024F0">
            <w:pPr>
              <w:spacing w:after="0" w:line="240" w:lineRule="auto"/>
              <w:ind w:right="72"/>
              <w:jc w:val="both"/>
              <w:rPr>
                <w:rFonts w:ascii="Cambria" w:eastAsia="Batang" w:hAnsi="Cambria" w:cs="Calibri Light"/>
                <w:color w:val="000000"/>
              </w:rPr>
            </w:pPr>
            <w:r w:rsidRPr="007175E2">
              <w:rPr>
                <w:rFonts w:ascii="Cambria" w:eastAsia="Batang" w:hAnsi="Cambria" w:cs="Calibri Light"/>
                <w:color w:val="000000"/>
              </w:rPr>
              <w:t>4. Mrs. Graciela Ramos Rocha must initiate the procedures for the registration and transfer of ownership of the aforementioned property with the I.P.V. The processing of the deed will be done at no cost to the petitioner, and the provincial government must collaborate so that the deed can be processed in the shortest time possible. Once these procedures have been completed and the IACHR’s adoption of the report under Article 49 of the American Convention on Human Rights has been notified, the Government of Mendoza will provide the deed to the petitioner.</w:t>
            </w:r>
          </w:p>
        </w:tc>
        <w:tc>
          <w:tcPr>
            <w:tcW w:w="1985" w:type="dxa"/>
            <w:tcBorders>
              <w:top w:val="single" w:sz="4" w:space="0" w:color="auto"/>
              <w:left w:val="single" w:sz="4" w:space="0" w:color="auto"/>
              <w:bottom w:val="single" w:sz="4" w:space="0" w:color="auto"/>
              <w:right w:val="single" w:sz="4" w:space="0" w:color="auto"/>
            </w:tcBorders>
            <w:vAlign w:val="center"/>
          </w:tcPr>
          <w:p w14:paraId="2C68981E" w14:textId="77777777" w:rsidR="001011E0" w:rsidRPr="007175E2" w:rsidRDefault="001011E0"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hAnsi="Cambria"/>
                <w:b/>
                <w:color w:val="000000"/>
                <w:vertAlign w:val="superscript"/>
              </w:rPr>
              <w:footnoteReference w:id="4"/>
            </w:r>
          </w:p>
        </w:tc>
      </w:tr>
      <w:tr w:rsidR="001011E0" w:rsidRPr="007175E2" w14:paraId="44CD78F9"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7D850661" w14:textId="77777777" w:rsidR="001011E0" w:rsidRPr="007175E2" w:rsidRDefault="001011E0" w:rsidP="00F024F0">
            <w:pPr>
              <w:spacing w:after="0" w:line="240" w:lineRule="auto"/>
              <w:ind w:right="72"/>
              <w:jc w:val="both"/>
              <w:rPr>
                <w:rFonts w:ascii="Cambria" w:eastAsia="Batang" w:hAnsi="Cambria" w:cs="Calibri Light"/>
                <w:color w:val="000000"/>
              </w:rPr>
            </w:pPr>
            <w:r w:rsidRPr="007175E2">
              <w:rPr>
                <w:rFonts w:ascii="Cambria" w:eastAsia="Times New Roman" w:hAnsi="Cambria"/>
              </w:rPr>
              <w:t xml:space="preserve">5. The transfer of individuals and possessions to the property in question will be the responsibility of the petitioner, who must notify the authorities of the Province of Mendoza at least 48 hours beforehand. </w:t>
            </w:r>
          </w:p>
        </w:tc>
        <w:tc>
          <w:tcPr>
            <w:tcW w:w="1985" w:type="dxa"/>
            <w:tcBorders>
              <w:top w:val="single" w:sz="4" w:space="0" w:color="auto"/>
              <w:left w:val="single" w:sz="4" w:space="0" w:color="auto"/>
              <w:bottom w:val="single" w:sz="4" w:space="0" w:color="auto"/>
              <w:right w:val="single" w:sz="4" w:space="0" w:color="auto"/>
            </w:tcBorders>
            <w:vAlign w:val="center"/>
          </w:tcPr>
          <w:p w14:paraId="7352A694" w14:textId="77777777" w:rsidR="001011E0" w:rsidRPr="007175E2" w:rsidRDefault="001011E0" w:rsidP="00F024F0">
            <w:pPr>
              <w:spacing w:after="0" w:line="240" w:lineRule="auto"/>
              <w:jc w:val="center"/>
              <w:rPr>
                <w:rFonts w:ascii="Cambria" w:eastAsia="Batang" w:hAnsi="Cambria"/>
                <w:b/>
                <w:color w:val="000000"/>
              </w:rPr>
            </w:pPr>
            <w:r w:rsidRPr="007175E2">
              <w:rPr>
                <w:rFonts w:ascii="Cambria" w:hAnsi="Cambria"/>
                <w:b/>
                <w:color w:val="000000"/>
              </w:rPr>
              <w:t>Total</w:t>
            </w:r>
            <w:r w:rsidRPr="007175E2">
              <w:rPr>
                <w:rFonts w:ascii="Cambria" w:eastAsia="Batang" w:hAnsi="Cambria"/>
                <w:b/>
                <w:color w:val="000000"/>
                <w:vertAlign w:val="superscript"/>
              </w:rPr>
              <w:footnoteReference w:id="5"/>
            </w:r>
          </w:p>
        </w:tc>
      </w:tr>
      <w:tr w:rsidR="00074D00" w:rsidRPr="007175E2" w14:paraId="2ABB4ED7" w14:textId="77777777" w:rsidTr="00655003">
        <w:trPr>
          <w:trHeight w:val="434"/>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19A6B004" w14:textId="77777777" w:rsidR="00074D00" w:rsidRPr="007175E2" w:rsidRDefault="00074D00" w:rsidP="00074D00">
            <w:pPr>
              <w:spacing w:after="0" w:line="240" w:lineRule="auto"/>
              <w:rPr>
                <w:rFonts w:ascii="Cambria" w:hAnsi="Cambria"/>
                <w:b/>
                <w:color w:val="000000"/>
              </w:rPr>
            </w:pPr>
            <w:r w:rsidRPr="007175E2">
              <w:rPr>
                <w:rFonts w:ascii="Cambria" w:hAnsi="Cambria"/>
                <w:b/>
                <w:bCs/>
              </w:rPr>
              <w:t>B. School and social integration</w:t>
            </w:r>
          </w:p>
        </w:tc>
      </w:tr>
      <w:tr w:rsidR="00C30658" w:rsidRPr="007175E2" w14:paraId="67D83CB5"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6ECC4939" w14:textId="77777777" w:rsidR="00C30658" w:rsidRPr="007175E2" w:rsidRDefault="00C30658" w:rsidP="00C30658">
            <w:pPr>
              <w:spacing w:after="0" w:line="240" w:lineRule="auto"/>
              <w:ind w:right="72"/>
              <w:jc w:val="both"/>
              <w:rPr>
                <w:rFonts w:ascii="Cambria" w:eastAsia="Times New Roman" w:hAnsi="Cambria"/>
              </w:rPr>
            </w:pPr>
            <w:r w:rsidRPr="007175E2">
              <w:rPr>
                <w:rFonts w:ascii="Cambria" w:eastAsia="Times New Roman" w:hAnsi="Cambria"/>
              </w:rPr>
              <w:t xml:space="preserve">1. The Government of the Province of Mendoza undertakes to ensure the right to education of the school-age members of the family group in their new location, within the framework of current regulations. Specifically, this means ensuring their access to school within a radius of the home described above and assisting the petitioner and her family group in whatever is necessary for enrollment and in all other associated procedures. For that </w:t>
            </w:r>
            <w:r w:rsidRPr="007175E2">
              <w:rPr>
                <w:rFonts w:ascii="Cambria" w:eastAsia="Times New Roman" w:hAnsi="Cambria"/>
              </w:rPr>
              <w:lastRenderedPageBreak/>
              <w:t>purpose, on the day she takes possession of the property, the relevant data of the members of the family will be collected; this will allow for the involvement of the General Directorate of Schools of the Province of Mendoza, which will notify the petitioner of the requirements and procedures that the members of the household must follow to begin schooling.</w:t>
            </w:r>
          </w:p>
        </w:tc>
        <w:tc>
          <w:tcPr>
            <w:tcW w:w="1985" w:type="dxa"/>
            <w:tcBorders>
              <w:top w:val="single" w:sz="4" w:space="0" w:color="auto"/>
              <w:left w:val="single" w:sz="4" w:space="0" w:color="auto"/>
              <w:bottom w:val="single" w:sz="4" w:space="0" w:color="auto"/>
              <w:right w:val="single" w:sz="4" w:space="0" w:color="auto"/>
            </w:tcBorders>
            <w:vAlign w:val="center"/>
          </w:tcPr>
          <w:p w14:paraId="2E21F59C" w14:textId="77777777" w:rsidR="00C30658" w:rsidRPr="007175E2" w:rsidRDefault="00C30658" w:rsidP="00C30658">
            <w:pPr>
              <w:spacing w:after="0" w:line="240" w:lineRule="auto"/>
              <w:jc w:val="center"/>
              <w:rPr>
                <w:rFonts w:ascii="Cambria" w:hAnsi="Cambria"/>
                <w:b/>
                <w:color w:val="000000"/>
              </w:rPr>
            </w:pPr>
            <w:r w:rsidRPr="007175E2">
              <w:rPr>
                <w:rFonts w:ascii="Cambria" w:hAnsi="Cambria"/>
                <w:b/>
                <w:color w:val="000000"/>
              </w:rPr>
              <w:lastRenderedPageBreak/>
              <w:t>Total</w:t>
            </w:r>
            <w:r w:rsidRPr="007175E2">
              <w:rPr>
                <w:rFonts w:ascii="Cambria" w:eastAsia="Batang" w:hAnsi="Cambria"/>
                <w:b/>
                <w:color w:val="000000"/>
                <w:vertAlign w:val="superscript"/>
              </w:rPr>
              <w:footnoteReference w:id="6"/>
            </w:r>
          </w:p>
        </w:tc>
      </w:tr>
      <w:tr w:rsidR="00C30658" w:rsidRPr="007175E2" w14:paraId="31A2C07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6D9DE031" w14:textId="77777777" w:rsidR="00C30658" w:rsidRPr="007175E2" w:rsidRDefault="00C30658" w:rsidP="00C30658">
            <w:pPr>
              <w:spacing w:after="0" w:line="240" w:lineRule="auto"/>
              <w:ind w:right="72"/>
              <w:jc w:val="both"/>
              <w:rPr>
                <w:rFonts w:ascii="Cambria" w:eastAsia="Times New Roman" w:hAnsi="Cambria"/>
              </w:rPr>
            </w:pPr>
            <w:r w:rsidRPr="007175E2">
              <w:rPr>
                <w:rFonts w:ascii="Cambria" w:eastAsia="Times New Roman" w:hAnsi="Cambria"/>
              </w:rPr>
              <w:t xml:space="preserve">2. The Government of the Province of Mendoza undertakes to make available to the petitioner existing opportunities for recreational, community, and cultural activities in the area. It is up to the interested party to go through any relevant enrollment procedures, with the support of the Sub-Secretary of Sports of the Province of Mendoza. </w:t>
            </w:r>
          </w:p>
        </w:tc>
        <w:tc>
          <w:tcPr>
            <w:tcW w:w="1985" w:type="dxa"/>
            <w:tcBorders>
              <w:top w:val="single" w:sz="4" w:space="0" w:color="auto"/>
              <w:left w:val="single" w:sz="4" w:space="0" w:color="auto"/>
              <w:bottom w:val="single" w:sz="4" w:space="0" w:color="auto"/>
              <w:right w:val="single" w:sz="4" w:space="0" w:color="auto"/>
            </w:tcBorders>
            <w:vAlign w:val="center"/>
          </w:tcPr>
          <w:p w14:paraId="5CAE9BFA" w14:textId="77777777" w:rsidR="00C30658" w:rsidRPr="007175E2" w:rsidRDefault="00C30658" w:rsidP="00C30658">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eastAsia="Batang" w:hAnsi="Cambria"/>
                <w:b/>
                <w:color w:val="000000"/>
                <w:vertAlign w:val="superscript"/>
              </w:rPr>
              <w:footnoteReference w:id="7"/>
            </w:r>
          </w:p>
        </w:tc>
      </w:tr>
      <w:tr w:rsidR="00C30658" w:rsidRPr="007175E2" w14:paraId="76F3D9AC" w14:textId="77777777" w:rsidTr="00655003">
        <w:trPr>
          <w:trHeight w:val="215"/>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4BBEEF6C" w14:textId="77777777" w:rsidR="00C30658" w:rsidRPr="007175E2" w:rsidRDefault="00C30658" w:rsidP="006C2B06">
            <w:pPr>
              <w:spacing w:after="0" w:line="240" w:lineRule="auto"/>
              <w:rPr>
                <w:rFonts w:ascii="Cambria" w:hAnsi="Cambria"/>
                <w:b/>
                <w:color w:val="000000"/>
              </w:rPr>
            </w:pPr>
            <w:r w:rsidRPr="007175E2">
              <w:rPr>
                <w:rFonts w:ascii="Cambria" w:eastAsia="Times New Roman" w:hAnsi="Cambria"/>
                <w:b/>
                <w:bCs/>
              </w:rPr>
              <w:t>C. Medical assistance</w:t>
            </w:r>
          </w:p>
        </w:tc>
      </w:tr>
      <w:tr w:rsidR="006C2B06" w:rsidRPr="007175E2" w14:paraId="0B04193A"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03F29AB7" w14:textId="77777777" w:rsidR="006C2B06" w:rsidRPr="007175E2" w:rsidRDefault="006C2B06" w:rsidP="006C2B06">
            <w:pPr>
              <w:spacing w:after="0" w:line="240" w:lineRule="auto"/>
              <w:ind w:right="72"/>
              <w:jc w:val="both"/>
              <w:rPr>
                <w:rFonts w:ascii="Cambria" w:eastAsia="Times New Roman" w:hAnsi="Cambria"/>
              </w:rPr>
            </w:pPr>
            <w:r w:rsidRPr="007175E2">
              <w:rPr>
                <w:rFonts w:ascii="Cambria" w:eastAsia="Times New Roman" w:hAnsi="Cambria"/>
              </w:rPr>
              <w:t xml:space="preserve">1. The Government of the Province of Mendoza assumes the commitment for existing public health providers to provide medical assistance—immediately, effectively, and in accordance with current regulations—for Mrs. Ramos Rocha and her family group, made up of C.M., M.L.O.R., I.M.M.O.R., S.A.O.R., and S.A.O.R. Any treatments that are required must be provided for as long as necessary, and must include medications and other directly related resources, with the intervention of the Sub-Secretary of Health so that access to services is guaranteed, as well as the intervention of the Director of Attention to People with Disabilities, to ensure the </w:t>
            </w:r>
            <w:r w:rsidRPr="007175E2">
              <w:rPr>
                <w:rFonts w:ascii="Cambria" w:hAnsi="Cambria"/>
                <w:b/>
                <w:color w:val="000000"/>
              </w:rPr>
              <w:t>Total</w:t>
            </w:r>
            <w:r w:rsidRPr="007175E2">
              <w:rPr>
                <w:rFonts w:ascii="Cambria" w:eastAsia="Times New Roman" w:hAnsi="Cambria"/>
              </w:rPr>
              <w:t xml:space="preserve"> exercise of the rights of the young woman with disabilities. </w:t>
            </w:r>
          </w:p>
        </w:tc>
        <w:tc>
          <w:tcPr>
            <w:tcW w:w="1985" w:type="dxa"/>
            <w:tcBorders>
              <w:top w:val="single" w:sz="4" w:space="0" w:color="auto"/>
              <w:left w:val="single" w:sz="4" w:space="0" w:color="auto"/>
              <w:bottom w:val="single" w:sz="4" w:space="0" w:color="auto"/>
              <w:right w:val="single" w:sz="4" w:space="0" w:color="auto"/>
            </w:tcBorders>
            <w:vAlign w:val="center"/>
          </w:tcPr>
          <w:p w14:paraId="0D262272" w14:textId="77777777" w:rsidR="006C2B06" w:rsidRPr="007175E2" w:rsidRDefault="006C2B06" w:rsidP="006C2B06">
            <w:pPr>
              <w:spacing w:after="0" w:line="240" w:lineRule="auto"/>
              <w:jc w:val="center"/>
              <w:rPr>
                <w:rFonts w:ascii="Cambria" w:hAnsi="Cambria"/>
                <w:b/>
                <w:color w:val="000000"/>
              </w:rPr>
            </w:pPr>
            <w:r w:rsidRPr="007175E2">
              <w:rPr>
                <w:rFonts w:ascii="Cambria" w:hAnsi="Cambria"/>
                <w:b/>
                <w:color w:val="000000"/>
              </w:rPr>
              <w:t>Total</w:t>
            </w:r>
            <w:r w:rsidRPr="007175E2">
              <w:rPr>
                <w:rFonts w:ascii="Cambria" w:eastAsia="Batang" w:hAnsi="Cambria"/>
                <w:b/>
                <w:color w:val="000000"/>
                <w:vertAlign w:val="superscript"/>
              </w:rPr>
              <w:footnoteReference w:id="8"/>
            </w:r>
          </w:p>
        </w:tc>
      </w:tr>
    </w:tbl>
    <w:p w14:paraId="3748872F" w14:textId="77777777" w:rsidR="001011E0" w:rsidRPr="003B6C43" w:rsidRDefault="001011E0" w:rsidP="00B74EA5">
      <w:pPr>
        <w:spacing w:after="0" w:line="240" w:lineRule="auto"/>
        <w:ind w:firstLine="709"/>
        <w:contextualSpacing/>
        <w:jc w:val="both"/>
        <w:rPr>
          <w:rFonts w:ascii="Cambria" w:eastAsia="Batang" w:hAnsi="Cambria" w:cs="Calibri Light"/>
          <w:color w:val="000000"/>
        </w:rPr>
      </w:pPr>
    </w:p>
    <w:p w14:paraId="7476E9FE" w14:textId="77777777" w:rsidR="00732EA4" w:rsidRPr="003B6C43" w:rsidRDefault="00732EA4" w:rsidP="003B6C43">
      <w:pPr>
        <w:numPr>
          <w:ilvl w:val="0"/>
          <w:numId w:val="19"/>
        </w:numPr>
        <w:tabs>
          <w:tab w:val="left" w:pos="720"/>
        </w:tabs>
        <w:autoSpaceDE w:val="0"/>
        <w:autoSpaceDN w:val="0"/>
        <w:adjustRightInd w:val="0"/>
        <w:spacing w:after="0" w:line="240" w:lineRule="auto"/>
        <w:ind w:left="0" w:firstLine="720"/>
        <w:jc w:val="both"/>
        <w:rPr>
          <w:rFonts w:ascii="Cambria" w:eastAsia="Batang" w:hAnsi="Cambria"/>
          <w:color w:val="000000"/>
        </w:rPr>
      </w:pPr>
      <w:r w:rsidRPr="003B6C43">
        <w:rPr>
          <w:rFonts w:ascii="Cambria" w:eastAsia="Batang" w:hAnsi="Cambria" w:cs="Calibri Light"/>
          <w:b/>
          <w:color w:val="000000"/>
        </w:rPr>
        <w:t xml:space="preserve">LEVEL OF COMPLIANCE OF THE CASE </w:t>
      </w:r>
    </w:p>
    <w:p w14:paraId="10FB9FE6" w14:textId="77777777" w:rsidR="00732EA4" w:rsidRPr="003B6C43" w:rsidRDefault="00732EA4" w:rsidP="003B6C43">
      <w:pPr>
        <w:tabs>
          <w:tab w:val="left" w:pos="720"/>
        </w:tabs>
        <w:autoSpaceDE w:val="0"/>
        <w:autoSpaceDN w:val="0"/>
        <w:adjustRightInd w:val="0"/>
        <w:spacing w:after="0" w:line="240" w:lineRule="auto"/>
        <w:ind w:firstLine="720"/>
        <w:jc w:val="both"/>
        <w:rPr>
          <w:rFonts w:ascii="Cambria" w:eastAsia="Batang" w:hAnsi="Cambria"/>
          <w:color w:val="000000"/>
        </w:rPr>
      </w:pPr>
    </w:p>
    <w:p w14:paraId="20320051" w14:textId="3B1F53F2" w:rsidR="00732EA4" w:rsidRPr="003B6C43" w:rsidRDefault="00732EA4" w:rsidP="003B6C43">
      <w:pPr>
        <w:pStyle w:val="ListParagraph"/>
        <w:numPr>
          <w:ilvl w:val="0"/>
          <w:numId w:val="41"/>
        </w:numPr>
        <w:autoSpaceDE w:val="0"/>
        <w:autoSpaceDN w:val="0"/>
        <w:adjustRightInd w:val="0"/>
        <w:spacing w:after="0" w:line="240" w:lineRule="auto"/>
        <w:ind w:left="0" w:firstLine="709"/>
        <w:jc w:val="both"/>
        <w:rPr>
          <w:rFonts w:ascii="Cambria" w:eastAsia="Batang" w:hAnsi="Cambria" w:cs="Calibri Light"/>
          <w:b/>
          <w:color w:val="080808"/>
        </w:rPr>
      </w:pPr>
      <w:r w:rsidRPr="003B6C43">
        <w:rPr>
          <w:rFonts w:ascii="Cambria" w:hAnsi="Cambria"/>
          <w:color w:val="080808"/>
        </w:rPr>
        <w:t>The Commission declared full compliance with the case and the ceasing of the follow-up of the friendly settlement agreement in the 2021 Annual Report.</w:t>
      </w:r>
    </w:p>
    <w:p w14:paraId="3942DB06" w14:textId="77777777" w:rsidR="00732EA4" w:rsidRPr="003B6C43" w:rsidRDefault="00732EA4" w:rsidP="003B6C43">
      <w:pPr>
        <w:pStyle w:val="ListParagraph"/>
        <w:autoSpaceDE w:val="0"/>
        <w:autoSpaceDN w:val="0"/>
        <w:adjustRightInd w:val="0"/>
        <w:spacing w:after="0" w:line="240" w:lineRule="auto"/>
        <w:ind w:left="0" w:firstLine="720"/>
        <w:jc w:val="both"/>
        <w:rPr>
          <w:rFonts w:ascii="Cambria" w:eastAsia="Batang" w:hAnsi="Cambria" w:cs="Calibri Light"/>
          <w:b/>
          <w:color w:val="080808"/>
        </w:rPr>
      </w:pPr>
    </w:p>
    <w:p w14:paraId="54D9467A" w14:textId="3E4CCB15" w:rsidR="00732EA4" w:rsidRPr="003B6C43" w:rsidRDefault="00732EA4" w:rsidP="003B6C43">
      <w:pPr>
        <w:pStyle w:val="ListParagraph"/>
        <w:numPr>
          <w:ilvl w:val="0"/>
          <w:numId w:val="19"/>
        </w:numPr>
        <w:spacing w:after="0" w:line="240" w:lineRule="auto"/>
        <w:ind w:left="0" w:firstLine="720"/>
        <w:jc w:val="both"/>
        <w:rPr>
          <w:rFonts w:ascii="Cambria" w:eastAsia="Batang" w:hAnsi="Cambria" w:cs="Calibri Light"/>
          <w:b/>
          <w:color w:val="000000"/>
        </w:rPr>
      </w:pPr>
      <w:r w:rsidRPr="003B6C43">
        <w:rPr>
          <w:rFonts w:ascii="Cambria" w:eastAsia="Batang" w:hAnsi="Cambria" w:cs="Calibri Light"/>
          <w:b/>
          <w:color w:val="000000"/>
        </w:rPr>
        <w:t xml:space="preserve">INDIVIDUAL AND STRUCTURAL OUTCOMES OF THE CASE </w:t>
      </w:r>
    </w:p>
    <w:p w14:paraId="2E71933C" w14:textId="77777777" w:rsidR="00732EA4" w:rsidRPr="003B6C43" w:rsidRDefault="00732EA4" w:rsidP="00732EA4">
      <w:pPr>
        <w:spacing w:after="0" w:line="240" w:lineRule="auto"/>
        <w:ind w:left="1440"/>
        <w:contextualSpacing/>
        <w:jc w:val="both"/>
        <w:rPr>
          <w:rFonts w:ascii="Cambria" w:eastAsia="Batang" w:hAnsi="Cambria" w:cs="Calibri Light"/>
          <w:b/>
          <w:color w:val="000000"/>
        </w:rPr>
      </w:pPr>
    </w:p>
    <w:p w14:paraId="562A2143" w14:textId="77777777" w:rsidR="00732EA4" w:rsidRPr="003B6C43" w:rsidRDefault="00732EA4" w:rsidP="00637AFB">
      <w:pPr>
        <w:numPr>
          <w:ilvl w:val="0"/>
          <w:numId w:val="21"/>
        </w:numPr>
        <w:spacing w:after="0" w:line="240" w:lineRule="auto"/>
        <w:ind w:left="0" w:firstLine="709"/>
        <w:contextualSpacing/>
        <w:jc w:val="both"/>
        <w:rPr>
          <w:rFonts w:ascii="Cambria" w:eastAsia="Batang" w:hAnsi="Cambria" w:cs="Calibri Light"/>
          <w:b/>
          <w:color w:val="000000"/>
        </w:rPr>
      </w:pPr>
      <w:r w:rsidRPr="003B6C43">
        <w:rPr>
          <w:rFonts w:ascii="Cambria" w:eastAsia="Batang" w:hAnsi="Cambria" w:cs="Calibri Light"/>
          <w:b/>
          <w:color w:val="000000"/>
        </w:rPr>
        <w:t xml:space="preserve">Individual outcomes of the case </w:t>
      </w:r>
    </w:p>
    <w:p w14:paraId="294AF796" w14:textId="77777777" w:rsidR="00732EA4" w:rsidRPr="003B6C43" w:rsidRDefault="00732EA4" w:rsidP="00732EA4">
      <w:pPr>
        <w:pStyle w:val="ListParagraph"/>
        <w:spacing w:after="0" w:line="240" w:lineRule="auto"/>
        <w:jc w:val="both"/>
        <w:rPr>
          <w:rFonts w:ascii="Cambria" w:hAnsi="Cambria" w:cs="Calibri Light"/>
          <w:b/>
          <w:color w:val="000000"/>
        </w:rPr>
      </w:pPr>
    </w:p>
    <w:p w14:paraId="3C08ECB7" w14:textId="77777777" w:rsidR="00732EA4" w:rsidRPr="003B6C43" w:rsidRDefault="00732EA4" w:rsidP="00732EA4">
      <w:pPr>
        <w:numPr>
          <w:ilvl w:val="0"/>
          <w:numId w:val="6"/>
        </w:numPr>
        <w:spacing w:after="0" w:line="240" w:lineRule="auto"/>
        <w:ind w:left="1418" w:hanging="709"/>
        <w:contextualSpacing/>
        <w:jc w:val="both"/>
        <w:rPr>
          <w:rFonts w:ascii="Cambria" w:hAnsi="Cambria"/>
        </w:rPr>
      </w:pPr>
      <w:r w:rsidRPr="003B6C43">
        <w:rPr>
          <w:rFonts w:ascii="Cambria" w:eastAsia="Batang" w:hAnsi="Cambria"/>
          <w:color w:val="000000"/>
        </w:rPr>
        <w:t>The State formally turned over ownership of a property to the petitioner, Graciela Ramos.</w:t>
      </w:r>
    </w:p>
    <w:p w14:paraId="3D6DFD4D" w14:textId="77777777" w:rsidR="00732EA4" w:rsidRPr="003B6C43" w:rsidRDefault="00732EA4" w:rsidP="00732EA4">
      <w:pPr>
        <w:numPr>
          <w:ilvl w:val="0"/>
          <w:numId w:val="6"/>
        </w:numPr>
        <w:spacing w:after="0" w:line="240" w:lineRule="auto"/>
        <w:ind w:left="1418" w:hanging="709"/>
        <w:contextualSpacing/>
        <w:jc w:val="both"/>
        <w:rPr>
          <w:rFonts w:ascii="Cambria" w:hAnsi="Cambria"/>
        </w:rPr>
      </w:pPr>
      <w:r w:rsidRPr="003B6C43">
        <w:rPr>
          <w:rFonts w:ascii="Cambria" w:hAnsi="Cambria"/>
        </w:rPr>
        <w:t>The State ensured access to school within a radius of the home of the petitioner and her family group, for the purposes of enrollment and all other related procedures.</w:t>
      </w:r>
    </w:p>
    <w:p w14:paraId="3F9B3E20" w14:textId="77777777" w:rsidR="00732EA4" w:rsidRPr="003B6C43" w:rsidRDefault="00732EA4" w:rsidP="00732EA4">
      <w:pPr>
        <w:numPr>
          <w:ilvl w:val="0"/>
          <w:numId w:val="6"/>
        </w:numPr>
        <w:spacing w:after="0" w:line="240" w:lineRule="auto"/>
        <w:ind w:left="1418" w:hanging="709"/>
        <w:contextualSpacing/>
        <w:jc w:val="both"/>
        <w:rPr>
          <w:rFonts w:ascii="Cambria" w:hAnsi="Cambria"/>
        </w:rPr>
      </w:pPr>
      <w:r w:rsidRPr="003B6C43">
        <w:rPr>
          <w:rFonts w:ascii="Cambria" w:hAnsi="Cambria"/>
          <w:lang w:val="en"/>
        </w:rPr>
        <w:t xml:space="preserve">All the necessary work to refurbish and recondition the property delivered to Mrs. Ramos Rocha was carried out. </w:t>
      </w:r>
    </w:p>
    <w:p w14:paraId="348955C8" w14:textId="19C50712" w:rsidR="003E6F57" w:rsidRPr="003B6C43" w:rsidRDefault="00732EA4" w:rsidP="007B0DA9">
      <w:pPr>
        <w:numPr>
          <w:ilvl w:val="0"/>
          <w:numId w:val="6"/>
        </w:numPr>
        <w:spacing w:after="0" w:line="240" w:lineRule="auto"/>
        <w:ind w:left="1418" w:right="4" w:hanging="709"/>
        <w:contextualSpacing/>
        <w:jc w:val="both"/>
        <w:rPr>
          <w:rFonts w:ascii="Cambria" w:eastAsia="MS Mincho" w:hAnsi="Cambria"/>
          <w:color w:val="000000"/>
          <w:lang w:val="en"/>
        </w:rPr>
      </w:pPr>
      <w:r w:rsidRPr="003B6C43">
        <w:rPr>
          <w:rFonts w:ascii="Cambria" w:hAnsi="Cambria"/>
          <w:color w:val="000000"/>
          <w:lang w:val="en"/>
        </w:rPr>
        <w:t>The property transfer deed was signed in favor of Mrs. Ramos Rocha.</w:t>
      </w:r>
    </w:p>
    <w:sectPr w:rsidR="003E6F57" w:rsidRPr="003B6C43" w:rsidSect="003B6C4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CEE4" w14:textId="77777777" w:rsidR="002D73E6" w:rsidRDefault="002D73E6" w:rsidP="00A343FF">
      <w:pPr>
        <w:spacing w:after="0" w:line="240" w:lineRule="auto"/>
      </w:pPr>
      <w:r>
        <w:separator/>
      </w:r>
    </w:p>
  </w:endnote>
  <w:endnote w:type="continuationSeparator" w:id="0">
    <w:p w14:paraId="417C9429" w14:textId="77777777" w:rsidR="002D73E6" w:rsidRDefault="002D73E6"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7511F9"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50E9" w14:textId="77777777" w:rsidR="002D73E6" w:rsidRDefault="002D73E6" w:rsidP="00A343FF">
      <w:pPr>
        <w:spacing w:after="0" w:line="240" w:lineRule="auto"/>
      </w:pPr>
      <w:r>
        <w:separator/>
      </w:r>
    </w:p>
  </w:footnote>
  <w:footnote w:type="continuationSeparator" w:id="0">
    <w:p w14:paraId="6019DFBE" w14:textId="77777777" w:rsidR="002D73E6" w:rsidRDefault="002D73E6" w:rsidP="00A343FF">
      <w:pPr>
        <w:spacing w:after="0" w:line="240" w:lineRule="auto"/>
      </w:pPr>
      <w:r>
        <w:continuationSeparator/>
      </w:r>
    </w:p>
  </w:footnote>
  <w:footnote w:id="1">
    <w:p w14:paraId="301C04EC" w14:textId="77777777" w:rsidR="001011E0" w:rsidRPr="007175E2" w:rsidRDefault="001011E0" w:rsidP="007175E2">
      <w:pPr>
        <w:pStyle w:val="FootnoteText"/>
        <w:tabs>
          <w:tab w:val="left" w:pos="180"/>
        </w:tabs>
        <w:ind w:right="-448" w:firstLine="720"/>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Style w:val="FootnoteReference"/>
          <w:rFonts w:ascii="Cambria" w:hAnsi="Cambria"/>
          <w:color w:val="000000" w:themeColor="text1"/>
          <w:sz w:val="16"/>
          <w:szCs w:val="16"/>
        </w:rPr>
        <w:t xml:space="preserve"> </w:t>
      </w:r>
      <w:r w:rsidRPr="007175E2">
        <w:rPr>
          <w:rFonts w:ascii="Cambria" w:hAnsi="Cambria"/>
          <w:color w:val="000000" w:themeColor="text1"/>
          <w:sz w:val="16"/>
          <w:szCs w:val="16"/>
        </w:rPr>
        <w:t>See IACHR, Annual Report 2021, Chapter II, Section F: Progress and Setbacks in the Negotiation and Implementation of Friendly Settlement Agreements, Available at: https://www.oas.org/es/cidh/docs/anual/2021/capitulos/IA2021cap2-es.pdf.</w:t>
      </w:r>
    </w:p>
  </w:footnote>
  <w:footnote w:id="2">
    <w:p w14:paraId="3DF5AC06" w14:textId="77777777" w:rsidR="001011E0" w:rsidRPr="007175E2" w:rsidRDefault="001011E0" w:rsidP="007175E2">
      <w:pPr>
        <w:pStyle w:val="FootnoteText"/>
        <w:tabs>
          <w:tab w:val="left" w:pos="180"/>
        </w:tabs>
        <w:ind w:right="-448" w:firstLine="720"/>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3">
    <w:p w14:paraId="14D5374D" w14:textId="77777777" w:rsidR="001011E0" w:rsidRPr="007175E2" w:rsidRDefault="001011E0" w:rsidP="007175E2">
      <w:pPr>
        <w:pStyle w:val="NormalWeb"/>
        <w:spacing w:before="0" w:beforeAutospacing="0" w:after="0" w:afterAutospacing="0"/>
        <w:ind w:firstLine="709"/>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197/20, Case 13.011. Friendly Settlement. Graciela Ramos Rocha and family. Argentina. July 12, 2020. </w:t>
      </w:r>
      <w:hyperlink r:id="rId1" w:history="1">
        <w:r w:rsidRPr="007175E2">
          <w:rPr>
            <w:rStyle w:val="Hyperlink"/>
            <w:rFonts w:ascii="Cambria" w:hAnsi="Cambria"/>
            <w:color w:val="000000" w:themeColor="text1"/>
            <w:sz w:val="16"/>
            <w:szCs w:val="16"/>
            <w:lang w:eastAsia="es-ES_tradnl"/>
          </w:rPr>
          <w:t>http://www.oas.org/es/cidh/decisiones/2020/arsa13011es.pdf</w:t>
        </w:r>
      </w:hyperlink>
      <w:r w:rsidRPr="007175E2">
        <w:rPr>
          <w:rFonts w:ascii="Cambria" w:hAnsi="Cambria"/>
          <w:color w:val="000000" w:themeColor="text1"/>
          <w:sz w:val="16"/>
          <w:szCs w:val="16"/>
          <w:lang w:eastAsia="es-ES_tradnl"/>
        </w:rPr>
        <w:t xml:space="preserve"> </w:t>
      </w:r>
    </w:p>
  </w:footnote>
  <w:footnote w:id="4">
    <w:p w14:paraId="52B745A3" w14:textId="77777777" w:rsidR="001011E0" w:rsidRPr="007175E2" w:rsidRDefault="001011E0" w:rsidP="007175E2">
      <w:pPr>
        <w:pStyle w:val="FootnoteText"/>
        <w:tabs>
          <w:tab w:val="left" w:pos="180"/>
        </w:tabs>
        <w:ind w:right="-448" w:firstLine="720"/>
        <w:contextualSpacing/>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See IACHR, Annual Report 2021, Chapter II, Section F: Progress and Setbacks in the Negotiation and Implementation of Friendly Settlement Agreements, Available at: https://www.oas.org/es/cidh/docs/anual/2021/capitulos/IA2021cap2-es.pdf.</w:t>
      </w:r>
    </w:p>
  </w:footnote>
  <w:footnote w:id="5">
    <w:p w14:paraId="5BF74EB0" w14:textId="77777777" w:rsidR="001011E0" w:rsidRPr="007175E2" w:rsidRDefault="001011E0" w:rsidP="007175E2">
      <w:pPr>
        <w:pStyle w:val="NoSpacing"/>
        <w:ind w:firstLine="720"/>
        <w:jc w:val="both"/>
        <w:rPr>
          <w:rFonts w:ascii="Cambria" w:hAnsi="Cambria"/>
          <w:color w:val="000000" w:themeColor="text1"/>
          <w:sz w:val="16"/>
          <w:szCs w:val="16"/>
          <w:lang w:eastAsia="es-ES_tradnl"/>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197/20, Case 13.011. Friendly Settlement. Graciela Ramos Rocha and family. Argentina. July 12, 2020. </w:t>
      </w:r>
      <w:hyperlink r:id="rId2" w:history="1">
        <w:r w:rsidRPr="007175E2">
          <w:rPr>
            <w:rStyle w:val="Hyperlink"/>
            <w:rFonts w:ascii="Cambria" w:hAnsi="Cambria"/>
            <w:color w:val="000000" w:themeColor="text1"/>
            <w:sz w:val="16"/>
            <w:szCs w:val="16"/>
            <w:lang w:eastAsia="es-ES_tradnl"/>
          </w:rPr>
          <w:t>http://www.oas.org/es/cidh/decisiones/2020/arsa13011es.pdf</w:t>
        </w:r>
      </w:hyperlink>
      <w:r w:rsidRPr="007175E2">
        <w:rPr>
          <w:rFonts w:ascii="Cambria" w:hAnsi="Cambria"/>
          <w:color w:val="000000" w:themeColor="text1"/>
          <w:sz w:val="16"/>
          <w:szCs w:val="16"/>
          <w:lang w:eastAsia="es-ES_tradnl"/>
        </w:rPr>
        <w:t xml:space="preserve"> </w:t>
      </w:r>
    </w:p>
  </w:footnote>
  <w:footnote w:id="6">
    <w:p w14:paraId="399292ED" w14:textId="77777777" w:rsidR="00C30658" w:rsidRPr="007175E2" w:rsidRDefault="00C30658" w:rsidP="007175E2">
      <w:pPr>
        <w:pStyle w:val="NoSpacing"/>
        <w:ind w:firstLine="720"/>
        <w:jc w:val="both"/>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 xml:space="preserve">IACHR, Report No. 197/20, Case 13.011. Friendly Settlement. Graciela Ramos Rocha and family. Argentina. July 12, 2020. </w:t>
      </w:r>
      <w:hyperlink r:id="rId3" w:history="1">
        <w:r w:rsidRPr="007175E2">
          <w:rPr>
            <w:rStyle w:val="Hyperlink"/>
            <w:rFonts w:ascii="Cambria" w:hAnsi="Cambria"/>
            <w:color w:val="000000" w:themeColor="text1"/>
            <w:sz w:val="16"/>
            <w:szCs w:val="16"/>
            <w:lang w:eastAsia="es-ES_tradnl"/>
          </w:rPr>
          <w:t>http://www.oas.org/es/cidh/decisiones/2020/arsa13011es.pdf</w:t>
        </w:r>
      </w:hyperlink>
    </w:p>
  </w:footnote>
  <w:footnote w:id="7">
    <w:p w14:paraId="471B5188" w14:textId="77777777" w:rsidR="00C30658" w:rsidRPr="007175E2" w:rsidRDefault="00C30658" w:rsidP="007175E2">
      <w:pPr>
        <w:pStyle w:val="NoSpacing"/>
        <w:ind w:firstLine="720"/>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IACHR, Report No. 197/20, Case 13.011. Friendly Settlement. Graciela Ramos Rocha and family. Argentina. July 12, 2020.</w:t>
      </w:r>
      <w:hyperlink r:id="rId4" w:history="1">
        <w:r w:rsidRPr="007175E2">
          <w:rPr>
            <w:rStyle w:val="Hyperlink"/>
            <w:rFonts w:ascii="Cambria" w:hAnsi="Cambria"/>
            <w:color w:val="000000" w:themeColor="text1"/>
            <w:sz w:val="16"/>
            <w:szCs w:val="16"/>
            <w:lang w:eastAsia="es-ES_tradnl"/>
          </w:rPr>
          <w:t>http://www.oas.org/es/cidh/decisiones/2020/arsa13011es.pdf</w:t>
        </w:r>
      </w:hyperlink>
    </w:p>
  </w:footnote>
  <w:footnote w:id="8">
    <w:p w14:paraId="7E13BA86" w14:textId="77777777" w:rsidR="006C2B06" w:rsidRPr="007175E2" w:rsidRDefault="006C2B06" w:rsidP="007175E2">
      <w:pPr>
        <w:pStyle w:val="NoSpacing"/>
        <w:ind w:firstLine="720"/>
        <w:jc w:val="both"/>
        <w:rPr>
          <w:rFonts w:ascii="Cambria" w:hAnsi="Cambria"/>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 </w:t>
      </w:r>
      <w:r w:rsidRPr="007175E2">
        <w:rPr>
          <w:rFonts w:ascii="Cambria" w:hAnsi="Cambria"/>
          <w:color w:val="000000" w:themeColor="text1"/>
          <w:sz w:val="16"/>
          <w:szCs w:val="16"/>
          <w:lang w:eastAsia="es-ES_tradnl"/>
        </w:rPr>
        <w:t>IACHR, Report No. 197/20, Case 13.011. Friendly Settlement. Graciela Ramos Rocha and family. Argentina. July 12, 2020.</w:t>
      </w:r>
      <w:hyperlink r:id="rId5" w:history="1">
        <w:r w:rsidRPr="007175E2">
          <w:rPr>
            <w:rStyle w:val="Hyperlink"/>
            <w:rFonts w:ascii="Cambria" w:hAnsi="Cambria"/>
            <w:color w:val="000000" w:themeColor="text1"/>
            <w:sz w:val="16"/>
            <w:szCs w:val="16"/>
            <w:lang w:eastAsia="es-ES_tradnl"/>
          </w:rPr>
          <w:t>http://www.oas.org/es/cidh/decisiones/2020/arsa13011es.pdf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7511F9">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5168"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7511F9"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FD7A2C"/>
    <w:multiLevelType w:val="hybridMultilevel"/>
    <w:tmpl w:val="4784E1C6"/>
    <w:lvl w:ilvl="0" w:tplc="D3AE3734">
      <w:start w:val="4"/>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F14F93"/>
    <w:multiLevelType w:val="hybridMultilevel"/>
    <w:tmpl w:val="DBFAC472"/>
    <w:lvl w:ilvl="0" w:tplc="093C7C1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0"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30"/>
  </w:num>
  <w:num w:numId="3" w16cid:durableId="897327684">
    <w:abstractNumId w:val="19"/>
  </w:num>
  <w:num w:numId="4" w16cid:durableId="1141650489">
    <w:abstractNumId w:val="29"/>
  </w:num>
  <w:num w:numId="5" w16cid:durableId="746342540">
    <w:abstractNumId w:val="14"/>
  </w:num>
  <w:num w:numId="6" w16cid:durableId="1621692518">
    <w:abstractNumId w:val="6"/>
  </w:num>
  <w:num w:numId="7" w16cid:durableId="971790784">
    <w:abstractNumId w:val="1"/>
  </w:num>
  <w:num w:numId="8" w16cid:durableId="1387029646">
    <w:abstractNumId w:val="36"/>
  </w:num>
  <w:num w:numId="9" w16cid:durableId="1086881292">
    <w:abstractNumId w:val="7"/>
  </w:num>
  <w:num w:numId="10" w16cid:durableId="1292322756">
    <w:abstractNumId w:val="12"/>
  </w:num>
  <w:num w:numId="11" w16cid:durableId="1000500350">
    <w:abstractNumId w:val="2"/>
  </w:num>
  <w:num w:numId="12" w16cid:durableId="1706103099">
    <w:abstractNumId w:val="35"/>
  </w:num>
  <w:num w:numId="13" w16cid:durableId="1756710271">
    <w:abstractNumId w:val="22"/>
  </w:num>
  <w:num w:numId="14" w16cid:durableId="1099252676">
    <w:abstractNumId w:val="39"/>
  </w:num>
  <w:num w:numId="15" w16cid:durableId="1030109151">
    <w:abstractNumId w:val="17"/>
  </w:num>
  <w:num w:numId="16" w16cid:durableId="1722748191">
    <w:abstractNumId w:val="16"/>
  </w:num>
  <w:num w:numId="17" w16cid:durableId="351491452">
    <w:abstractNumId w:val="28"/>
  </w:num>
  <w:num w:numId="18" w16cid:durableId="1027633537">
    <w:abstractNumId w:val="9"/>
  </w:num>
  <w:num w:numId="19" w16cid:durableId="457845413">
    <w:abstractNumId w:val="27"/>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0"/>
  </w:num>
  <w:num w:numId="22" w16cid:durableId="2003926928">
    <w:abstractNumId w:val="10"/>
  </w:num>
  <w:num w:numId="23" w16cid:durableId="1497725357">
    <w:abstractNumId w:val="23"/>
  </w:num>
  <w:num w:numId="24" w16cid:durableId="307248652">
    <w:abstractNumId w:val="25"/>
  </w:num>
  <w:num w:numId="25" w16cid:durableId="1985550389">
    <w:abstractNumId w:val="5"/>
  </w:num>
  <w:num w:numId="26" w16cid:durableId="1478456909">
    <w:abstractNumId w:val="8"/>
  </w:num>
  <w:num w:numId="27" w16cid:durableId="1176925587">
    <w:abstractNumId w:val="3"/>
  </w:num>
  <w:num w:numId="28" w16cid:durableId="1876766616">
    <w:abstractNumId w:val="37"/>
  </w:num>
  <w:num w:numId="29" w16cid:durableId="2142572164">
    <w:abstractNumId w:val="34"/>
  </w:num>
  <w:num w:numId="30" w16cid:durableId="571933528">
    <w:abstractNumId w:val="32"/>
  </w:num>
  <w:num w:numId="31" w16cid:durableId="1861430946">
    <w:abstractNumId w:val="15"/>
  </w:num>
  <w:num w:numId="32" w16cid:durableId="803893092">
    <w:abstractNumId w:val="18"/>
  </w:num>
  <w:num w:numId="33" w16cid:durableId="1739936026">
    <w:abstractNumId w:val="4"/>
  </w:num>
  <w:num w:numId="34" w16cid:durableId="1458915668">
    <w:abstractNumId w:val="31"/>
  </w:num>
  <w:num w:numId="35" w16cid:durableId="1599485303">
    <w:abstractNumId w:val="40"/>
  </w:num>
  <w:num w:numId="36" w16cid:durableId="1664964272">
    <w:abstractNumId w:val="38"/>
  </w:num>
  <w:num w:numId="37" w16cid:durableId="2074966919">
    <w:abstractNumId w:val="33"/>
  </w:num>
  <w:num w:numId="38" w16cid:durableId="20934263">
    <w:abstractNumId w:val="24"/>
  </w:num>
  <w:num w:numId="39" w16cid:durableId="195656616">
    <w:abstractNumId w:val="26"/>
  </w:num>
  <w:num w:numId="40" w16cid:durableId="778568459">
    <w:abstractNumId w:val="13"/>
  </w:num>
  <w:num w:numId="41" w16cid:durableId="541288114">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40E8E"/>
    <w:rsid w:val="002547E7"/>
    <w:rsid w:val="00260836"/>
    <w:rsid w:val="00277604"/>
    <w:rsid w:val="002859A9"/>
    <w:rsid w:val="00292B52"/>
    <w:rsid w:val="00294A83"/>
    <w:rsid w:val="00294B17"/>
    <w:rsid w:val="002A39B2"/>
    <w:rsid w:val="002D40CD"/>
    <w:rsid w:val="002D73E6"/>
    <w:rsid w:val="002E4FBC"/>
    <w:rsid w:val="002F156A"/>
    <w:rsid w:val="00324C1A"/>
    <w:rsid w:val="00335042"/>
    <w:rsid w:val="00336E78"/>
    <w:rsid w:val="003419CC"/>
    <w:rsid w:val="00343CED"/>
    <w:rsid w:val="0036283E"/>
    <w:rsid w:val="00385F0C"/>
    <w:rsid w:val="00393310"/>
    <w:rsid w:val="00394EEF"/>
    <w:rsid w:val="003B6C43"/>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511F9"/>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E024B"/>
    <w:rsid w:val="00CE74B7"/>
    <w:rsid w:val="00CF54E1"/>
    <w:rsid w:val="00D048B2"/>
    <w:rsid w:val="00D05BCC"/>
    <w:rsid w:val="00D23C64"/>
    <w:rsid w:val="00D735C2"/>
    <w:rsid w:val="00D76EDC"/>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n/iachr/decisions/2020/arsa13011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s.org/en/iachr/decisions/2015/ARAD1213-07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2020/arsa13011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2020/arsa13011es.pdf" TargetMode="External"/><Relationship Id="rId2" Type="http://schemas.openxmlformats.org/officeDocument/2006/relationships/hyperlink" Target="http://www.oas.org/es/cidh/decisiones/2020/arsa13011es.pdf" TargetMode="External"/><Relationship Id="rId1" Type="http://schemas.openxmlformats.org/officeDocument/2006/relationships/hyperlink" Target="http://www.oas.org/es/cidh/decisiones/2020/arsa13011es.pdf" TargetMode="External"/><Relationship Id="rId5" Type="http://schemas.openxmlformats.org/officeDocument/2006/relationships/hyperlink" Target="http://www.oas.org/es/cidh/decisiones/2020/arsa13011es.pdf" TargetMode="External"/><Relationship Id="rId4" Type="http://schemas.openxmlformats.org/officeDocument/2006/relationships/hyperlink" Target="http://www.oas.org/es/cidh/decisiones/2020/arsa13011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2023-03-07T20:27:00Z</dcterms:created>
  <dcterms:modified xsi:type="dcterms:W3CDTF">2023-03-07T20:27:00Z</dcterms:modified>
</cp:coreProperties>
</file>