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BE1DE" w14:textId="77777777" w:rsidR="005719FA" w:rsidRDefault="005719FA" w:rsidP="0043583A">
      <w:pPr>
        <w:spacing w:after="0" w:line="240" w:lineRule="auto"/>
        <w:ind w:right="4"/>
        <w:jc w:val="center"/>
        <w:rPr>
          <w:rFonts w:ascii="Cambria" w:eastAsia="Batang" w:hAnsi="Cambria"/>
          <w:b/>
          <w:color w:val="000000"/>
        </w:rPr>
      </w:pPr>
    </w:p>
    <w:p w14:paraId="091F50D3" w14:textId="294B6C06" w:rsidR="0043583A" w:rsidRPr="007175E2" w:rsidRDefault="0043583A" w:rsidP="0043583A">
      <w:pPr>
        <w:spacing w:after="0" w:line="240" w:lineRule="auto"/>
        <w:ind w:right="4"/>
        <w:jc w:val="center"/>
        <w:rPr>
          <w:rFonts w:ascii="Cambria" w:eastAsia="Batang" w:hAnsi="Cambria"/>
          <w:b/>
          <w:color w:val="000000"/>
        </w:rPr>
      </w:pPr>
      <w:r w:rsidRPr="007175E2">
        <w:rPr>
          <w:rFonts w:ascii="Cambria" w:eastAsia="Batang" w:hAnsi="Cambria"/>
          <w:b/>
          <w:color w:val="000000"/>
        </w:rPr>
        <w:t>TECHNICAL INFORMATION SHEET</w:t>
      </w:r>
    </w:p>
    <w:p w14:paraId="116C6E92" w14:textId="77777777" w:rsidR="0043583A" w:rsidRPr="007175E2" w:rsidRDefault="0043583A" w:rsidP="0043583A">
      <w:pPr>
        <w:spacing w:after="0" w:line="240" w:lineRule="auto"/>
        <w:ind w:right="4"/>
        <w:jc w:val="center"/>
        <w:rPr>
          <w:rFonts w:ascii="Cambria" w:hAnsi="Cambria"/>
          <w:b/>
          <w:color w:val="000000" w:themeColor="text1"/>
        </w:rPr>
      </w:pPr>
      <w:r w:rsidRPr="007175E2">
        <w:rPr>
          <w:rFonts w:ascii="Cambria" w:hAnsi="Cambria"/>
          <w:b/>
          <w:color w:val="000000"/>
        </w:rPr>
        <w:t>PETITION P-245-</w:t>
      </w:r>
      <w:r w:rsidRPr="007175E2">
        <w:rPr>
          <w:rFonts w:ascii="Cambria" w:hAnsi="Cambria"/>
          <w:b/>
          <w:color w:val="000000" w:themeColor="text1"/>
        </w:rPr>
        <w:t>03 WALTER MAURO YÁÑEZ</w:t>
      </w:r>
    </w:p>
    <w:p w14:paraId="07DA9F30" w14:textId="4A579E3A" w:rsidR="0043583A" w:rsidRPr="007175E2" w:rsidRDefault="0043583A" w:rsidP="0043583A">
      <w:pPr>
        <w:spacing w:after="0" w:line="240" w:lineRule="auto"/>
        <w:ind w:right="4"/>
        <w:jc w:val="center"/>
        <w:rPr>
          <w:rFonts w:ascii="Cambria" w:eastAsia="Batang" w:hAnsi="Cambria"/>
          <w:b/>
          <w:color w:val="000000" w:themeColor="text1"/>
        </w:rPr>
      </w:pPr>
      <w:r w:rsidRPr="007175E2">
        <w:rPr>
          <w:rFonts w:ascii="Cambria" w:eastAsia="Batang" w:hAnsi="Cambria"/>
          <w:b/>
          <w:color w:val="000000" w:themeColor="text1"/>
        </w:rPr>
        <w:t>FRIENDLY SETTLEMENT REPORT No.</w:t>
      </w:r>
      <w:r w:rsidR="00A76705" w:rsidRPr="007175E2">
        <w:rPr>
          <w:rFonts w:ascii="Cambria" w:eastAsia="Batang" w:hAnsi="Cambria"/>
          <w:b/>
          <w:color w:val="000000" w:themeColor="text1"/>
        </w:rPr>
        <w:t xml:space="preserve"> </w:t>
      </w:r>
      <w:hyperlink r:id="rId11" w:history="1">
        <w:r w:rsidRPr="007175E2">
          <w:rPr>
            <w:rStyle w:val="Hyperlink"/>
            <w:rFonts w:ascii="Cambria" w:eastAsia="Batang" w:hAnsi="Cambria"/>
            <w:b/>
            <w:bCs/>
            <w:color w:val="000000" w:themeColor="text1"/>
            <w:u w:val="none"/>
          </w:rPr>
          <w:t>39/21</w:t>
        </w:r>
      </w:hyperlink>
    </w:p>
    <w:p w14:paraId="6919BBF4" w14:textId="77777777" w:rsidR="0043583A" w:rsidRPr="007175E2" w:rsidRDefault="0043583A" w:rsidP="0043583A">
      <w:pPr>
        <w:spacing w:after="0" w:line="240" w:lineRule="auto"/>
        <w:ind w:right="4"/>
        <w:jc w:val="center"/>
        <w:rPr>
          <w:rFonts w:ascii="Cambria" w:eastAsia="Batang" w:hAnsi="Cambria"/>
          <w:b/>
          <w:color w:val="000000" w:themeColor="text1"/>
        </w:rPr>
      </w:pPr>
      <w:r w:rsidRPr="007175E2">
        <w:rPr>
          <w:rFonts w:ascii="Cambria" w:eastAsia="Batang" w:hAnsi="Cambria"/>
          <w:b/>
          <w:color w:val="000000" w:themeColor="text1"/>
        </w:rPr>
        <w:t>TOTAL COMPLIANCE</w:t>
      </w:r>
    </w:p>
    <w:p w14:paraId="1B4C7B16" w14:textId="77777777" w:rsidR="0043583A" w:rsidRPr="007175E2" w:rsidRDefault="0043583A" w:rsidP="0043583A">
      <w:pPr>
        <w:spacing w:after="0" w:line="240" w:lineRule="auto"/>
        <w:ind w:right="4"/>
        <w:jc w:val="center"/>
        <w:rPr>
          <w:rFonts w:ascii="Cambria" w:eastAsia="Batang" w:hAnsi="Cambria"/>
          <w:b/>
          <w:color w:val="000000" w:themeColor="text1"/>
        </w:rPr>
      </w:pPr>
      <w:r w:rsidRPr="007175E2">
        <w:rPr>
          <w:rFonts w:ascii="Cambria" w:eastAsia="Batang" w:hAnsi="Cambria"/>
          <w:b/>
          <w:color w:val="000000" w:themeColor="text1"/>
        </w:rPr>
        <w:t>(ARGENTINA)</w:t>
      </w:r>
    </w:p>
    <w:p w14:paraId="601ACB50" w14:textId="77777777" w:rsidR="0043583A" w:rsidRPr="007175E2" w:rsidRDefault="0043583A" w:rsidP="0043583A">
      <w:pPr>
        <w:spacing w:after="0" w:line="240" w:lineRule="auto"/>
        <w:ind w:right="-270"/>
        <w:jc w:val="center"/>
        <w:rPr>
          <w:rFonts w:ascii="Cambria" w:eastAsia="Batang" w:hAnsi="Cambria"/>
          <w:b/>
          <w:color w:val="000000" w:themeColor="text1"/>
        </w:rPr>
      </w:pPr>
    </w:p>
    <w:p w14:paraId="7EF6B179" w14:textId="77777777" w:rsidR="0043583A" w:rsidRPr="007175E2" w:rsidRDefault="0043583A" w:rsidP="0043583A">
      <w:pPr>
        <w:numPr>
          <w:ilvl w:val="0"/>
          <w:numId w:val="13"/>
        </w:numPr>
        <w:spacing w:after="0" w:line="240" w:lineRule="auto"/>
        <w:rPr>
          <w:rFonts w:ascii="Cambria" w:eastAsia="Batang" w:hAnsi="Cambria" w:cs="Calibri Light"/>
          <w:b/>
          <w:color w:val="000000" w:themeColor="text1"/>
        </w:rPr>
      </w:pPr>
      <w:r w:rsidRPr="007175E2">
        <w:rPr>
          <w:rFonts w:ascii="Cambria" w:eastAsia="Batang" w:hAnsi="Cambria" w:cs="Calibri Light"/>
          <w:b/>
          <w:color w:val="000000" w:themeColor="text1"/>
        </w:rPr>
        <w:t>SUMMARY OF THE CASE</w:t>
      </w:r>
    </w:p>
    <w:p w14:paraId="4E61227D" w14:textId="77777777" w:rsidR="005719FA" w:rsidRDefault="005719FA" w:rsidP="00F024F0">
      <w:pPr>
        <w:tabs>
          <w:tab w:val="left" w:pos="9270"/>
        </w:tabs>
        <w:spacing w:after="0" w:line="240" w:lineRule="auto"/>
        <w:jc w:val="both"/>
        <w:rPr>
          <w:rFonts w:ascii="Cambria" w:eastAsia="Batang" w:hAnsi="Cambria"/>
          <w:b/>
          <w:color w:val="000000" w:themeColor="text1"/>
        </w:rPr>
      </w:pPr>
    </w:p>
    <w:tbl>
      <w:tblPr>
        <w:tblW w:w="9234"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234"/>
      </w:tblGrid>
      <w:tr w:rsidR="002E4FBC" w:rsidRPr="007175E2" w14:paraId="67107CF2" w14:textId="77777777" w:rsidTr="002E4FBC">
        <w:trPr>
          <w:trHeight w:val="8120"/>
        </w:trPr>
        <w:tc>
          <w:tcPr>
            <w:tcW w:w="9234" w:type="dxa"/>
            <w:shd w:val="clear" w:color="auto" w:fill="F2F2F2"/>
          </w:tcPr>
          <w:p w14:paraId="1538AB79" w14:textId="77777777" w:rsidR="0043583A" w:rsidRPr="007175E2" w:rsidRDefault="0043583A" w:rsidP="00F024F0">
            <w:pPr>
              <w:tabs>
                <w:tab w:val="left" w:pos="9270"/>
              </w:tabs>
              <w:spacing w:after="0" w:line="240" w:lineRule="auto"/>
              <w:jc w:val="both"/>
              <w:rPr>
                <w:rFonts w:ascii="Cambria" w:eastAsia="Batang" w:hAnsi="Cambria"/>
                <w:b/>
                <w:color w:val="000000" w:themeColor="text1"/>
              </w:rPr>
            </w:pPr>
            <w:r w:rsidRPr="007175E2">
              <w:rPr>
                <w:rFonts w:ascii="Cambria" w:eastAsia="Batang" w:hAnsi="Cambria"/>
                <w:b/>
                <w:color w:val="000000" w:themeColor="text1"/>
              </w:rPr>
              <w:t xml:space="preserve">Victim(s): </w:t>
            </w:r>
            <w:r w:rsidRPr="007175E2">
              <w:rPr>
                <w:rFonts w:ascii="Cambria" w:eastAsia="Batang" w:hAnsi="Cambria"/>
                <w:bCs/>
                <w:color w:val="000000" w:themeColor="text1"/>
              </w:rPr>
              <w:t>Walter Mauro Yáñez</w:t>
            </w:r>
          </w:p>
          <w:p w14:paraId="3A170D03" w14:textId="77777777" w:rsidR="0043583A" w:rsidRPr="005719FA" w:rsidRDefault="0043583A" w:rsidP="00F024F0">
            <w:pPr>
              <w:tabs>
                <w:tab w:val="left" w:pos="9270"/>
              </w:tabs>
              <w:spacing w:after="0" w:line="240" w:lineRule="auto"/>
              <w:jc w:val="both"/>
              <w:rPr>
                <w:rFonts w:ascii="Cambria" w:eastAsia="Batang" w:hAnsi="Cambria"/>
                <w:b/>
                <w:bCs/>
                <w:color w:val="000000" w:themeColor="text1"/>
              </w:rPr>
            </w:pPr>
            <w:r w:rsidRPr="005719FA">
              <w:rPr>
                <w:rFonts w:ascii="Cambria" w:eastAsia="Batang" w:hAnsi="Cambria"/>
                <w:b/>
                <w:color w:val="000000" w:themeColor="text1"/>
              </w:rPr>
              <w:t xml:space="preserve">Petitioner(s): </w:t>
            </w:r>
            <w:r w:rsidRPr="005719FA">
              <w:rPr>
                <w:rFonts w:ascii="Cambria" w:eastAsia="Batang" w:hAnsi="Cambria"/>
                <w:color w:val="000000" w:themeColor="text1"/>
              </w:rPr>
              <w:t>Pablo Gabriel Salinas Cavalotti, Alfredo Ramón Guevara, Carlos Valera Álvarez and Diego Jorge Lavado</w:t>
            </w:r>
          </w:p>
          <w:p w14:paraId="215AED94" w14:textId="77777777" w:rsidR="0043583A" w:rsidRPr="007175E2" w:rsidRDefault="0043583A" w:rsidP="00F024F0">
            <w:pPr>
              <w:tabs>
                <w:tab w:val="left" w:pos="9270"/>
              </w:tabs>
              <w:spacing w:after="0" w:line="240" w:lineRule="auto"/>
              <w:jc w:val="both"/>
              <w:rPr>
                <w:rFonts w:ascii="Cambria" w:eastAsia="Batang" w:hAnsi="Cambria"/>
                <w:b/>
                <w:color w:val="000000" w:themeColor="text1"/>
              </w:rPr>
            </w:pPr>
            <w:r w:rsidRPr="007175E2">
              <w:rPr>
                <w:rFonts w:ascii="Cambria" w:eastAsia="Batang" w:hAnsi="Cambria"/>
                <w:b/>
                <w:color w:val="000000" w:themeColor="text1"/>
              </w:rPr>
              <w:t xml:space="preserve">State: </w:t>
            </w:r>
            <w:r w:rsidRPr="007175E2">
              <w:rPr>
                <w:rFonts w:ascii="Cambria" w:eastAsia="Batang" w:hAnsi="Cambria"/>
                <w:bCs/>
                <w:color w:val="000000" w:themeColor="text1"/>
              </w:rPr>
              <w:t>Argentina</w:t>
            </w:r>
          </w:p>
          <w:p w14:paraId="3859172A" w14:textId="77777777" w:rsidR="0043583A" w:rsidRPr="007175E2" w:rsidRDefault="0043583A" w:rsidP="00F024F0">
            <w:pPr>
              <w:tabs>
                <w:tab w:val="left" w:pos="9270"/>
              </w:tabs>
              <w:spacing w:after="0" w:line="240" w:lineRule="auto"/>
              <w:jc w:val="both"/>
              <w:rPr>
                <w:rFonts w:ascii="Cambria" w:eastAsia="Batang" w:hAnsi="Cambria"/>
                <w:b/>
                <w:color w:val="000000" w:themeColor="text1"/>
              </w:rPr>
            </w:pPr>
            <w:r w:rsidRPr="007175E2">
              <w:rPr>
                <w:rFonts w:ascii="Cambria" w:eastAsia="Batang" w:hAnsi="Cambria"/>
                <w:b/>
                <w:bCs/>
                <w:color w:val="000000" w:themeColor="text1"/>
              </w:rPr>
              <w:t xml:space="preserve">Beginning of the negotiation date: </w:t>
            </w:r>
            <w:r w:rsidRPr="007175E2">
              <w:rPr>
                <w:rFonts w:ascii="Cambria" w:eastAsia="Batang" w:hAnsi="Cambria"/>
                <w:bCs/>
                <w:color w:val="000000" w:themeColor="text1"/>
              </w:rPr>
              <w:t>July 21, 2005</w:t>
            </w:r>
          </w:p>
          <w:p w14:paraId="4CDA7C46" w14:textId="77777777" w:rsidR="0043583A" w:rsidRPr="007175E2" w:rsidRDefault="0043583A" w:rsidP="00F024F0">
            <w:pPr>
              <w:tabs>
                <w:tab w:val="left" w:pos="9270"/>
              </w:tabs>
              <w:spacing w:after="0" w:line="240" w:lineRule="auto"/>
              <w:jc w:val="both"/>
              <w:rPr>
                <w:rFonts w:ascii="Cambria" w:eastAsia="Batang" w:hAnsi="Cambria"/>
                <w:b/>
                <w:bCs/>
                <w:color w:val="000000" w:themeColor="text1"/>
              </w:rPr>
            </w:pPr>
            <w:r w:rsidRPr="007175E2">
              <w:rPr>
                <w:rFonts w:ascii="Cambria" w:eastAsia="Batang" w:hAnsi="Cambria"/>
                <w:b/>
                <w:bCs/>
                <w:color w:val="000000" w:themeColor="text1"/>
              </w:rPr>
              <w:t>SA signature date:</w:t>
            </w:r>
            <w:r w:rsidRPr="007175E2">
              <w:rPr>
                <w:rFonts w:ascii="Cambria" w:eastAsia="Batang" w:hAnsi="Cambria"/>
                <w:b/>
                <w:color w:val="000000" w:themeColor="text1"/>
              </w:rPr>
              <w:t xml:space="preserve"> </w:t>
            </w:r>
            <w:r w:rsidRPr="007175E2">
              <w:rPr>
                <w:rFonts w:ascii="Cambria" w:eastAsia="Batang" w:hAnsi="Cambria"/>
                <w:bCs/>
                <w:color w:val="000000" w:themeColor="text1"/>
              </w:rPr>
              <w:t>July 29, 2020</w:t>
            </w:r>
          </w:p>
          <w:p w14:paraId="74DE7759" w14:textId="77777777" w:rsidR="0043583A" w:rsidRPr="007175E2" w:rsidRDefault="0043583A" w:rsidP="00F024F0">
            <w:pPr>
              <w:tabs>
                <w:tab w:val="left" w:pos="9270"/>
              </w:tabs>
              <w:spacing w:after="0" w:line="240" w:lineRule="auto"/>
              <w:jc w:val="both"/>
              <w:rPr>
                <w:rFonts w:ascii="Cambria" w:eastAsia="Batang" w:hAnsi="Cambria"/>
                <w:bCs/>
                <w:color w:val="000000" w:themeColor="text1"/>
              </w:rPr>
            </w:pPr>
            <w:r w:rsidRPr="007175E2">
              <w:rPr>
                <w:rFonts w:ascii="Cambria" w:eastAsia="Batang" w:hAnsi="Cambria"/>
                <w:b/>
                <w:color w:val="000000" w:themeColor="text1"/>
              </w:rPr>
              <w:t>Friendly Settlement Agreement Report N</w:t>
            </w:r>
            <w:r w:rsidR="00062031" w:rsidRPr="007175E2">
              <w:rPr>
                <w:rFonts w:ascii="Cambria" w:eastAsia="Batang" w:hAnsi="Cambria"/>
                <w:b/>
                <w:color w:val="000000" w:themeColor="text1"/>
              </w:rPr>
              <w:t>º:</w:t>
            </w:r>
            <w:r w:rsidRPr="007175E2">
              <w:rPr>
                <w:rFonts w:ascii="Cambria" w:eastAsia="Batang" w:hAnsi="Cambria"/>
                <w:b/>
                <w:color w:val="000000" w:themeColor="text1"/>
              </w:rPr>
              <w:t xml:space="preserve"> </w:t>
            </w:r>
            <w:hyperlink r:id="rId12" w:history="1">
              <w:r w:rsidRPr="007175E2">
                <w:rPr>
                  <w:rStyle w:val="Hyperlink"/>
                  <w:rFonts w:ascii="Cambria" w:eastAsia="Batang" w:hAnsi="Cambria"/>
                  <w:b/>
                  <w:bCs/>
                  <w:color w:val="000000" w:themeColor="text1"/>
                </w:rPr>
                <w:t>39/21</w:t>
              </w:r>
            </w:hyperlink>
            <w:r w:rsidRPr="007175E2">
              <w:rPr>
                <w:rFonts w:ascii="Cambria" w:eastAsia="Batang" w:hAnsi="Cambria"/>
                <w:bCs/>
                <w:color w:val="000000" w:themeColor="text1"/>
              </w:rPr>
              <w:t xml:space="preserve"> published on March 19, 2021</w:t>
            </w:r>
          </w:p>
          <w:p w14:paraId="15957D15" w14:textId="77777777" w:rsidR="0043583A" w:rsidRPr="007175E2" w:rsidRDefault="0043583A" w:rsidP="00F024F0">
            <w:pPr>
              <w:tabs>
                <w:tab w:val="left" w:pos="9270"/>
              </w:tabs>
              <w:spacing w:after="0" w:line="240" w:lineRule="auto"/>
              <w:jc w:val="both"/>
              <w:rPr>
                <w:rFonts w:ascii="Cambria" w:eastAsia="Batang" w:hAnsi="Cambria"/>
                <w:b/>
                <w:bCs/>
                <w:color w:val="000000" w:themeColor="text1"/>
              </w:rPr>
            </w:pPr>
            <w:r w:rsidRPr="007175E2">
              <w:rPr>
                <w:rFonts w:ascii="Cambria" w:eastAsia="Batang" w:hAnsi="Cambria"/>
                <w:b/>
                <w:bCs/>
                <w:color w:val="000000" w:themeColor="text1"/>
              </w:rPr>
              <w:t xml:space="preserve">Estimated length of the negotiation phase: </w:t>
            </w:r>
            <w:r w:rsidRPr="007175E2">
              <w:rPr>
                <w:rFonts w:ascii="Cambria" w:eastAsia="Batang" w:hAnsi="Cambria"/>
                <w:bCs/>
                <w:color w:val="000000" w:themeColor="text1"/>
              </w:rPr>
              <w:t>15 years</w:t>
            </w:r>
          </w:p>
          <w:p w14:paraId="22EC49E6" w14:textId="77777777" w:rsidR="0043583A" w:rsidRPr="007175E2" w:rsidRDefault="0043583A" w:rsidP="00F024F0">
            <w:pPr>
              <w:tabs>
                <w:tab w:val="left" w:pos="9270"/>
              </w:tabs>
              <w:spacing w:after="0" w:line="240" w:lineRule="auto"/>
              <w:jc w:val="both"/>
              <w:rPr>
                <w:rFonts w:ascii="Cambria" w:eastAsia="Batang" w:hAnsi="Cambria"/>
                <w:b/>
                <w:color w:val="000000" w:themeColor="text1"/>
              </w:rPr>
            </w:pPr>
            <w:r w:rsidRPr="007175E2">
              <w:rPr>
                <w:rFonts w:ascii="Cambria" w:eastAsia="Batang" w:hAnsi="Cambria"/>
                <w:b/>
                <w:color w:val="000000" w:themeColor="text1"/>
              </w:rPr>
              <w:t xml:space="preserve">Related Rapporteurship: </w:t>
            </w:r>
            <w:r w:rsidRPr="007175E2">
              <w:rPr>
                <w:rFonts w:ascii="Cambria" w:eastAsia="Batang" w:hAnsi="Cambria"/>
                <w:bCs/>
                <w:color w:val="000000" w:themeColor="text1"/>
              </w:rPr>
              <w:t>N/A</w:t>
            </w:r>
          </w:p>
          <w:p w14:paraId="5DDBCA07" w14:textId="77777777" w:rsidR="0043583A" w:rsidRPr="007175E2" w:rsidRDefault="0043583A" w:rsidP="00F024F0">
            <w:pPr>
              <w:tabs>
                <w:tab w:val="left" w:pos="9270"/>
              </w:tabs>
              <w:spacing w:after="0" w:line="240" w:lineRule="auto"/>
              <w:jc w:val="both"/>
              <w:rPr>
                <w:rFonts w:ascii="Cambria" w:eastAsia="Batang" w:hAnsi="Cambria"/>
                <w:b/>
                <w:bCs/>
                <w:color w:val="000000" w:themeColor="text1"/>
              </w:rPr>
            </w:pPr>
            <w:r w:rsidRPr="007175E2">
              <w:rPr>
                <w:rFonts w:ascii="Cambria" w:eastAsia="Batang" w:hAnsi="Cambria"/>
                <w:b/>
                <w:color w:val="000000" w:themeColor="text1"/>
              </w:rPr>
              <w:t xml:space="preserve">Topics: </w:t>
            </w:r>
            <w:r w:rsidRPr="007175E2">
              <w:rPr>
                <w:rFonts w:ascii="Cambria" w:eastAsia="Batang" w:hAnsi="Cambria"/>
                <w:color w:val="000000" w:themeColor="text1"/>
              </w:rPr>
              <w:t>Judicial Protection / Right to life</w:t>
            </w:r>
          </w:p>
          <w:p w14:paraId="53E267B3" w14:textId="77777777" w:rsidR="0043583A" w:rsidRPr="007175E2" w:rsidRDefault="0043583A" w:rsidP="00F024F0">
            <w:pPr>
              <w:tabs>
                <w:tab w:val="left" w:pos="9270"/>
              </w:tabs>
              <w:spacing w:after="0" w:line="240" w:lineRule="auto"/>
              <w:jc w:val="both"/>
              <w:rPr>
                <w:rFonts w:ascii="Cambria" w:eastAsia="Batang" w:hAnsi="Cambria"/>
                <w:b/>
                <w:color w:val="000000" w:themeColor="text1"/>
              </w:rPr>
            </w:pPr>
          </w:p>
          <w:p w14:paraId="2FB13337" w14:textId="77777777" w:rsidR="0043583A" w:rsidRPr="007175E2" w:rsidRDefault="0043583A" w:rsidP="00F024F0">
            <w:pPr>
              <w:tabs>
                <w:tab w:val="left" w:pos="9270"/>
              </w:tabs>
              <w:spacing w:after="0" w:line="240" w:lineRule="auto"/>
              <w:jc w:val="both"/>
              <w:rPr>
                <w:rFonts w:ascii="Cambria" w:eastAsia="Batang" w:hAnsi="Cambria"/>
                <w:b/>
                <w:color w:val="000000" w:themeColor="text1"/>
              </w:rPr>
            </w:pPr>
            <w:r w:rsidRPr="007175E2">
              <w:rPr>
                <w:rFonts w:ascii="Cambria" w:eastAsia="Batang" w:hAnsi="Cambria"/>
                <w:b/>
                <w:color w:val="000000" w:themeColor="text1"/>
              </w:rPr>
              <w:t xml:space="preserve">Facts: </w:t>
            </w:r>
            <w:r w:rsidRPr="007175E2">
              <w:rPr>
                <w:rFonts w:ascii="Cambria" w:eastAsia="Batang" w:hAnsi="Cambria"/>
                <w:bCs/>
                <w:color w:val="000000" w:themeColor="text1"/>
              </w:rPr>
              <w:t>The petitioners alleged the international responsibility of the Argentine State for the events of March 11, 2001, when Walter Mauro Yáñez died of a gunshot wound allegedly perpetrated by an Infantry Officer of the Mendoza Police Station, who was the co-owner of a grocery store that had been broken into by four young men, including the alleged victim. According to the petitioners, Daniel Alejandro Cabrillana, an Infantry Officer of the Mendoza Police Station, opened fire without saying the command “Police stop”, as opposed to what he claimed as the reason he felt forced to draw and fire his weapon. According to the petitioners, the judicial process would have resulted in the release from house arrest of Mr. Cabrillana and, later, in the rejection of the statements of those who participated in the attempted robbery on account of their status as defendants in the proceedings of the case. According to the petitioners, on November 26, 2001, the accused was dismissed as the period of the extraordinary extension had expired, and the Judge understood the situation of doubt regarding the facts under investigation had not changed. The petitioners claimed they had appealed the dismissal only to be denied, later, they filed a new appeal, which was also rejected by the judge. When they did not receive a favorable response, the petitioners filed a complaint with the Supreme Court of Justice of the Province of Mendoza, which also rejected the petitioners' appeal.</w:t>
            </w:r>
          </w:p>
          <w:p w14:paraId="3C06A21E" w14:textId="77777777" w:rsidR="0043583A" w:rsidRPr="007175E2" w:rsidRDefault="0043583A" w:rsidP="00F024F0">
            <w:pPr>
              <w:tabs>
                <w:tab w:val="left" w:pos="9270"/>
              </w:tabs>
              <w:spacing w:after="0" w:line="240" w:lineRule="auto"/>
              <w:jc w:val="both"/>
              <w:rPr>
                <w:rFonts w:ascii="Cambria" w:eastAsia="Batang" w:hAnsi="Cambria"/>
                <w:b/>
                <w:color w:val="000000" w:themeColor="text1"/>
              </w:rPr>
            </w:pPr>
          </w:p>
          <w:p w14:paraId="65862A45" w14:textId="24DDFFFF" w:rsidR="0043583A" w:rsidRPr="007175E2" w:rsidRDefault="0043583A" w:rsidP="00F024F0">
            <w:pPr>
              <w:tabs>
                <w:tab w:val="left" w:pos="9270"/>
              </w:tabs>
              <w:spacing w:after="0" w:line="240" w:lineRule="auto"/>
              <w:jc w:val="both"/>
              <w:rPr>
                <w:rFonts w:ascii="Cambria" w:eastAsia="Batang" w:hAnsi="Cambria"/>
                <w:color w:val="000000" w:themeColor="text1"/>
              </w:rPr>
            </w:pPr>
            <w:r w:rsidRPr="007175E2">
              <w:rPr>
                <w:rFonts w:ascii="Cambria" w:eastAsia="Batang" w:hAnsi="Cambria"/>
                <w:b/>
                <w:color w:val="000000" w:themeColor="text1"/>
              </w:rPr>
              <w:t xml:space="preserve">Rights alleged: </w:t>
            </w:r>
            <w:r w:rsidRPr="007175E2">
              <w:rPr>
                <w:rFonts w:ascii="Cambria" w:eastAsia="Batang" w:hAnsi="Cambria"/>
                <w:color w:val="000000" w:themeColor="text1"/>
              </w:rPr>
              <w:t xml:space="preserve">The petitioners alleged the Argentine State violated </w:t>
            </w:r>
            <w:r w:rsidR="00504855" w:rsidRPr="007175E2">
              <w:rPr>
                <w:rFonts w:ascii="Cambria" w:eastAsia="Batang" w:hAnsi="Cambria"/>
                <w:color w:val="000000" w:themeColor="text1"/>
              </w:rPr>
              <w:t xml:space="preserve">articles </w:t>
            </w:r>
            <w:r w:rsidRPr="007175E2">
              <w:rPr>
                <w:rFonts w:ascii="Cambria" w:eastAsia="Batang" w:hAnsi="Cambria"/>
                <w:color w:val="000000" w:themeColor="text1"/>
              </w:rPr>
              <w:t>4 (right to life), 8 (right to a fair trial), and 25 (right to judicial protection) of the American Convention in connection with the obligations established in articles 1(1) and 2 of the same instrument.</w:t>
            </w:r>
          </w:p>
        </w:tc>
      </w:tr>
    </w:tbl>
    <w:p w14:paraId="2AAAC1A4" w14:textId="77777777" w:rsidR="0096419E" w:rsidRDefault="0096419E" w:rsidP="0096419E">
      <w:pPr>
        <w:tabs>
          <w:tab w:val="left" w:pos="7809"/>
        </w:tabs>
        <w:spacing w:after="0"/>
        <w:rPr>
          <w:rFonts w:ascii="Cambria" w:eastAsia="Batang" w:hAnsi="Cambria" w:cs="Calibri Light"/>
          <w:b/>
          <w:color w:val="080808"/>
          <w:highlight w:val="yellow"/>
        </w:rPr>
      </w:pPr>
    </w:p>
    <w:p w14:paraId="62877A61" w14:textId="77777777" w:rsidR="0096419E" w:rsidRPr="007175E2" w:rsidRDefault="0096419E" w:rsidP="0096419E">
      <w:pPr>
        <w:pStyle w:val="ListParagraph"/>
        <w:numPr>
          <w:ilvl w:val="0"/>
          <w:numId w:val="13"/>
        </w:numPr>
        <w:spacing w:after="0" w:line="240" w:lineRule="auto"/>
        <w:jc w:val="both"/>
        <w:rPr>
          <w:rFonts w:ascii="Cambria" w:eastAsia="Batang" w:hAnsi="Cambria" w:cs="Calibri Light"/>
          <w:b/>
          <w:color w:val="000000"/>
        </w:rPr>
      </w:pPr>
      <w:r w:rsidRPr="007175E2">
        <w:rPr>
          <w:rFonts w:ascii="Cambria" w:eastAsia="Batang" w:hAnsi="Cambria"/>
          <w:b/>
          <w:color w:val="000000"/>
        </w:rPr>
        <w:t>PROCEDURAL ACTIVITY</w:t>
      </w:r>
    </w:p>
    <w:p w14:paraId="6C31116B" w14:textId="77777777" w:rsidR="0096419E" w:rsidRPr="007175E2" w:rsidRDefault="0096419E" w:rsidP="0096419E">
      <w:pPr>
        <w:spacing w:after="0" w:line="240" w:lineRule="auto"/>
        <w:ind w:firstLine="720"/>
        <w:contextualSpacing/>
        <w:jc w:val="both"/>
        <w:rPr>
          <w:rFonts w:ascii="Cambria" w:eastAsia="Batang" w:hAnsi="Cambria" w:cs="Calibri Light"/>
          <w:b/>
          <w:color w:val="000000"/>
        </w:rPr>
      </w:pPr>
    </w:p>
    <w:p w14:paraId="3C932BC8" w14:textId="77777777" w:rsidR="004C7C99" w:rsidRPr="007175E2" w:rsidRDefault="004C7C99" w:rsidP="004C7C99">
      <w:pPr>
        <w:pStyle w:val="ListParagraph"/>
        <w:numPr>
          <w:ilvl w:val="6"/>
          <w:numId w:val="10"/>
        </w:numPr>
        <w:spacing w:after="0" w:line="240" w:lineRule="auto"/>
        <w:ind w:left="0" w:firstLine="720"/>
        <w:jc w:val="both"/>
        <w:rPr>
          <w:rFonts w:ascii="Cambria" w:eastAsia="Batang" w:hAnsi="Cambria" w:cs="Calibri Light"/>
          <w:color w:val="000000"/>
        </w:rPr>
      </w:pPr>
      <w:r w:rsidRPr="007175E2">
        <w:rPr>
          <w:rFonts w:ascii="Cambria" w:eastAsia="Batang" w:hAnsi="Cambria"/>
          <w:color w:val="000000"/>
        </w:rPr>
        <w:t>The IACHR published the report approving the friendly settlement agreement on March 19, 2021, accounting for the full compliance of the friendly settlement agreement and consequently decided to cease its supervision and closed the case</w:t>
      </w:r>
      <w:r w:rsidRPr="007175E2">
        <w:rPr>
          <w:rFonts w:ascii="Cambria" w:eastAsia="Batang" w:hAnsi="Cambria" w:cs="Calibri Light"/>
          <w:color w:val="000000"/>
        </w:rPr>
        <w:t>.</w:t>
      </w:r>
    </w:p>
    <w:p w14:paraId="684AF054" w14:textId="77777777" w:rsidR="004C7C99" w:rsidRPr="007175E2" w:rsidRDefault="004C7C99" w:rsidP="004C7C99">
      <w:pPr>
        <w:pStyle w:val="ListParagraph"/>
        <w:spacing w:after="0" w:line="240" w:lineRule="auto"/>
        <w:ind w:left="5040"/>
        <w:jc w:val="both"/>
        <w:rPr>
          <w:rFonts w:ascii="Cambria" w:eastAsia="Batang" w:hAnsi="Cambria" w:cs="Calibri Light"/>
          <w:color w:val="000000"/>
        </w:rPr>
      </w:pPr>
    </w:p>
    <w:p w14:paraId="72765094" w14:textId="77777777" w:rsidR="0096419E" w:rsidRPr="007175E2" w:rsidRDefault="0096419E" w:rsidP="0096419E">
      <w:pPr>
        <w:spacing w:after="0" w:line="240" w:lineRule="auto"/>
        <w:ind w:firstLine="709"/>
        <w:contextualSpacing/>
        <w:jc w:val="both"/>
        <w:rPr>
          <w:rFonts w:ascii="Cambria" w:eastAsia="Batang" w:hAnsi="Cambria" w:cs="Calibri Light"/>
          <w:color w:val="000000"/>
          <w:highlight w:val="cyan"/>
        </w:rPr>
      </w:pPr>
    </w:p>
    <w:p w14:paraId="3FFE2611" w14:textId="77777777" w:rsidR="0096419E" w:rsidRPr="007175E2" w:rsidRDefault="0096419E" w:rsidP="0096419E">
      <w:pPr>
        <w:pStyle w:val="ListParagraph"/>
        <w:numPr>
          <w:ilvl w:val="0"/>
          <w:numId w:val="13"/>
        </w:numPr>
        <w:spacing w:after="0" w:line="240" w:lineRule="auto"/>
        <w:ind w:left="0" w:firstLine="720"/>
        <w:jc w:val="both"/>
        <w:rPr>
          <w:rFonts w:ascii="Cambria" w:eastAsia="Batang" w:hAnsi="Cambria" w:cs="Calibri Light"/>
          <w:b/>
          <w:color w:val="000000"/>
        </w:rPr>
      </w:pPr>
      <w:r w:rsidRPr="007175E2">
        <w:rPr>
          <w:rFonts w:ascii="Cambria" w:eastAsia="Batang" w:hAnsi="Cambria" w:cs="Calibri Light"/>
          <w:b/>
          <w:color w:val="000000"/>
        </w:rPr>
        <w:t>ANALYSIS OF COMPLIANCE WITH THE CLAUSES OF THE FRIENDLY SETTLEMENT AGREEMENT</w:t>
      </w:r>
    </w:p>
    <w:p w14:paraId="14072E06" w14:textId="77777777" w:rsidR="0096419E" w:rsidRPr="007175E2" w:rsidRDefault="0096419E" w:rsidP="0096419E">
      <w:pPr>
        <w:spacing w:after="0" w:line="240" w:lineRule="auto"/>
        <w:rPr>
          <w:rFonts w:ascii="Cambria" w:eastAsia="Batang" w:hAnsi="Cambria"/>
          <w:color w:val="000000"/>
        </w:rPr>
      </w:pPr>
    </w:p>
    <w:tbl>
      <w:tblPr>
        <w:tblW w:w="9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872"/>
      </w:tblGrid>
      <w:tr w:rsidR="0096419E" w:rsidRPr="007175E2" w14:paraId="62674F88" w14:textId="77777777" w:rsidTr="00F024F0">
        <w:tc>
          <w:tcPr>
            <w:tcW w:w="73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7D5978" w14:textId="77777777" w:rsidR="0096419E" w:rsidRPr="007175E2" w:rsidRDefault="0096419E" w:rsidP="00F024F0">
            <w:pPr>
              <w:tabs>
                <w:tab w:val="center" w:pos="2049"/>
              </w:tabs>
              <w:spacing w:after="0" w:line="240" w:lineRule="auto"/>
              <w:jc w:val="center"/>
              <w:rPr>
                <w:rFonts w:ascii="Cambria" w:eastAsia="Batang" w:hAnsi="Cambria"/>
                <w:b/>
                <w:color w:val="000000"/>
              </w:rPr>
            </w:pPr>
            <w:r w:rsidRPr="007175E2">
              <w:rPr>
                <w:rFonts w:ascii="Cambria" w:eastAsia="Batang" w:hAnsi="Cambria"/>
                <w:b/>
                <w:color w:val="000000"/>
              </w:rPr>
              <w:t xml:space="preserve">Clause of the Agreement </w:t>
            </w:r>
          </w:p>
        </w:tc>
        <w:tc>
          <w:tcPr>
            <w:tcW w:w="18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DE40C3" w14:textId="77777777" w:rsidR="0096419E" w:rsidRPr="007175E2" w:rsidRDefault="0096419E" w:rsidP="00F024F0">
            <w:pPr>
              <w:spacing w:after="0" w:line="240" w:lineRule="auto"/>
              <w:jc w:val="center"/>
              <w:rPr>
                <w:rFonts w:ascii="Cambria" w:eastAsia="Batang" w:hAnsi="Cambria"/>
                <w:b/>
                <w:color w:val="000000"/>
              </w:rPr>
            </w:pPr>
            <w:r w:rsidRPr="007175E2">
              <w:rPr>
                <w:rFonts w:ascii="Cambria" w:eastAsia="Batang" w:hAnsi="Cambria"/>
                <w:b/>
                <w:color w:val="000000"/>
              </w:rPr>
              <w:t xml:space="preserve">Status of Implementation </w:t>
            </w:r>
          </w:p>
        </w:tc>
      </w:tr>
      <w:tr w:rsidR="0096419E" w:rsidRPr="007175E2" w14:paraId="5F438E15" w14:textId="77777777" w:rsidTr="00F024F0">
        <w:tc>
          <w:tcPr>
            <w:tcW w:w="9243" w:type="dxa"/>
            <w:gridSpan w:val="2"/>
            <w:tcBorders>
              <w:top w:val="single" w:sz="4" w:space="0" w:color="auto"/>
              <w:left w:val="single" w:sz="4" w:space="0" w:color="auto"/>
              <w:bottom w:val="single" w:sz="4" w:space="0" w:color="auto"/>
              <w:right w:val="single" w:sz="4" w:space="0" w:color="auto"/>
            </w:tcBorders>
            <w:vAlign w:val="center"/>
          </w:tcPr>
          <w:p w14:paraId="3062F451" w14:textId="77777777" w:rsidR="0096419E" w:rsidRPr="007175E2" w:rsidRDefault="0096419E" w:rsidP="00F024F0">
            <w:pPr>
              <w:spacing w:after="0" w:line="240" w:lineRule="auto"/>
              <w:jc w:val="both"/>
              <w:rPr>
                <w:rFonts w:ascii="Cambria" w:hAnsi="Cambria"/>
                <w:b/>
                <w:bCs/>
                <w:color w:val="000000"/>
              </w:rPr>
            </w:pPr>
            <w:r w:rsidRPr="007175E2">
              <w:rPr>
                <w:rFonts w:ascii="Cambria" w:hAnsi="Cambria"/>
                <w:b/>
                <w:bCs/>
                <w:color w:val="000000"/>
              </w:rPr>
              <w:t>3) In accordance with the statement in the preceding point, the Government of the Province of Mendoza undertakes to make full reparation to the successors in title of Walter Mauro Yañez, with prior agreement of the Attorney General, as follows:</w:t>
            </w:r>
          </w:p>
        </w:tc>
      </w:tr>
      <w:tr w:rsidR="0096419E" w:rsidRPr="007175E2" w14:paraId="57384E05" w14:textId="77777777" w:rsidTr="00F024F0">
        <w:trPr>
          <w:trHeight w:val="608"/>
        </w:trPr>
        <w:tc>
          <w:tcPr>
            <w:tcW w:w="7371" w:type="dxa"/>
            <w:tcBorders>
              <w:top w:val="single" w:sz="4" w:space="0" w:color="auto"/>
              <w:left w:val="single" w:sz="4" w:space="0" w:color="auto"/>
              <w:bottom w:val="single" w:sz="4" w:space="0" w:color="auto"/>
              <w:right w:val="single" w:sz="4" w:space="0" w:color="auto"/>
            </w:tcBorders>
            <w:vAlign w:val="center"/>
          </w:tcPr>
          <w:p w14:paraId="3DAEA07C" w14:textId="77777777" w:rsidR="0096419E" w:rsidRPr="007175E2" w:rsidRDefault="0096419E" w:rsidP="00F024F0">
            <w:pPr>
              <w:numPr>
                <w:ilvl w:val="0"/>
                <w:numId w:val="14"/>
              </w:numPr>
              <w:spacing w:after="0" w:line="240" w:lineRule="auto"/>
              <w:ind w:left="0" w:right="72" w:firstLine="0"/>
              <w:jc w:val="both"/>
              <w:rPr>
                <w:rFonts w:ascii="Cambria" w:hAnsi="Cambria"/>
                <w:bCs/>
                <w:color w:val="000000"/>
                <w:kern w:val="36"/>
              </w:rPr>
            </w:pPr>
            <w:r w:rsidRPr="007175E2">
              <w:rPr>
                <w:rFonts w:ascii="Cambria" w:eastAsia="Batang" w:hAnsi="Cambria" w:cs="Calibri Light"/>
                <w:color w:val="000000"/>
              </w:rPr>
              <w:t>By the highest authorities of the Province of Mendoza making a public request for an apology to the next of kin of the victim;</w:t>
            </w:r>
          </w:p>
        </w:tc>
        <w:tc>
          <w:tcPr>
            <w:tcW w:w="1872" w:type="dxa"/>
            <w:tcBorders>
              <w:top w:val="single" w:sz="4" w:space="0" w:color="auto"/>
              <w:left w:val="single" w:sz="4" w:space="0" w:color="auto"/>
              <w:bottom w:val="single" w:sz="4" w:space="0" w:color="auto"/>
              <w:right w:val="single" w:sz="4" w:space="0" w:color="auto"/>
            </w:tcBorders>
            <w:vAlign w:val="center"/>
            <w:hideMark/>
          </w:tcPr>
          <w:p w14:paraId="6F4F7B41" w14:textId="77777777" w:rsidR="0096419E" w:rsidRPr="007175E2" w:rsidRDefault="0096419E" w:rsidP="00F024F0">
            <w:pPr>
              <w:spacing w:after="0" w:line="240" w:lineRule="auto"/>
              <w:jc w:val="center"/>
              <w:rPr>
                <w:rFonts w:ascii="Cambria" w:eastAsia="Batang" w:hAnsi="Cambria"/>
                <w:b/>
                <w:bCs/>
                <w:color w:val="000000"/>
              </w:rPr>
            </w:pPr>
            <w:r w:rsidRPr="007175E2">
              <w:rPr>
                <w:rFonts w:ascii="Cambria" w:eastAsia="Batang" w:hAnsi="Cambria"/>
                <w:b/>
                <w:color w:val="000000"/>
                <w:lang w:val="es-CO"/>
              </w:rPr>
              <w:t>Total</w:t>
            </w:r>
            <w:r w:rsidRPr="007175E2">
              <w:rPr>
                <w:rFonts w:ascii="Cambria" w:eastAsia="Batang" w:hAnsi="Cambria"/>
                <w:b/>
                <w:color w:val="000000"/>
                <w:vertAlign w:val="superscript"/>
                <w:lang w:val="es-CO"/>
              </w:rPr>
              <w:footnoteReference w:id="1"/>
            </w:r>
          </w:p>
        </w:tc>
      </w:tr>
      <w:tr w:rsidR="0096419E" w:rsidRPr="007175E2" w14:paraId="5008E058" w14:textId="77777777" w:rsidTr="00F024F0">
        <w:trPr>
          <w:trHeight w:val="608"/>
        </w:trPr>
        <w:tc>
          <w:tcPr>
            <w:tcW w:w="7371" w:type="dxa"/>
            <w:tcBorders>
              <w:top w:val="single" w:sz="4" w:space="0" w:color="auto"/>
              <w:left w:val="single" w:sz="4" w:space="0" w:color="auto"/>
              <w:bottom w:val="single" w:sz="4" w:space="0" w:color="auto"/>
              <w:right w:val="single" w:sz="4" w:space="0" w:color="auto"/>
            </w:tcBorders>
            <w:vAlign w:val="center"/>
          </w:tcPr>
          <w:p w14:paraId="2615F4C1" w14:textId="59E3DA08" w:rsidR="0096419E" w:rsidRPr="007175E2" w:rsidRDefault="0096419E" w:rsidP="00F024F0">
            <w:pPr>
              <w:numPr>
                <w:ilvl w:val="0"/>
                <w:numId w:val="14"/>
              </w:numPr>
              <w:spacing w:after="0" w:line="240" w:lineRule="auto"/>
              <w:ind w:left="0" w:right="72" w:firstLine="0"/>
              <w:jc w:val="both"/>
              <w:rPr>
                <w:rFonts w:ascii="Cambria" w:eastAsia="Batang" w:hAnsi="Cambria" w:cs="Calibri Light"/>
                <w:color w:val="000000"/>
              </w:rPr>
            </w:pPr>
            <w:r w:rsidRPr="007175E2">
              <w:rPr>
                <w:rFonts w:ascii="Cambria" w:eastAsia="Batang" w:hAnsi="Cambria" w:cs="Calibri Light"/>
                <w:color w:val="000000"/>
              </w:rPr>
              <w:t xml:space="preserve">Initiate the corresponding procedures to create a Human Rights Prosecution Unit at the Office of the Public Prosecutor, which would </w:t>
            </w:r>
            <w:r w:rsidR="004F5F70" w:rsidRPr="007175E2">
              <w:rPr>
                <w:rFonts w:ascii="Cambria" w:eastAsia="Batang" w:hAnsi="Cambria" w:cs="Calibri Light"/>
                <w:color w:val="000000"/>
              </w:rPr>
              <w:t>oversee</w:t>
            </w:r>
            <w:r w:rsidRPr="007175E2">
              <w:rPr>
                <w:rFonts w:ascii="Cambria" w:eastAsia="Batang" w:hAnsi="Cambria" w:cs="Calibri Light"/>
                <w:color w:val="000000"/>
              </w:rPr>
              <w:t xml:space="preserve"> conducting the preparatory criminal investigation of crimes committed by members of the Security and Prison Forces and Penitentiaries.</w:t>
            </w:r>
          </w:p>
        </w:tc>
        <w:tc>
          <w:tcPr>
            <w:tcW w:w="1872" w:type="dxa"/>
            <w:tcBorders>
              <w:top w:val="single" w:sz="4" w:space="0" w:color="auto"/>
              <w:left w:val="single" w:sz="4" w:space="0" w:color="auto"/>
              <w:bottom w:val="single" w:sz="4" w:space="0" w:color="auto"/>
              <w:right w:val="single" w:sz="4" w:space="0" w:color="auto"/>
            </w:tcBorders>
            <w:vAlign w:val="center"/>
          </w:tcPr>
          <w:p w14:paraId="335B48E9" w14:textId="77777777" w:rsidR="0096419E" w:rsidRPr="007175E2" w:rsidRDefault="0096419E" w:rsidP="00F024F0">
            <w:pPr>
              <w:spacing w:after="0" w:line="240" w:lineRule="auto"/>
              <w:jc w:val="center"/>
              <w:rPr>
                <w:rFonts w:ascii="Cambria" w:eastAsia="Batang" w:hAnsi="Cambria"/>
                <w:b/>
                <w:color w:val="000000"/>
              </w:rPr>
            </w:pPr>
            <w:r w:rsidRPr="007175E2">
              <w:rPr>
                <w:rFonts w:ascii="Cambria" w:eastAsia="Batang" w:hAnsi="Cambria"/>
                <w:b/>
                <w:color w:val="000000"/>
                <w:lang w:val="es-CO"/>
              </w:rPr>
              <w:t>Total</w:t>
            </w:r>
            <w:r w:rsidRPr="007175E2">
              <w:rPr>
                <w:rFonts w:ascii="Cambria" w:eastAsia="Batang" w:hAnsi="Cambria"/>
                <w:b/>
                <w:color w:val="000000"/>
                <w:vertAlign w:val="superscript"/>
                <w:lang w:val="es-CO"/>
              </w:rPr>
              <w:footnoteReference w:id="2"/>
            </w:r>
          </w:p>
        </w:tc>
      </w:tr>
      <w:tr w:rsidR="0096419E" w:rsidRPr="007175E2" w14:paraId="0303F941" w14:textId="77777777" w:rsidTr="00F024F0">
        <w:trPr>
          <w:trHeight w:val="608"/>
        </w:trPr>
        <w:tc>
          <w:tcPr>
            <w:tcW w:w="7371" w:type="dxa"/>
            <w:tcBorders>
              <w:top w:val="single" w:sz="4" w:space="0" w:color="auto"/>
              <w:left w:val="single" w:sz="4" w:space="0" w:color="auto"/>
              <w:bottom w:val="single" w:sz="4" w:space="0" w:color="auto"/>
              <w:right w:val="single" w:sz="4" w:space="0" w:color="auto"/>
            </w:tcBorders>
            <w:vAlign w:val="center"/>
          </w:tcPr>
          <w:p w14:paraId="7F9377AA" w14:textId="77777777" w:rsidR="0096419E" w:rsidRPr="007175E2" w:rsidRDefault="0096419E" w:rsidP="00F024F0">
            <w:pPr>
              <w:numPr>
                <w:ilvl w:val="0"/>
                <w:numId w:val="14"/>
              </w:numPr>
              <w:spacing w:after="0" w:line="240" w:lineRule="auto"/>
              <w:ind w:left="0" w:right="72" w:firstLine="0"/>
              <w:jc w:val="both"/>
              <w:rPr>
                <w:rFonts w:ascii="Cambria" w:eastAsia="Batang" w:hAnsi="Cambria" w:cs="Calibri Light"/>
                <w:color w:val="000000"/>
              </w:rPr>
            </w:pPr>
            <w:r w:rsidRPr="007175E2">
              <w:rPr>
                <w:rFonts w:ascii="Cambria" w:eastAsia="Batang" w:hAnsi="Cambria" w:cs="Calibri Light"/>
                <w:color w:val="000000"/>
              </w:rPr>
              <w:t>Permanently train members of the Security and Prison Forces on Human Rights.</w:t>
            </w:r>
          </w:p>
        </w:tc>
        <w:tc>
          <w:tcPr>
            <w:tcW w:w="1872" w:type="dxa"/>
            <w:tcBorders>
              <w:top w:val="single" w:sz="4" w:space="0" w:color="auto"/>
              <w:left w:val="single" w:sz="4" w:space="0" w:color="auto"/>
              <w:bottom w:val="single" w:sz="4" w:space="0" w:color="auto"/>
              <w:right w:val="single" w:sz="4" w:space="0" w:color="auto"/>
            </w:tcBorders>
            <w:vAlign w:val="center"/>
          </w:tcPr>
          <w:p w14:paraId="5762C3F2" w14:textId="77777777" w:rsidR="0096419E" w:rsidRPr="007175E2" w:rsidRDefault="0096419E" w:rsidP="00F024F0">
            <w:pPr>
              <w:spacing w:after="0" w:line="240" w:lineRule="auto"/>
              <w:jc w:val="center"/>
              <w:rPr>
                <w:rFonts w:ascii="Cambria" w:eastAsia="Batang" w:hAnsi="Cambria"/>
                <w:b/>
                <w:color w:val="000000"/>
              </w:rPr>
            </w:pPr>
            <w:r w:rsidRPr="007175E2">
              <w:rPr>
                <w:rFonts w:ascii="Cambria" w:eastAsia="Batang" w:hAnsi="Cambria"/>
                <w:b/>
                <w:color w:val="000000"/>
                <w:lang w:val="es-CO"/>
              </w:rPr>
              <w:t>Total</w:t>
            </w:r>
            <w:r w:rsidRPr="007175E2">
              <w:rPr>
                <w:rFonts w:ascii="Cambria" w:eastAsia="Batang" w:hAnsi="Cambria"/>
                <w:b/>
                <w:color w:val="000000"/>
                <w:vertAlign w:val="superscript"/>
                <w:lang w:val="es-CO"/>
              </w:rPr>
              <w:footnoteReference w:id="3"/>
            </w:r>
          </w:p>
        </w:tc>
      </w:tr>
      <w:tr w:rsidR="0096419E" w:rsidRPr="007175E2" w14:paraId="096DAE8B" w14:textId="77777777" w:rsidTr="00F024F0">
        <w:trPr>
          <w:trHeight w:val="608"/>
        </w:trPr>
        <w:tc>
          <w:tcPr>
            <w:tcW w:w="7371" w:type="dxa"/>
            <w:tcBorders>
              <w:top w:val="single" w:sz="4" w:space="0" w:color="auto"/>
              <w:left w:val="single" w:sz="4" w:space="0" w:color="auto"/>
              <w:bottom w:val="single" w:sz="4" w:space="0" w:color="auto"/>
              <w:right w:val="single" w:sz="4" w:space="0" w:color="auto"/>
            </w:tcBorders>
            <w:vAlign w:val="center"/>
          </w:tcPr>
          <w:p w14:paraId="4A7DDA06" w14:textId="77777777" w:rsidR="0096419E" w:rsidRPr="007175E2" w:rsidRDefault="0096419E" w:rsidP="00F024F0">
            <w:pPr>
              <w:numPr>
                <w:ilvl w:val="0"/>
                <w:numId w:val="14"/>
              </w:numPr>
              <w:spacing w:after="0" w:line="240" w:lineRule="auto"/>
              <w:ind w:left="0" w:right="72" w:firstLine="0"/>
              <w:jc w:val="both"/>
              <w:rPr>
                <w:rFonts w:ascii="Cambria" w:eastAsia="Batang" w:hAnsi="Cambria" w:cs="Calibri Light"/>
                <w:color w:val="000000"/>
              </w:rPr>
            </w:pPr>
            <w:r w:rsidRPr="007175E2">
              <w:rPr>
                <w:rFonts w:ascii="Cambria" w:eastAsia="Batang" w:hAnsi="Cambria" w:cs="Calibri Light"/>
                <w:color w:val="000000"/>
              </w:rPr>
              <w:t>Provide compensation in the amount of $ 135.000 (one hundred and thirty-five thousand pesos) to Ms. Norma del Carmen Yañez for material and moral damages resulting from the violation of the right to fair trial and judicial protection during the investigation over the death of her son Walter Mauro Yañez.</w:t>
            </w:r>
          </w:p>
        </w:tc>
        <w:tc>
          <w:tcPr>
            <w:tcW w:w="1872" w:type="dxa"/>
            <w:tcBorders>
              <w:top w:val="single" w:sz="4" w:space="0" w:color="auto"/>
              <w:left w:val="single" w:sz="4" w:space="0" w:color="auto"/>
              <w:bottom w:val="single" w:sz="4" w:space="0" w:color="auto"/>
              <w:right w:val="single" w:sz="4" w:space="0" w:color="auto"/>
            </w:tcBorders>
            <w:vAlign w:val="center"/>
          </w:tcPr>
          <w:p w14:paraId="592206DA" w14:textId="77777777" w:rsidR="0096419E" w:rsidRPr="007175E2" w:rsidRDefault="0096419E" w:rsidP="00F024F0">
            <w:pPr>
              <w:spacing w:after="0" w:line="240" w:lineRule="auto"/>
              <w:jc w:val="center"/>
              <w:rPr>
                <w:rFonts w:ascii="Cambria" w:eastAsia="Batang" w:hAnsi="Cambria"/>
                <w:b/>
                <w:color w:val="000000"/>
              </w:rPr>
            </w:pPr>
            <w:r w:rsidRPr="007175E2">
              <w:rPr>
                <w:rFonts w:ascii="Cambria" w:eastAsia="Batang" w:hAnsi="Cambria"/>
                <w:b/>
                <w:color w:val="000000"/>
                <w:lang w:val="es-CO"/>
              </w:rPr>
              <w:t>Total</w:t>
            </w:r>
            <w:r w:rsidRPr="007175E2">
              <w:rPr>
                <w:rFonts w:ascii="Cambria" w:eastAsia="Batang" w:hAnsi="Cambria"/>
                <w:b/>
                <w:color w:val="000000"/>
                <w:vertAlign w:val="superscript"/>
                <w:lang w:val="es-CO"/>
              </w:rPr>
              <w:footnoteReference w:id="4"/>
            </w:r>
          </w:p>
        </w:tc>
      </w:tr>
      <w:tr w:rsidR="0096419E" w:rsidRPr="007175E2" w14:paraId="6FB8F69B" w14:textId="77777777" w:rsidTr="00F024F0">
        <w:trPr>
          <w:trHeight w:val="608"/>
        </w:trPr>
        <w:tc>
          <w:tcPr>
            <w:tcW w:w="7371" w:type="dxa"/>
            <w:tcBorders>
              <w:top w:val="single" w:sz="4" w:space="0" w:color="auto"/>
              <w:left w:val="single" w:sz="4" w:space="0" w:color="auto"/>
              <w:bottom w:val="single" w:sz="4" w:space="0" w:color="auto"/>
              <w:right w:val="single" w:sz="4" w:space="0" w:color="auto"/>
            </w:tcBorders>
            <w:vAlign w:val="center"/>
          </w:tcPr>
          <w:p w14:paraId="4FCDB9B3" w14:textId="77777777" w:rsidR="0096419E" w:rsidRPr="007175E2" w:rsidRDefault="0096419E" w:rsidP="00F024F0">
            <w:pPr>
              <w:numPr>
                <w:ilvl w:val="0"/>
                <w:numId w:val="14"/>
              </w:numPr>
              <w:spacing w:after="0" w:line="240" w:lineRule="auto"/>
              <w:ind w:left="0" w:right="72" w:firstLine="0"/>
              <w:jc w:val="both"/>
              <w:rPr>
                <w:rFonts w:ascii="Cambria" w:eastAsia="Batang" w:hAnsi="Cambria" w:cs="Calibri Light"/>
                <w:color w:val="000000"/>
              </w:rPr>
            </w:pPr>
            <w:r w:rsidRPr="007175E2">
              <w:rPr>
                <w:rFonts w:ascii="Cambria" w:eastAsia="Batang" w:hAnsi="Cambria" w:cs="Calibri Light"/>
                <w:color w:val="000000"/>
              </w:rPr>
              <w:t>Pay Ms. Norma del Carmen Yañez the sum of $ 40.000 (forty thousand pesos) for professional fees and legal costs and expenses.</w:t>
            </w:r>
          </w:p>
        </w:tc>
        <w:tc>
          <w:tcPr>
            <w:tcW w:w="1872" w:type="dxa"/>
            <w:tcBorders>
              <w:top w:val="single" w:sz="4" w:space="0" w:color="auto"/>
              <w:left w:val="single" w:sz="4" w:space="0" w:color="auto"/>
              <w:bottom w:val="single" w:sz="4" w:space="0" w:color="auto"/>
              <w:right w:val="single" w:sz="4" w:space="0" w:color="auto"/>
            </w:tcBorders>
            <w:vAlign w:val="center"/>
          </w:tcPr>
          <w:p w14:paraId="2259F281" w14:textId="77777777" w:rsidR="0096419E" w:rsidRPr="007175E2" w:rsidRDefault="0096419E" w:rsidP="00F024F0">
            <w:pPr>
              <w:spacing w:after="0" w:line="240" w:lineRule="auto"/>
              <w:jc w:val="center"/>
              <w:rPr>
                <w:rFonts w:ascii="Cambria" w:eastAsia="Batang" w:hAnsi="Cambria"/>
                <w:b/>
                <w:color w:val="000000"/>
              </w:rPr>
            </w:pPr>
            <w:r w:rsidRPr="007175E2">
              <w:rPr>
                <w:rFonts w:ascii="Cambria" w:eastAsia="Batang" w:hAnsi="Cambria"/>
                <w:b/>
                <w:color w:val="000000"/>
                <w:lang w:val="es-CO"/>
              </w:rPr>
              <w:t>Total</w:t>
            </w:r>
            <w:r w:rsidRPr="007175E2">
              <w:rPr>
                <w:rFonts w:ascii="Cambria" w:eastAsia="Batang" w:hAnsi="Cambria"/>
                <w:b/>
                <w:color w:val="000000"/>
                <w:sz w:val="20"/>
                <w:szCs w:val="20"/>
                <w:vertAlign w:val="superscript"/>
                <w:lang w:val="es-CO"/>
              </w:rPr>
              <w:footnoteReference w:id="5"/>
            </w:r>
          </w:p>
        </w:tc>
      </w:tr>
    </w:tbl>
    <w:p w14:paraId="25D99DE8" w14:textId="77777777" w:rsidR="0096419E" w:rsidRPr="007175E2" w:rsidRDefault="0096419E" w:rsidP="0096419E">
      <w:pPr>
        <w:tabs>
          <w:tab w:val="left" w:pos="720"/>
        </w:tabs>
        <w:autoSpaceDE w:val="0"/>
        <w:autoSpaceDN w:val="0"/>
        <w:adjustRightInd w:val="0"/>
        <w:spacing w:after="0" w:line="240" w:lineRule="auto"/>
        <w:ind w:left="1440"/>
        <w:jc w:val="both"/>
        <w:rPr>
          <w:rFonts w:ascii="Cambria" w:eastAsia="Batang" w:hAnsi="Cambria"/>
          <w:color w:val="000000"/>
        </w:rPr>
      </w:pPr>
    </w:p>
    <w:p w14:paraId="288BA207" w14:textId="77777777" w:rsidR="0096419E" w:rsidRPr="007175E2" w:rsidRDefault="0096419E" w:rsidP="004C7C99">
      <w:pPr>
        <w:pStyle w:val="ListParagraph"/>
        <w:numPr>
          <w:ilvl w:val="0"/>
          <w:numId w:val="13"/>
        </w:numPr>
        <w:tabs>
          <w:tab w:val="left" w:pos="720"/>
        </w:tabs>
        <w:autoSpaceDE w:val="0"/>
        <w:autoSpaceDN w:val="0"/>
        <w:adjustRightInd w:val="0"/>
        <w:spacing w:after="0" w:line="240" w:lineRule="auto"/>
        <w:ind w:left="0" w:firstLine="720"/>
        <w:jc w:val="both"/>
        <w:rPr>
          <w:rFonts w:ascii="Cambria" w:eastAsia="Batang" w:hAnsi="Cambria"/>
          <w:color w:val="000000"/>
        </w:rPr>
      </w:pPr>
      <w:r w:rsidRPr="007175E2">
        <w:rPr>
          <w:rFonts w:ascii="Cambria" w:eastAsia="Batang" w:hAnsi="Cambria" w:cs="Calibri Light"/>
          <w:b/>
          <w:color w:val="000000"/>
        </w:rPr>
        <w:t xml:space="preserve">LEVEL OF COMPLIANCE OF THE CASE </w:t>
      </w:r>
    </w:p>
    <w:p w14:paraId="5C005A4A" w14:textId="77777777" w:rsidR="004C7C99" w:rsidRPr="007175E2" w:rsidRDefault="004C7C99" w:rsidP="004C7C99">
      <w:pPr>
        <w:autoSpaceDE w:val="0"/>
        <w:autoSpaceDN w:val="0"/>
        <w:adjustRightInd w:val="0"/>
        <w:spacing w:after="0" w:line="240" w:lineRule="auto"/>
        <w:ind w:firstLine="720"/>
        <w:jc w:val="both"/>
        <w:rPr>
          <w:rFonts w:ascii="Cambria" w:eastAsia="Batang" w:hAnsi="Cambria"/>
          <w:color w:val="000000"/>
        </w:rPr>
      </w:pPr>
    </w:p>
    <w:p w14:paraId="1E59FB81" w14:textId="1A82720F" w:rsidR="004C7C99" w:rsidRPr="007175E2" w:rsidRDefault="004C7C99" w:rsidP="004C7C99">
      <w:pPr>
        <w:pStyle w:val="ListParagraph"/>
        <w:numPr>
          <w:ilvl w:val="6"/>
          <w:numId w:val="10"/>
        </w:numPr>
        <w:spacing w:after="0" w:line="240" w:lineRule="auto"/>
        <w:ind w:left="0" w:firstLine="720"/>
        <w:jc w:val="both"/>
        <w:rPr>
          <w:rFonts w:ascii="Cambria" w:eastAsia="Batang" w:hAnsi="Cambria" w:cs="Calibri Light"/>
          <w:color w:val="000000"/>
        </w:rPr>
      </w:pPr>
      <w:r w:rsidRPr="007175E2">
        <w:rPr>
          <w:rFonts w:ascii="Cambria" w:hAnsi="Cambria"/>
          <w:color w:val="080808"/>
        </w:rPr>
        <w:t>The Commission declared full compliance with the case and the ceasing of the follow-up of the friendly settlement agreement in the Homologation Report 39/21.</w:t>
      </w:r>
    </w:p>
    <w:p w14:paraId="0DBF696C" w14:textId="77777777" w:rsidR="00162518" w:rsidRPr="007175E2" w:rsidRDefault="00162518" w:rsidP="004C7C99">
      <w:pPr>
        <w:autoSpaceDE w:val="0"/>
        <w:autoSpaceDN w:val="0"/>
        <w:adjustRightInd w:val="0"/>
        <w:spacing w:after="0" w:line="240" w:lineRule="auto"/>
        <w:ind w:firstLine="720"/>
        <w:jc w:val="both"/>
        <w:rPr>
          <w:rFonts w:ascii="Cambria" w:eastAsia="Batang" w:hAnsi="Cambria" w:cs="Calibri Light"/>
          <w:b/>
          <w:color w:val="080808"/>
          <w:highlight w:val="cyan"/>
        </w:rPr>
      </w:pPr>
    </w:p>
    <w:p w14:paraId="033C02EB" w14:textId="2BF663A2" w:rsidR="00162518" w:rsidRPr="007175E2" w:rsidRDefault="00162518" w:rsidP="004C7C99">
      <w:pPr>
        <w:pStyle w:val="ListParagraph"/>
        <w:numPr>
          <w:ilvl w:val="0"/>
          <w:numId w:val="13"/>
        </w:numPr>
        <w:spacing w:after="0" w:line="240" w:lineRule="auto"/>
        <w:ind w:right="4"/>
        <w:jc w:val="both"/>
        <w:rPr>
          <w:rFonts w:ascii="Cambria" w:eastAsia="Batang" w:hAnsi="Cambria" w:cs="Calibri Light"/>
          <w:b/>
          <w:color w:val="000000"/>
        </w:rPr>
      </w:pPr>
      <w:r w:rsidRPr="007175E2">
        <w:rPr>
          <w:rFonts w:ascii="Cambria" w:eastAsia="Batang" w:hAnsi="Cambria" w:cs="Calibri Light"/>
          <w:b/>
          <w:color w:val="000000"/>
        </w:rPr>
        <w:t xml:space="preserve">INDIVIDUAL AND STRUCTURAL OUTCOMES OF THE CASE </w:t>
      </w:r>
    </w:p>
    <w:p w14:paraId="3048AB11" w14:textId="77777777" w:rsidR="00162518" w:rsidRPr="007175E2" w:rsidRDefault="00162518" w:rsidP="00162518">
      <w:pPr>
        <w:spacing w:after="0" w:line="240" w:lineRule="auto"/>
        <w:ind w:left="1440" w:right="4"/>
        <w:contextualSpacing/>
        <w:jc w:val="both"/>
        <w:rPr>
          <w:rFonts w:ascii="Cambria" w:eastAsia="Batang" w:hAnsi="Cambria" w:cs="Calibri Light"/>
          <w:b/>
          <w:color w:val="000000"/>
        </w:rPr>
      </w:pPr>
    </w:p>
    <w:p w14:paraId="6ED77FC5" w14:textId="77777777" w:rsidR="00162518" w:rsidRPr="007175E2" w:rsidRDefault="00162518" w:rsidP="00162518">
      <w:pPr>
        <w:numPr>
          <w:ilvl w:val="0"/>
          <w:numId w:val="15"/>
        </w:numPr>
        <w:spacing w:after="0" w:line="240" w:lineRule="auto"/>
        <w:ind w:left="709" w:right="4" w:firstLine="0"/>
        <w:contextualSpacing/>
        <w:jc w:val="both"/>
        <w:rPr>
          <w:rFonts w:ascii="Cambria" w:eastAsia="Batang" w:hAnsi="Cambria" w:cs="Calibri Light"/>
          <w:b/>
          <w:color w:val="000000"/>
        </w:rPr>
      </w:pPr>
      <w:r w:rsidRPr="007175E2">
        <w:rPr>
          <w:rFonts w:ascii="Cambria" w:eastAsia="Batang" w:hAnsi="Cambria" w:cs="Calibri Light"/>
          <w:b/>
          <w:color w:val="000000"/>
        </w:rPr>
        <w:t xml:space="preserve">Individual outcomes of the case </w:t>
      </w:r>
    </w:p>
    <w:p w14:paraId="5C4D9C2E" w14:textId="77777777" w:rsidR="00162518" w:rsidRPr="007175E2" w:rsidRDefault="00162518" w:rsidP="00162518">
      <w:pPr>
        <w:pStyle w:val="ListParagraph"/>
        <w:spacing w:after="0" w:line="240" w:lineRule="auto"/>
        <w:ind w:left="709" w:right="4"/>
        <w:jc w:val="both"/>
        <w:rPr>
          <w:rFonts w:ascii="Cambria" w:hAnsi="Cambria" w:cs="Calibri Light"/>
          <w:b/>
          <w:color w:val="000000"/>
        </w:rPr>
      </w:pPr>
    </w:p>
    <w:p w14:paraId="286D750B" w14:textId="77777777" w:rsidR="00162518" w:rsidRPr="007175E2" w:rsidRDefault="00162518" w:rsidP="00162518">
      <w:pPr>
        <w:numPr>
          <w:ilvl w:val="0"/>
          <w:numId w:val="6"/>
        </w:numPr>
        <w:spacing w:after="0" w:line="240" w:lineRule="auto"/>
        <w:ind w:left="1418" w:right="4" w:hanging="709"/>
        <w:contextualSpacing/>
        <w:jc w:val="both"/>
        <w:rPr>
          <w:rFonts w:ascii="Cambria" w:eastAsia="Batang" w:hAnsi="Cambria"/>
          <w:color w:val="000000"/>
        </w:rPr>
      </w:pPr>
      <w:r w:rsidRPr="007175E2">
        <w:rPr>
          <w:rFonts w:ascii="Cambria" w:eastAsia="Batang" w:hAnsi="Cambria"/>
          <w:color w:val="000000"/>
        </w:rPr>
        <w:t>The State made a public apology to the victim´s family.</w:t>
      </w:r>
    </w:p>
    <w:p w14:paraId="0A2FE2CB" w14:textId="77777777" w:rsidR="00162518" w:rsidRPr="007175E2" w:rsidRDefault="00162518" w:rsidP="00162518">
      <w:pPr>
        <w:numPr>
          <w:ilvl w:val="0"/>
          <w:numId w:val="6"/>
        </w:numPr>
        <w:spacing w:after="0" w:line="240" w:lineRule="auto"/>
        <w:ind w:left="1418" w:right="4" w:hanging="709"/>
        <w:contextualSpacing/>
        <w:jc w:val="both"/>
        <w:rPr>
          <w:rFonts w:ascii="Cambria" w:eastAsia="Batang" w:hAnsi="Cambria"/>
          <w:color w:val="000000"/>
        </w:rPr>
      </w:pPr>
      <w:r w:rsidRPr="007175E2">
        <w:rPr>
          <w:rFonts w:ascii="Cambria" w:eastAsia="Batang" w:hAnsi="Cambria"/>
          <w:color w:val="000000"/>
        </w:rPr>
        <w:t>The State compensated Mrs. Norma del Carmen Yáñez for the material and moral damages resulting from the alleged facts.</w:t>
      </w:r>
    </w:p>
    <w:p w14:paraId="6A1C3745" w14:textId="77777777" w:rsidR="00162518" w:rsidRPr="007175E2" w:rsidRDefault="00162518" w:rsidP="00162518">
      <w:pPr>
        <w:numPr>
          <w:ilvl w:val="0"/>
          <w:numId w:val="6"/>
        </w:numPr>
        <w:spacing w:after="0" w:line="240" w:lineRule="auto"/>
        <w:ind w:left="1418" w:right="4" w:hanging="709"/>
        <w:contextualSpacing/>
        <w:jc w:val="both"/>
        <w:rPr>
          <w:rFonts w:ascii="Cambria" w:eastAsia="Batang" w:hAnsi="Cambria"/>
          <w:color w:val="000000"/>
        </w:rPr>
      </w:pPr>
      <w:r w:rsidRPr="007175E2">
        <w:rPr>
          <w:rFonts w:ascii="Cambria" w:eastAsia="Batang" w:hAnsi="Cambria"/>
          <w:color w:val="000000"/>
        </w:rPr>
        <w:t>The State paid for professional fees, costs, and expenses to Mrs. Norma del Carmen Yáñez regarding the processing of the petition.</w:t>
      </w:r>
    </w:p>
    <w:p w14:paraId="578154BD" w14:textId="77777777" w:rsidR="00162518" w:rsidRPr="007175E2" w:rsidRDefault="00162518" w:rsidP="00162518">
      <w:pPr>
        <w:spacing w:after="0" w:line="240" w:lineRule="auto"/>
        <w:ind w:left="709" w:right="4"/>
        <w:contextualSpacing/>
        <w:jc w:val="both"/>
        <w:rPr>
          <w:rFonts w:ascii="Cambria" w:eastAsia="Batang" w:hAnsi="Cambria"/>
          <w:color w:val="000000"/>
        </w:rPr>
      </w:pPr>
    </w:p>
    <w:p w14:paraId="179CCE79" w14:textId="77777777" w:rsidR="00162518" w:rsidRPr="007175E2" w:rsidRDefault="00162518" w:rsidP="00162518">
      <w:pPr>
        <w:pStyle w:val="ListParagraph"/>
        <w:numPr>
          <w:ilvl w:val="0"/>
          <w:numId w:val="15"/>
        </w:numPr>
        <w:tabs>
          <w:tab w:val="left" w:pos="1440"/>
        </w:tabs>
        <w:spacing w:after="0" w:line="240" w:lineRule="auto"/>
        <w:ind w:left="709" w:right="4" w:firstLine="0"/>
        <w:rPr>
          <w:rFonts w:ascii="Cambria" w:hAnsi="Cambria" w:cs="Calibri Light"/>
          <w:b/>
          <w:color w:val="000000"/>
        </w:rPr>
      </w:pPr>
      <w:r w:rsidRPr="007175E2">
        <w:rPr>
          <w:rFonts w:ascii="Cambria" w:hAnsi="Cambria"/>
          <w:b/>
          <w:color w:val="000000"/>
        </w:rPr>
        <w:lastRenderedPageBreak/>
        <w:t>Structural outcomes of the case</w:t>
      </w:r>
    </w:p>
    <w:p w14:paraId="75A9BC70" w14:textId="77777777" w:rsidR="00162518" w:rsidRPr="007175E2" w:rsidRDefault="00162518" w:rsidP="00162518">
      <w:pPr>
        <w:pStyle w:val="ListParagraph"/>
        <w:tabs>
          <w:tab w:val="left" w:pos="1440"/>
        </w:tabs>
        <w:spacing w:after="0" w:line="240" w:lineRule="auto"/>
        <w:ind w:left="709" w:right="4"/>
        <w:jc w:val="both"/>
        <w:rPr>
          <w:rFonts w:ascii="Cambria" w:hAnsi="Cambria" w:cs="Calibri Light"/>
          <w:b/>
          <w:color w:val="000000"/>
        </w:rPr>
      </w:pPr>
    </w:p>
    <w:p w14:paraId="0BAF15A5" w14:textId="77777777" w:rsidR="00162518" w:rsidRPr="007175E2" w:rsidRDefault="00162518" w:rsidP="00162518">
      <w:pPr>
        <w:numPr>
          <w:ilvl w:val="0"/>
          <w:numId w:val="6"/>
        </w:numPr>
        <w:spacing w:after="0" w:line="240" w:lineRule="auto"/>
        <w:ind w:left="1418" w:right="4" w:hanging="709"/>
        <w:contextualSpacing/>
        <w:jc w:val="both"/>
        <w:rPr>
          <w:rFonts w:ascii="Cambria" w:eastAsia="Batang" w:hAnsi="Cambria"/>
          <w:color w:val="000000"/>
        </w:rPr>
      </w:pPr>
      <w:r w:rsidRPr="007175E2">
        <w:rPr>
          <w:rFonts w:ascii="Cambria" w:eastAsia="Batang" w:hAnsi="Cambria"/>
          <w:color w:val="000000"/>
        </w:rPr>
        <w:t>The State initiated the corresponding procedures to create a Human Rights Prosecutor Unit in charge of conducting the preliminary criminal investigation of crimes committed by members of the Security and Penitentiary Forces.</w:t>
      </w:r>
    </w:p>
    <w:p w14:paraId="1D974AAB" w14:textId="3C75C7FB" w:rsidR="00162518" w:rsidRPr="00CE2129" w:rsidRDefault="00162518" w:rsidP="00393E07">
      <w:pPr>
        <w:numPr>
          <w:ilvl w:val="0"/>
          <w:numId w:val="6"/>
        </w:numPr>
        <w:autoSpaceDE w:val="0"/>
        <w:autoSpaceDN w:val="0"/>
        <w:adjustRightInd w:val="0"/>
        <w:spacing w:after="0" w:line="240" w:lineRule="auto"/>
        <w:ind w:left="1418" w:right="4" w:hanging="709"/>
        <w:contextualSpacing/>
        <w:jc w:val="both"/>
        <w:rPr>
          <w:rFonts w:ascii="Cambria" w:eastAsia="Batang" w:hAnsi="Cambria" w:cs="Calibri Light"/>
          <w:b/>
          <w:color w:val="080808"/>
        </w:rPr>
      </w:pPr>
      <w:r w:rsidRPr="00CE2129">
        <w:rPr>
          <w:rFonts w:ascii="Cambria" w:eastAsia="Batang" w:hAnsi="Cambria"/>
          <w:color w:val="000000"/>
        </w:rPr>
        <w:t>The State has permanently trained members of the Security Forces and Penitentiaries in Human Rights.</w:t>
      </w:r>
    </w:p>
    <w:sectPr w:rsidR="00162518" w:rsidRPr="00CE2129" w:rsidSect="00CE212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331DE" w14:textId="77777777" w:rsidR="00811878" w:rsidRDefault="00811878" w:rsidP="00A343FF">
      <w:pPr>
        <w:spacing w:after="0" w:line="240" w:lineRule="auto"/>
      </w:pPr>
      <w:r>
        <w:separator/>
      </w:r>
    </w:p>
  </w:endnote>
  <w:endnote w:type="continuationSeparator" w:id="0">
    <w:p w14:paraId="61511585" w14:textId="77777777" w:rsidR="00811878" w:rsidRDefault="00811878"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F71F" w14:textId="77777777" w:rsidR="00F74974" w:rsidRDefault="00F74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3703" w14:textId="77777777" w:rsidR="00A61B5E" w:rsidRPr="00A61B5E" w:rsidRDefault="00A61B5E">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F74974">
      <w:rPr>
        <w:noProof/>
        <w:color w:val="404040"/>
        <w:sz w:val="16"/>
        <w:szCs w:val="16"/>
      </w:rPr>
      <w:t>2</w:t>
    </w:r>
    <w:r w:rsidRPr="00A61B5E">
      <w:rPr>
        <w:noProof/>
        <w:color w:val="404040"/>
        <w:sz w:val="16"/>
        <w:szCs w:val="16"/>
      </w:rPr>
      <w:fldChar w:fldCharType="end"/>
    </w:r>
  </w:p>
  <w:p w14:paraId="242F45FC" w14:textId="77777777" w:rsidR="00F66FEE" w:rsidRDefault="00F66FEE" w:rsidP="008550EF">
    <w:pPr>
      <w:pStyle w:val="Footer"/>
      <w:spacing w:line="360" w:lineRule="auto"/>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F5ED" w14:textId="77777777" w:rsidR="008F2248" w:rsidRDefault="00DB5566" w:rsidP="008F2248">
    <w:pPr>
      <w:pStyle w:val="Footer"/>
      <w:spacing w:line="360" w:lineRule="auto"/>
    </w:pPr>
    <w:r>
      <w:rPr>
        <w:noProof/>
      </w:rPr>
      <w:pict w14:anchorId="7DFD246B">
        <v:rect id="_x0000_i1027" alt="" style="width:441.9pt;height:.05pt;mso-width-percent:0;mso-height-percent:0;mso-width-percent:0;mso-height-percent:0" o:hralign="center" o:hrstd="t" o:hr="t" fillcolor="#a0a0a0" stroked="f"/>
      </w:pict>
    </w:r>
  </w:p>
  <w:p w14:paraId="6EC67A5C" w14:textId="77777777" w:rsidR="008F2248" w:rsidRDefault="00AB253B" w:rsidP="006E2BD8">
    <w:pPr>
      <w:pStyle w:val="Footer"/>
      <w:jc w:val="center"/>
    </w:pPr>
    <w:r>
      <w:rPr>
        <w:noProof/>
      </w:rPr>
      <w:drawing>
        <wp:inline distT="0" distB="0" distL="0" distR="0" wp14:anchorId="6DBA9108" wp14:editId="295ADEE9">
          <wp:extent cx="5235575" cy="324485"/>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5575" cy="3244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3CFFD" w14:textId="77777777" w:rsidR="00811878" w:rsidRDefault="00811878" w:rsidP="00A343FF">
      <w:pPr>
        <w:spacing w:after="0" w:line="240" w:lineRule="auto"/>
      </w:pPr>
      <w:r>
        <w:separator/>
      </w:r>
    </w:p>
  </w:footnote>
  <w:footnote w:type="continuationSeparator" w:id="0">
    <w:p w14:paraId="1BF573EE" w14:textId="77777777" w:rsidR="00811878" w:rsidRDefault="00811878" w:rsidP="00A343FF">
      <w:pPr>
        <w:spacing w:after="0" w:line="240" w:lineRule="auto"/>
      </w:pPr>
      <w:r>
        <w:continuationSeparator/>
      </w:r>
    </w:p>
  </w:footnote>
  <w:footnote w:id="1">
    <w:p w14:paraId="616FEB6A" w14:textId="77777777" w:rsidR="0096419E" w:rsidRPr="007175E2" w:rsidRDefault="0096419E" w:rsidP="007175E2">
      <w:pPr>
        <w:pStyle w:val="NormalWeb"/>
        <w:spacing w:before="0" w:beforeAutospacing="0" w:after="0" w:afterAutospacing="0"/>
        <w:ind w:firstLine="720"/>
        <w:contextualSpacing/>
        <w:jc w:val="both"/>
        <w:rPr>
          <w:rFonts w:ascii="Cambria" w:hAnsi="Cambria"/>
          <w:color w:val="000000" w:themeColor="text1"/>
          <w:sz w:val="16"/>
          <w:szCs w:val="16"/>
          <w:lang w:eastAsia="es-ES_tradnl"/>
        </w:rPr>
      </w:pPr>
      <w:r w:rsidRPr="007175E2">
        <w:rPr>
          <w:rStyle w:val="FootnoteReference"/>
          <w:rFonts w:ascii="Cambria" w:hAnsi="Cambria"/>
          <w:color w:val="000000" w:themeColor="text1"/>
          <w:sz w:val="16"/>
          <w:szCs w:val="16"/>
        </w:rPr>
        <w:footnoteRef/>
      </w:r>
      <w:r w:rsidRPr="007175E2">
        <w:rPr>
          <w:rFonts w:ascii="Cambria" w:hAnsi="Cambria"/>
          <w:color w:val="000000" w:themeColor="text1"/>
          <w:sz w:val="16"/>
          <w:szCs w:val="16"/>
        </w:rPr>
        <w:t xml:space="preserve"> </w:t>
      </w:r>
      <w:r w:rsidRPr="007175E2">
        <w:rPr>
          <w:rFonts w:ascii="Cambria" w:hAnsi="Cambria"/>
          <w:color w:val="000000" w:themeColor="text1"/>
          <w:sz w:val="16"/>
          <w:szCs w:val="16"/>
          <w:lang w:eastAsia="es-ES_tradnl"/>
        </w:rPr>
        <w:t xml:space="preserve">IACHR, Report No. 39/21, Petition 245-03. Friendly Settlement. Walter Mauro Yáñez. Argentina. March 19, 2021.  </w:t>
      </w:r>
      <w:hyperlink r:id="rId1" w:history="1">
        <w:r w:rsidRPr="007175E2">
          <w:rPr>
            <w:rStyle w:val="Hyperlink"/>
            <w:rFonts w:ascii="Cambria" w:hAnsi="Cambria"/>
            <w:color w:val="000000" w:themeColor="text1"/>
            <w:sz w:val="16"/>
            <w:szCs w:val="16"/>
            <w:lang w:eastAsia="es-ES_tradnl"/>
          </w:rPr>
          <w:t>https://www.oas.org/en/iachr/decisions/2021/ARSA245-03EN.pdf</w:t>
        </w:r>
      </w:hyperlink>
      <w:r w:rsidRPr="007175E2">
        <w:rPr>
          <w:rFonts w:ascii="Cambria" w:hAnsi="Cambria"/>
          <w:color w:val="000000" w:themeColor="text1"/>
          <w:sz w:val="16"/>
          <w:szCs w:val="16"/>
          <w:lang w:eastAsia="es-ES_tradnl"/>
        </w:rPr>
        <w:t xml:space="preserve"> </w:t>
      </w:r>
    </w:p>
  </w:footnote>
  <w:footnote w:id="2">
    <w:p w14:paraId="1DA72517" w14:textId="77777777" w:rsidR="0096419E" w:rsidRPr="007175E2" w:rsidRDefault="0096419E" w:rsidP="007175E2">
      <w:pPr>
        <w:pStyle w:val="NormalWeb"/>
        <w:spacing w:before="0" w:beforeAutospacing="0" w:after="0" w:afterAutospacing="0"/>
        <w:ind w:firstLine="720"/>
        <w:contextualSpacing/>
        <w:jc w:val="both"/>
        <w:rPr>
          <w:rFonts w:ascii="Cambria" w:hAnsi="Cambria"/>
          <w:color w:val="000000" w:themeColor="text1"/>
          <w:sz w:val="16"/>
          <w:szCs w:val="16"/>
          <w:lang w:eastAsia="es-ES_tradnl"/>
        </w:rPr>
      </w:pPr>
      <w:r w:rsidRPr="007175E2">
        <w:rPr>
          <w:rStyle w:val="FootnoteReference"/>
          <w:rFonts w:ascii="Cambria" w:hAnsi="Cambria"/>
          <w:color w:val="000000" w:themeColor="text1"/>
          <w:sz w:val="16"/>
          <w:szCs w:val="16"/>
        </w:rPr>
        <w:footnoteRef/>
      </w:r>
      <w:r w:rsidRPr="007175E2">
        <w:rPr>
          <w:rFonts w:ascii="Cambria" w:hAnsi="Cambria"/>
          <w:color w:val="000000" w:themeColor="text1"/>
          <w:sz w:val="16"/>
          <w:szCs w:val="16"/>
          <w:lang w:eastAsia="es-ES_tradnl"/>
        </w:rPr>
        <w:t xml:space="preserve"> IACHR, Report No. 39/21, Petition 245-03. Friendly Settlement. Walter Mauro Yáñez. Argentina. March 19, 2021. </w:t>
      </w:r>
      <w:hyperlink r:id="rId2" w:history="1">
        <w:r w:rsidRPr="007175E2">
          <w:rPr>
            <w:rStyle w:val="Hyperlink"/>
            <w:rFonts w:ascii="Cambria" w:hAnsi="Cambria"/>
            <w:color w:val="000000" w:themeColor="text1"/>
            <w:sz w:val="16"/>
            <w:szCs w:val="16"/>
            <w:lang w:eastAsia="es-ES_tradnl"/>
          </w:rPr>
          <w:t>https://www.oas.org/en/iachr/decisions/2021/ARSA245-03EN.pdf</w:t>
        </w:r>
      </w:hyperlink>
    </w:p>
  </w:footnote>
  <w:footnote w:id="3">
    <w:p w14:paraId="3046A631" w14:textId="77777777" w:rsidR="0096419E" w:rsidRPr="007175E2" w:rsidRDefault="0096419E" w:rsidP="007175E2">
      <w:pPr>
        <w:pStyle w:val="NormalWeb"/>
        <w:spacing w:before="0" w:beforeAutospacing="0" w:after="0" w:afterAutospacing="0"/>
        <w:ind w:firstLine="720"/>
        <w:contextualSpacing/>
        <w:jc w:val="both"/>
        <w:rPr>
          <w:rFonts w:ascii="Cambria" w:hAnsi="Cambria"/>
          <w:color w:val="000000" w:themeColor="text1"/>
          <w:sz w:val="16"/>
          <w:szCs w:val="16"/>
          <w:lang w:eastAsia="es-ES_tradnl"/>
        </w:rPr>
      </w:pPr>
      <w:r w:rsidRPr="007175E2">
        <w:rPr>
          <w:rStyle w:val="FootnoteReference"/>
          <w:rFonts w:ascii="Cambria" w:hAnsi="Cambria"/>
          <w:color w:val="000000" w:themeColor="text1"/>
          <w:sz w:val="16"/>
          <w:szCs w:val="16"/>
        </w:rPr>
        <w:footnoteRef/>
      </w:r>
      <w:r w:rsidRPr="007175E2">
        <w:rPr>
          <w:rFonts w:ascii="Cambria" w:hAnsi="Cambria"/>
          <w:color w:val="000000" w:themeColor="text1"/>
          <w:sz w:val="16"/>
          <w:szCs w:val="16"/>
          <w:lang w:eastAsia="es-ES_tradnl"/>
        </w:rPr>
        <w:t xml:space="preserve"> IACHR, Report No. 39/21, Petition 245-03. Friendly Settlement. Walter Mauro Yáñez. Argentina. March 19, 2021. </w:t>
      </w:r>
      <w:hyperlink r:id="rId3" w:history="1">
        <w:r w:rsidRPr="007175E2">
          <w:rPr>
            <w:rStyle w:val="Hyperlink"/>
            <w:rFonts w:ascii="Cambria" w:hAnsi="Cambria"/>
            <w:color w:val="000000" w:themeColor="text1"/>
            <w:sz w:val="16"/>
            <w:szCs w:val="16"/>
            <w:lang w:eastAsia="es-ES_tradnl"/>
          </w:rPr>
          <w:t>https://www.oas.org/en/iachr/decisions/2021/ARSA245-03EN.pdf</w:t>
        </w:r>
      </w:hyperlink>
    </w:p>
  </w:footnote>
  <w:footnote w:id="4">
    <w:p w14:paraId="2162808B" w14:textId="77777777" w:rsidR="0096419E" w:rsidRPr="007175E2" w:rsidRDefault="0096419E" w:rsidP="007175E2">
      <w:pPr>
        <w:pStyle w:val="NormalWeb"/>
        <w:spacing w:before="0" w:beforeAutospacing="0" w:after="0" w:afterAutospacing="0"/>
        <w:ind w:firstLine="720"/>
        <w:contextualSpacing/>
        <w:jc w:val="both"/>
        <w:rPr>
          <w:rFonts w:ascii="Cambria" w:hAnsi="Cambria"/>
          <w:color w:val="000000" w:themeColor="text1"/>
          <w:sz w:val="16"/>
          <w:szCs w:val="16"/>
          <w:lang w:eastAsia="es-ES_tradnl"/>
        </w:rPr>
      </w:pPr>
      <w:r w:rsidRPr="007175E2">
        <w:rPr>
          <w:rStyle w:val="FootnoteReference"/>
          <w:rFonts w:ascii="Cambria" w:hAnsi="Cambria"/>
          <w:color w:val="000000" w:themeColor="text1"/>
          <w:sz w:val="16"/>
          <w:szCs w:val="16"/>
        </w:rPr>
        <w:footnoteRef/>
      </w:r>
      <w:r w:rsidRPr="007175E2">
        <w:rPr>
          <w:rFonts w:ascii="Cambria" w:hAnsi="Cambria"/>
          <w:color w:val="000000" w:themeColor="text1"/>
          <w:sz w:val="16"/>
          <w:szCs w:val="16"/>
        </w:rPr>
        <w:t xml:space="preserve"> </w:t>
      </w:r>
      <w:r w:rsidRPr="007175E2">
        <w:rPr>
          <w:rFonts w:ascii="Cambria" w:hAnsi="Cambria"/>
          <w:color w:val="000000" w:themeColor="text1"/>
          <w:sz w:val="16"/>
          <w:szCs w:val="16"/>
          <w:lang w:eastAsia="es-ES_tradnl"/>
        </w:rPr>
        <w:t xml:space="preserve">IACHR, Report No. 39/21, Petition 245-03. Friendly Settlement. Walter Mauro Yáñez. Argentina. March 19, 2021. </w:t>
      </w:r>
      <w:hyperlink r:id="rId4" w:history="1">
        <w:r w:rsidRPr="007175E2">
          <w:rPr>
            <w:rStyle w:val="Hyperlink"/>
            <w:rFonts w:ascii="Cambria" w:hAnsi="Cambria"/>
            <w:color w:val="000000" w:themeColor="text1"/>
            <w:sz w:val="16"/>
            <w:szCs w:val="16"/>
            <w:lang w:eastAsia="es-ES_tradnl"/>
          </w:rPr>
          <w:t>https://www.oas.org/en/iachr/decisions/2021/ARSA245-03EN.pdf</w:t>
        </w:r>
      </w:hyperlink>
    </w:p>
  </w:footnote>
  <w:footnote w:id="5">
    <w:p w14:paraId="5AEA06B2" w14:textId="77777777" w:rsidR="0096419E" w:rsidRPr="007175E2" w:rsidRDefault="0096419E" w:rsidP="007175E2">
      <w:pPr>
        <w:pStyle w:val="NormalWeb"/>
        <w:spacing w:before="0" w:beforeAutospacing="0" w:after="0" w:afterAutospacing="0"/>
        <w:ind w:firstLine="720"/>
        <w:contextualSpacing/>
        <w:jc w:val="both"/>
        <w:rPr>
          <w:rFonts w:ascii="Cambria" w:hAnsi="Cambria"/>
          <w:sz w:val="16"/>
          <w:szCs w:val="16"/>
          <w:lang w:eastAsia="es-ES_tradnl"/>
        </w:rPr>
      </w:pPr>
      <w:r w:rsidRPr="007175E2">
        <w:rPr>
          <w:rStyle w:val="FootnoteReference"/>
          <w:rFonts w:ascii="Cambria" w:hAnsi="Cambria"/>
          <w:color w:val="000000" w:themeColor="text1"/>
          <w:sz w:val="16"/>
          <w:szCs w:val="16"/>
        </w:rPr>
        <w:footnoteRef/>
      </w:r>
      <w:r w:rsidRPr="007175E2">
        <w:rPr>
          <w:rFonts w:ascii="Cambria" w:hAnsi="Cambria"/>
          <w:color w:val="000000" w:themeColor="text1"/>
          <w:sz w:val="16"/>
          <w:szCs w:val="16"/>
        </w:rPr>
        <w:t xml:space="preserve"> </w:t>
      </w:r>
      <w:r w:rsidRPr="007175E2">
        <w:rPr>
          <w:rFonts w:ascii="Cambria" w:hAnsi="Cambria"/>
          <w:color w:val="000000" w:themeColor="text1"/>
          <w:sz w:val="16"/>
          <w:szCs w:val="16"/>
          <w:lang w:eastAsia="es-ES_tradnl"/>
        </w:rPr>
        <w:t xml:space="preserve">IACHR, Report No. 39/21, Petition 245-03. Friendly Settlement. Walter Mauro Yáñez. Argentina. March 19, 2021. </w:t>
      </w:r>
      <w:hyperlink r:id="rId5" w:history="1">
        <w:r w:rsidRPr="007175E2">
          <w:rPr>
            <w:rStyle w:val="Hyperlink"/>
            <w:rFonts w:ascii="Cambria" w:hAnsi="Cambria"/>
            <w:color w:val="000000" w:themeColor="text1"/>
            <w:sz w:val="16"/>
            <w:szCs w:val="16"/>
            <w:lang w:eastAsia="es-ES_tradnl"/>
          </w:rPr>
          <w:t>https://www.oas.org/en/iachr/decisions/2021/ARSA245-03EN.pdf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EDE9" w14:textId="77777777" w:rsidR="00F74974" w:rsidRDefault="00F74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101B" w14:textId="77777777" w:rsidR="00A343FF" w:rsidRDefault="00AB253B" w:rsidP="00DC7C8F">
    <w:pPr>
      <w:pStyle w:val="Header"/>
      <w:jc w:val="center"/>
    </w:pPr>
    <w:r>
      <w:rPr>
        <w:noProof/>
      </w:rPr>
      <w:drawing>
        <wp:inline distT="0" distB="0" distL="0" distR="0" wp14:anchorId="12DE2D16" wp14:editId="70746368">
          <wp:extent cx="2271395" cy="118110"/>
          <wp:effectExtent l="0" t="0" r="0" b="0"/>
          <wp:docPr id="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395" cy="118110"/>
                  </a:xfrm>
                  <a:prstGeom prst="rect">
                    <a:avLst/>
                  </a:prstGeom>
                  <a:noFill/>
                  <a:ln>
                    <a:noFill/>
                  </a:ln>
                </pic:spPr>
              </pic:pic>
            </a:graphicData>
          </a:graphic>
        </wp:inline>
      </w:drawing>
    </w:r>
  </w:p>
  <w:p w14:paraId="54B9C190" w14:textId="77777777" w:rsidR="00A343FF" w:rsidRDefault="00DB5566">
    <w:pPr>
      <w:pStyle w:val="Header"/>
    </w:pPr>
    <w:r>
      <w:rPr>
        <w:noProof/>
      </w:rPr>
      <w:pict w14:anchorId="3C167262">
        <v:rect id="_x0000_i1025" alt="" style="width:441.9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FB95" w14:textId="77777777" w:rsidR="00A61B5E" w:rsidRDefault="00AB253B" w:rsidP="00A61B5E">
    <w:pPr>
      <w:pStyle w:val="Header"/>
    </w:pPr>
    <w:r>
      <w:rPr>
        <w:noProof/>
      </w:rPr>
      <w:drawing>
        <wp:anchor distT="0" distB="0" distL="114300" distR="114300" simplePos="0" relativeHeight="251657216" behindDoc="1" locked="0" layoutInCell="1" allowOverlap="1" wp14:anchorId="59FE738C" wp14:editId="11A3A48B">
          <wp:simplePos x="0" y="0"/>
          <wp:positionH relativeFrom="column">
            <wp:posOffset>0</wp:posOffset>
          </wp:positionH>
          <wp:positionV relativeFrom="paragraph">
            <wp:posOffset>-28575</wp:posOffset>
          </wp:positionV>
          <wp:extent cx="2567940" cy="495300"/>
          <wp:effectExtent l="0" t="0" r="0" b="0"/>
          <wp:wrapThrough wrapText="bothSides">
            <wp:wrapPolygon edited="0">
              <wp:start x="0" y="0"/>
              <wp:lineTo x="0" y="21046"/>
              <wp:lineTo x="21472" y="21046"/>
              <wp:lineTo x="21472" y="0"/>
              <wp:lineTo x="0" y="0"/>
            </wp:wrapPolygon>
          </wp:wrapThrough>
          <wp:docPr id="7"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4DEC2470" wp14:editId="773EC283">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711" y="0"/>
              <wp:lineTo x="0" y="3298"/>
              <wp:lineTo x="0" y="14290"/>
              <wp:lineTo x="428" y="18137"/>
              <wp:lineTo x="1568" y="20885"/>
              <wp:lineTo x="1711" y="20885"/>
              <wp:lineTo x="3850" y="20885"/>
              <wp:lineTo x="3992" y="20885"/>
              <wp:lineTo x="5133" y="17588"/>
              <wp:lineTo x="21529" y="17588"/>
              <wp:lineTo x="21529" y="11542"/>
              <wp:lineTo x="20103" y="8794"/>
              <wp:lineTo x="20388" y="5496"/>
              <wp:lineTo x="18962" y="4397"/>
              <wp:lineTo x="3707" y="0"/>
              <wp:lineTo x="1711" y="0"/>
            </wp:wrapPolygon>
          </wp:wrapThrough>
          <wp:docPr id="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5E">
      <w:tab/>
    </w:r>
    <w:r w:rsidR="00A61B5E">
      <w:tab/>
    </w:r>
  </w:p>
  <w:p w14:paraId="16B56DFB" w14:textId="77777777" w:rsidR="00F53B51" w:rsidRDefault="00F53B51" w:rsidP="00A61B5E">
    <w:pPr>
      <w:pStyle w:val="Header"/>
    </w:pPr>
  </w:p>
  <w:p w14:paraId="4948EA69" w14:textId="77777777" w:rsidR="00F53B51" w:rsidRDefault="00F53B51" w:rsidP="00A61B5E">
    <w:pPr>
      <w:pStyle w:val="Header"/>
    </w:pPr>
  </w:p>
  <w:p w14:paraId="0D5588C7" w14:textId="77777777" w:rsidR="00A61B5E" w:rsidRDefault="00DB5566" w:rsidP="00A61B5E">
    <w:pPr>
      <w:pStyle w:val="Header"/>
    </w:pPr>
    <w:r>
      <w:rPr>
        <w:noProof/>
      </w:rPr>
      <w:pict w14:anchorId="3DB91606">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BDB"/>
    <w:multiLevelType w:val="hybridMultilevel"/>
    <w:tmpl w:val="61D47D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C30BBE"/>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3" w15:restartNumberingAfterBreak="0">
    <w:nsid w:val="13E57989"/>
    <w:multiLevelType w:val="hybridMultilevel"/>
    <w:tmpl w:val="4E486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7C4600"/>
    <w:multiLevelType w:val="multilevel"/>
    <w:tmpl w:val="4E8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4236A5"/>
    <w:multiLevelType w:val="hybridMultilevel"/>
    <w:tmpl w:val="2F82DD5C"/>
    <w:lvl w:ilvl="0" w:tplc="4C7ECB12">
      <w:start w:val="1"/>
      <w:numFmt w:val="decimal"/>
      <w:lvlText w:val="%1)"/>
      <w:lvlJc w:val="left"/>
      <w:pPr>
        <w:ind w:left="720" w:hanging="360"/>
      </w:pPr>
      <w:rPr>
        <w:rFonts w:eastAsia="MS Mincho"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C14D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312A9F"/>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37127D"/>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5B60A1"/>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333480"/>
    <w:multiLevelType w:val="hybridMultilevel"/>
    <w:tmpl w:val="52D07F1C"/>
    <w:lvl w:ilvl="0" w:tplc="FFFFFFFF">
      <w:start w:val="1"/>
      <w:numFmt w:val="upperRoman"/>
      <w:lvlText w:val="%1."/>
      <w:lvlJc w:val="left"/>
      <w:pPr>
        <w:ind w:left="189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C352DCD4">
      <w:start w:val="1"/>
      <w:numFmt w:val="decimal"/>
      <w:lvlText w:val="%4."/>
      <w:lvlJc w:val="left"/>
      <w:pPr>
        <w:ind w:left="2880" w:hanging="360"/>
      </w:pPr>
      <w:rPr>
        <w:b w:val="0"/>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BCA2B85"/>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2833C9"/>
    <w:multiLevelType w:val="hybridMultilevel"/>
    <w:tmpl w:val="1E680606"/>
    <w:lvl w:ilvl="0" w:tplc="8BD876CA">
      <w:start w:val="1"/>
      <w:numFmt w:val="bullet"/>
      <w:lvlText w:val=""/>
      <w:lvlJc w:val="left"/>
      <w:pPr>
        <w:ind w:left="1440" w:hanging="360"/>
      </w:pPr>
      <w:rPr>
        <w:rFonts w:ascii="Symbol" w:hAnsi="Symbol" w:hint="default"/>
        <w:lang w:val="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C005E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EE2BBA"/>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276FA0"/>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CD7804"/>
    <w:multiLevelType w:val="hybridMultilevel"/>
    <w:tmpl w:val="084A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D22AE"/>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1F5CCD"/>
    <w:multiLevelType w:val="hybridMultilevel"/>
    <w:tmpl w:val="842AE3C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9302B1"/>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422B71"/>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46253A63"/>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2F62E1"/>
    <w:multiLevelType w:val="multilevel"/>
    <w:tmpl w:val="52D07F1C"/>
    <w:styleLink w:val="CurrentList1"/>
    <w:lvl w:ilvl="0">
      <w:start w:val="1"/>
      <w:numFmt w:val="upperRoman"/>
      <w:lvlText w:val="%1."/>
      <w:lvlJc w:val="left"/>
      <w:pPr>
        <w:ind w:left="189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112ED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E961B8"/>
    <w:multiLevelType w:val="hybridMultilevel"/>
    <w:tmpl w:val="6C02FA7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55252B23"/>
    <w:multiLevelType w:val="hybridMultilevel"/>
    <w:tmpl w:val="5262080E"/>
    <w:lvl w:ilvl="0" w:tplc="42D8C1E4">
      <w:start w:val="1"/>
      <w:numFmt w:val="decimal"/>
      <w:lvlText w:val="%1."/>
      <w:lvlJc w:val="left"/>
      <w:pPr>
        <w:ind w:left="1080" w:hanging="360"/>
      </w:pPr>
      <w:rPr>
        <w:rFonts w:ascii="Cambria" w:hAnsi="Cambria" w:hint="default"/>
        <w:b w:val="0"/>
        <w:bCs/>
        <w:sz w:val="22"/>
        <w:szCs w:val="22"/>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4B9C0506">
      <w:start w:val="1"/>
      <w:numFmt w:val="decimal"/>
      <w:lvlText w:val="%4."/>
      <w:lvlJc w:val="left"/>
      <w:pPr>
        <w:ind w:left="3240" w:hanging="360"/>
      </w:pPr>
      <w:rPr>
        <w:b w:val="0"/>
        <w:bCs/>
      </w:r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64F4750E">
      <w:start w:val="1"/>
      <w:numFmt w:val="decimal"/>
      <w:lvlText w:val="%7."/>
      <w:lvlJc w:val="left"/>
      <w:pPr>
        <w:ind w:left="5400" w:hanging="360"/>
      </w:pPr>
      <w:rPr>
        <w:b w:val="0"/>
        <w:bCs/>
      </w:r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28" w15:restartNumberingAfterBreak="0">
    <w:nsid w:val="5C1A141F"/>
    <w:multiLevelType w:val="hybridMultilevel"/>
    <w:tmpl w:val="BBF06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A5433B"/>
    <w:multiLevelType w:val="hybridMultilevel"/>
    <w:tmpl w:val="BBF42C0A"/>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6DE83646"/>
    <w:multiLevelType w:val="hybridMultilevel"/>
    <w:tmpl w:val="AB5696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7437226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4374125"/>
    <w:multiLevelType w:val="hybridMultilevel"/>
    <w:tmpl w:val="BD1ED690"/>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15:restartNumberingAfterBreak="0">
    <w:nsid w:val="7777634B"/>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B413E71"/>
    <w:multiLevelType w:val="hybridMultilevel"/>
    <w:tmpl w:val="639CBA1A"/>
    <w:lvl w:ilvl="0" w:tplc="17E875D0">
      <w:start w:val="2"/>
      <w:numFmt w:val="decimal"/>
      <w:lvlText w:val="%1."/>
      <w:lvlJc w:val="left"/>
      <w:pPr>
        <w:ind w:left="1440" w:hanging="360"/>
      </w:pPr>
      <w:rPr>
        <w:rFonts w:hint="default"/>
        <w:b w:val="0"/>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7BE974E9"/>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D4E5D74"/>
    <w:multiLevelType w:val="hybridMultilevel"/>
    <w:tmpl w:val="E530F4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7D5B68B4"/>
    <w:multiLevelType w:val="hybridMultilevel"/>
    <w:tmpl w:val="660A1088"/>
    <w:lvl w:ilvl="0" w:tplc="13EC8CA0">
      <w:start w:val="1"/>
      <w:numFmt w:val="lowerLetter"/>
      <w:lvlText w:val="%1)"/>
      <w:lvlJc w:val="left"/>
      <w:pPr>
        <w:ind w:left="720" w:hanging="360"/>
      </w:pPr>
      <w:rPr>
        <w:rFonts w:eastAsia="Batang" w:cs="Calibri Light"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EC35B0D"/>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533809320">
    <w:abstractNumId w:val="11"/>
  </w:num>
  <w:num w:numId="2" w16cid:durableId="453600156">
    <w:abstractNumId w:val="28"/>
  </w:num>
  <w:num w:numId="3" w16cid:durableId="897327684">
    <w:abstractNumId w:val="18"/>
  </w:num>
  <w:num w:numId="4" w16cid:durableId="1141650489">
    <w:abstractNumId w:val="27"/>
  </w:num>
  <w:num w:numId="5" w16cid:durableId="746342540">
    <w:abstractNumId w:val="13"/>
  </w:num>
  <w:num w:numId="6" w16cid:durableId="1621692518">
    <w:abstractNumId w:val="6"/>
  </w:num>
  <w:num w:numId="7" w16cid:durableId="971790784">
    <w:abstractNumId w:val="1"/>
  </w:num>
  <w:num w:numId="8" w16cid:durableId="1387029646">
    <w:abstractNumId w:val="34"/>
  </w:num>
  <w:num w:numId="9" w16cid:durableId="1086881292">
    <w:abstractNumId w:val="7"/>
  </w:num>
  <w:num w:numId="10" w16cid:durableId="1292322756">
    <w:abstractNumId w:val="12"/>
  </w:num>
  <w:num w:numId="11" w16cid:durableId="1000500350">
    <w:abstractNumId w:val="2"/>
  </w:num>
  <w:num w:numId="12" w16cid:durableId="1706103099">
    <w:abstractNumId w:val="33"/>
  </w:num>
  <w:num w:numId="13" w16cid:durableId="1756710271">
    <w:abstractNumId w:val="20"/>
  </w:num>
  <w:num w:numId="14" w16cid:durableId="1099252676">
    <w:abstractNumId w:val="37"/>
  </w:num>
  <w:num w:numId="15" w16cid:durableId="1030109151">
    <w:abstractNumId w:val="16"/>
  </w:num>
  <w:num w:numId="16" w16cid:durableId="1722748191">
    <w:abstractNumId w:val="15"/>
  </w:num>
  <w:num w:numId="17" w16cid:durableId="351491452">
    <w:abstractNumId w:val="26"/>
  </w:num>
  <w:num w:numId="18" w16cid:durableId="1027633537">
    <w:abstractNumId w:val="9"/>
  </w:num>
  <w:num w:numId="19" w16cid:durableId="457845413">
    <w:abstractNumId w:val="25"/>
  </w:num>
  <w:num w:numId="20" w16cid:durableId="1211572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8907281">
    <w:abstractNumId w:val="19"/>
  </w:num>
  <w:num w:numId="22" w16cid:durableId="2003926928">
    <w:abstractNumId w:val="10"/>
  </w:num>
  <w:num w:numId="23" w16cid:durableId="1497725357">
    <w:abstractNumId w:val="21"/>
  </w:num>
  <w:num w:numId="24" w16cid:durableId="307248652">
    <w:abstractNumId w:val="23"/>
  </w:num>
  <w:num w:numId="25" w16cid:durableId="1985550389">
    <w:abstractNumId w:val="5"/>
  </w:num>
  <w:num w:numId="26" w16cid:durableId="1478456909">
    <w:abstractNumId w:val="8"/>
  </w:num>
  <w:num w:numId="27" w16cid:durableId="1176925587">
    <w:abstractNumId w:val="3"/>
  </w:num>
  <w:num w:numId="28" w16cid:durableId="1876766616">
    <w:abstractNumId w:val="35"/>
  </w:num>
  <w:num w:numId="29" w16cid:durableId="2142572164">
    <w:abstractNumId w:val="32"/>
  </w:num>
  <w:num w:numId="30" w16cid:durableId="571933528">
    <w:abstractNumId w:val="30"/>
  </w:num>
  <w:num w:numId="31" w16cid:durableId="1861430946">
    <w:abstractNumId w:val="14"/>
  </w:num>
  <w:num w:numId="32" w16cid:durableId="803893092">
    <w:abstractNumId w:val="17"/>
  </w:num>
  <w:num w:numId="33" w16cid:durableId="1739936026">
    <w:abstractNumId w:val="4"/>
  </w:num>
  <w:num w:numId="34" w16cid:durableId="1458915668">
    <w:abstractNumId w:val="29"/>
  </w:num>
  <w:num w:numId="35" w16cid:durableId="1599485303">
    <w:abstractNumId w:val="38"/>
  </w:num>
  <w:num w:numId="36" w16cid:durableId="1664964272">
    <w:abstractNumId w:val="36"/>
  </w:num>
  <w:num w:numId="37" w16cid:durableId="2074966919">
    <w:abstractNumId w:val="31"/>
  </w:num>
  <w:num w:numId="38" w16cid:durableId="20934263">
    <w:abstractNumId w:val="22"/>
  </w:num>
  <w:num w:numId="39" w16cid:durableId="195656616">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222"/>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B6"/>
    <w:rsid w:val="000161DA"/>
    <w:rsid w:val="000244BA"/>
    <w:rsid w:val="00047B56"/>
    <w:rsid w:val="00054EA0"/>
    <w:rsid w:val="00062031"/>
    <w:rsid w:val="0006625E"/>
    <w:rsid w:val="000667A7"/>
    <w:rsid w:val="00074D00"/>
    <w:rsid w:val="00096079"/>
    <w:rsid w:val="000B3203"/>
    <w:rsid w:val="000B3318"/>
    <w:rsid w:val="000D32B6"/>
    <w:rsid w:val="001011E0"/>
    <w:rsid w:val="00101E3E"/>
    <w:rsid w:val="00112395"/>
    <w:rsid w:val="0012586C"/>
    <w:rsid w:val="00127F17"/>
    <w:rsid w:val="001511FD"/>
    <w:rsid w:val="001541D4"/>
    <w:rsid w:val="00162518"/>
    <w:rsid w:val="001834F6"/>
    <w:rsid w:val="001C516B"/>
    <w:rsid w:val="001E3F4C"/>
    <w:rsid w:val="00215215"/>
    <w:rsid w:val="0021669C"/>
    <w:rsid w:val="00226F48"/>
    <w:rsid w:val="00240E8E"/>
    <w:rsid w:val="002547E7"/>
    <w:rsid w:val="00260836"/>
    <w:rsid w:val="00277604"/>
    <w:rsid w:val="002859A9"/>
    <w:rsid w:val="00292B52"/>
    <w:rsid w:val="00294B17"/>
    <w:rsid w:val="002A39B2"/>
    <w:rsid w:val="002D40CD"/>
    <w:rsid w:val="002E4FBC"/>
    <w:rsid w:val="002F156A"/>
    <w:rsid w:val="00324C1A"/>
    <w:rsid w:val="00335042"/>
    <w:rsid w:val="00336E78"/>
    <w:rsid w:val="003419CC"/>
    <w:rsid w:val="00343CED"/>
    <w:rsid w:val="0036283E"/>
    <w:rsid w:val="00385F0C"/>
    <w:rsid w:val="00393310"/>
    <w:rsid w:val="00394EEF"/>
    <w:rsid w:val="003C4836"/>
    <w:rsid w:val="003E4C2F"/>
    <w:rsid w:val="003E533F"/>
    <w:rsid w:val="003E6F57"/>
    <w:rsid w:val="003F3C6B"/>
    <w:rsid w:val="00402700"/>
    <w:rsid w:val="00417964"/>
    <w:rsid w:val="00420BB1"/>
    <w:rsid w:val="0043583A"/>
    <w:rsid w:val="004545D1"/>
    <w:rsid w:val="00470C7B"/>
    <w:rsid w:val="0047146A"/>
    <w:rsid w:val="004722BC"/>
    <w:rsid w:val="00472E04"/>
    <w:rsid w:val="0047567D"/>
    <w:rsid w:val="00477BF2"/>
    <w:rsid w:val="004B3074"/>
    <w:rsid w:val="004B7CA6"/>
    <w:rsid w:val="004C6CCF"/>
    <w:rsid w:val="004C7C99"/>
    <w:rsid w:val="004F5CA9"/>
    <w:rsid w:val="004F5F70"/>
    <w:rsid w:val="00504855"/>
    <w:rsid w:val="005145CC"/>
    <w:rsid w:val="005205B9"/>
    <w:rsid w:val="00534F2B"/>
    <w:rsid w:val="005566F5"/>
    <w:rsid w:val="005719FA"/>
    <w:rsid w:val="005829B9"/>
    <w:rsid w:val="00594A1B"/>
    <w:rsid w:val="005A328E"/>
    <w:rsid w:val="005A4D20"/>
    <w:rsid w:val="005A5AE8"/>
    <w:rsid w:val="005A5E14"/>
    <w:rsid w:val="005B2E65"/>
    <w:rsid w:val="005C2637"/>
    <w:rsid w:val="005C414D"/>
    <w:rsid w:val="005D7F05"/>
    <w:rsid w:val="005E3720"/>
    <w:rsid w:val="005E4B03"/>
    <w:rsid w:val="005F171A"/>
    <w:rsid w:val="005F4AAA"/>
    <w:rsid w:val="0060081A"/>
    <w:rsid w:val="00604132"/>
    <w:rsid w:val="00634F89"/>
    <w:rsid w:val="00637AFB"/>
    <w:rsid w:val="00655003"/>
    <w:rsid w:val="00660EF3"/>
    <w:rsid w:val="00663A76"/>
    <w:rsid w:val="0067152B"/>
    <w:rsid w:val="00672090"/>
    <w:rsid w:val="006C2941"/>
    <w:rsid w:val="006C2B06"/>
    <w:rsid w:val="006C7308"/>
    <w:rsid w:val="006E2BD8"/>
    <w:rsid w:val="006F0429"/>
    <w:rsid w:val="0070407B"/>
    <w:rsid w:val="00705E57"/>
    <w:rsid w:val="007175E2"/>
    <w:rsid w:val="00727940"/>
    <w:rsid w:val="00730193"/>
    <w:rsid w:val="0073227E"/>
    <w:rsid w:val="00732EA4"/>
    <w:rsid w:val="007377D4"/>
    <w:rsid w:val="007B0327"/>
    <w:rsid w:val="007B3452"/>
    <w:rsid w:val="007B3D07"/>
    <w:rsid w:val="007C2CC3"/>
    <w:rsid w:val="007C351D"/>
    <w:rsid w:val="007D4C18"/>
    <w:rsid w:val="007E463E"/>
    <w:rsid w:val="007F5F4E"/>
    <w:rsid w:val="00801509"/>
    <w:rsid w:val="00806082"/>
    <w:rsid w:val="00807BAA"/>
    <w:rsid w:val="00811878"/>
    <w:rsid w:val="008145AE"/>
    <w:rsid w:val="00817E0C"/>
    <w:rsid w:val="008338E4"/>
    <w:rsid w:val="00833BA8"/>
    <w:rsid w:val="00846397"/>
    <w:rsid w:val="008521E0"/>
    <w:rsid w:val="00854914"/>
    <w:rsid w:val="008550EF"/>
    <w:rsid w:val="00893661"/>
    <w:rsid w:val="008A1CBE"/>
    <w:rsid w:val="008B1EA8"/>
    <w:rsid w:val="008B2A99"/>
    <w:rsid w:val="008B6DA8"/>
    <w:rsid w:val="008E42E1"/>
    <w:rsid w:val="008E751C"/>
    <w:rsid w:val="008F2248"/>
    <w:rsid w:val="009162E7"/>
    <w:rsid w:val="00941BE5"/>
    <w:rsid w:val="009457D8"/>
    <w:rsid w:val="0096142F"/>
    <w:rsid w:val="0096419E"/>
    <w:rsid w:val="00994458"/>
    <w:rsid w:val="009949ED"/>
    <w:rsid w:val="009B1135"/>
    <w:rsid w:val="009B219C"/>
    <w:rsid w:val="009C227B"/>
    <w:rsid w:val="009C4D87"/>
    <w:rsid w:val="009C5BE9"/>
    <w:rsid w:val="009E73F0"/>
    <w:rsid w:val="009F66EA"/>
    <w:rsid w:val="00A2502C"/>
    <w:rsid w:val="00A25CA7"/>
    <w:rsid w:val="00A343FF"/>
    <w:rsid w:val="00A61B5E"/>
    <w:rsid w:val="00A678C3"/>
    <w:rsid w:val="00A70B4A"/>
    <w:rsid w:val="00A76705"/>
    <w:rsid w:val="00A7781B"/>
    <w:rsid w:val="00A860C7"/>
    <w:rsid w:val="00AA164D"/>
    <w:rsid w:val="00AB253B"/>
    <w:rsid w:val="00AC2C8E"/>
    <w:rsid w:val="00AE1B0F"/>
    <w:rsid w:val="00AF2D92"/>
    <w:rsid w:val="00B002D8"/>
    <w:rsid w:val="00B056D9"/>
    <w:rsid w:val="00B063D6"/>
    <w:rsid w:val="00B120EB"/>
    <w:rsid w:val="00B205A7"/>
    <w:rsid w:val="00B3732F"/>
    <w:rsid w:val="00B40F77"/>
    <w:rsid w:val="00B4343F"/>
    <w:rsid w:val="00B60889"/>
    <w:rsid w:val="00B674F5"/>
    <w:rsid w:val="00B74EA5"/>
    <w:rsid w:val="00B8008C"/>
    <w:rsid w:val="00B806AC"/>
    <w:rsid w:val="00B93993"/>
    <w:rsid w:val="00BA2B9F"/>
    <w:rsid w:val="00BB0A8F"/>
    <w:rsid w:val="00BC3854"/>
    <w:rsid w:val="00C03B37"/>
    <w:rsid w:val="00C17E67"/>
    <w:rsid w:val="00C17F04"/>
    <w:rsid w:val="00C30658"/>
    <w:rsid w:val="00C3260E"/>
    <w:rsid w:val="00C3445F"/>
    <w:rsid w:val="00C402CB"/>
    <w:rsid w:val="00C55E1C"/>
    <w:rsid w:val="00C56464"/>
    <w:rsid w:val="00C57947"/>
    <w:rsid w:val="00C76780"/>
    <w:rsid w:val="00CB6344"/>
    <w:rsid w:val="00CB7CD5"/>
    <w:rsid w:val="00CB7D17"/>
    <w:rsid w:val="00CC0731"/>
    <w:rsid w:val="00CC6DB2"/>
    <w:rsid w:val="00CE024B"/>
    <w:rsid w:val="00CE2129"/>
    <w:rsid w:val="00CE74B7"/>
    <w:rsid w:val="00CF54E1"/>
    <w:rsid w:val="00D048B2"/>
    <w:rsid w:val="00D05BCC"/>
    <w:rsid w:val="00D23C64"/>
    <w:rsid w:val="00D735C2"/>
    <w:rsid w:val="00D76EDC"/>
    <w:rsid w:val="00D9413D"/>
    <w:rsid w:val="00DA7797"/>
    <w:rsid w:val="00DB5566"/>
    <w:rsid w:val="00DC5A37"/>
    <w:rsid w:val="00DC7C8F"/>
    <w:rsid w:val="00DF0FE5"/>
    <w:rsid w:val="00E12118"/>
    <w:rsid w:val="00E177B0"/>
    <w:rsid w:val="00E24621"/>
    <w:rsid w:val="00E3040C"/>
    <w:rsid w:val="00E31824"/>
    <w:rsid w:val="00E42870"/>
    <w:rsid w:val="00E525B3"/>
    <w:rsid w:val="00E6614F"/>
    <w:rsid w:val="00E737AE"/>
    <w:rsid w:val="00E953CE"/>
    <w:rsid w:val="00EC2A38"/>
    <w:rsid w:val="00ED7332"/>
    <w:rsid w:val="00ED73A5"/>
    <w:rsid w:val="00F14821"/>
    <w:rsid w:val="00F43314"/>
    <w:rsid w:val="00F45256"/>
    <w:rsid w:val="00F53B51"/>
    <w:rsid w:val="00F54F60"/>
    <w:rsid w:val="00F61B1D"/>
    <w:rsid w:val="00F62829"/>
    <w:rsid w:val="00F66FEE"/>
    <w:rsid w:val="00F74974"/>
    <w:rsid w:val="00F7589F"/>
    <w:rsid w:val="00F9351A"/>
    <w:rsid w:val="00FC304E"/>
    <w:rsid w:val="00FC62AE"/>
    <w:rsid w:val="00FC66C2"/>
    <w:rsid w:val="00FC76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9C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unhideWhenUsed/>
    <w:rsid w:val="0047146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Párrafo de lista1,List Paragraph1,Colorful List - Accent 11,List Paragraph11"/>
    <w:basedOn w:val="Normal"/>
    <w:link w:val="ListParagraphChar"/>
    <w:uiPriority w:val="34"/>
    <w:qFormat/>
    <w:rsid w:val="00470C7B"/>
    <w:pPr>
      <w:ind w:left="720"/>
      <w:contextualSpacing/>
    </w:pPr>
    <w:rPr>
      <w:rFonts w:eastAsia="Times New Roman"/>
    </w:rPr>
  </w:style>
  <w:style w:type="character" w:styleId="Hyperlink">
    <w:name w:val="Hyperlink"/>
    <w:uiPriority w:val="99"/>
    <w:unhideWhenUsed/>
    <w:rsid w:val="00470C7B"/>
    <w:rPr>
      <w:color w:val="0000FF"/>
      <w:u w:val="single"/>
    </w:rPr>
  </w:style>
  <w:style w:type="character" w:customStyle="1" w:styleId="ListParagraphChar">
    <w:name w:val="List Paragraph Char"/>
    <w:aliases w:val="Párrafo de lista1 Char,List Paragraph1 Char,Colorful List - Accent 11 Char,List Paragraph11 Char"/>
    <w:link w:val="ListParagraph"/>
    <w:uiPriority w:val="34"/>
    <w:locked/>
    <w:rsid w:val="00470C7B"/>
    <w:rPr>
      <w:rFonts w:eastAsia="Times New Roman"/>
      <w:sz w:val="22"/>
      <w:szCs w:val="22"/>
      <w:lang w:val="en-US" w:eastAsia="en-US"/>
    </w:rPr>
  </w:style>
  <w:style w:type="character" w:styleId="FootnoteReference">
    <w:name w:val="footnote reference"/>
    <w:aliases w:val="Ref,f1,4,norma"/>
    <w:link w:val="Appelnotedebasde"/>
    <w:uiPriority w:val="99"/>
    <w:unhideWhenUsed/>
    <w:qFormat/>
    <w:rsid w:val="00470C7B"/>
    <w:rPr>
      <w:vertAlign w:val="superscript"/>
    </w:rPr>
  </w:style>
  <w:style w:type="paragraph" w:customStyle="1" w:styleId="Appelnotedebasde">
    <w:name w:val="Appel note de bas de..."/>
    <w:basedOn w:val="Normal"/>
    <w:link w:val="FootnoteReference"/>
    <w:uiPriority w:val="99"/>
    <w:rsid w:val="00470C7B"/>
    <w:pPr>
      <w:spacing w:after="160" w:line="240" w:lineRule="exact"/>
    </w:pPr>
    <w:rPr>
      <w:sz w:val="20"/>
      <w:szCs w:val="20"/>
      <w:vertAlign w:val="superscript"/>
      <w:lang w:val="es-CO" w:eastAsia="es-MX"/>
    </w:rPr>
  </w:style>
  <w:style w:type="character" w:styleId="FollowedHyperlink">
    <w:name w:val="FollowedHyperlink"/>
    <w:basedOn w:val="DefaultParagraphFont"/>
    <w:uiPriority w:val="99"/>
    <w:semiHidden/>
    <w:unhideWhenUsed/>
    <w:rsid w:val="00385F0C"/>
    <w:rPr>
      <w:color w:val="954F72" w:themeColor="followedHyperlink"/>
      <w:u w:val="single"/>
    </w:rPr>
  </w:style>
  <w:style w:type="paragraph" w:styleId="FootnoteText">
    <w:name w:val="footnote text"/>
    <w:aliases w:val="Footnote Reference1,Footnotes refss,Texto de nota al pie,referencia nota al pie,BVI fnr,Appel note de bas de page,Footnote symbol,Footnote number,f,Ref. de nota al pie.,4_G,16 Point,Superscript 6 Point,Texto nota al pie,Ref. de nota al pi"/>
    <w:basedOn w:val="Normal"/>
    <w:link w:val="FootnoteTextChar"/>
    <w:uiPriority w:val="99"/>
    <w:unhideWhenUsed/>
    <w:qFormat/>
    <w:rsid w:val="00672090"/>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Reference1 Char,Footnotes refss Char,Texto de nota al pie Char,referencia nota al pie Char,BVI fnr Char,Appel note de bas de page Char,Footnote symbol Char,Footnote number Char,f Char,Ref. de nota al pie. Char,4_G Char"/>
    <w:basedOn w:val="DefaultParagraphFont"/>
    <w:link w:val="FootnoteText"/>
    <w:uiPriority w:val="99"/>
    <w:rsid w:val="00672090"/>
    <w:rPr>
      <w:rFonts w:ascii="Times New Roman" w:eastAsia="Times New Roman" w:hAnsi="Times New Roman"/>
      <w:lang w:val="en-US" w:eastAsia="en-US"/>
    </w:rPr>
  </w:style>
  <w:style w:type="paragraph" w:styleId="NoSpacing">
    <w:name w:val="No Spacing"/>
    <w:uiPriority w:val="1"/>
    <w:qFormat/>
    <w:rsid w:val="008521E0"/>
    <w:rPr>
      <w:sz w:val="22"/>
      <w:szCs w:val="22"/>
      <w:lang w:val="en-US" w:eastAsia="en-US"/>
    </w:rPr>
  </w:style>
  <w:style w:type="paragraph" w:customStyle="1" w:styleId="Default">
    <w:name w:val="Default"/>
    <w:rsid w:val="008521E0"/>
    <w:pPr>
      <w:autoSpaceDE w:val="0"/>
      <w:autoSpaceDN w:val="0"/>
      <w:adjustRightInd w:val="0"/>
    </w:pPr>
    <w:rPr>
      <w:rFonts w:ascii="Cambria" w:hAnsi="Cambria" w:cs="Cambria"/>
      <w:color w:val="000000"/>
      <w:sz w:val="24"/>
      <w:szCs w:val="24"/>
      <w:lang w:val="en-US" w:eastAsia="en-US"/>
    </w:rPr>
  </w:style>
  <w:style w:type="paragraph" w:styleId="Revision">
    <w:name w:val="Revision"/>
    <w:hidden/>
    <w:uiPriority w:val="99"/>
    <w:semiHidden/>
    <w:rsid w:val="00B120EB"/>
    <w:rPr>
      <w:sz w:val="22"/>
      <w:szCs w:val="22"/>
      <w:lang w:val="en-US" w:eastAsia="en-US"/>
    </w:rPr>
  </w:style>
  <w:style w:type="character" w:styleId="UnresolvedMention">
    <w:name w:val="Unresolved Mention"/>
    <w:basedOn w:val="DefaultParagraphFont"/>
    <w:uiPriority w:val="99"/>
    <w:semiHidden/>
    <w:unhideWhenUsed/>
    <w:rsid w:val="00634F89"/>
    <w:rPr>
      <w:color w:val="605E5C"/>
      <w:shd w:val="clear" w:color="auto" w:fill="E1DFDD"/>
    </w:rPr>
  </w:style>
  <w:style w:type="numbering" w:customStyle="1" w:styleId="CurrentList1">
    <w:name w:val="Current List1"/>
    <w:uiPriority w:val="99"/>
    <w:rsid w:val="004C7C99"/>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as.org/en/iachr/decisions/2021/ARSA245-03EN.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as.org/en/iachr/decisions/2021/ARSA245-03EN.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n/iachr/decisions/2021/ARSA245-03EN.pdf" TargetMode="External"/><Relationship Id="rId2" Type="http://schemas.openxmlformats.org/officeDocument/2006/relationships/hyperlink" Target="https://www.oas.org/en/iachr/decisions/2021/ARSA245-03EN.pdf" TargetMode="External"/><Relationship Id="rId1" Type="http://schemas.openxmlformats.org/officeDocument/2006/relationships/hyperlink" Target="https://www.oas.org/en/iachr/decisions/2021/ARSA245-03EN.pdf" TargetMode="External"/><Relationship Id="rId5" Type="http://schemas.openxmlformats.org/officeDocument/2006/relationships/hyperlink" Target="https://www.oas.org/en/iachr/decisions/2021/ARSA245-03EN.pdf" TargetMode="External"/><Relationship Id="rId4" Type="http://schemas.openxmlformats.org/officeDocument/2006/relationships/hyperlink" Target="https://www.oas.org/en/iachr/decisions/2021/ARSA245-03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34A0D-18CE-4362-9E26-A3C7BFDE772A}">
  <ds:schemaRefs>
    <ds:schemaRef ds:uri="http://schemas.microsoft.com/office/2006/metadata/longProperties"/>
  </ds:schemaRefs>
</ds:datastoreItem>
</file>

<file path=customXml/itemProps2.xml><?xml version="1.0" encoding="utf-8"?>
<ds:datastoreItem xmlns:ds="http://schemas.openxmlformats.org/officeDocument/2006/customXml" ds:itemID="{490A2D28-5FAE-4C93-A166-435BBB1CA95B}">
  <ds:schemaRefs>
    <ds:schemaRef ds:uri="http://schemas.microsoft.com/sharepoint/v3/contenttype/forms"/>
  </ds:schemaRefs>
</ds:datastoreItem>
</file>

<file path=customXml/itemProps3.xml><?xml version="1.0" encoding="utf-8"?>
<ds:datastoreItem xmlns:ds="http://schemas.openxmlformats.org/officeDocument/2006/customXml" ds:itemID="{748CE3C7-B026-E241-B903-18C1190A9A5F}">
  <ds:schemaRefs>
    <ds:schemaRef ds:uri="http://schemas.openxmlformats.org/officeDocument/2006/bibliography"/>
  </ds:schemaRefs>
</ds:datastoreItem>
</file>

<file path=customXml/itemProps4.xml><?xml version="1.0" encoding="utf-8"?>
<ds:datastoreItem xmlns:ds="http://schemas.openxmlformats.org/officeDocument/2006/customXml" ds:itemID="{BF31B657-F33D-43CC-9F55-73619C379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753</Words>
  <Characters>4295</Characters>
  <Application>Microsoft Office Word</Application>
  <DocSecurity>0</DocSecurity>
  <Lines>35</Lines>
  <Paragraphs>10</Paragraphs>
  <ScaleCrop>false</ScaleCrop>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2023-03-07T20:27:00Z</dcterms:created>
  <dcterms:modified xsi:type="dcterms:W3CDTF">2023-03-07T20:27:00Z</dcterms:modified>
</cp:coreProperties>
</file>