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54F46A0F" w14:textId="77777777" w:rsidR="008A1CBE" w:rsidRPr="007175E2" w:rsidRDefault="008A1CBE" w:rsidP="008A1CBE">
      <w:pPr>
        <w:spacing w:after="0" w:line="240" w:lineRule="auto"/>
        <w:ind w:right="4"/>
        <w:jc w:val="center"/>
        <w:rPr>
          <w:rFonts w:ascii="Cambria" w:eastAsia="Batang" w:hAnsi="Cambria"/>
          <w:b/>
          <w:color w:val="000000"/>
        </w:rPr>
      </w:pPr>
      <w:r w:rsidRPr="007175E2">
        <w:rPr>
          <w:rFonts w:ascii="Cambria" w:eastAsia="Batang" w:hAnsi="Cambria"/>
          <w:b/>
          <w:color w:val="000000"/>
        </w:rPr>
        <w:t>TECHNICAL INFORMATION SHEET</w:t>
      </w:r>
    </w:p>
    <w:p w14:paraId="3F95B6F0" w14:textId="77777777" w:rsidR="008A1CBE" w:rsidRPr="007175E2" w:rsidRDefault="008A1CBE" w:rsidP="008A1CBE">
      <w:pPr>
        <w:spacing w:after="0" w:line="240" w:lineRule="auto"/>
        <w:ind w:right="4"/>
        <w:jc w:val="center"/>
        <w:rPr>
          <w:rFonts w:ascii="Cambria" w:hAnsi="Cambria"/>
          <w:b/>
          <w:color w:val="000000"/>
        </w:rPr>
      </w:pPr>
      <w:r w:rsidRPr="007175E2">
        <w:rPr>
          <w:rFonts w:ascii="Cambria" w:hAnsi="Cambria"/>
          <w:b/>
          <w:color w:val="000000"/>
        </w:rPr>
        <w:t>CASE 12.960 RONALD JARED MARTÍNEZ ET AL</w:t>
      </w:r>
    </w:p>
    <w:p w14:paraId="6D97E7D5" w14:textId="3AD2CE9C" w:rsidR="008A1CBE" w:rsidRPr="007175E2" w:rsidRDefault="008A1CBE" w:rsidP="008A1CBE">
      <w:pPr>
        <w:spacing w:after="0" w:line="240" w:lineRule="auto"/>
        <w:ind w:right="4"/>
        <w:jc w:val="center"/>
        <w:rPr>
          <w:rFonts w:ascii="Cambria" w:eastAsia="Batang" w:hAnsi="Cambria"/>
          <w:b/>
          <w:color w:val="000000" w:themeColor="text1"/>
        </w:rPr>
      </w:pPr>
      <w:r w:rsidRPr="007175E2">
        <w:rPr>
          <w:rFonts w:ascii="Cambria" w:eastAsia="Batang" w:hAnsi="Cambria"/>
          <w:b/>
          <w:color w:val="000000"/>
        </w:rPr>
        <w:t>FRIENDLY SETTL</w:t>
      </w:r>
      <w:r w:rsidRPr="007175E2">
        <w:rPr>
          <w:rFonts w:ascii="Cambria" w:eastAsia="Batang" w:hAnsi="Cambria"/>
          <w:b/>
          <w:color w:val="000000" w:themeColor="text1"/>
        </w:rPr>
        <w:t>EMENT REPORT No.</w:t>
      </w:r>
      <w:r w:rsidR="00A678C3" w:rsidRPr="007175E2">
        <w:rPr>
          <w:rFonts w:ascii="Cambria" w:eastAsia="Batang" w:hAnsi="Cambria"/>
          <w:b/>
          <w:color w:val="000000" w:themeColor="text1"/>
        </w:rPr>
        <w:t xml:space="preserve"> </w:t>
      </w:r>
      <w:hyperlink r:id="rId11" w:history="1">
        <w:r w:rsidRPr="007175E2">
          <w:rPr>
            <w:rStyle w:val="Hyperlink"/>
            <w:rFonts w:ascii="Cambria" w:hAnsi="Cambria"/>
            <w:b/>
            <w:color w:val="000000" w:themeColor="text1"/>
            <w:u w:val="none"/>
          </w:rPr>
          <w:t>269/21</w:t>
        </w:r>
      </w:hyperlink>
    </w:p>
    <w:p w14:paraId="77A5BDA1" w14:textId="77777777" w:rsidR="008A1CBE" w:rsidRPr="007175E2" w:rsidRDefault="008A1CBE" w:rsidP="008A1CBE">
      <w:pPr>
        <w:spacing w:after="0" w:line="240" w:lineRule="auto"/>
        <w:ind w:right="4"/>
        <w:jc w:val="center"/>
        <w:rPr>
          <w:rFonts w:ascii="Cambria" w:eastAsia="Batang" w:hAnsi="Cambria"/>
          <w:b/>
          <w:color w:val="000000" w:themeColor="text1"/>
        </w:rPr>
      </w:pPr>
      <w:r w:rsidRPr="007175E2">
        <w:rPr>
          <w:rFonts w:ascii="Cambria" w:eastAsia="Batang" w:hAnsi="Cambria"/>
          <w:b/>
          <w:color w:val="000000" w:themeColor="text1"/>
        </w:rPr>
        <w:t>TOTAL COMPLIANCE</w:t>
      </w:r>
    </w:p>
    <w:p w14:paraId="2C68AF05" w14:textId="77777777" w:rsidR="008A1CBE" w:rsidRPr="007175E2" w:rsidRDefault="008A1CBE" w:rsidP="008A1CBE">
      <w:pPr>
        <w:spacing w:after="0" w:line="240" w:lineRule="auto"/>
        <w:ind w:right="4"/>
        <w:jc w:val="center"/>
        <w:rPr>
          <w:rFonts w:ascii="Cambria" w:eastAsia="Batang" w:hAnsi="Cambria"/>
          <w:b/>
          <w:color w:val="000000" w:themeColor="text1"/>
        </w:rPr>
      </w:pPr>
      <w:r w:rsidRPr="007175E2">
        <w:rPr>
          <w:rFonts w:ascii="Cambria" w:eastAsia="Batang" w:hAnsi="Cambria"/>
          <w:b/>
          <w:color w:val="000000" w:themeColor="text1"/>
        </w:rPr>
        <w:t>(HONDURAS)</w:t>
      </w:r>
    </w:p>
    <w:p w14:paraId="470F0B16" w14:textId="77777777" w:rsidR="008A1CBE" w:rsidRPr="007175E2" w:rsidRDefault="008A1CBE" w:rsidP="008A1CBE">
      <w:pPr>
        <w:spacing w:after="0" w:line="240" w:lineRule="auto"/>
        <w:ind w:right="-270"/>
        <w:jc w:val="center"/>
        <w:rPr>
          <w:rFonts w:ascii="Cambria" w:eastAsia="Batang" w:hAnsi="Cambria"/>
          <w:b/>
          <w:color w:val="000000" w:themeColor="text1"/>
        </w:rPr>
      </w:pPr>
    </w:p>
    <w:p w14:paraId="272934A5" w14:textId="77777777" w:rsidR="008A1CBE" w:rsidRPr="007175E2" w:rsidRDefault="008A1CBE" w:rsidP="008A1CBE">
      <w:pPr>
        <w:numPr>
          <w:ilvl w:val="0"/>
          <w:numId w:val="9"/>
        </w:numPr>
        <w:spacing w:after="0" w:line="240" w:lineRule="auto"/>
        <w:rPr>
          <w:rFonts w:ascii="Cambria" w:eastAsia="Batang" w:hAnsi="Cambria" w:cs="Calibri Light"/>
          <w:b/>
          <w:color w:val="000000" w:themeColor="text1"/>
        </w:rPr>
      </w:pPr>
      <w:r w:rsidRPr="007175E2">
        <w:rPr>
          <w:rFonts w:ascii="Cambria" w:eastAsia="Batang" w:hAnsi="Cambria" w:cs="Calibri Light"/>
          <w:b/>
          <w:color w:val="000000" w:themeColor="text1"/>
        </w:rPr>
        <w:t>SUMMARY OF THE CASE</w:t>
      </w:r>
    </w:p>
    <w:p w14:paraId="72D555C3" w14:textId="77777777" w:rsidR="008A1CBE" w:rsidRPr="007175E2" w:rsidRDefault="008A1CBE" w:rsidP="008A1CBE">
      <w:pPr>
        <w:spacing w:after="0" w:line="240" w:lineRule="auto"/>
        <w:rPr>
          <w:rFonts w:ascii="Cambria" w:eastAsia="Batang" w:hAnsi="Cambria" w:cs="Calibri Light"/>
          <w:b/>
          <w:color w:val="000000" w:themeColor="text1"/>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51"/>
      </w:tblGrid>
      <w:tr w:rsidR="00893661" w:rsidRPr="007175E2" w14:paraId="3CF25CB8" w14:textId="77777777" w:rsidTr="00893661">
        <w:trPr>
          <w:trHeight w:val="8736"/>
          <w:jc w:val="center"/>
        </w:trPr>
        <w:tc>
          <w:tcPr>
            <w:tcW w:w="9451" w:type="dxa"/>
            <w:shd w:val="clear" w:color="auto" w:fill="F2F2F2"/>
          </w:tcPr>
          <w:p w14:paraId="7D48000A" w14:textId="77777777" w:rsidR="008A1CBE" w:rsidRPr="007175E2" w:rsidRDefault="008A1CBE" w:rsidP="00F024F0">
            <w:pPr>
              <w:tabs>
                <w:tab w:val="left" w:pos="9270"/>
              </w:tabs>
              <w:spacing w:after="0" w:line="240" w:lineRule="auto"/>
              <w:jc w:val="both"/>
              <w:rPr>
                <w:rFonts w:ascii="Cambria" w:eastAsia="Batang" w:hAnsi="Cambria"/>
                <w:b/>
                <w:color w:val="000000" w:themeColor="text1"/>
              </w:rPr>
            </w:pPr>
            <w:r w:rsidRPr="007175E2">
              <w:rPr>
                <w:rFonts w:ascii="Cambria" w:eastAsia="Batang" w:hAnsi="Cambria"/>
                <w:b/>
                <w:color w:val="000000" w:themeColor="text1"/>
              </w:rPr>
              <w:t xml:space="preserve">Victim(s): </w:t>
            </w:r>
            <w:r w:rsidRPr="007175E2">
              <w:rPr>
                <w:rFonts w:ascii="Cambria" w:eastAsia="Batang" w:hAnsi="Cambria"/>
                <w:bCs/>
                <w:color w:val="000000" w:themeColor="text1"/>
              </w:rPr>
              <w:t>Ronald Jared Martínez and Family, and Marlón Fabricio Hernández Fúnez</w:t>
            </w:r>
          </w:p>
          <w:p w14:paraId="4E36768B" w14:textId="77777777" w:rsidR="008A1CBE" w:rsidRPr="007175E2" w:rsidRDefault="008A1CBE" w:rsidP="00F024F0">
            <w:pPr>
              <w:tabs>
                <w:tab w:val="left" w:pos="9270"/>
              </w:tabs>
              <w:spacing w:after="0" w:line="240" w:lineRule="auto"/>
              <w:jc w:val="both"/>
              <w:rPr>
                <w:rFonts w:ascii="Cambria" w:eastAsia="Batang" w:hAnsi="Cambria"/>
                <w:b/>
                <w:bCs/>
                <w:color w:val="000000" w:themeColor="text1"/>
              </w:rPr>
            </w:pPr>
            <w:r w:rsidRPr="007175E2">
              <w:rPr>
                <w:rFonts w:ascii="Cambria" w:eastAsia="Batang" w:hAnsi="Cambria"/>
                <w:b/>
                <w:color w:val="000000" w:themeColor="text1"/>
              </w:rPr>
              <w:t xml:space="preserve">Petitioner(s): </w:t>
            </w:r>
            <w:r w:rsidRPr="007175E2">
              <w:rPr>
                <w:rFonts w:ascii="Cambria" w:eastAsia="Batang" w:hAnsi="Cambria"/>
                <w:color w:val="000000" w:themeColor="text1"/>
              </w:rPr>
              <w:t>José Roberto Martínez Raudales, Rodolfo Enrique Villalta Estrada and Seida Rivera Flores</w:t>
            </w:r>
          </w:p>
          <w:p w14:paraId="1A6E9687" w14:textId="77777777" w:rsidR="008A1CBE" w:rsidRPr="007175E2" w:rsidRDefault="008A1CBE" w:rsidP="00F024F0">
            <w:pPr>
              <w:tabs>
                <w:tab w:val="left" w:pos="9270"/>
              </w:tabs>
              <w:spacing w:after="0" w:line="240" w:lineRule="auto"/>
              <w:jc w:val="both"/>
              <w:rPr>
                <w:rFonts w:ascii="Cambria" w:eastAsia="Batang" w:hAnsi="Cambria"/>
                <w:b/>
                <w:color w:val="000000" w:themeColor="text1"/>
              </w:rPr>
            </w:pPr>
            <w:r w:rsidRPr="007175E2">
              <w:rPr>
                <w:rFonts w:ascii="Cambria" w:eastAsia="Batang" w:hAnsi="Cambria"/>
                <w:b/>
                <w:color w:val="000000" w:themeColor="text1"/>
              </w:rPr>
              <w:t xml:space="preserve">State: </w:t>
            </w:r>
            <w:r w:rsidRPr="007175E2">
              <w:rPr>
                <w:rFonts w:ascii="Cambria" w:eastAsia="Batang" w:hAnsi="Cambria"/>
                <w:bCs/>
                <w:color w:val="000000" w:themeColor="text1"/>
              </w:rPr>
              <w:t>Honduras</w:t>
            </w:r>
          </w:p>
          <w:p w14:paraId="1F917F54" w14:textId="77777777" w:rsidR="008A1CBE" w:rsidRPr="007175E2" w:rsidRDefault="008A1CBE" w:rsidP="00F024F0">
            <w:pPr>
              <w:tabs>
                <w:tab w:val="left" w:pos="9270"/>
              </w:tabs>
              <w:spacing w:after="0" w:line="240" w:lineRule="auto"/>
              <w:jc w:val="both"/>
              <w:rPr>
                <w:rFonts w:ascii="Cambria" w:eastAsia="Batang" w:hAnsi="Cambria"/>
                <w:b/>
                <w:bCs/>
                <w:color w:val="000000" w:themeColor="text1"/>
              </w:rPr>
            </w:pPr>
            <w:r w:rsidRPr="007175E2">
              <w:rPr>
                <w:rFonts w:ascii="Cambria" w:eastAsia="Batang" w:hAnsi="Cambria"/>
                <w:b/>
                <w:bCs/>
                <w:color w:val="000000" w:themeColor="text1"/>
              </w:rPr>
              <w:t xml:space="preserve">Beginning of the negotiation date: </w:t>
            </w:r>
            <w:r w:rsidRPr="007175E2">
              <w:rPr>
                <w:rFonts w:ascii="Cambria" w:eastAsia="Batang" w:hAnsi="Cambria"/>
                <w:color w:val="000000" w:themeColor="text1"/>
              </w:rPr>
              <w:t>December 16, 2014</w:t>
            </w:r>
          </w:p>
          <w:p w14:paraId="2BCE7B87" w14:textId="77777777" w:rsidR="008A1CBE" w:rsidRPr="007175E2" w:rsidRDefault="008A1CBE" w:rsidP="00F024F0">
            <w:pPr>
              <w:tabs>
                <w:tab w:val="left" w:pos="9270"/>
              </w:tabs>
              <w:spacing w:after="0" w:line="240" w:lineRule="auto"/>
              <w:jc w:val="both"/>
              <w:rPr>
                <w:rFonts w:ascii="Cambria" w:eastAsia="Batang" w:hAnsi="Cambria"/>
                <w:b/>
                <w:color w:val="000000" w:themeColor="text1"/>
              </w:rPr>
            </w:pPr>
            <w:r w:rsidRPr="007175E2">
              <w:rPr>
                <w:rFonts w:ascii="Cambria" w:eastAsia="Batang" w:hAnsi="Cambria"/>
                <w:b/>
                <w:bCs/>
                <w:color w:val="000000" w:themeColor="text1"/>
              </w:rPr>
              <w:t>FSA signature date:</w:t>
            </w:r>
            <w:r w:rsidRPr="007175E2">
              <w:rPr>
                <w:rFonts w:ascii="Cambria" w:eastAsia="Batang" w:hAnsi="Cambria"/>
                <w:b/>
                <w:color w:val="000000" w:themeColor="text1"/>
              </w:rPr>
              <w:t xml:space="preserve">  </w:t>
            </w:r>
            <w:r w:rsidRPr="007175E2">
              <w:rPr>
                <w:rFonts w:ascii="Cambria" w:eastAsia="Batang" w:hAnsi="Cambria"/>
                <w:bCs/>
                <w:color w:val="000000" w:themeColor="text1"/>
              </w:rPr>
              <w:t>September 22, 2020</w:t>
            </w:r>
          </w:p>
          <w:p w14:paraId="2B65C4DC" w14:textId="77777777" w:rsidR="008A1CBE" w:rsidRPr="007175E2" w:rsidRDefault="008A1CBE" w:rsidP="00F024F0">
            <w:pPr>
              <w:tabs>
                <w:tab w:val="left" w:pos="9270"/>
              </w:tabs>
              <w:spacing w:after="0" w:line="240" w:lineRule="auto"/>
              <w:jc w:val="both"/>
              <w:rPr>
                <w:rFonts w:ascii="Cambria" w:eastAsia="Batang" w:hAnsi="Cambria"/>
                <w:b/>
                <w:color w:val="000000" w:themeColor="text1"/>
              </w:rPr>
            </w:pPr>
            <w:r w:rsidRPr="007175E2">
              <w:rPr>
                <w:rFonts w:ascii="Cambria" w:eastAsia="Batang" w:hAnsi="Cambria"/>
                <w:b/>
                <w:color w:val="000000" w:themeColor="text1"/>
              </w:rPr>
              <w:t xml:space="preserve">Report on Admissibility Nº: </w:t>
            </w:r>
            <w:hyperlink r:id="rId12" w:history="1">
              <w:r w:rsidRPr="007175E2">
                <w:rPr>
                  <w:rStyle w:val="Hyperlink"/>
                  <w:rFonts w:ascii="Cambria" w:eastAsia="Batang" w:hAnsi="Cambria"/>
                  <w:b/>
                  <w:bCs/>
                  <w:color w:val="000000" w:themeColor="text1"/>
                </w:rPr>
                <w:t>56/14</w:t>
              </w:r>
            </w:hyperlink>
            <w:r w:rsidRPr="007175E2">
              <w:rPr>
                <w:rFonts w:ascii="Cambria" w:eastAsia="Batang" w:hAnsi="Cambria"/>
                <w:b/>
                <w:bCs/>
                <w:color w:val="000000" w:themeColor="text1"/>
              </w:rPr>
              <w:t xml:space="preserve">, </w:t>
            </w:r>
            <w:r w:rsidRPr="007175E2">
              <w:rPr>
                <w:rFonts w:ascii="Cambria" w:eastAsia="Batang" w:hAnsi="Cambria"/>
                <w:bCs/>
                <w:color w:val="000000" w:themeColor="text1"/>
              </w:rPr>
              <w:t>approved on July 21, 2014</w:t>
            </w:r>
          </w:p>
          <w:p w14:paraId="7A3DE517" w14:textId="77777777" w:rsidR="008A1CBE" w:rsidRPr="007175E2" w:rsidRDefault="008A1CBE" w:rsidP="00F024F0">
            <w:pPr>
              <w:tabs>
                <w:tab w:val="left" w:pos="9270"/>
              </w:tabs>
              <w:spacing w:after="0" w:line="240" w:lineRule="auto"/>
              <w:jc w:val="both"/>
              <w:rPr>
                <w:rFonts w:ascii="Cambria" w:eastAsia="Batang" w:hAnsi="Cambria"/>
                <w:b/>
                <w:color w:val="000000" w:themeColor="text1"/>
              </w:rPr>
            </w:pPr>
            <w:r w:rsidRPr="007175E2">
              <w:rPr>
                <w:rFonts w:ascii="Cambria" w:eastAsia="Batang" w:hAnsi="Cambria"/>
                <w:b/>
                <w:color w:val="000000" w:themeColor="text1"/>
              </w:rPr>
              <w:t>Friendly Settlement Agreement Report Nº:</w:t>
            </w:r>
            <w:r w:rsidRPr="007175E2">
              <w:rPr>
                <w:rFonts w:ascii="Cambria" w:eastAsia="Batang" w:hAnsi="Cambria"/>
                <w:b/>
                <w:bCs/>
                <w:color w:val="000000" w:themeColor="text1"/>
              </w:rPr>
              <w:t xml:space="preserve"> </w:t>
            </w:r>
            <w:hyperlink r:id="rId13" w:history="1">
              <w:r w:rsidRPr="007175E2">
                <w:rPr>
                  <w:rStyle w:val="Hyperlink"/>
                  <w:rFonts w:ascii="Cambria" w:eastAsia="Batang" w:hAnsi="Cambria"/>
                  <w:b/>
                  <w:bCs/>
                  <w:color w:val="000000" w:themeColor="text1"/>
                </w:rPr>
                <w:t>269/21</w:t>
              </w:r>
            </w:hyperlink>
            <w:r w:rsidRPr="007175E2">
              <w:rPr>
                <w:rFonts w:ascii="Cambria" w:eastAsia="Batang" w:hAnsi="Cambria"/>
                <w:bCs/>
                <w:color w:val="000000" w:themeColor="text1"/>
              </w:rPr>
              <w:t xml:space="preserve"> published on October 5, 2021</w:t>
            </w:r>
          </w:p>
          <w:p w14:paraId="338A93E6" w14:textId="3F625521" w:rsidR="008A1CBE" w:rsidRPr="007175E2" w:rsidRDefault="008A1CBE" w:rsidP="00F024F0">
            <w:pPr>
              <w:tabs>
                <w:tab w:val="left" w:pos="9270"/>
              </w:tabs>
              <w:spacing w:after="0" w:line="240" w:lineRule="auto"/>
              <w:jc w:val="both"/>
              <w:rPr>
                <w:rFonts w:ascii="Cambria" w:eastAsia="Batang" w:hAnsi="Cambria"/>
                <w:b/>
                <w:color w:val="000000" w:themeColor="text1"/>
              </w:rPr>
            </w:pPr>
            <w:r w:rsidRPr="007175E2">
              <w:rPr>
                <w:rFonts w:ascii="Cambria" w:eastAsia="Batang" w:hAnsi="Cambria"/>
                <w:b/>
                <w:bCs/>
                <w:color w:val="000000" w:themeColor="text1"/>
              </w:rPr>
              <w:t>Estimated length of the negotiation phase:</w:t>
            </w:r>
            <w:r w:rsidR="004C7C99" w:rsidRPr="007175E2">
              <w:rPr>
                <w:rFonts w:ascii="Cambria" w:eastAsia="Batang" w:hAnsi="Cambria"/>
                <w:b/>
                <w:bCs/>
                <w:color w:val="000000" w:themeColor="text1"/>
              </w:rPr>
              <w:t xml:space="preserve"> </w:t>
            </w:r>
            <w:r w:rsidR="00D9413D" w:rsidRPr="007175E2">
              <w:rPr>
                <w:rFonts w:ascii="Cambria" w:eastAsia="Batang" w:hAnsi="Cambria"/>
                <w:color w:val="000000" w:themeColor="text1"/>
              </w:rPr>
              <w:t>6</w:t>
            </w:r>
            <w:r w:rsidRPr="007175E2">
              <w:rPr>
                <w:rFonts w:ascii="Cambria" w:eastAsia="Batang" w:hAnsi="Cambria"/>
                <w:bCs/>
                <w:color w:val="000000" w:themeColor="text1"/>
              </w:rPr>
              <w:t xml:space="preserve"> years, 10 months</w:t>
            </w:r>
          </w:p>
          <w:p w14:paraId="6658B1CC" w14:textId="77777777" w:rsidR="008A1CBE" w:rsidRPr="007175E2" w:rsidRDefault="008A1CBE" w:rsidP="00F024F0">
            <w:pPr>
              <w:tabs>
                <w:tab w:val="left" w:pos="9270"/>
              </w:tabs>
              <w:spacing w:after="0" w:line="240" w:lineRule="auto"/>
              <w:jc w:val="both"/>
              <w:rPr>
                <w:rFonts w:ascii="Cambria" w:eastAsia="Batang" w:hAnsi="Cambria"/>
                <w:b/>
                <w:color w:val="000000" w:themeColor="text1"/>
              </w:rPr>
            </w:pPr>
            <w:r w:rsidRPr="007175E2">
              <w:rPr>
                <w:rFonts w:ascii="Cambria" w:eastAsia="Batang" w:hAnsi="Cambria"/>
                <w:b/>
                <w:color w:val="000000" w:themeColor="text1"/>
              </w:rPr>
              <w:t xml:space="preserve">Rapporteurship: </w:t>
            </w:r>
            <w:r w:rsidRPr="007175E2">
              <w:rPr>
                <w:rFonts w:ascii="Cambria" w:eastAsia="Batang" w:hAnsi="Cambria"/>
                <w:bCs/>
                <w:color w:val="000000" w:themeColor="text1"/>
              </w:rPr>
              <w:t>Rapporteurship on the Rights of the Child</w:t>
            </w:r>
          </w:p>
          <w:p w14:paraId="73A9D7BE" w14:textId="77777777" w:rsidR="008A1CBE" w:rsidRPr="007175E2" w:rsidRDefault="008A1CBE" w:rsidP="00F024F0">
            <w:pPr>
              <w:tabs>
                <w:tab w:val="left" w:pos="9270"/>
              </w:tabs>
              <w:spacing w:after="0" w:line="240" w:lineRule="auto"/>
              <w:jc w:val="both"/>
              <w:rPr>
                <w:rFonts w:ascii="Cambria" w:eastAsia="Batang" w:hAnsi="Cambria"/>
                <w:color w:val="000000" w:themeColor="text1"/>
              </w:rPr>
            </w:pPr>
            <w:r w:rsidRPr="007175E2">
              <w:rPr>
                <w:rFonts w:ascii="Cambria" w:eastAsia="Batang" w:hAnsi="Cambria"/>
                <w:b/>
                <w:color w:val="000000" w:themeColor="text1"/>
              </w:rPr>
              <w:t xml:space="preserve">Topics: </w:t>
            </w:r>
            <w:r w:rsidRPr="007175E2">
              <w:rPr>
                <w:rFonts w:ascii="Cambria" w:eastAsia="Batang" w:hAnsi="Cambria"/>
                <w:color w:val="000000" w:themeColor="text1"/>
              </w:rPr>
              <w:t xml:space="preserve">Rights of the Child / Judicial protection / Right to humane treatment </w:t>
            </w:r>
          </w:p>
          <w:p w14:paraId="55C67ECC" w14:textId="77777777" w:rsidR="008A1CBE" w:rsidRPr="007175E2" w:rsidRDefault="008A1CBE" w:rsidP="00F024F0">
            <w:pPr>
              <w:tabs>
                <w:tab w:val="left" w:pos="9270"/>
              </w:tabs>
              <w:spacing w:after="0" w:line="240" w:lineRule="auto"/>
              <w:jc w:val="both"/>
              <w:rPr>
                <w:rFonts w:ascii="Cambria" w:eastAsia="Batang" w:hAnsi="Cambria"/>
                <w:b/>
                <w:color w:val="000000" w:themeColor="text1"/>
              </w:rPr>
            </w:pPr>
          </w:p>
          <w:p w14:paraId="3AFB2BCE" w14:textId="77777777" w:rsidR="008A1CBE" w:rsidRPr="007175E2" w:rsidRDefault="008A1CBE" w:rsidP="00F024F0">
            <w:pPr>
              <w:tabs>
                <w:tab w:val="left" w:pos="9270"/>
              </w:tabs>
              <w:spacing w:after="0" w:line="240" w:lineRule="auto"/>
              <w:jc w:val="both"/>
              <w:rPr>
                <w:rFonts w:ascii="Cambria" w:eastAsia="Batang" w:hAnsi="Cambria"/>
                <w:b/>
                <w:color w:val="000000" w:themeColor="text1"/>
              </w:rPr>
            </w:pPr>
            <w:r w:rsidRPr="007175E2">
              <w:rPr>
                <w:rFonts w:ascii="Cambria" w:eastAsia="Batang" w:hAnsi="Cambria"/>
                <w:b/>
                <w:color w:val="000000" w:themeColor="text1"/>
              </w:rPr>
              <w:t xml:space="preserve">Facts: </w:t>
            </w:r>
            <w:r w:rsidRPr="007175E2">
              <w:rPr>
                <w:rFonts w:ascii="Cambria" w:eastAsia="Batang" w:hAnsi="Cambria"/>
                <w:bCs/>
                <w:color w:val="000000" w:themeColor="text1"/>
              </w:rPr>
              <w:t>According to the petitioners’ allegations, on July 20, 2002, Mr. José Roberto Martínez was driving a car with his son Ronald Jared Martínez Velásquez and the son of a neighbor, Marlón Fabricio Hernández Fúnez, aged ten and five years, respectively. Because the petitioner drove his vehicle in the opposite direction, members of a patrol allegedly composed of a National Police officer and five Army officers fired six shots, hitting the petitioner’s vehicle with five 5.56 millimeter-caliber bullets in the rear and one bullet of the same caliber in the right door window. According to the information provided by the petitioner, he was arrested and taken to the Jutiapa police station. Because of the injuries inflicted on the children in the shooting, they were transferred to Atlántida Integrado Hospital. Concerning Ronald Jared Martínez, the petitioner reported that he was “seriously wounded by a projectile that lacerated his colon, right kidney, lumbar vertebrae [...] and affected his spinal cord,” which left him permanently disabled. As for the boy Marlón Fabricio Hernández Fúnez, he was wounded “in the abdomen by a projectile, which left him with a temporary disability of twenty-one days”. The information provided by the petitioner also indicates that, at the Atlántida Integrado Hospital, a complaint was filed against one of the army officers involved in the events. In addition, regarding the exhaustion of domestic remedies, the petitioner alleged that although the State agents were responsible for shooting the alleged victims, they were still free. The petitioner indicated that from the date on which the events occurred the State had not provided his family with any monetary assistance, except for the donation of 15,000 lempiras made by the First Lady.</w:t>
            </w:r>
          </w:p>
          <w:p w14:paraId="50CC538E" w14:textId="77777777" w:rsidR="008A1CBE" w:rsidRPr="007175E2" w:rsidRDefault="008A1CBE" w:rsidP="00F024F0">
            <w:pPr>
              <w:tabs>
                <w:tab w:val="left" w:pos="9270"/>
              </w:tabs>
              <w:spacing w:after="0" w:line="240" w:lineRule="auto"/>
              <w:jc w:val="both"/>
              <w:rPr>
                <w:rFonts w:ascii="Cambria" w:eastAsia="Batang" w:hAnsi="Cambria"/>
                <w:b/>
                <w:color w:val="000000" w:themeColor="text1"/>
              </w:rPr>
            </w:pPr>
          </w:p>
          <w:p w14:paraId="49AE40A2" w14:textId="7CB0189B" w:rsidR="008A1CBE" w:rsidRPr="007175E2" w:rsidRDefault="008A1CBE" w:rsidP="00F024F0">
            <w:pPr>
              <w:tabs>
                <w:tab w:val="left" w:pos="9270"/>
              </w:tabs>
              <w:spacing w:after="0" w:line="240" w:lineRule="auto"/>
              <w:jc w:val="both"/>
              <w:rPr>
                <w:rFonts w:ascii="Cambria" w:eastAsia="Batang" w:hAnsi="Cambria"/>
                <w:color w:val="000000" w:themeColor="text1"/>
              </w:rPr>
            </w:pPr>
            <w:r w:rsidRPr="007175E2">
              <w:rPr>
                <w:rFonts w:ascii="Cambria" w:eastAsia="Batang" w:hAnsi="Cambria"/>
                <w:b/>
                <w:color w:val="000000" w:themeColor="text1"/>
              </w:rPr>
              <w:t xml:space="preserve">Rights declared admissible: </w:t>
            </w:r>
            <w:r w:rsidRPr="007175E2">
              <w:rPr>
                <w:rFonts w:ascii="Cambria" w:eastAsia="Batang" w:hAnsi="Cambria"/>
                <w:bCs/>
                <w:color w:val="000000" w:themeColor="text1"/>
              </w:rPr>
              <w:t xml:space="preserve">On July 21, 2011, the Commission issued Admissibility Report No. 56/14, in which it declared the petition admissible regarding the alleged violation of the rights enshrined in </w:t>
            </w:r>
            <w:r w:rsidR="008E751C" w:rsidRPr="007175E2">
              <w:rPr>
                <w:rFonts w:ascii="Cambria" w:eastAsia="Batang" w:hAnsi="Cambria"/>
                <w:bCs/>
                <w:color w:val="000000" w:themeColor="text1"/>
              </w:rPr>
              <w:t xml:space="preserve">articles </w:t>
            </w:r>
            <w:r w:rsidRPr="007175E2">
              <w:rPr>
                <w:rFonts w:ascii="Cambria" w:eastAsia="Batang" w:hAnsi="Cambria"/>
                <w:bCs/>
                <w:color w:val="000000" w:themeColor="text1"/>
              </w:rPr>
              <w:t xml:space="preserve">5 (right to humane treatment), 8 (judicial guarantees), 19 (rights of the child), and 25 (judicial protection) of the Convention, in accordance with its </w:t>
            </w:r>
            <w:r w:rsidR="00AF2D92" w:rsidRPr="007175E2">
              <w:rPr>
                <w:rFonts w:ascii="Cambria" w:eastAsia="Batang" w:hAnsi="Cambria"/>
                <w:bCs/>
                <w:color w:val="000000" w:themeColor="text1"/>
              </w:rPr>
              <w:t>article</w:t>
            </w:r>
            <w:r w:rsidRPr="007175E2">
              <w:rPr>
                <w:rFonts w:ascii="Cambria" w:eastAsia="Batang" w:hAnsi="Cambria"/>
                <w:bCs/>
                <w:color w:val="000000" w:themeColor="text1"/>
              </w:rPr>
              <w:t xml:space="preserve"> 1(1) (obligation to respect and guarantee).</w:t>
            </w:r>
          </w:p>
        </w:tc>
      </w:tr>
    </w:tbl>
    <w:p w14:paraId="0DD0A431" w14:textId="18379ED4" w:rsidR="00EE50E1" w:rsidRDefault="00EE50E1" w:rsidP="00EE50E1">
      <w:pPr>
        <w:spacing w:after="0" w:line="240" w:lineRule="auto"/>
        <w:ind w:left="720"/>
        <w:contextualSpacing/>
        <w:jc w:val="both"/>
        <w:rPr>
          <w:rFonts w:ascii="Cambria" w:eastAsia="Batang" w:hAnsi="Cambria" w:cs="Calibri Light"/>
          <w:b/>
          <w:color w:val="000000"/>
        </w:rPr>
      </w:pPr>
    </w:p>
    <w:p w14:paraId="28D4F93E" w14:textId="77777777" w:rsidR="00EE50E1" w:rsidRPr="00EE50E1" w:rsidRDefault="00EE50E1" w:rsidP="00EE50E1">
      <w:pPr>
        <w:spacing w:after="0" w:line="240" w:lineRule="auto"/>
        <w:ind w:left="720"/>
        <w:contextualSpacing/>
        <w:jc w:val="both"/>
        <w:rPr>
          <w:rFonts w:ascii="Cambria" w:eastAsia="Batang" w:hAnsi="Cambria" w:cs="Calibri Light"/>
          <w:b/>
          <w:color w:val="000000"/>
        </w:rPr>
      </w:pPr>
    </w:p>
    <w:p w14:paraId="660038A4" w14:textId="34286C54" w:rsidR="00672090" w:rsidRPr="007175E2" w:rsidRDefault="00672090" w:rsidP="00672090">
      <w:pPr>
        <w:numPr>
          <w:ilvl w:val="0"/>
          <w:numId w:val="9"/>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lastRenderedPageBreak/>
        <w:t>PROCEDURAL ACTIVITY</w:t>
      </w:r>
    </w:p>
    <w:p w14:paraId="3189CC50" w14:textId="77777777" w:rsidR="00672090" w:rsidRPr="007175E2" w:rsidRDefault="00672090" w:rsidP="00672090">
      <w:pPr>
        <w:spacing w:after="0" w:line="240" w:lineRule="auto"/>
        <w:ind w:firstLine="720"/>
        <w:contextualSpacing/>
        <w:jc w:val="both"/>
        <w:rPr>
          <w:rFonts w:ascii="Cambria" w:eastAsia="Batang" w:hAnsi="Cambria" w:cs="Calibri Light"/>
          <w:b/>
          <w:color w:val="000000"/>
        </w:rPr>
      </w:pPr>
    </w:p>
    <w:p w14:paraId="0E6FDFA6" w14:textId="77777777" w:rsidR="00672090" w:rsidRPr="007175E2" w:rsidRDefault="00672090" w:rsidP="00672090">
      <w:pPr>
        <w:pStyle w:val="ListParagraph"/>
        <w:numPr>
          <w:ilvl w:val="3"/>
          <w:numId w:val="10"/>
        </w:numPr>
        <w:spacing w:after="0" w:line="240" w:lineRule="auto"/>
        <w:ind w:left="0" w:firstLine="720"/>
        <w:jc w:val="both"/>
        <w:rPr>
          <w:rFonts w:ascii="Cambria" w:eastAsia="Batang" w:hAnsi="Cambria"/>
          <w:color w:val="000000"/>
        </w:rPr>
      </w:pPr>
      <w:r w:rsidRPr="007175E2">
        <w:rPr>
          <w:rFonts w:ascii="Cambria" w:eastAsia="Batang" w:hAnsi="Cambria"/>
          <w:color w:val="000000"/>
        </w:rPr>
        <w:t>The IACHR published the report approving the friendly settlement agreement on October 5, 2021, accounting for the full compliance of the friendly settlement agreement and consequently decided to cease its supervision and closed the case</w:t>
      </w:r>
      <w:r w:rsidRPr="007175E2">
        <w:rPr>
          <w:rFonts w:ascii="Cambria" w:eastAsia="Batang" w:hAnsi="Cambria" w:cs="Calibri Light"/>
          <w:color w:val="000000"/>
        </w:rPr>
        <w:t>.</w:t>
      </w:r>
    </w:p>
    <w:p w14:paraId="74E39AD3" w14:textId="77777777" w:rsidR="00672090" w:rsidRPr="007175E2" w:rsidRDefault="00672090" w:rsidP="00672090">
      <w:pPr>
        <w:spacing w:after="0" w:line="240" w:lineRule="auto"/>
        <w:ind w:left="709"/>
        <w:contextualSpacing/>
        <w:jc w:val="both"/>
        <w:rPr>
          <w:rFonts w:ascii="Cambria" w:eastAsia="Batang" w:hAnsi="Cambria" w:cs="Calibri Light"/>
          <w:b/>
          <w:color w:val="000000"/>
        </w:rPr>
      </w:pPr>
    </w:p>
    <w:p w14:paraId="5AB78158" w14:textId="77777777" w:rsidR="00672090" w:rsidRPr="007175E2" w:rsidRDefault="00672090" w:rsidP="00672090">
      <w:pPr>
        <w:numPr>
          <w:ilvl w:val="0"/>
          <w:numId w:val="9"/>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cs="Calibri Light"/>
          <w:b/>
          <w:color w:val="000000"/>
        </w:rPr>
        <w:t xml:space="preserve">ANALYSIS OF COMPLIANCE WITH THE CLAUSES OF THE FRIENDLY SETTLEMENT AGREEMENT </w:t>
      </w:r>
    </w:p>
    <w:p w14:paraId="4CE9EE00" w14:textId="77777777" w:rsidR="00672090" w:rsidRPr="007175E2" w:rsidRDefault="00672090" w:rsidP="00672090">
      <w:pPr>
        <w:spacing w:after="0" w:line="240" w:lineRule="auto"/>
        <w:rPr>
          <w:rFonts w:ascii="Cambria" w:eastAsia="Batang" w:hAnsi="Cambria"/>
          <w:color w:val="000000"/>
        </w:rPr>
      </w:pP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8"/>
        <w:gridCol w:w="2060"/>
      </w:tblGrid>
      <w:tr w:rsidR="00112395" w:rsidRPr="007175E2" w14:paraId="404B891C" w14:textId="77777777" w:rsidTr="00112395">
        <w:tc>
          <w:tcPr>
            <w:tcW w:w="72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5C5875" w14:textId="77777777" w:rsidR="00672090" w:rsidRPr="007175E2" w:rsidRDefault="00672090" w:rsidP="00F024F0">
            <w:pPr>
              <w:tabs>
                <w:tab w:val="center" w:pos="2049"/>
              </w:tabs>
              <w:spacing w:after="0" w:line="240" w:lineRule="auto"/>
              <w:jc w:val="center"/>
              <w:rPr>
                <w:rFonts w:ascii="Cambria" w:eastAsia="Batang" w:hAnsi="Cambria"/>
                <w:b/>
                <w:color w:val="000000"/>
              </w:rPr>
            </w:pPr>
            <w:r w:rsidRPr="007175E2">
              <w:rPr>
                <w:rFonts w:ascii="Cambria" w:eastAsia="Batang" w:hAnsi="Cambria"/>
                <w:b/>
                <w:color w:val="000000"/>
              </w:rPr>
              <w:t xml:space="preserve">Clause of the Agreement </w:t>
            </w:r>
          </w:p>
        </w:tc>
        <w:tc>
          <w:tcPr>
            <w:tcW w:w="2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BA4DE9" w14:textId="77777777" w:rsidR="00672090" w:rsidRPr="007175E2" w:rsidRDefault="00672090" w:rsidP="00F024F0">
            <w:pPr>
              <w:spacing w:after="0" w:line="240" w:lineRule="auto"/>
              <w:jc w:val="center"/>
              <w:rPr>
                <w:rFonts w:ascii="Cambria" w:eastAsia="Batang" w:hAnsi="Cambria"/>
                <w:b/>
                <w:color w:val="000000"/>
              </w:rPr>
            </w:pPr>
            <w:r w:rsidRPr="007175E2">
              <w:rPr>
                <w:rFonts w:ascii="Cambria" w:eastAsia="Batang" w:hAnsi="Cambria"/>
                <w:b/>
                <w:color w:val="000000"/>
              </w:rPr>
              <w:t xml:space="preserve">Status of Implementation </w:t>
            </w:r>
          </w:p>
        </w:tc>
      </w:tr>
      <w:tr w:rsidR="00112395" w:rsidRPr="007175E2" w14:paraId="6D71D4A9" w14:textId="77777777" w:rsidTr="00112395">
        <w:tc>
          <w:tcPr>
            <w:tcW w:w="9318" w:type="dxa"/>
            <w:gridSpan w:val="2"/>
            <w:tcBorders>
              <w:top w:val="single" w:sz="4" w:space="0" w:color="auto"/>
              <w:left w:val="single" w:sz="4" w:space="0" w:color="auto"/>
              <w:bottom w:val="single" w:sz="4" w:space="0" w:color="auto"/>
              <w:right w:val="single" w:sz="4" w:space="0" w:color="auto"/>
            </w:tcBorders>
            <w:vAlign w:val="center"/>
          </w:tcPr>
          <w:p w14:paraId="2CD7CA1F" w14:textId="77777777" w:rsidR="00672090" w:rsidRPr="007175E2" w:rsidRDefault="00672090" w:rsidP="00F024F0">
            <w:pPr>
              <w:spacing w:after="0" w:line="240" w:lineRule="auto"/>
              <w:rPr>
                <w:rFonts w:ascii="Cambria" w:eastAsia="Batang" w:hAnsi="Cambria"/>
                <w:b/>
                <w:color w:val="000000"/>
              </w:rPr>
            </w:pPr>
            <w:r w:rsidRPr="007175E2">
              <w:rPr>
                <w:rFonts w:ascii="Cambria" w:hAnsi="Cambria"/>
                <w:b/>
                <w:bCs/>
                <w:color w:val="000000"/>
              </w:rPr>
              <w:t>SIXTH: SATISFACTION OF THE PETITIONERS</w:t>
            </w:r>
          </w:p>
        </w:tc>
      </w:tr>
      <w:tr w:rsidR="00112395" w:rsidRPr="007175E2" w14:paraId="5BE579CB" w14:textId="77777777" w:rsidTr="00112395">
        <w:trPr>
          <w:trHeight w:val="2015"/>
        </w:trPr>
        <w:tc>
          <w:tcPr>
            <w:tcW w:w="7258" w:type="dxa"/>
            <w:tcBorders>
              <w:top w:val="single" w:sz="4" w:space="0" w:color="auto"/>
              <w:left w:val="single" w:sz="4" w:space="0" w:color="auto"/>
              <w:bottom w:val="single" w:sz="4" w:space="0" w:color="auto"/>
              <w:right w:val="single" w:sz="4" w:space="0" w:color="auto"/>
            </w:tcBorders>
            <w:vAlign w:val="center"/>
          </w:tcPr>
          <w:p w14:paraId="42F84996" w14:textId="77777777" w:rsidR="00672090" w:rsidRPr="007175E2" w:rsidRDefault="00672090" w:rsidP="00F024F0">
            <w:pPr>
              <w:spacing w:after="0" w:line="240" w:lineRule="auto"/>
              <w:jc w:val="both"/>
              <w:rPr>
                <w:rFonts w:ascii="Cambria" w:hAnsi="Cambria"/>
                <w:color w:val="000000"/>
              </w:rPr>
            </w:pPr>
            <w:r w:rsidRPr="007175E2">
              <w:rPr>
                <w:rFonts w:ascii="Cambria" w:hAnsi="Cambria"/>
                <w:color w:val="000000"/>
              </w:rPr>
              <w:t>The petitioner considers that compliance with the financial commitments undertaken through this friendly settlement agreement implies satisfaction of its claims in the case of Ronald Jared Martínez and his family, and Marlon Fabricio Hernández Fúnez (IACHR Case No. 12.960).</w:t>
            </w:r>
          </w:p>
          <w:p w14:paraId="4A2BD270" w14:textId="77777777" w:rsidR="00672090" w:rsidRPr="007175E2" w:rsidRDefault="00672090" w:rsidP="00F024F0">
            <w:pPr>
              <w:spacing w:after="0" w:line="240" w:lineRule="auto"/>
              <w:jc w:val="both"/>
              <w:rPr>
                <w:rFonts w:ascii="Cambria" w:hAnsi="Cambria"/>
                <w:color w:val="000000"/>
              </w:rPr>
            </w:pPr>
          </w:p>
          <w:p w14:paraId="0E34EF74" w14:textId="1E5B921E" w:rsidR="00672090" w:rsidRPr="007175E2" w:rsidRDefault="00672090" w:rsidP="00F024F0">
            <w:pPr>
              <w:spacing w:after="0" w:line="240" w:lineRule="auto"/>
              <w:jc w:val="both"/>
              <w:rPr>
                <w:rFonts w:ascii="Cambria" w:hAnsi="Cambria"/>
                <w:color w:val="000000"/>
              </w:rPr>
            </w:pPr>
            <w:r w:rsidRPr="007175E2">
              <w:rPr>
                <w:rFonts w:ascii="Cambria" w:hAnsi="Cambria"/>
                <w:color w:val="000000"/>
              </w:rPr>
              <w:t>The State of Honduras and the petitioners acknowledge and accept as the amount to be compensated the sum of [XXX]</w:t>
            </w:r>
            <w:r w:rsidR="00A70B4A" w:rsidRPr="007175E2">
              <w:rPr>
                <w:rStyle w:val="FootnoteReference"/>
                <w:rFonts w:ascii="Cambria" w:hAnsi="Cambria"/>
                <w:color w:val="000000"/>
              </w:rPr>
              <w:footnoteReference w:id="1"/>
            </w:r>
            <w:r w:rsidRPr="007175E2">
              <w:rPr>
                <w:rFonts w:ascii="Cambria" w:hAnsi="Cambria"/>
                <w:color w:val="000000"/>
              </w:rPr>
              <w:t>, distributed as follows:</w:t>
            </w:r>
          </w:p>
          <w:p w14:paraId="1FD2E3AC" w14:textId="77777777" w:rsidR="00672090" w:rsidRPr="007175E2" w:rsidRDefault="00672090" w:rsidP="00F024F0">
            <w:pPr>
              <w:spacing w:after="0" w:line="240" w:lineRule="auto"/>
              <w:jc w:val="both"/>
              <w:rPr>
                <w:rFonts w:ascii="Cambria" w:hAnsi="Cambria"/>
                <w:color w:val="000000"/>
              </w:rPr>
            </w:pPr>
          </w:p>
          <w:tbl>
            <w:tblPr>
              <w:tblW w:w="4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1701"/>
              <w:gridCol w:w="1134"/>
            </w:tblGrid>
            <w:tr w:rsidR="00672090" w:rsidRPr="007175E2" w14:paraId="74672334" w14:textId="77777777" w:rsidTr="00F024F0">
              <w:trPr>
                <w:trHeight w:val="234"/>
                <w:jc w:val="center"/>
              </w:trPr>
              <w:tc>
                <w:tcPr>
                  <w:tcW w:w="1584" w:type="dxa"/>
                  <w:tcBorders>
                    <w:top w:val="single" w:sz="4" w:space="0" w:color="000000"/>
                    <w:left w:val="single" w:sz="4" w:space="0" w:color="000000"/>
                    <w:bottom w:val="single" w:sz="4" w:space="0" w:color="000000"/>
                    <w:right w:val="single" w:sz="4" w:space="0" w:color="000000"/>
                  </w:tcBorders>
                  <w:hideMark/>
                </w:tcPr>
                <w:p w14:paraId="78750F9A" w14:textId="77777777" w:rsidR="00672090" w:rsidRPr="007175E2" w:rsidRDefault="00672090" w:rsidP="00F024F0">
                  <w:pPr>
                    <w:spacing w:after="0" w:line="240" w:lineRule="auto"/>
                    <w:ind w:right="-270"/>
                    <w:rPr>
                      <w:rFonts w:ascii="Cambria" w:eastAsia="Times New Roman" w:hAnsi="Cambria"/>
                      <w:b/>
                      <w:bCs/>
                      <w:color w:val="000000"/>
                    </w:rPr>
                  </w:pPr>
                  <w:r w:rsidRPr="007175E2">
                    <w:rPr>
                      <w:rFonts w:ascii="Cambria" w:eastAsia="Times New Roman" w:hAnsi="Cambria"/>
                      <w:b/>
                      <w:bCs/>
                      <w:color w:val="000000"/>
                    </w:rPr>
                    <w:t>BENEFICIARY</w:t>
                  </w:r>
                </w:p>
              </w:tc>
              <w:tc>
                <w:tcPr>
                  <w:tcW w:w="1701" w:type="dxa"/>
                  <w:tcBorders>
                    <w:top w:val="single" w:sz="4" w:space="0" w:color="000000"/>
                    <w:left w:val="single" w:sz="4" w:space="0" w:color="000000"/>
                    <w:bottom w:val="single" w:sz="4" w:space="0" w:color="000000"/>
                    <w:right w:val="single" w:sz="4" w:space="0" w:color="000000"/>
                  </w:tcBorders>
                  <w:hideMark/>
                </w:tcPr>
                <w:p w14:paraId="3DE48A25" w14:textId="77777777" w:rsidR="00672090" w:rsidRPr="007175E2" w:rsidRDefault="00672090" w:rsidP="00F024F0">
                  <w:pPr>
                    <w:spacing w:after="0" w:line="240" w:lineRule="auto"/>
                    <w:ind w:right="-270"/>
                    <w:rPr>
                      <w:rFonts w:ascii="Cambria" w:eastAsia="Times New Roman" w:hAnsi="Cambria"/>
                      <w:b/>
                      <w:bCs/>
                      <w:color w:val="000000"/>
                    </w:rPr>
                  </w:pPr>
                  <w:r w:rsidRPr="007175E2">
                    <w:rPr>
                      <w:rFonts w:ascii="Cambria" w:eastAsia="Times New Roman" w:hAnsi="Cambria"/>
                      <w:b/>
                      <w:bCs/>
                      <w:color w:val="000000"/>
                    </w:rPr>
                    <w:t>CONCEPT</w:t>
                  </w:r>
                </w:p>
              </w:tc>
              <w:tc>
                <w:tcPr>
                  <w:tcW w:w="1134" w:type="dxa"/>
                  <w:tcBorders>
                    <w:top w:val="single" w:sz="4" w:space="0" w:color="000000"/>
                    <w:left w:val="single" w:sz="4" w:space="0" w:color="000000"/>
                    <w:bottom w:val="single" w:sz="4" w:space="0" w:color="000000"/>
                    <w:right w:val="single" w:sz="4" w:space="0" w:color="000000"/>
                  </w:tcBorders>
                  <w:hideMark/>
                </w:tcPr>
                <w:p w14:paraId="03948962" w14:textId="77777777" w:rsidR="00672090" w:rsidRPr="007175E2" w:rsidRDefault="00672090" w:rsidP="00F024F0">
                  <w:pPr>
                    <w:spacing w:after="0" w:line="240" w:lineRule="auto"/>
                    <w:ind w:right="-270"/>
                    <w:rPr>
                      <w:rFonts w:ascii="Cambria" w:eastAsia="Times New Roman" w:hAnsi="Cambria"/>
                      <w:b/>
                      <w:bCs/>
                      <w:color w:val="000000"/>
                    </w:rPr>
                  </w:pPr>
                  <w:r w:rsidRPr="007175E2">
                    <w:rPr>
                      <w:rFonts w:ascii="Cambria" w:eastAsia="Times New Roman" w:hAnsi="Cambria"/>
                      <w:b/>
                      <w:bCs/>
                      <w:color w:val="000000"/>
                    </w:rPr>
                    <w:t>AMOUNT</w:t>
                  </w:r>
                </w:p>
              </w:tc>
            </w:tr>
            <w:tr w:rsidR="00672090" w:rsidRPr="007175E2" w14:paraId="532E404C" w14:textId="77777777" w:rsidTr="00F024F0">
              <w:trPr>
                <w:trHeight w:val="1173"/>
                <w:jc w:val="center"/>
              </w:trPr>
              <w:tc>
                <w:tcPr>
                  <w:tcW w:w="1584" w:type="dxa"/>
                  <w:tcBorders>
                    <w:top w:val="single" w:sz="4" w:space="0" w:color="000000"/>
                    <w:left w:val="single" w:sz="4" w:space="0" w:color="000000"/>
                    <w:bottom w:val="single" w:sz="4" w:space="0" w:color="000000"/>
                    <w:right w:val="single" w:sz="4" w:space="0" w:color="000000"/>
                  </w:tcBorders>
                  <w:hideMark/>
                </w:tcPr>
                <w:p w14:paraId="33BE8158" w14:textId="77777777" w:rsidR="00672090" w:rsidRPr="007175E2" w:rsidRDefault="00672090" w:rsidP="00F024F0">
                  <w:pPr>
                    <w:spacing w:after="0" w:line="240" w:lineRule="auto"/>
                    <w:ind w:right="-270"/>
                    <w:rPr>
                      <w:rFonts w:ascii="Cambria" w:eastAsia="Times New Roman" w:hAnsi="Cambria"/>
                      <w:color w:val="000000"/>
                    </w:rPr>
                  </w:pPr>
                  <w:r w:rsidRPr="007175E2">
                    <w:rPr>
                      <w:rFonts w:ascii="Cambria" w:eastAsia="Times New Roman" w:hAnsi="Cambria"/>
                      <w:color w:val="000000"/>
                    </w:rPr>
                    <w:t xml:space="preserve">José Roberto Martínez </w:t>
                  </w:r>
                </w:p>
                <w:p w14:paraId="2E74E5C3" w14:textId="77777777" w:rsidR="00672090" w:rsidRPr="007175E2" w:rsidRDefault="00672090" w:rsidP="00F024F0">
                  <w:pPr>
                    <w:spacing w:after="0" w:line="240" w:lineRule="auto"/>
                    <w:ind w:right="-270"/>
                    <w:rPr>
                      <w:rFonts w:ascii="Cambria" w:eastAsia="Times New Roman" w:hAnsi="Cambria"/>
                      <w:color w:val="000000"/>
                    </w:rPr>
                  </w:pPr>
                  <w:r w:rsidRPr="007175E2">
                    <w:rPr>
                      <w:rFonts w:ascii="Cambria" w:eastAsia="Times New Roman" w:hAnsi="Cambria"/>
                      <w:color w:val="000000"/>
                    </w:rPr>
                    <w:t>Raudales</w:t>
                  </w:r>
                </w:p>
              </w:tc>
              <w:tc>
                <w:tcPr>
                  <w:tcW w:w="1701" w:type="dxa"/>
                  <w:tcBorders>
                    <w:top w:val="single" w:sz="4" w:space="0" w:color="000000"/>
                    <w:left w:val="single" w:sz="4" w:space="0" w:color="000000"/>
                    <w:bottom w:val="single" w:sz="4" w:space="0" w:color="000000"/>
                    <w:right w:val="single" w:sz="4" w:space="0" w:color="000000"/>
                  </w:tcBorders>
                  <w:hideMark/>
                </w:tcPr>
                <w:p w14:paraId="559F26AE" w14:textId="77777777" w:rsidR="00672090" w:rsidRPr="007175E2" w:rsidRDefault="00672090" w:rsidP="00F024F0">
                  <w:pPr>
                    <w:spacing w:after="0" w:line="240" w:lineRule="auto"/>
                    <w:ind w:right="-270"/>
                    <w:rPr>
                      <w:rFonts w:ascii="Cambria" w:eastAsia="Times New Roman" w:hAnsi="Cambria"/>
                      <w:color w:val="000000"/>
                    </w:rPr>
                  </w:pPr>
                  <w:r w:rsidRPr="007175E2">
                    <w:rPr>
                      <w:rFonts w:ascii="Cambria" w:eastAsia="Times New Roman" w:hAnsi="Cambria"/>
                      <w:color w:val="000000"/>
                    </w:rPr>
                    <w:t xml:space="preserve">Compensation </w:t>
                  </w:r>
                </w:p>
                <w:p w14:paraId="559BCDEE" w14:textId="77777777" w:rsidR="00672090" w:rsidRPr="007175E2" w:rsidRDefault="00672090" w:rsidP="00F024F0">
                  <w:pPr>
                    <w:spacing w:after="0" w:line="240" w:lineRule="auto"/>
                    <w:ind w:right="-270"/>
                    <w:rPr>
                      <w:rFonts w:ascii="Cambria" w:eastAsia="Times New Roman" w:hAnsi="Cambria"/>
                      <w:color w:val="000000"/>
                    </w:rPr>
                  </w:pPr>
                  <w:r w:rsidRPr="007175E2">
                    <w:rPr>
                      <w:rFonts w:ascii="Cambria" w:eastAsia="Times New Roman" w:hAnsi="Cambria"/>
                      <w:color w:val="000000"/>
                    </w:rPr>
                    <w:t>for damages and restitution of expenses caused</w:t>
                  </w:r>
                </w:p>
                <w:p w14:paraId="553812CE" w14:textId="77777777" w:rsidR="00672090" w:rsidRPr="007175E2" w:rsidRDefault="00672090" w:rsidP="00F024F0">
                  <w:pPr>
                    <w:spacing w:after="0" w:line="240" w:lineRule="auto"/>
                    <w:ind w:right="-270"/>
                    <w:rPr>
                      <w:rFonts w:ascii="Cambria" w:eastAsia="Times New Roman" w:hAnsi="Cambria"/>
                      <w:color w:val="000000"/>
                    </w:rPr>
                  </w:pPr>
                  <w:r w:rsidRPr="007175E2">
                    <w:rPr>
                      <w:rFonts w:ascii="Cambria" w:eastAsia="Times New Roman" w:hAnsi="Cambria"/>
                      <w:color w:val="000000"/>
                    </w:rPr>
                    <w:t>by the injuries of his son Ronald Jared Martínez</w:t>
                  </w:r>
                </w:p>
                <w:p w14:paraId="63363F87" w14:textId="77777777" w:rsidR="00672090" w:rsidRPr="007175E2" w:rsidRDefault="00672090" w:rsidP="00F024F0">
                  <w:pPr>
                    <w:spacing w:after="0" w:line="240" w:lineRule="auto"/>
                    <w:ind w:right="-270"/>
                    <w:rPr>
                      <w:rFonts w:ascii="Cambria" w:eastAsia="Times New Roman" w:hAnsi="Cambria"/>
                      <w:color w:val="000000"/>
                    </w:rPr>
                  </w:pPr>
                  <w:r w:rsidRPr="007175E2">
                    <w:rPr>
                      <w:rFonts w:ascii="Cambria" w:eastAsia="Times New Roman" w:hAnsi="Cambria"/>
                      <w:color w:val="000000"/>
                    </w:rPr>
                    <w:t>Velásquez.</w:t>
                  </w:r>
                </w:p>
              </w:tc>
              <w:tc>
                <w:tcPr>
                  <w:tcW w:w="1134" w:type="dxa"/>
                  <w:tcBorders>
                    <w:top w:val="single" w:sz="4" w:space="0" w:color="000000"/>
                    <w:left w:val="single" w:sz="4" w:space="0" w:color="000000"/>
                    <w:bottom w:val="single" w:sz="4" w:space="0" w:color="000000"/>
                    <w:right w:val="single" w:sz="4" w:space="0" w:color="000000"/>
                  </w:tcBorders>
                  <w:hideMark/>
                </w:tcPr>
                <w:p w14:paraId="332FFDF4" w14:textId="77777777" w:rsidR="00672090" w:rsidRPr="007175E2" w:rsidRDefault="00672090" w:rsidP="00F024F0">
                  <w:pPr>
                    <w:spacing w:after="0" w:line="240" w:lineRule="auto"/>
                    <w:ind w:right="-270"/>
                    <w:rPr>
                      <w:rFonts w:ascii="Cambria" w:eastAsia="Times New Roman" w:hAnsi="Cambria"/>
                      <w:color w:val="000000"/>
                    </w:rPr>
                  </w:pPr>
                  <w:r w:rsidRPr="007175E2">
                    <w:rPr>
                      <w:rFonts w:ascii="Cambria" w:eastAsia="Times New Roman" w:hAnsi="Cambria"/>
                      <w:color w:val="000000"/>
                    </w:rPr>
                    <w:t>[XXX]</w:t>
                  </w:r>
                </w:p>
              </w:tc>
            </w:tr>
            <w:tr w:rsidR="00672090" w:rsidRPr="007175E2" w14:paraId="76E4A9E6" w14:textId="77777777" w:rsidTr="00F024F0">
              <w:trPr>
                <w:trHeight w:val="467"/>
                <w:jc w:val="center"/>
              </w:trPr>
              <w:tc>
                <w:tcPr>
                  <w:tcW w:w="1584" w:type="dxa"/>
                  <w:tcBorders>
                    <w:top w:val="single" w:sz="4" w:space="0" w:color="000000"/>
                    <w:left w:val="single" w:sz="4" w:space="0" w:color="000000"/>
                    <w:bottom w:val="single" w:sz="4" w:space="0" w:color="000000"/>
                    <w:right w:val="single" w:sz="4" w:space="0" w:color="000000"/>
                  </w:tcBorders>
                  <w:hideMark/>
                </w:tcPr>
                <w:p w14:paraId="30658877" w14:textId="77777777" w:rsidR="00672090" w:rsidRPr="007175E2" w:rsidRDefault="00672090" w:rsidP="00F024F0">
                  <w:pPr>
                    <w:spacing w:after="0" w:line="240" w:lineRule="auto"/>
                    <w:ind w:right="-270"/>
                    <w:rPr>
                      <w:rFonts w:ascii="Cambria" w:eastAsia="Times New Roman" w:hAnsi="Cambria"/>
                      <w:color w:val="000000"/>
                    </w:rPr>
                  </w:pPr>
                  <w:r w:rsidRPr="007175E2">
                    <w:rPr>
                      <w:rFonts w:ascii="Cambria" w:eastAsia="Times New Roman" w:hAnsi="Cambria"/>
                      <w:color w:val="000000"/>
                    </w:rPr>
                    <w:t xml:space="preserve">Ronald Jared Martinez </w:t>
                  </w:r>
                </w:p>
                <w:p w14:paraId="42310370" w14:textId="77777777" w:rsidR="00672090" w:rsidRPr="007175E2" w:rsidRDefault="00672090" w:rsidP="00F024F0">
                  <w:pPr>
                    <w:spacing w:after="0" w:line="240" w:lineRule="auto"/>
                    <w:ind w:right="-270"/>
                    <w:rPr>
                      <w:rFonts w:ascii="Cambria" w:eastAsia="Times New Roman" w:hAnsi="Cambria"/>
                      <w:color w:val="000000"/>
                    </w:rPr>
                  </w:pPr>
                  <w:r w:rsidRPr="007175E2">
                    <w:rPr>
                      <w:rFonts w:ascii="Cambria" w:eastAsia="Times New Roman" w:hAnsi="Cambria"/>
                      <w:color w:val="000000"/>
                    </w:rPr>
                    <w:t>Velasquez</w:t>
                  </w:r>
                </w:p>
              </w:tc>
              <w:tc>
                <w:tcPr>
                  <w:tcW w:w="1701" w:type="dxa"/>
                  <w:tcBorders>
                    <w:top w:val="single" w:sz="4" w:space="0" w:color="000000"/>
                    <w:left w:val="single" w:sz="4" w:space="0" w:color="000000"/>
                    <w:bottom w:val="single" w:sz="4" w:space="0" w:color="000000"/>
                    <w:right w:val="single" w:sz="4" w:space="0" w:color="000000"/>
                  </w:tcBorders>
                  <w:hideMark/>
                </w:tcPr>
                <w:p w14:paraId="6D5DC118" w14:textId="77777777" w:rsidR="00672090" w:rsidRPr="007175E2" w:rsidRDefault="00672090" w:rsidP="00F024F0">
                  <w:pPr>
                    <w:spacing w:after="0" w:line="240" w:lineRule="auto"/>
                    <w:ind w:right="-270"/>
                    <w:rPr>
                      <w:rFonts w:ascii="Cambria" w:eastAsia="Times New Roman" w:hAnsi="Cambria"/>
                      <w:color w:val="000000"/>
                    </w:rPr>
                  </w:pPr>
                  <w:r w:rsidRPr="007175E2">
                    <w:rPr>
                      <w:rFonts w:ascii="Cambria" w:eastAsia="Times New Roman" w:hAnsi="Cambria"/>
                      <w:color w:val="000000"/>
                    </w:rPr>
                    <w:t>Indemnification</w:t>
                  </w:r>
                </w:p>
              </w:tc>
              <w:tc>
                <w:tcPr>
                  <w:tcW w:w="1134" w:type="dxa"/>
                  <w:tcBorders>
                    <w:top w:val="single" w:sz="4" w:space="0" w:color="000000"/>
                    <w:left w:val="single" w:sz="4" w:space="0" w:color="000000"/>
                    <w:bottom w:val="single" w:sz="4" w:space="0" w:color="000000"/>
                    <w:right w:val="single" w:sz="4" w:space="0" w:color="000000"/>
                  </w:tcBorders>
                  <w:hideMark/>
                </w:tcPr>
                <w:p w14:paraId="40C594A7" w14:textId="77777777" w:rsidR="00672090" w:rsidRPr="007175E2" w:rsidRDefault="00672090" w:rsidP="00F024F0">
                  <w:pPr>
                    <w:spacing w:after="0" w:line="240" w:lineRule="auto"/>
                    <w:ind w:right="-270"/>
                    <w:rPr>
                      <w:rFonts w:ascii="Cambria" w:eastAsia="Times New Roman" w:hAnsi="Cambria"/>
                      <w:color w:val="000000"/>
                    </w:rPr>
                  </w:pPr>
                  <w:r w:rsidRPr="007175E2">
                    <w:rPr>
                      <w:rFonts w:ascii="Cambria" w:eastAsia="Times New Roman" w:hAnsi="Cambria"/>
                      <w:color w:val="000000"/>
                    </w:rPr>
                    <w:t>[XXX]</w:t>
                  </w:r>
                </w:p>
              </w:tc>
            </w:tr>
            <w:tr w:rsidR="00672090" w:rsidRPr="007175E2" w14:paraId="0D8F2B07" w14:textId="77777777" w:rsidTr="00F024F0">
              <w:trPr>
                <w:trHeight w:val="470"/>
                <w:jc w:val="center"/>
              </w:trPr>
              <w:tc>
                <w:tcPr>
                  <w:tcW w:w="1584" w:type="dxa"/>
                  <w:tcBorders>
                    <w:top w:val="single" w:sz="4" w:space="0" w:color="000000"/>
                    <w:left w:val="single" w:sz="4" w:space="0" w:color="000000"/>
                    <w:bottom w:val="single" w:sz="4" w:space="0" w:color="000000"/>
                    <w:right w:val="single" w:sz="4" w:space="0" w:color="000000"/>
                  </w:tcBorders>
                  <w:hideMark/>
                </w:tcPr>
                <w:p w14:paraId="3D56D796" w14:textId="77777777" w:rsidR="00672090" w:rsidRPr="007175E2" w:rsidRDefault="00672090" w:rsidP="00F024F0">
                  <w:pPr>
                    <w:spacing w:after="0" w:line="240" w:lineRule="auto"/>
                    <w:ind w:right="-270"/>
                    <w:rPr>
                      <w:rFonts w:ascii="Cambria" w:eastAsia="Times New Roman" w:hAnsi="Cambria"/>
                      <w:color w:val="000000"/>
                    </w:rPr>
                  </w:pPr>
                  <w:r w:rsidRPr="007175E2">
                    <w:rPr>
                      <w:rFonts w:ascii="Cambria" w:eastAsia="Times New Roman" w:hAnsi="Cambria"/>
                      <w:color w:val="000000"/>
                    </w:rPr>
                    <w:t xml:space="preserve">Marlon Fabricio Hernández </w:t>
                  </w:r>
                </w:p>
                <w:p w14:paraId="47997939" w14:textId="77777777" w:rsidR="00672090" w:rsidRPr="007175E2" w:rsidRDefault="00672090" w:rsidP="00F024F0">
                  <w:pPr>
                    <w:spacing w:after="0" w:line="240" w:lineRule="auto"/>
                    <w:ind w:right="-270"/>
                    <w:rPr>
                      <w:rFonts w:ascii="Cambria" w:eastAsia="Times New Roman" w:hAnsi="Cambria"/>
                      <w:color w:val="000000"/>
                    </w:rPr>
                  </w:pPr>
                  <w:r w:rsidRPr="007175E2">
                    <w:rPr>
                      <w:rFonts w:ascii="Cambria" w:eastAsia="Times New Roman" w:hAnsi="Cambria"/>
                      <w:color w:val="000000"/>
                    </w:rPr>
                    <w:t>Fúnez</w:t>
                  </w:r>
                </w:p>
              </w:tc>
              <w:tc>
                <w:tcPr>
                  <w:tcW w:w="1701" w:type="dxa"/>
                  <w:tcBorders>
                    <w:top w:val="single" w:sz="4" w:space="0" w:color="000000"/>
                    <w:left w:val="single" w:sz="4" w:space="0" w:color="000000"/>
                    <w:bottom w:val="single" w:sz="4" w:space="0" w:color="000000"/>
                    <w:right w:val="single" w:sz="4" w:space="0" w:color="000000"/>
                  </w:tcBorders>
                  <w:hideMark/>
                </w:tcPr>
                <w:p w14:paraId="65CC507A" w14:textId="77777777" w:rsidR="00672090" w:rsidRPr="007175E2" w:rsidRDefault="00672090" w:rsidP="00F024F0">
                  <w:pPr>
                    <w:spacing w:after="0" w:line="240" w:lineRule="auto"/>
                    <w:ind w:right="-270"/>
                    <w:rPr>
                      <w:rFonts w:ascii="Cambria" w:eastAsia="Times New Roman" w:hAnsi="Cambria"/>
                      <w:color w:val="000000"/>
                    </w:rPr>
                  </w:pPr>
                  <w:r w:rsidRPr="007175E2">
                    <w:rPr>
                      <w:rFonts w:ascii="Cambria" w:eastAsia="Times New Roman" w:hAnsi="Cambria"/>
                      <w:color w:val="000000"/>
                    </w:rPr>
                    <w:t>Indemnification</w:t>
                  </w:r>
                </w:p>
              </w:tc>
              <w:tc>
                <w:tcPr>
                  <w:tcW w:w="1134" w:type="dxa"/>
                  <w:tcBorders>
                    <w:top w:val="single" w:sz="4" w:space="0" w:color="000000"/>
                    <w:left w:val="single" w:sz="4" w:space="0" w:color="000000"/>
                    <w:bottom w:val="single" w:sz="4" w:space="0" w:color="000000"/>
                    <w:right w:val="single" w:sz="4" w:space="0" w:color="000000"/>
                  </w:tcBorders>
                  <w:hideMark/>
                </w:tcPr>
                <w:p w14:paraId="6A38512D" w14:textId="77777777" w:rsidR="00672090" w:rsidRPr="007175E2" w:rsidRDefault="00672090" w:rsidP="00F024F0">
                  <w:pPr>
                    <w:spacing w:after="0" w:line="240" w:lineRule="auto"/>
                    <w:ind w:right="-270"/>
                    <w:rPr>
                      <w:rFonts w:ascii="Cambria" w:eastAsia="Times New Roman" w:hAnsi="Cambria"/>
                      <w:color w:val="000000"/>
                    </w:rPr>
                  </w:pPr>
                  <w:r w:rsidRPr="007175E2">
                    <w:rPr>
                      <w:rFonts w:ascii="Cambria" w:eastAsia="Times New Roman" w:hAnsi="Cambria"/>
                      <w:color w:val="000000"/>
                    </w:rPr>
                    <w:t>[XXX]</w:t>
                  </w:r>
                </w:p>
              </w:tc>
            </w:tr>
            <w:tr w:rsidR="00672090" w:rsidRPr="007175E2" w14:paraId="7AECFE31" w14:textId="77777777" w:rsidTr="00F024F0">
              <w:trPr>
                <w:trHeight w:val="232"/>
                <w:jc w:val="center"/>
              </w:trPr>
              <w:tc>
                <w:tcPr>
                  <w:tcW w:w="1584" w:type="dxa"/>
                  <w:tcBorders>
                    <w:top w:val="single" w:sz="4" w:space="0" w:color="000000"/>
                    <w:left w:val="single" w:sz="4" w:space="0" w:color="000000"/>
                    <w:bottom w:val="single" w:sz="4" w:space="0" w:color="000000"/>
                    <w:right w:val="single" w:sz="4" w:space="0" w:color="000000"/>
                  </w:tcBorders>
                </w:tcPr>
                <w:p w14:paraId="487272CD" w14:textId="77777777" w:rsidR="00672090" w:rsidRPr="007175E2" w:rsidRDefault="00672090" w:rsidP="00F024F0">
                  <w:pPr>
                    <w:spacing w:after="0" w:line="240" w:lineRule="auto"/>
                    <w:ind w:right="-270"/>
                    <w:rPr>
                      <w:rFonts w:ascii="Cambria" w:eastAsia="Times New Roman" w:hAnsi="Cambria"/>
                      <w:color w:val="000000"/>
                    </w:rPr>
                  </w:pPr>
                </w:p>
              </w:tc>
              <w:tc>
                <w:tcPr>
                  <w:tcW w:w="1701" w:type="dxa"/>
                  <w:tcBorders>
                    <w:top w:val="single" w:sz="4" w:space="0" w:color="000000"/>
                    <w:left w:val="single" w:sz="4" w:space="0" w:color="000000"/>
                    <w:bottom w:val="single" w:sz="4" w:space="0" w:color="000000"/>
                    <w:right w:val="single" w:sz="4" w:space="0" w:color="000000"/>
                  </w:tcBorders>
                  <w:hideMark/>
                </w:tcPr>
                <w:p w14:paraId="69AAF258" w14:textId="77777777" w:rsidR="00672090" w:rsidRPr="007175E2" w:rsidRDefault="00672090" w:rsidP="00F024F0">
                  <w:pPr>
                    <w:spacing w:after="0" w:line="240" w:lineRule="auto"/>
                    <w:ind w:right="-270"/>
                    <w:rPr>
                      <w:rFonts w:ascii="Cambria" w:eastAsia="Times New Roman" w:hAnsi="Cambria"/>
                      <w:b/>
                      <w:bCs/>
                      <w:color w:val="000000"/>
                    </w:rPr>
                  </w:pPr>
                  <w:r w:rsidRPr="007175E2">
                    <w:rPr>
                      <w:rFonts w:ascii="Cambria" w:eastAsia="Times New Roman" w:hAnsi="Cambria"/>
                      <w:b/>
                      <w:bCs/>
                      <w:color w:val="000000"/>
                    </w:rPr>
                    <w:t xml:space="preserve">TOTAL </w:t>
                  </w:r>
                  <w:r w:rsidRPr="007175E2">
                    <w:rPr>
                      <w:rFonts w:ascii="Cambria" w:eastAsia="Times New Roman" w:hAnsi="Cambria"/>
                      <w:b/>
                      <w:bCs/>
                      <w:color w:val="000000"/>
                    </w:rPr>
                    <w:br/>
                    <w:t>AMOUNT</w:t>
                  </w:r>
                </w:p>
                <w:p w14:paraId="5E200BEF" w14:textId="77777777" w:rsidR="00672090" w:rsidRPr="007175E2" w:rsidRDefault="00672090" w:rsidP="00F024F0">
                  <w:pPr>
                    <w:spacing w:after="0" w:line="240" w:lineRule="auto"/>
                    <w:ind w:right="-270"/>
                    <w:rPr>
                      <w:rFonts w:ascii="Cambria" w:eastAsia="Times New Roman" w:hAnsi="Cambria"/>
                      <w:b/>
                      <w:bCs/>
                      <w:color w:val="000000"/>
                    </w:rPr>
                  </w:pPr>
                  <w:r w:rsidRPr="007175E2">
                    <w:rPr>
                      <w:rFonts w:ascii="Cambria" w:eastAsia="Times New Roman" w:hAnsi="Cambria"/>
                      <w:b/>
                      <w:bCs/>
                      <w:color w:val="000000"/>
                    </w:rPr>
                    <w:t>DUE</w:t>
                  </w:r>
                </w:p>
              </w:tc>
              <w:tc>
                <w:tcPr>
                  <w:tcW w:w="1134" w:type="dxa"/>
                  <w:tcBorders>
                    <w:top w:val="single" w:sz="4" w:space="0" w:color="000000"/>
                    <w:left w:val="single" w:sz="4" w:space="0" w:color="000000"/>
                    <w:bottom w:val="single" w:sz="4" w:space="0" w:color="000000"/>
                    <w:right w:val="single" w:sz="4" w:space="0" w:color="000000"/>
                  </w:tcBorders>
                  <w:hideMark/>
                </w:tcPr>
                <w:p w14:paraId="0E76B43B" w14:textId="77777777" w:rsidR="00672090" w:rsidRPr="007175E2" w:rsidRDefault="00672090" w:rsidP="00F024F0">
                  <w:pPr>
                    <w:spacing w:after="0" w:line="240" w:lineRule="auto"/>
                    <w:ind w:right="-270"/>
                    <w:rPr>
                      <w:rFonts w:ascii="Cambria" w:eastAsia="Times New Roman" w:hAnsi="Cambria"/>
                      <w:color w:val="000000"/>
                    </w:rPr>
                  </w:pPr>
                  <w:r w:rsidRPr="007175E2">
                    <w:rPr>
                      <w:rFonts w:ascii="Cambria" w:eastAsia="Times New Roman" w:hAnsi="Cambria"/>
                      <w:color w:val="000000"/>
                    </w:rPr>
                    <w:t>[XXX]</w:t>
                  </w:r>
                </w:p>
              </w:tc>
            </w:tr>
          </w:tbl>
          <w:p w14:paraId="70E097EE" w14:textId="77777777" w:rsidR="00672090" w:rsidRPr="007175E2" w:rsidRDefault="00672090" w:rsidP="00F024F0">
            <w:pPr>
              <w:spacing w:after="0"/>
              <w:jc w:val="both"/>
              <w:rPr>
                <w:rFonts w:ascii="Cambria" w:hAnsi="Cambria"/>
                <w:color w:val="000000"/>
              </w:rPr>
            </w:pPr>
          </w:p>
          <w:p w14:paraId="733188A8" w14:textId="77777777" w:rsidR="00672090" w:rsidRPr="007175E2" w:rsidRDefault="00672090" w:rsidP="00F024F0">
            <w:pPr>
              <w:spacing w:after="0" w:line="240" w:lineRule="auto"/>
              <w:jc w:val="both"/>
              <w:rPr>
                <w:rFonts w:ascii="Cambria" w:hAnsi="Cambria"/>
                <w:color w:val="000000"/>
              </w:rPr>
            </w:pPr>
            <w:r w:rsidRPr="007175E2">
              <w:rPr>
                <w:rFonts w:ascii="Cambria" w:hAnsi="Cambria"/>
                <w:color w:val="000000"/>
              </w:rPr>
              <w:t>The amount as set forth above shall be made in a single payment to the beneficiaries of this agreement.</w:t>
            </w:r>
          </w:p>
          <w:p w14:paraId="4E549755" w14:textId="77777777" w:rsidR="00672090" w:rsidRPr="007175E2" w:rsidRDefault="00672090" w:rsidP="00F024F0">
            <w:pPr>
              <w:spacing w:after="0" w:line="240" w:lineRule="auto"/>
              <w:ind w:right="72"/>
              <w:jc w:val="both"/>
              <w:rPr>
                <w:rFonts w:ascii="Cambria" w:hAnsi="Cambria"/>
                <w:bCs/>
                <w:color w:val="000000"/>
                <w:kern w:val="36"/>
              </w:rPr>
            </w:pPr>
          </w:p>
        </w:tc>
        <w:tc>
          <w:tcPr>
            <w:tcW w:w="2060" w:type="dxa"/>
            <w:tcBorders>
              <w:top w:val="single" w:sz="4" w:space="0" w:color="auto"/>
              <w:left w:val="single" w:sz="4" w:space="0" w:color="auto"/>
              <w:bottom w:val="single" w:sz="4" w:space="0" w:color="auto"/>
              <w:right w:val="single" w:sz="4" w:space="0" w:color="auto"/>
            </w:tcBorders>
            <w:vAlign w:val="center"/>
            <w:hideMark/>
          </w:tcPr>
          <w:p w14:paraId="1E3E6CED" w14:textId="77777777" w:rsidR="00672090" w:rsidRPr="007175E2" w:rsidRDefault="00672090" w:rsidP="00F024F0">
            <w:pPr>
              <w:spacing w:after="0" w:line="240" w:lineRule="auto"/>
              <w:jc w:val="center"/>
              <w:rPr>
                <w:rFonts w:ascii="Cambria" w:eastAsia="Batang" w:hAnsi="Cambria"/>
                <w:b/>
                <w:bCs/>
                <w:color w:val="000000"/>
              </w:rPr>
            </w:pPr>
            <w:r w:rsidRPr="007175E2">
              <w:rPr>
                <w:rFonts w:ascii="Cambria" w:hAnsi="Cambria"/>
                <w:b/>
                <w:color w:val="000000"/>
              </w:rPr>
              <w:t>Total</w:t>
            </w:r>
            <w:r w:rsidRPr="007175E2">
              <w:rPr>
                <w:rStyle w:val="FootnoteReference"/>
                <w:rFonts w:ascii="Cambria" w:hAnsi="Cambria"/>
                <w:b/>
                <w:color w:val="000000"/>
              </w:rPr>
              <w:footnoteReference w:id="2"/>
            </w:r>
          </w:p>
        </w:tc>
      </w:tr>
    </w:tbl>
    <w:p w14:paraId="272A92D0" w14:textId="0D6A8B48" w:rsidR="00EE50E1" w:rsidRDefault="00EE50E1" w:rsidP="00EE50E1">
      <w:pPr>
        <w:tabs>
          <w:tab w:val="left" w:pos="720"/>
        </w:tabs>
        <w:autoSpaceDE w:val="0"/>
        <w:autoSpaceDN w:val="0"/>
        <w:adjustRightInd w:val="0"/>
        <w:spacing w:after="0" w:line="240" w:lineRule="auto"/>
        <w:ind w:left="1440"/>
        <w:jc w:val="both"/>
        <w:rPr>
          <w:rFonts w:ascii="Cambria" w:eastAsia="Batang" w:hAnsi="Cambria"/>
          <w:color w:val="000000"/>
        </w:rPr>
      </w:pPr>
    </w:p>
    <w:p w14:paraId="4B6DEEC5" w14:textId="536DDC73" w:rsidR="00EE50E1" w:rsidRDefault="00EE50E1" w:rsidP="00EE50E1">
      <w:pPr>
        <w:tabs>
          <w:tab w:val="left" w:pos="720"/>
        </w:tabs>
        <w:autoSpaceDE w:val="0"/>
        <w:autoSpaceDN w:val="0"/>
        <w:adjustRightInd w:val="0"/>
        <w:spacing w:after="0" w:line="240" w:lineRule="auto"/>
        <w:ind w:left="1440"/>
        <w:jc w:val="both"/>
        <w:rPr>
          <w:rFonts w:ascii="Cambria" w:eastAsia="Batang" w:hAnsi="Cambria"/>
          <w:color w:val="000000"/>
        </w:rPr>
      </w:pPr>
    </w:p>
    <w:p w14:paraId="38AEFC4C" w14:textId="77777777" w:rsidR="00EE50E1" w:rsidRPr="00EE50E1" w:rsidRDefault="00EE50E1" w:rsidP="00EE50E1">
      <w:pPr>
        <w:tabs>
          <w:tab w:val="left" w:pos="720"/>
        </w:tabs>
        <w:autoSpaceDE w:val="0"/>
        <w:autoSpaceDN w:val="0"/>
        <w:adjustRightInd w:val="0"/>
        <w:spacing w:after="0" w:line="240" w:lineRule="auto"/>
        <w:ind w:left="1440"/>
        <w:jc w:val="both"/>
        <w:rPr>
          <w:rFonts w:ascii="Cambria" w:eastAsia="Batang" w:hAnsi="Cambria"/>
          <w:color w:val="000000"/>
        </w:rPr>
      </w:pPr>
    </w:p>
    <w:p w14:paraId="3DD12738" w14:textId="19031ADF" w:rsidR="004545D1" w:rsidRPr="007175E2" w:rsidRDefault="004545D1" w:rsidP="004545D1">
      <w:pPr>
        <w:numPr>
          <w:ilvl w:val="0"/>
          <w:numId w:val="9"/>
        </w:numPr>
        <w:tabs>
          <w:tab w:val="left" w:pos="720"/>
        </w:tabs>
        <w:autoSpaceDE w:val="0"/>
        <w:autoSpaceDN w:val="0"/>
        <w:adjustRightInd w:val="0"/>
        <w:spacing w:after="0" w:line="240" w:lineRule="auto"/>
        <w:jc w:val="both"/>
        <w:rPr>
          <w:rFonts w:ascii="Cambria" w:eastAsia="Batang" w:hAnsi="Cambria"/>
          <w:color w:val="000000"/>
        </w:rPr>
      </w:pPr>
      <w:r w:rsidRPr="007175E2">
        <w:rPr>
          <w:rFonts w:ascii="Cambria" w:eastAsia="Batang" w:hAnsi="Cambria" w:cs="Calibri Light"/>
          <w:b/>
          <w:color w:val="000000"/>
        </w:rPr>
        <w:lastRenderedPageBreak/>
        <w:t xml:space="preserve">LEVEL OF COMPLIANCE OF THE CASE </w:t>
      </w:r>
    </w:p>
    <w:p w14:paraId="1BDA564E" w14:textId="77777777" w:rsidR="004545D1" w:rsidRPr="007175E2" w:rsidRDefault="004545D1" w:rsidP="004545D1">
      <w:pPr>
        <w:tabs>
          <w:tab w:val="left" w:pos="720"/>
        </w:tabs>
        <w:autoSpaceDE w:val="0"/>
        <w:autoSpaceDN w:val="0"/>
        <w:adjustRightInd w:val="0"/>
        <w:spacing w:after="0" w:line="240" w:lineRule="auto"/>
        <w:ind w:firstLine="720"/>
        <w:jc w:val="both"/>
        <w:rPr>
          <w:rFonts w:ascii="Cambria" w:eastAsia="Batang" w:hAnsi="Cambria"/>
          <w:color w:val="000000"/>
        </w:rPr>
      </w:pPr>
    </w:p>
    <w:p w14:paraId="222DA257" w14:textId="77777777" w:rsidR="004545D1" w:rsidRPr="007175E2" w:rsidRDefault="004545D1" w:rsidP="004545D1">
      <w:pPr>
        <w:pStyle w:val="ListParagraph"/>
        <w:numPr>
          <w:ilvl w:val="3"/>
          <w:numId w:val="10"/>
        </w:numPr>
        <w:autoSpaceDE w:val="0"/>
        <w:autoSpaceDN w:val="0"/>
        <w:adjustRightInd w:val="0"/>
        <w:spacing w:after="0" w:line="240" w:lineRule="auto"/>
        <w:ind w:left="0" w:firstLine="709"/>
        <w:jc w:val="both"/>
        <w:rPr>
          <w:rFonts w:ascii="Cambria" w:eastAsia="Batang" w:hAnsi="Cambria" w:cs="Calibri Light"/>
          <w:b/>
          <w:color w:val="080808"/>
        </w:rPr>
      </w:pPr>
      <w:r w:rsidRPr="007175E2">
        <w:rPr>
          <w:rFonts w:ascii="Cambria" w:hAnsi="Cambria"/>
          <w:color w:val="080808"/>
        </w:rPr>
        <w:t>The Commission declared full compliance with the case and the ceasing of the follow-up of the friendly settlement agreement in the Homologation Report 269/21.</w:t>
      </w:r>
    </w:p>
    <w:p w14:paraId="4BB99954" w14:textId="77777777" w:rsidR="004545D1" w:rsidRPr="007175E2" w:rsidRDefault="004545D1" w:rsidP="004545D1">
      <w:pPr>
        <w:spacing w:after="0" w:line="240" w:lineRule="auto"/>
        <w:ind w:left="720"/>
        <w:contextualSpacing/>
        <w:jc w:val="both"/>
        <w:rPr>
          <w:rFonts w:ascii="Cambria" w:eastAsia="Batang" w:hAnsi="Cambria" w:cs="Calibri Light"/>
          <w:b/>
          <w:color w:val="000000"/>
        </w:rPr>
      </w:pPr>
    </w:p>
    <w:p w14:paraId="2A3C0E6C" w14:textId="77777777" w:rsidR="004545D1" w:rsidRPr="007175E2" w:rsidRDefault="004545D1" w:rsidP="004545D1">
      <w:pPr>
        <w:numPr>
          <w:ilvl w:val="0"/>
          <w:numId w:val="9"/>
        </w:numPr>
        <w:spacing w:after="0" w:line="240" w:lineRule="auto"/>
        <w:contextualSpacing/>
        <w:jc w:val="both"/>
        <w:rPr>
          <w:rFonts w:ascii="Cambria" w:eastAsia="Batang" w:hAnsi="Cambria" w:cs="Calibri Light"/>
          <w:b/>
          <w:color w:val="000000"/>
        </w:rPr>
      </w:pPr>
      <w:r w:rsidRPr="007175E2">
        <w:rPr>
          <w:rFonts w:ascii="Cambria" w:eastAsia="Batang" w:hAnsi="Cambria" w:cs="Calibri Light"/>
          <w:b/>
          <w:color w:val="000000"/>
        </w:rPr>
        <w:t xml:space="preserve">INDIVIDUAL AND STRUCTURAL OUTCOMES OF THE CASE </w:t>
      </w:r>
    </w:p>
    <w:p w14:paraId="5D021615" w14:textId="77777777" w:rsidR="004545D1" w:rsidRPr="007175E2" w:rsidRDefault="004545D1" w:rsidP="004545D1">
      <w:pPr>
        <w:spacing w:after="0" w:line="240" w:lineRule="auto"/>
        <w:ind w:left="1440"/>
        <w:contextualSpacing/>
        <w:jc w:val="both"/>
        <w:rPr>
          <w:rFonts w:ascii="Cambria" w:eastAsia="Batang" w:hAnsi="Cambria" w:cs="Calibri Light"/>
          <w:b/>
          <w:color w:val="000000"/>
        </w:rPr>
      </w:pPr>
    </w:p>
    <w:p w14:paraId="3415FD18" w14:textId="77777777" w:rsidR="004545D1" w:rsidRPr="007175E2" w:rsidRDefault="004545D1" w:rsidP="004545D1">
      <w:pPr>
        <w:numPr>
          <w:ilvl w:val="0"/>
          <w:numId w:val="12"/>
        </w:numPr>
        <w:spacing w:after="0" w:line="240" w:lineRule="auto"/>
        <w:ind w:left="0" w:firstLine="709"/>
        <w:contextualSpacing/>
        <w:jc w:val="both"/>
        <w:rPr>
          <w:rFonts w:ascii="Cambria" w:eastAsia="Batang" w:hAnsi="Cambria" w:cs="Calibri Light"/>
          <w:b/>
          <w:color w:val="000000"/>
        </w:rPr>
      </w:pPr>
      <w:r w:rsidRPr="007175E2">
        <w:rPr>
          <w:rFonts w:ascii="Cambria" w:eastAsia="Batang" w:hAnsi="Cambria" w:cs="Calibri Light"/>
          <w:b/>
          <w:color w:val="000000"/>
        </w:rPr>
        <w:t xml:space="preserve">Individual outcomes of the case </w:t>
      </w:r>
    </w:p>
    <w:p w14:paraId="4A9B56E9" w14:textId="77777777" w:rsidR="004545D1" w:rsidRPr="007175E2" w:rsidRDefault="004545D1" w:rsidP="004545D1">
      <w:pPr>
        <w:spacing w:after="0" w:line="240" w:lineRule="auto"/>
        <w:ind w:firstLine="709"/>
        <w:contextualSpacing/>
        <w:jc w:val="both"/>
        <w:rPr>
          <w:rFonts w:ascii="Cambria" w:eastAsia="Batang" w:hAnsi="Cambria" w:cs="Calibri Light"/>
          <w:b/>
          <w:color w:val="000000"/>
        </w:rPr>
      </w:pPr>
    </w:p>
    <w:p w14:paraId="020B5DEF" w14:textId="1AA2A191" w:rsidR="0043583A" w:rsidRPr="00EE50E1" w:rsidRDefault="004545D1" w:rsidP="00EE50E1">
      <w:pPr>
        <w:numPr>
          <w:ilvl w:val="0"/>
          <w:numId w:val="11"/>
        </w:numPr>
        <w:spacing w:after="0" w:line="240" w:lineRule="auto"/>
        <w:ind w:left="1418" w:right="-270" w:hanging="698"/>
        <w:jc w:val="both"/>
        <w:rPr>
          <w:rFonts w:ascii="Cambria" w:eastAsia="Batang" w:hAnsi="Cambria"/>
          <w:b/>
          <w:color w:val="000000"/>
        </w:rPr>
      </w:pPr>
      <w:r w:rsidRPr="00EE50E1">
        <w:rPr>
          <w:rFonts w:ascii="Cambria" w:eastAsia="Batang" w:hAnsi="Cambria" w:cs="Calibri Light"/>
          <w:color w:val="080808"/>
        </w:rPr>
        <w:t>The State made a payment according to the amounts of the financial compensation indicated in the friendly settlement agreement.</w:t>
      </w:r>
    </w:p>
    <w:sectPr w:rsidR="0043583A" w:rsidRPr="00EE50E1" w:rsidSect="00EE50E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34F1" w14:textId="77777777" w:rsidR="00336E78" w:rsidRDefault="00336E78" w:rsidP="00A343FF">
      <w:pPr>
        <w:spacing w:after="0" w:line="240" w:lineRule="auto"/>
      </w:pPr>
      <w:r>
        <w:separator/>
      </w:r>
    </w:p>
  </w:endnote>
  <w:endnote w:type="continuationSeparator" w:id="0">
    <w:p w14:paraId="7163B0F8" w14:textId="77777777" w:rsidR="00336E78" w:rsidRDefault="00336E78"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F71F"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5E1403"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B41B" w14:textId="77777777" w:rsidR="00336E78" w:rsidRDefault="00336E78" w:rsidP="00A343FF">
      <w:pPr>
        <w:spacing w:after="0" w:line="240" w:lineRule="auto"/>
      </w:pPr>
      <w:r>
        <w:separator/>
      </w:r>
    </w:p>
  </w:footnote>
  <w:footnote w:type="continuationSeparator" w:id="0">
    <w:p w14:paraId="4B392693" w14:textId="77777777" w:rsidR="00336E78" w:rsidRDefault="00336E78" w:rsidP="00A343FF">
      <w:pPr>
        <w:spacing w:after="0" w:line="240" w:lineRule="auto"/>
      </w:pPr>
      <w:r>
        <w:continuationSeparator/>
      </w:r>
    </w:p>
  </w:footnote>
  <w:footnote w:id="1">
    <w:p w14:paraId="3A01407F" w14:textId="7F7A732D" w:rsidR="00A70B4A" w:rsidRPr="007175E2" w:rsidRDefault="00A70B4A" w:rsidP="007175E2">
      <w:pPr>
        <w:pStyle w:val="FootnoteText"/>
        <w:ind w:firstLine="720"/>
        <w:jc w:val="both"/>
        <w:rPr>
          <w:rFonts w:ascii="Cambria" w:hAnsi="Cambria"/>
          <w:sz w:val="16"/>
          <w:szCs w:val="16"/>
        </w:rPr>
      </w:pPr>
      <w:r w:rsidRPr="007175E2">
        <w:rPr>
          <w:rStyle w:val="FootnoteReference"/>
          <w:rFonts w:ascii="Cambria" w:hAnsi="Cambria"/>
          <w:sz w:val="16"/>
          <w:szCs w:val="16"/>
        </w:rPr>
        <w:footnoteRef/>
      </w:r>
      <w:r w:rsidRPr="007175E2">
        <w:rPr>
          <w:rFonts w:ascii="Cambria" w:hAnsi="Cambria"/>
          <w:sz w:val="16"/>
          <w:szCs w:val="16"/>
        </w:rPr>
        <w:t xml:space="preserve"> The Commission reserves the amounts of financial compensation agreed in accordance with the provisions of clause nine of the friendly settlement agreement.</w:t>
      </w:r>
    </w:p>
  </w:footnote>
  <w:footnote w:id="2">
    <w:p w14:paraId="5256A7CB" w14:textId="77777777" w:rsidR="00672090" w:rsidRPr="007175E2" w:rsidRDefault="00672090" w:rsidP="007175E2">
      <w:pPr>
        <w:pStyle w:val="FootnoteText"/>
        <w:ind w:firstLine="720"/>
        <w:jc w:val="both"/>
        <w:rPr>
          <w:rFonts w:ascii="Cambria" w:hAnsi="Cambria"/>
          <w:sz w:val="16"/>
          <w:szCs w:val="16"/>
        </w:rPr>
      </w:pPr>
      <w:r w:rsidRPr="007175E2">
        <w:rPr>
          <w:rStyle w:val="FootnoteReference"/>
          <w:rFonts w:ascii="Cambria" w:hAnsi="Cambria"/>
          <w:sz w:val="16"/>
          <w:szCs w:val="16"/>
        </w:rPr>
        <w:footnoteRef/>
      </w:r>
      <w:r w:rsidRPr="007175E2">
        <w:rPr>
          <w:rFonts w:ascii="Cambria" w:hAnsi="Cambria"/>
          <w:sz w:val="16"/>
          <w:szCs w:val="16"/>
        </w:rPr>
        <w:t xml:space="preserve"> </w:t>
      </w:r>
      <w:r w:rsidRPr="007175E2">
        <w:rPr>
          <w:rFonts w:ascii="Cambria" w:eastAsia="Calibri" w:hAnsi="Cambria"/>
          <w:color w:val="000000" w:themeColor="text1"/>
          <w:sz w:val="16"/>
          <w:szCs w:val="16"/>
        </w:rPr>
        <w:t xml:space="preserve">IACHR, Report No. 269/21. Friendly Settlement. </w:t>
      </w:r>
      <w:bookmarkStart w:id="0" w:name="_Hlk85111994"/>
      <w:r w:rsidRPr="007175E2">
        <w:rPr>
          <w:rFonts w:ascii="Cambria" w:eastAsia="Calibri" w:hAnsi="Cambria"/>
          <w:color w:val="000000" w:themeColor="text1"/>
          <w:sz w:val="16"/>
          <w:szCs w:val="16"/>
          <w:lang w:val="es-ES_tradnl"/>
        </w:rPr>
        <w:t>Ronald Jared Martínez et al</w:t>
      </w:r>
      <w:bookmarkEnd w:id="0"/>
      <w:r w:rsidRPr="007175E2">
        <w:rPr>
          <w:rFonts w:ascii="Cambria" w:eastAsia="Calibri" w:hAnsi="Cambria"/>
          <w:color w:val="000000" w:themeColor="text1"/>
          <w:sz w:val="16"/>
          <w:szCs w:val="16"/>
          <w:lang w:val="es-ES_tradnl"/>
        </w:rPr>
        <w:t xml:space="preserve">. </w:t>
      </w:r>
      <w:r w:rsidRPr="007175E2">
        <w:rPr>
          <w:rFonts w:ascii="Cambria" w:eastAsia="Calibri" w:hAnsi="Cambria"/>
          <w:color w:val="000000" w:themeColor="text1"/>
          <w:sz w:val="16"/>
          <w:szCs w:val="16"/>
        </w:rPr>
        <w:t xml:space="preserve">Honduras. October 5, 2021. Available at: </w:t>
      </w:r>
      <w:hyperlink r:id="rId1" w:history="1">
        <w:r w:rsidRPr="007175E2">
          <w:rPr>
            <w:rStyle w:val="Hyperlink"/>
            <w:rFonts w:ascii="Cambria" w:eastAsia="Calibri" w:hAnsi="Cambria"/>
            <w:color w:val="000000" w:themeColor="text1"/>
            <w:sz w:val="16"/>
            <w:szCs w:val="16"/>
          </w:rPr>
          <w:t>https://www.oas.org/en/iachr/decisions/2021/HOSA12960EN.pdf</w:t>
        </w:r>
      </w:hyperlink>
      <w:r w:rsidRPr="007175E2">
        <w:rPr>
          <w:rFonts w:ascii="Cambria" w:eastAsia="Calibri" w:hAnsi="Cambria"/>
          <w:color w:val="000000" w:themeColor="text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EDE9"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5E1403">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7216"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5E1403"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8"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1"/>
  </w:num>
  <w:num w:numId="2" w16cid:durableId="453600156">
    <w:abstractNumId w:val="28"/>
  </w:num>
  <w:num w:numId="3" w16cid:durableId="897327684">
    <w:abstractNumId w:val="18"/>
  </w:num>
  <w:num w:numId="4" w16cid:durableId="1141650489">
    <w:abstractNumId w:val="27"/>
  </w:num>
  <w:num w:numId="5" w16cid:durableId="746342540">
    <w:abstractNumId w:val="13"/>
  </w:num>
  <w:num w:numId="6" w16cid:durableId="1621692518">
    <w:abstractNumId w:val="6"/>
  </w:num>
  <w:num w:numId="7" w16cid:durableId="971790784">
    <w:abstractNumId w:val="1"/>
  </w:num>
  <w:num w:numId="8" w16cid:durableId="1387029646">
    <w:abstractNumId w:val="34"/>
  </w:num>
  <w:num w:numId="9" w16cid:durableId="1086881292">
    <w:abstractNumId w:val="7"/>
  </w:num>
  <w:num w:numId="10" w16cid:durableId="1292322756">
    <w:abstractNumId w:val="12"/>
  </w:num>
  <w:num w:numId="11" w16cid:durableId="1000500350">
    <w:abstractNumId w:val="2"/>
  </w:num>
  <w:num w:numId="12" w16cid:durableId="1706103099">
    <w:abstractNumId w:val="33"/>
  </w:num>
  <w:num w:numId="13" w16cid:durableId="1756710271">
    <w:abstractNumId w:val="20"/>
  </w:num>
  <w:num w:numId="14" w16cid:durableId="1099252676">
    <w:abstractNumId w:val="37"/>
  </w:num>
  <w:num w:numId="15" w16cid:durableId="1030109151">
    <w:abstractNumId w:val="16"/>
  </w:num>
  <w:num w:numId="16" w16cid:durableId="1722748191">
    <w:abstractNumId w:val="15"/>
  </w:num>
  <w:num w:numId="17" w16cid:durableId="351491452">
    <w:abstractNumId w:val="26"/>
  </w:num>
  <w:num w:numId="18" w16cid:durableId="1027633537">
    <w:abstractNumId w:val="9"/>
  </w:num>
  <w:num w:numId="19" w16cid:durableId="457845413">
    <w:abstractNumId w:val="25"/>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19"/>
  </w:num>
  <w:num w:numId="22" w16cid:durableId="2003926928">
    <w:abstractNumId w:val="10"/>
  </w:num>
  <w:num w:numId="23" w16cid:durableId="1497725357">
    <w:abstractNumId w:val="21"/>
  </w:num>
  <w:num w:numId="24" w16cid:durableId="307248652">
    <w:abstractNumId w:val="23"/>
  </w:num>
  <w:num w:numId="25" w16cid:durableId="1985550389">
    <w:abstractNumId w:val="5"/>
  </w:num>
  <w:num w:numId="26" w16cid:durableId="1478456909">
    <w:abstractNumId w:val="8"/>
  </w:num>
  <w:num w:numId="27" w16cid:durableId="1176925587">
    <w:abstractNumId w:val="3"/>
  </w:num>
  <w:num w:numId="28" w16cid:durableId="1876766616">
    <w:abstractNumId w:val="35"/>
  </w:num>
  <w:num w:numId="29" w16cid:durableId="2142572164">
    <w:abstractNumId w:val="32"/>
  </w:num>
  <w:num w:numId="30" w16cid:durableId="571933528">
    <w:abstractNumId w:val="30"/>
  </w:num>
  <w:num w:numId="31" w16cid:durableId="1861430946">
    <w:abstractNumId w:val="14"/>
  </w:num>
  <w:num w:numId="32" w16cid:durableId="803893092">
    <w:abstractNumId w:val="17"/>
  </w:num>
  <w:num w:numId="33" w16cid:durableId="1739936026">
    <w:abstractNumId w:val="4"/>
  </w:num>
  <w:num w:numId="34" w16cid:durableId="1458915668">
    <w:abstractNumId w:val="29"/>
  </w:num>
  <w:num w:numId="35" w16cid:durableId="1599485303">
    <w:abstractNumId w:val="38"/>
  </w:num>
  <w:num w:numId="36" w16cid:durableId="1664964272">
    <w:abstractNumId w:val="36"/>
  </w:num>
  <w:num w:numId="37" w16cid:durableId="2074966919">
    <w:abstractNumId w:val="31"/>
  </w:num>
  <w:num w:numId="38" w16cid:durableId="20934263">
    <w:abstractNumId w:val="22"/>
  </w:num>
  <w:num w:numId="39" w16cid:durableId="195656616">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4D00"/>
    <w:rsid w:val="00096079"/>
    <w:rsid w:val="000B3203"/>
    <w:rsid w:val="000B3318"/>
    <w:rsid w:val="000D32B6"/>
    <w:rsid w:val="001011E0"/>
    <w:rsid w:val="00101E3E"/>
    <w:rsid w:val="00112395"/>
    <w:rsid w:val="0012586C"/>
    <w:rsid w:val="00127F17"/>
    <w:rsid w:val="001511FD"/>
    <w:rsid w:val="001541D4"/>
    <w:rsid w:val="00162518"/>
    <w:rsid w:val="001834F6"/>
    <w:rsid w:val="001C516B"/>
    <w:rsid w:val="001E3F4C"/>
    <w:rsid w:val="00215215"/>
    <w:rsid w:val="0021669C"/>
    <w:rsid w:val="00226F48"/>
    <w:rsid w:val="00240E8E"/>
    <w:rsid w:val="002547E7"/>
    <w:rsid w:val="00260836"/>
    <w:rsid w:val="00277604"/>
    <w:rsid w:val="002859A9"/>
    <w:rsid w:val="00292B52"/>
    <w:rsid w:val="00294B17"/>
    <w:rsid w:val="002A39B2"/>
    <w:rsid w:val="002D40CD"/>
    <w:rsid w:val="002E4FBC"/>
    <w:rsid w:val="002F156A"/>
    <w:rsid w:val="00324C1A"/>
    <w:rsid w:val="00335042"/>
    <w:rsid w:val="00336E78"/>
    <w:rsid w:val="003419CC"/>
    <w:rsid w:val="00343CED"/>
    <w:rsid w:val="0036283E"/>
    <w:rsid w:val="00385F0C"/>
    <w:rsid w:val="00393310"/>
    <w:rsid w:val="00394EEF"/>
    <w:rsid w:val="003C4836"/>
    <w:rsid w:val="003E4C2F"/>
    <w:rsid w:val="003E533F"/>
    <w:rsid w:val="003E6F57"/>
    <w:rsid w:val="003F3C6B"/>
    <w:rsid w:val="00402700"/>
    <w:rsid w:val="00420BB1"/>
    <w:rsid w:val="0043583A"/>
    <w:rsid w:val="004545D1"/>
    <w:rsid w:val="00463AFC"/>
    <w:rsid w:val="00470C7B"/>
    <w:rsid w:val="0047146A"/>
    <w:rsid w:val="004722BC"/>
    <w:rsid w:val="00472E04"/>
    <w:rsid w:val="0047567D"/>
    <w:rsid w:val="00477BF2"/>
    <w:rsid w:val="004B3074"/>
    <w:rsid w:val="004B7CA6"/>
    <w:rsid w:val="004C6CCF"/>
    <w:rsid w:val="004C7C99"/>
    <w:rsid w:val="004F5CA9"/>
    <w:rsid w:val="004F5F70"/>
    <w:rsid w:val="00504855"/>
    <w:rsid w:val="005145CC"/>
    <w:rsid w:val="005205B9"/>
    <w:rsid w:val="00534F2B"/>
    <w:rsid w:val="005566F5"/>
    <w:rsid w:val="005829B9"/>
    <w:rsid w:val="00594A1B"/>
    <w:rsid w:val="005A328E"/>
    <w:rsid w:val="005A4D20"/>
    <w:rsid w:val="005A5AE8"/>
    <w:rsid w:val="005A5E14"/>
    <w:rsid w:val="005B2E65"/>
    <w:rsid w:val="005C2637"/>
    <w:rsid w:val="005C414D"/>
    <w:rsid w:val="005D7F05"/>
    <w:rsid w:val="005E1403"/>
    <w:rsid w:val="005E3720"/>
    <w:rsid w:val="005E4B03"/>
    <w:rsid w:val="005F171A"/>
    <w:rsid w:val="005F4AAA"/>
    <w:rsid w:val="0060081A"/>
    <w:rsid w:val="00604132"/>
    <w:rsid w:val="00634F89"/>
    <w:rsid w:val="00637AFB"/>
    <w:rsid w:val="00655003"/>
    <w:rsid w:val="00660EF3"/>
    <w:rsid w:val="00663A76"/>
    <w:rsid w:val="0067152B"/>
    <w:rsid w:val="00672090"/>
    <w:rsid w:val="006C2941"/>
    <w:rsid w:val="006C2B06"/>
    <w:rsid w:val="006C7308"/>
    <w:rsid w:val="006E2BD8"/>
    <w:rsid w:val="006F0429"/>
    <w:rsid w:val="0070407B"/>
    <w:rsid w:val="00705E57"/>
    <w:rsid w:val="007175E2"/>
    <w:rsid w:val="00727940"/>
    <w:rsid w:val="00730193"/>
    <w:rsid w:val="0073227E"/>
    <w:rsid w:val="00732EA4"/>
    <w:rsid w:val="007377D4"/>
    <w:rsid w:val="007B0327"/>
    <w:rsid w:val="007B3452"/>
    <w:rsid w:val="007B3D07"/>
    <w:rsid w:val="007C2CC3"/>
    <w:rsid w:val="007C351D"/>
    <w:rsid w:val="007D4C18"/>
    <w:rsid w:val="007E463E"/>
    <w:rsid w:val="007F5F4E"/>
    <w:rsid w:val="00801509"/>
    <w:rsid w:val="00806082"/>
    <w:rsid w:val="00807BAA"/>
    <w:rsid w:val="008145AE"/>
    <w:rsid w:val="00817E0C"/>
    <w:rsid w:val="008338E4"/>
    <w:rsid w:val="00833BA8"/>
    <w:rsid w:val="00846397"/>
    <w:rsid w:val="008521E0"/>
    <w:rsid w:val="00854914"/>
    <w:rsid w:val="008550EF"/>
    <w:rsid w:val="00893661"/>
    <w:rsid w:val="008A1CBE"/>
    <w:rsid w:val="008B1EA8"/>
    <w:rsid w:val="008B2A99"/>
    <w:rsid w:val="008B6DA8"/>
    <w:rsid w:val="008E42E1"/>
    <w:rsid w:val="008E751C"/>
    <w:rsid w:val="008F2248"/>
    <w:rsid w:val="009162E7"/>
    <w:rsid w:val="00941BE5"/>
    <w:rsid w:val="009457D8"/>
    <w:rsid w:val="0096142F"/>
    <w:rsid w:val="0096419E"/>
    <w:rsid w:val="00994458"/>
    <w:rsid w:val="009949ED"/>
    <w:rsid w:val="009B1135"/>
    <w:rsid w:val="009B219C"/>
    <w:rsid w:val="009C227B"/>
    <w:rsid w:val="009C4D87"/>
    <w:rsid w:val="009C5BE9"/>
    <w:rsid w:val="009E73F0"/>
    <w:rsid w:val="009F66EA"/>
    <w:rsid w:val="00A2502C"/>
    <w:rsid w:val="00A25CA7"/>
    <w:rsid w:val="00A343FF"/>
    <w:rsid w:val="00A61B5E"/>
    <w:rsid w:val="00A678C3"/>
    <w:rsid w:val="00A70B4A"/>
    <w:rsid w:val="00A76705"/>
    <w:rsid w:val="00A7781B"/>
    <w:rsid w:val="00A860C7"/>
    <w:rsid w:val="00AA164D"/>
    <w:rsid w:val="00AB253B"/>
    <w:rsid w:val="00AC2C8E"/>
    <w:rsid w:val="00AE1B0F"/>
    <w:rsid w:val="00AF2D92"/>
    <w:rsid w:val="00B002D8"/>
    <w:rsid w:val="00B056D9"/>
    <w:rsid w:val="00B063D6"/>
    <w:rsid w:val="00B120EB"/>
    <w:rsid w:val="00B205A7"/>
    <w:rsid w:val="00B3732F"/>
    <w:rsid w:val="00B40F77"/>
    <w:rsid w:val="00B4343F"/>
    <w:rsid w:val="00B60889"/>
    <w:rsid w:val="00B674F5"/>
    <w:rsid w:val="00B74EA5"/>
    <w:rsid w:val="00B8008C"/>
    <w:rsid w:val="00B806AC"/>
    <w:rsid w:val="00B93993"/>
    <w:rsid w:val="00BA2B9F"/>
    <w:rsid w:val="00BC3854"/>
    <w:rsid w:val="00C03B37"/>
    <w:rsid w:val="00C17E67"/>
    <w:rsid w:val="00C17F04"/>
    <w:rsid w:val="00C30658"/>
    <w:rsid w:val="00C3260E"/>
    <w:rsid w:val="00C3445F"/>
    <w:rsid w:val="00C402CB"/>
    <w:rsid w:val="00C55E1C"/>
    <w:rsid w:val="00C56464"/>
    <w:rsid w:val="00C57947"/>
    <w:rsid w:val="00C76780"/>
    <w:rsid w:val="00CB6344"/>
    <w:rsid w:val="00CB7CD5"/>
    <w:rsid w:val="00CB7D17"/>
    <w:rsid w:val="00CC0731"/>
    <w:rsid w:val="00CC6DB2"/>
    <w:rsid w:val="00CE024B"/>
    <w:rsid w:val="00CE74B7"/>
    <w:rsid w:val="00CF54E1"/>
    <w:rsid w:val="00D048B2"/>
    <w:rsid w:val="00D05BCC"/>
    <w:rsid w:val="00D23C64"/>
    <w:rsid w:val="00D735C2"/>
    <w:rsid w:val="00D76EDC"/>
    <w:rsid w:val="00D9413D"/>
    <w:rsid w:val="00DA7797"/>
    <w:rsid w:val="00DC5A37"/>
    <w:rsid w:val="00DC7C8F"/>
    <w:rsid w:val="00DF0FE5"/>
    <w:rsid w:val="00E12118"/>
    <w:rsid w:val="00E177B0"/>
    <w:rsid w:val="00E24621"/>
    <w:rsid w:val="00E3040C"/>
    <w:rsid w:val="00E31824"/>
    <w:rsid w:val="00E42870"/>
    <w:rsid w:val="00E525B3"/>
    <w:rsid w:val="00E6614F"/>
    <w:rsid w:val="00E737AE"/>
    <w:rsid w:val="00E953CE"/>
    <w:rsid w:val="00EC2A38"/>
    <w:rsid w:val="00ED7332"/>
    <w:rsid w:val="00ED73A5"/>
    <w:rsid w:val="00EE50E1"/>
    <w:rsid w:val="00F14821"/>
    <w:rsid w:val="00F43314"/>
    <w:rsid w:val="00F45256"/>
    <w:rsid w:val="00F53B51"/>
    <w:rsid w:val="00F54F60"/>
    <w:rsid w:val="00F61B1D"/>
    <w:rsid w:val="00F62829"/>
    <w:rsid w:val="00F66FEE"/>
    <w:rsid w:val="00F74974"/>
    <w:rsid w:val="00F7589F"/>
    <w:rsid w:val="00F9351A"/>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s.org/en/iachr/decisions/2021/HOSA12960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as.org/en/iachr/decisions/2014/HOAD886-04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s.org/en/iachr/decisions/2021/HOSA12960EN.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oas.org/en/iachr/decisions/2021/HOSA12960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3.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4.xml><?xml version="1.0" encoding="utf-8"?>
<ds:datastoreItem xmlns:ds="http://schemas.openxmlformats.org/officeDocument/2006/customXml" ds:itemID="{2C534A0D-18CE-4362-9E26-A3C7BFDE77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2023-03-07T20:28:00Z</dcterms:created>
  <dcterms:modified xsi:type="dcterms:W3CDTF">2023-03-07T20:28:00Z</dcterms:modified>
</cp:coreProperties>
</file>