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42D77ECA" w14:textId="77777777" w:rsidR="00F62829" w:rsidRPr="007175E2" w:rsidRDefault="00F62829" w:rsidP="00AC2C8E">
      <w:pPr>
        <w:pStyle w:val="ListParagraph"/>
        <w:spacing w:after="0" w:line="240" w:lineRule="auto"/>
        <w:ind w:left="0" w:right="4"/>
        <w:jc w:val="center"/>
        <w:rPr>
          <w:rFonts w:ascii="Cambria" w:eastAsia="MS Mincho" w:hAnsi="Cambria"/>
        </w:rPr>
      </w:pPr>
      <w:r w:rsidRPr="007175E2">
        <w:rPr>
          <w:rFonts w:ascii="Cambria" w:eastAsia="Batang" w:hAnsi="Cambria"/>
          <w:b/>
          <w:color w:val="000000"/>
        </w:rPr>
        <w:t>TECHNICAL INFORMATION SHEET</w:t>
      </w:r>
    </w:p>
    <w:p w14:paraId="6027EE83" w14:textId="77777777" w:rsidR="00F62829" w:rsidRPr="007175E2" w:rsidRDefault="00F62829" w:rsidP="00AC2C8E">
      <w:pPr>
        <w:pStyle w:val="NoSpacing"/>
        <w:ind w:right="4"/>
        <w:jc w:val="center"/>
        <w:rPr>
          <w:rFonts w:ascii="Cambria" w:hAnsi="Cambria"/>
          <w:b/>
          <w:szCs w:val="20"/>
        </w:rPr>
      </w:pPr>
      <w:r w:rsidRPr="007175E2">
        <w:rPr>
          <w:rFonts w:ascii="Cambria" w:hAnsi="Cambria"/>
          <w:b/>
          <w:bCs/>
          <w:szCs w:val="20"/>
        </w:rPr>
        <w:t>CASE 12.627</w:t>
      </w:r>
      <w:r w:rsidRPr="007175E2">
        <w:rPr>
          <w:rFonts w:ascii="Cambria" w:hAnsi="Cambria"/>
          <w:b/>
          <w:szCs w:val="20"/>
        </w:rPr>
        <w:t xml:space="preserve"> MARÍA NICOLASA GARCÍA REYNOSO</w:t>
      </w:r>
    </w:p>
    <w:p w14:paraId="76F5FD57" w14:textId="2126FFE8" w:rsidR="00F62829" w:rsidRPr="007175E2" w:rsidRDefault="00F62829" w:rsidP="00AC2C8E">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FRIENDLY SETTLEMENT REP</w:t>
      </w:r>
      <w:r w:rsidRPr="007175E2">
        <w:rPr>
          <w:rFonts w:ascii="Cambria" w:eastAsia="Batang" w:hAnsi="Cambria"/>
          <w:b/>
          <w:color w:val="000000" w:themeColor="text1"/>
        </w:rPr>
        <w:t>ORT No.</w:t>
      </w:r>
      <w:r w:rsidR="002547E7" w:rsidRPr="007175E2">
        <w:rPr>
          <w:rFonts w:ascii="Cambria" w:eastAsia="Batang" w:hAnsi="Cambria"/>
          <w:b/>
          <w:color w:val="000000" w:themeColor="text1"/>
        </w:rPr>
        <w:t xml:space="preserve"> </w:t>
      </w:r>
      <w:hyperlink r:id="rId11" w:history="1">
        <w:r w:rsidRPr="007175E2">
          <w:rPr>
            <w:rStyle w:val="Hyperlink"/>
            <w:rFonts w:ascii="Cambria" w:hAnsi="Cambria"/>
            <w:b/>
            <w:color w:val="000000" w:themeColor="text1"/>
            <w:u w:val="none"/>
          </w:rPr>
          <w:t>92/17</w:t>
        </w:r>
      </w:hyperlink>
    </w:p>
    <w:p w14:paraId="5604E612" w14:textId="77777777" w:rsidR="00F62829" w:rsidRPr="007175E2" w:rsidRDefault="00F62829" w:rsidP="00AC2C8E">
      <w:pPr>
        <w:spacing w:after="0" w:line="240" w:lineRule="auto"/>
        <w:ind w:right="4"/>
        <w:contextualSpacing/>
        <w:jc w:val="center"/>
        <w:rPr>
          <w:rFonts w:ascii="Cambria" w:eastAsia="Batang" w:hAnsi="Cambria"/>
          <w:b/>
          <w:color w:val="000000"/>
        </w:rPr>
      </w:pPr>
      <w:r w:rsidRPr="007175E2">
        <w:rPr>
          <w:rFonts w:ascii="Cambria" w:eastAsia="Batang" w:hAnsi="Cambria"/>
          <w:b/>
          <w:color w:val="000000"/>
        </w:rPr>
        <w:t>TOTAL COMPLIANCE</w:t>
      </w:r>
    </w:p>
    <w:p w14:paraId="14FB16EF" w14:textId="77777777" w:rsidR="00F62829" w:rsidRPr="007175E2" w:rsidRDefault="00F62829" w:rsidP="00AC2C8E">
      <w:pPr>
        <w:spacing w:after="0" w:line="240" w:lineRule="auto"/>
        <w:ind w:right="4"/>
        <w:contextualSpacing/>
        <w:jc w:val="center"/>
        <w:rPr>
          <w:rFonts w:ascii="Cambria" w:eastAsia="Batang" w:hAnsi="Cambria"/>
          <w:b/>
          <w:color w:val="000000"/>
          <w:lang w:val="es-ES"/>
        </w:rPr>
      </w:pPr>
      <w:r w:rsidRPr="007175E2">
        <w:rPr>
          <w:rFonts w:ascii="Cambria" w:eastAsia="Batang" w:hAnsi="Cambria"/>
          <w:b/>
          <w:color w:val="000000"/>
          <w:lang w:val="es-ES"/>
        </w:rPr>
        <w:t>(MEXICO)</w:t>
      </w:r>
    </w:p>
    <w:p w14:paraId="7FAB92DB" w14:textId="77777777" w:rsidR="00F62829" w:rsidRPr="007175E2" w:rsidRDefault="00F62829" w:rsidP="00F62829">
      <w:pPr>
        <w:spacing w:after="0" w:line="240" w:lineRule="auto"/>
        <w:ind w:right="-270"/>
        <w:jc w:val="center"/>
        <w:rPr>
          <w:rFonts w:ascii="Cambria" w:eastAsia="Batang" w:hAnsi="Cambria"/>
          <w:b/>
          <w:color w:val="000000"/>
          <w:lang w:val="es-ES"/>
        </w:rPr>
      </w:pPr>
    </w:p>
    <w:p w14:paraId="742DD910" w14:textId="77777777" w:rsidR="00F62829" w:rsidRPr="007175E2" w:rsidRDefault="00F62829" w:rsidP="00637AFB">
      <w:pPr>
        <w:numPr>
          <w:ilvl w:val="0"/>
          <w:numId w:val="28"/>
        </w:numPr>
        <w:spacing w:after="0" w:line="240" w:lineRule="auto"/>
        <w:rPr>
          <w:rFonts w:ascii="Cambria" w:eastAsia="Batang" w:hAnsi="Cambria" w:cs="Calibri Light"/>
          <w:b/>
          <w:color w:val="000000"/>
        </w:rPr>
      </w:pPr>
      <w:r w:rsidRPr="007175E2">
        <w:rPr>
          <w:rFonts w:ascii="Cambria" w:eastAsia="Batang" w:hAnsi="Cambria" w:cs="Calibri Light"/>
          <w:b/>
          <w:color w:val="000000"/>
        </w:rPr>
        <w:t>SUMMARY OF THE CASE</w:t>
      </w:r>
    </w:p>
    <w:p w14:paraId="1DED1E3F" w14:textId="77777777" w:rsidR="00F62829" w:rsidRPr="007175E2" w:rsidRDefault="00F62829" w:rsidP="00F62829">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F62829" w:rsidRPr="007175E2" w14:paraId="684A4ADF" w14:textId="77777777" w:rsidTr="00AC2C8E">
        <w:trPr>
          <w:trHeight w:val="5967"/>
          <w:jc w:val="center"/>
        </w:trPr>
        <w:tc>
          <w:tcPr>
            <w:tcW w:w="9350" w:type="dxa"/>
            <w:shd w:val="clear" w:color="auto" w:fill="F2F2F2"/>
          </w:tcPr>
          <w:p w14:paraId="2CAE0BDD" w14:textId="77777777" w:rsidR="00F62829" w:rsidRPr="007175E2" w:rsidRDefault="00F62829" w:rsidP="00F024F0">
            <w:pPr>
              <w:tabs>
                <w:tab w:val="left" w:pos="9270"/>
              </w:tabs>
              <w:spacing w:after="0" w:line="240" w:lineRule="auto"/>
              <w:jc w:val="both"/>
              <w:rPr>
                <w:rFonts w:ascii="Cambria" w:eastAsia="Batang" w:hAnsi="Cambria"/>
                <w:b/>
                <w:color w:val="000000"/>
                <w:lang w:val="es-ES_tradnl"/>
              </w:rPr>
            </w:pPr>
            <w:r w:rsidRPr="007175E2">
              <w:rPr>
                <w:rFonts w:ascii="Cambria" w:eastAsia="Batang" w:hAnsi="Cambria"/>
                <w:b/>
                <w:color w:val="000000"/>
                <w:lang w:val="es-ES_tradnl"/>
              </w:rPr>
              <w:t xml:space="preserve">Victim(s): </w:t>
            </w:r>
            <w:r w:rsidRPr="007175E2">
              <w:rPr>
                <w:rFonts w:ascii="Cambria" w:eastAsia="Batang" w:hAnsi="Cambria"/>
                <w:bCs/>
                <w:color w:val="000000"/>
                <w:lang w:val="es-ES_tradnl"/>
              </w:rPr>
              <w:t>María Nicolasa García Reynoso</w:t>
            </w:r>
          </w:p>
          <w:p w14:paraId="2C09E0DF" w14:textId="77777777" w:rsidR="00F62829" w:rsidRPr="007175E2" w:rsidRDefault="00F62829" w:rsidP="00F024F0">
            <w:pPr>
              <w:tabs>
                <w:tab w:val="left" w:pos="9270"/>
              </w:tabs>
              <w:spacing w:after="0" w:line="240" w:lineRule="auto"/>
              <w:jc w:val="both"/>
              <w:rPr>
                <w:rFonts w:ascii="Cambria" w:eastAsia="Batang" w:hAnsi="Cambria"/>
                <w:b/>
                <w:color w:val="000000"/>
                <w:lang w:val="es-ES_tradnl"/>
              </w:rPr>
            </w:pPr>
            <w:r w:rsidRPr="007175E2">
              <w:rPr>
                <w:rFonts w:ascii="Cambria" w:eastAsia="Batang" w:hAnsi="Cambria"/>
                <w:b/>
                <w:color w:val="000000"/>
                <w:lang w:val="es-ES_tradnl"/>
              </w:rPr>
              <w:t xml:space="preserve">Petitioner(s): </w:t>
            </w:r>
            <w:r w:rsidRPr="007175E2">
              <w:rPr>
                <w:rFonts w:ascii="Cambria" w:eastAsia="Batang" w:hAnsi="Cambria"/>
                <w:bCs/>
                <w:color w:val="000000"/>
                <w:lang w:val="es-ES_tradnl"/>
              </w:rPr>
              <w:t>Dinah Laureano, María Nicolasa García Reynoso</w:t>
            </w:r>
          </w:p>
          <w:p w14:paraId="12049EB6" w14:textId="77777777" w:rsidR="00F62829" w:rsidRPr="007175E2" w:rsidRDefault="00F62829"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State: </w:t>
            </w:r>
            <w:r w:rsidRPr="007175E2">
              <w:rPr>
                <w:rFonts w:ascii="Cambria" w:eastAsia="Batang" w:hAnsi="Cambria"/>
                <w:bCs/>
                <w:color w:val="000000"/>
              </w:rPr>
              <w:t>Mexico</w:t>
            </w:r>
          </w:p>
          <w:p w14:paraId="56495B79" w14:textId="77777777" w:rsidR="00F62829" w:rsidRPr="007175E2" w:rsidRDefault="00F62829" w:rsidP="00F024F0">
            <w:pPr>
              <w:tabs>
                <w:tab w:val="left" w:pos="9270"/>
              </w:tabs>
              <w:spacing w:after="0" w:line="240" w:lineRule="auto"/>
              <w:jc w:val="both"/>
              <w:rPr>
                <w:rFonts w:ascii="Cambria" w:eastAsia="Batang" w:hAnsi="Cambria"/>
                <w:b/>
                <w:color w:val="000000"/>
              </w:rPr>
            </w:pPr>
            <w:r w:rsidRPr="007175E2">
              <w:rPr>
                <w:rFonts w:ascii="Cambria" w:eastAsia="Batang" w:hAnsi="Cambria"/>
                <w:b/>
                <w:bCs/>
                <w:color w:val="000000"/>
              </w:rPr>
              <w:t xml:space="preserve">Beginning of the negotiation date: </w:t>
            </w:r>
            <w:r w:rsidRPr="007175E2">
              <w:rPr>
                <w:rFonts w:ascii="Cambria" w:eastAsia="Batang" w:hAnsi="Cambria"/>
                <w:bCs/>
                <w:color w:val="000000"/>
              </w:rPr>
              <w:t>November 27, 2007</w:t>
            </w:r>
          </w:p>
          <w:p w14:paraId="57470301" w14:textId="77777777" w:rsidR="00F62829" w:rsidRPr="007175E2" w:rsidRDefault="00F62829"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FSA signature date: </w:t>
            </w:r>
            <w:r w:rsidRPr="007175E2">
              <w:rPr>
                <w:rFonts w:ascii="Cambria" w:eastAsia="Batang" w:hAnsi="Cambria"/>
                <w:color w:val="000000"/>
              </w:rPr>
              <w:t>October 10, 2012</w:t>
            </w:r>
          </w:p>
          <w:p w14:paraId="5A4B133B" w14:textId="77777777" w:rsidR="00F62829" w:rsidRPr="007175E2" w:rsidRDefault="00F62829"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Report on Admissibility Nº: </w:t>
            </w:r>
            <w:hyperlink r:id="rId12" w:history="1">
              <w:r w:rsidRPr="007175E2">
                <w:rPr>
                  <w:rStyle w:val="Hyperlink"/>
                  <w:rFonts w:ascii="Cambria" w:eastAsia="Batang" w:hAnsi="Cambria"/>
                  <w:b/>
                  <w:bCs/>
                  <w:color w:val="000000" w:themeColor="text1"/>
                </w:rPr>
                <w:t>53/07</w:t>
              </w:r>
            </w:hyperlink>
            <w:r w:rsidRPr="007175E2">
              <w:rPr>
                <w:rFonts w:ascii="Cambria" w:eastAsia="Batang" w:hAnsi="Cambria"/>
                <w:bCs/>
                <w:color w:val="000000" w:themeColor="text1"/>
              </w:rPr>
              <w:t xml:space="preserve"> </w:t>
            </w:r>
            <w:r w:rsidRPr="007175E2">
              <w:rPr>
                <w:rFonts w:ascii="Cambria" w:eastAsia="Batang" w:hAnsi="Cambria"/>
                <w:bCs/>
                <w:color w:val="000000"/>
              </w:rPr>
              <w:t>published on July 24, 2007</w:t>
            </w:r>
          </w:p>
          <w:p w14:paraId="0D2D9E6C" w14:textId="77777777" w:rsidR="00F62829" w:rsidRPr="007175E2" w:rsidRDefault="00F62829"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Report on Friendly Settlement Agreement Nº: </w:t>
            </w:r>
            <w:hyperlink r:id="rId13" w:history="1">
              <w:r w:rsidRPr="007175E2">
                <w:rPr>
                  <w:rStyle w:val="Hyperlink"/>
                  <w:rFonts w:ascii="Cambria" w:eastAsia="Batang" w:hAnsi="Cambria"/>
                  <w:b/>
                  <w:bCs/>
                  <w:color w:val="000000" w:themeColor="text1"/>
                </w:rPr>
                <w:t>92/17</w:t>
              </w:r>
            </w:hyperlink>
            <w:r w:rsidRPr="007175E2">
              <w:rPr>
                <w:rFonts w:ascii="Cambria" w:eastAsia="Batang" w:hAnsi="Cambria"/>
                <w:bCs/>
                <w:color w:val="000000"/>
              </w:rPr>
              <w:t xml:space="preserve"> published on July 7, 2017</w:t>
            </w:r>
          </w:p>
          <w:p w14:paraId="2A233C80" w14:textId="77777777" w:rsidR="00F62829" w:rsidRPr="007175E2" w:rsidRDefault="00F62829" w:rsidP="00F024F0">
            <w:pPr>
              <w:tabs>
                <w:tab w:val="left" w:pos="9270"/>
              </w:tabs>
              <w:spacing w:after="0" w:line="240" w:lineRule="auto"/>
              <w:jc w:val="both"/>
              <w:rPr>
                <w:rFonts w:ascii="Cambria" w:eastAsia="Batang" w:hAnsi="Cambria"/>
                <w:b/>
                <w:bCs/>
                <w:color w:val="000000"/>
              </w:rPr>
            </w:pPr>
            <w:r w:rsidRPr="007175E2">
              <w:rPr>
                <w:rFonts w:ascii="Cambria" w:eastAsia="Batang" w:hAnsi="Cambria"/>
                <w:b/>
                <w:bCs/>
                <w:color w:val="000000"/>
              </w:rPr>
              <w:t xml:space="preserve">Estimated length of the negotiation phase: </w:t>
            </w:r>
            <w:r w:rsidRPr="007175E2">
              <w:rPr>
                <w:rFonts w:ascii="Cambria" w:eastAsia="Batang" w:hAnsi="Cambria"/>
                <w:bCs/>
                <w:color w:val="000000"/>
              </w:rPr>
              <w:t>10 years</w:t>
            </w:r>
          </w:p>
          <w:p w14:paraId="24D4B4DF" w14:textId="77777777" w:rsidR="00F62829" w:rsidRPr="007175E2" w:rsidRDefault="00F62829"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Associated rapporteurship: </w:t>
            </w:r>
            <w:r w:rsidRPr="007175E2">
              <w:rPr>
                <w:rFonts w:ascii="Cambria" w:eastAsia="Batang" w:hAnsi="Cambria"/>
                <w:bCs/>
                <w:color w:val="000000"/>
              </w:rPr>
              <w:t>Human Rights Defenders</w:t>
            </w:r>
          </w:p>
          <w:p w14:paraId="0F2B9599" w14:textId="77777777" w:rsidR="00F62829" w:rsidRPr="007175E2" w:rsidRDefault="00F62829" w:rsidP="00F024F0">
            <w:pPr>
              <w:tabs>
                <w:tab w:val="left" w:pos="9270"/>
              </w:tabs>
              <w:spacing w:after="0" w:line="240" w:lineRule="auto"/>
              <w:jc w:val="both"/>
              <w:rPr>
                <w:rFonts w:ascii="Cambria" w:eastAsia="Batang" w:hAnsi="Cambria"/>
                <w:b/>
                <w:color w:val="000000"/>
              </w:rPr>
            </w:pPr>
            <w:r w:rsidRPr="007175E2">
              <w:rPr>
                <w:rFonts w:ascii="Cambria" w:eastAsia="Batang" w:hAnsi="Cambria"/>
                <w:b/>
                <w:color w:val="000000"/>
              </w:rPr>
              <w:t xml:space="preserve">Topics: </w:t>
            </w:r>
            <w:r w:rsidRPr="007175E2">
              <w:rPr>
                <w:rFonts w:ascii="Cambria" w:eastAsia="Batang" w:hAnsi="Cambria"/>
                <w:bCs/>
                <w:color w:val="000000"/>
              </w:rPr>
              <w:t>Threats, acts of intimidation, and harassment/ Investigation</w:t>
            </w:r>
          </w:p>
          <w:p w14:paraId="1616C61B" w14:textId="77777777" w:rsidR="00F62829" w:rsidRPr="007175E2" w:rsidRDefault="00F62829" w:rsidP="00F024F0">
            <w:pPr>
              <w:tabs>
                <w:tab w:val="left" w:pos="9270"/>
              </w:tabs>
              <w:spacing w:after="0" w:line="240" w:lineRule="auto"/>
              <w:jc w:val="both"/>
              <w:rPr>
                <w:rFonts w:ascii="Cambria" w:eastAsia="Batang" w:hAnsi="Cambria"/>
                <w:b/>
                <w:color w:val="000000"/>
              </w:rPr>
            </w:pPr>
          </w:p>
          <w:p w14:paraId="02BAC424" w14:textId="77777777" w:rsidR="00F62829" w:rsidRPr="007175E2" w:rsidRDefault="00F62829" w:rsidP="00F024F0">
            <w:pPr>
              <w:tabs>
                <w:tab w:val="left" w:pos="9270"/>
              </w:tabs>
              <w:spacing w:after="0" w:line="240" w:lineRule="auto"/>
              <w:jc w:val="both"/>
              <w:rPr>
                <w:rFonts w:ascii="Cambria" w:eastAsia="Batang" w:hAnsi="Cambria"/>
                <w:bCs/>
                <w:color w:val="000000"/>
              </w:rPr>
            </w:pPr>
            <w:r w:rsidRPr="007175E2">
              <w:rPr>
                <w:rFonts w:ascii="Cambria" w:eastAsia="Batang" w:hAnsi="Cambria"/>
                <w:b/>
                <w:color w:val="000000"/>
              </w:rPr>
              <w:t xml:space="preserve">Facts: </w:t>
            </w:r>
            <w:r w:rsidRPr="007175E2">
              <w:rPr>
                <w:rFonts w:ascii="Cambria" w:eastAsia="Batang" w:hAnsi="Cambria"/>
                <w:bCs/>
                <w:color w:val="000000"/>
              </w:rPr>
              <w:t xml:space="preserve">On August 4, 2003, the Inter-American Commission on Human Rights received a complaint lodged by Frente Mexicano Pro Derechos Humanos, in which they asserted the international responsibility of the United Mexican States for alleged assaults, acts of intimidation, and threats against Ms. María Nicolasa García Reynoso, in reprisal for her work as a human rights defender in Mexico and for the subsequent lack of effective investigation of those acts, particularly given her continual denunciation of commercial sexual exploitation of children in Puerto Vallarta, Jalisco. </w:t>
            </w:r>
          </w:p>
          <w:p w14:paraId="520353BF" w14:textId="77777777" w:rsidR="00F62829" w:rsidRPr="007175E2" w:rsidRDefault="00F62829" w:rsidP="00F024F0">
            <w:pPr>
              <w:tabs>
                <w:tab w:val="left" w:pos="9270"/>
              </w:tabs>
              <w:spacing w:after="0" w:line="240" w:lineRule="auto"/>
              <w:jc w:val="both"/>
              <w:rPr>
                <w:rFonts w:ascii="Cambria" w:eastAsia="Batang" w:hAnsi="Cambria"/>
                <w:b/>
                <w:color w:val="000000"/>
              </w:rPr>
            </w:pPr>
          </w:p>
          <w:p w14:paraId="64B0A8D8" w14:textId="6B11F266" w:rsidR="00F62829" w:rsidRPr="007175E2" w:rsidRDefault="00F62829" w:rsidP="00F024F0">
            <w:pPr>
              <w:tabs>
                <w:tab w:val="left" w:pos="9270"/>
              </w:tabs>
              <w:spacing w:after="0" w:line="240" w:lineRule="auto"/>
              <w:jc w:val="both"/>
              <w:rPr>
                <w:rFonts w:ascii="Cambria" w:eastAsia="Batang" w:hAnsi="Cambria"/>
                <w:color w:val="000000"/>
              </w:rPr>
            </w:pPr>
            <w:r w:rsidRPr="007175E2">
              <w:rPr>
                <w:rFonts w:ascii="Cambria" w:eastAsia="Batang" w:hAnsi="Cambria"/>
                <w:b/>
                <w:color w:val="000000"/>
              </w:rPr>
              <w:t xml:space="preserve">Rights allegedly violated: </w:t>
            </w:r>
            <w:r w:rsidR="008B1EA8" w:rsidRPr="007175E2">
              <w:rPr>
                <w:rFonts w:ascii="Cambria" w:eastAsia="Batang" w:hAnsi="Cambria"/>
                <w:bCs/>
                <w:color w:val="000000"/>
              </w:rPr>
              <w:t>The Commission concluded that it was competent to take up the instant case, that the petition was admissible in relation to articles</w:t>
            </w:r>
            <w:r w:rsidR="008B1EA8" w:rsidRPr="007175E2" w:rsidDel="008B1EA8">
              <w:rPr>
                <w:rFonts w:ascii="Cambria" w:eastAsia="Batang" w:hAnsi="Cambria"/>
                <w:bCs/>
                <w:color w:val="000000"/>
              </w:rPr>
              <w:t xml:space="preserve"> </w:t>
            </w:r>
            <w:r w:rsidRPr="007175E2">
              <w:rPr>
                <w:rFonts w:ascii="Cambria" w:eastAsia="Batang" w:hAnsi="Cambria"/>
                <w:bCs/>
                <w:color w:val="000000"/>
              </w:rPr>
              <w:t>5 (right to humane treatment), 8</w:t>
            </w:r>
            <w:r w:rsidR="008B1EA8" w:rsidRPr="007175E2">
              <w:rPr>
                <w:rFonts w:ascii="Cambria" w:eastAsia="Batang" w:hAnsi="Cambria"/>
                <w:bCs/>
                <w:color w:val="000000"/>
              </w:rPr>
              <w:t>.1</w:t>
            </w:r>
            <w:r w:rsidRPr="007175E2">
              <w:rPr>
                <w:rFonts w:ascii="Cambria" w:eastAsia="Batang" w:hAnsi="Cambria"/>
                <w:bCs/>
                <w:color w:val="000000"/>
              </w:rPr>
              <w:t xml:space="preserve"> (right to a fair trial), and 25 (judicial protection) of the American Convention on Human Rights in relation to the obligations under </w:t>
            </w:r>
            <w:r w:rsidR="009C5BE9" w:rsidRPr="007175E2">
              <w:rPr>
                <w:rFonts w:ascii="Cambria" w:eastAsia="Batang" w:hAnsi="Cambria"/>
                <w:bCs/>
                <w:color w:val="000000"/>
              </w:rPr>
              <w:t xml:space="preserve">article </w:t>
            </w:r>
            <w:r w:rsidRPr="007175E2">
              <w:rPr>
                <w:rFonts w:ascii="Cambria" w:eastAsia="Batang" w:hAnsi="Cambria"/>
                <w:bCs/>
                <w:color w:val="000000"/>
              </w:rPr>
              <w:t>1(1) of that international instrument.</w:t>
            </w:r>
          </w:p>
        </w:tc>
      </w:tr>
    </w:tbl>
    <w:p w14:paraId="05273624" w14:textId="77777777" w:rsidR="00F62829" w:rsidRPr="007175E2" w:rsidRDefault="00F62829" w:rsidP="00F62829">
      <w:pPr>
        <w:spacing w:after="0" w:line="240" w:lineRule="auto"/>
        <w:ind w:left="720"/>
        <w:contextualSpacing/>
        <w:jc w:val="both"/>
        <w:rPr>
          <w:rFonts w:ascii="Cambria" w:eastAsia="Batang" w:hAnsi="Cambria" w:cs="Calibri Light"/>
          <w:b/>
          <w:color w:val="000000"/>
        </w:rPr>
      </w:pPr>
    </w:p>
    <w:p w14:paraId="4C54B07C" w14:textId="77777777" w:rsidR="00F62829" w:rsidRPr="007175E2" w:rsidRDefault="00F62829" w:rsidP="00637AFB">
      <w:pPr>
        <w:numPr>
          <w:ilvl w:val="0"/>
          <w:numId w:val="28"/>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80361BB" w14:textId="77777777" w:rsidR="00F62829" w:rsidRPr="007175E2" w:rsidRDefault="00F62829" w:rsidP="00F62829">
      <w:pPr>
        <w:spacing w:after="0" w:line="240" w:lineRule="auto"/>
        <w:ind w:firstLine="720"/>
        <w:contextualSpacing/>
        <w:jc w:val="both"/>
        <w:rPr>
          <w:rFonts w:ascii="Cambria" w:eastAsia="Batang" w:hAnsi="Cambria" w:cs="Calibri Light"/>
          <w:b/>
          <w:color w:val="000000"/>
        </w:rPr>
      </w:pPr>
    </w:p>
    <w:p w14:paraId="64C93738" w14:textId="53F5EE16" w:rsidR="00F62829" w:rsidRPr="007175E2" w:rsidRDefault="00F62829" w:rsidP="00F62829">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1.</w:t>
      </w:r>
      <w:r w:rsidRPr="007175E2">
        <w:rPr>
          <w:rFonts w:ascii="Cambria" w:eastAsia="Batang" w:hAnsi="Cambria" w:cs="Calibri Light"/>
          <w:color w:val="000000"/>
        </w:rPr>
        <w:tab/>
        <w:t xml:space="preserve">On October 10, 2012, the parties </w:t>
      </w:r>
      <w:r w:rsidR="005E4B03" w:rsidRPr="007175E2">
        <w:rPr>
          <w:rFonts w:ascii="Cambria" w:eastAsia="Batang" w:hAnsi="Cambria" w:cs="Calibri Light"/>
          <w:color w:val="000000"/>
        </w:rPr>
        <w:t>signed</w:t>
      </w:r>
      <w:r w:rsidRPr="007175E2">
        <w:rPr>
          <w:rFonts w:ascii="Cambria" w:eastAsia="Batang" w:hAnsi="Cambria" w:cs="Calibri Light"/>
          <w:color w:val="000000"/>
        </w:rPr>
        <w:t xml:space="preserve"> a friendly settlement</w:t>
      </w:r>
      <w:r w:rsidR="00B40F77" w:rsidRPr="007175E2">
        <w:rPr>
          <w:rFonts w:ascii="Cambria" w:eastAsia="Batang" w:hAnsi="Cambria" w:cs="Calibri Light"/>
          <w:color w:val="000000"/>
        </w:rPr>
        <w:t xml:space="preserve"> agreement</w:t>
      </w:r>
      <w:r w:rsidRPr="007175E2">
        <w:rPr>
          <w:rFonts w:ascii="Cambria" w:eastAsia="Batang" w:hAnsi="Cambria" w:cs="Calibri Light"/>
          <w:color w:val="000000"/>
        </w:rPr>
        <w:t>.</w:t>
      </w:r>
    </w:p>
    <w:p w14:paraId="16585BF4" w14:textId="77777777" w:rsidR="00F62829" w:rsidRPr="007175E2" w:rsidRDefault="00F62829" w:rsidP="00F62829">
      <w:pPr>
        <w:spacing w:after="0" w:line="240" w:lineRule="auto"/>
        <w:ind w:firstLine="709"/>
        <w:contextualSpacing/>
        <w:jc w:val="both"/>
        <w:rPr>
          <w:rFonts w:ascii="Cambria" w:eastAsia="Batang" w:hAnsi="Cambria" w:cs="Calibri Light"/>
          <w:color w:val="000000"/>
        </w:rPr>
      </w:pPr>
    </w:p>
    <w:p w14:paraId="441F27A5" w14:textId="77777777" w:rsidR="00E52E07" w:rsidRDefault="00F62829" w:rsidP="00E52E07">
      <w:pPr>
        <w:spacing w:after="0" w:line="240" w:lineRule="auto"/>
        <w:ind w:firstLine="709"/>
        <w:contextualSpacing/>
        <w:jc w:val="both"/>
        <w:rPr>
          <w:rFonts w:ascii="Cambria" w:eastAsia="Batang" w:hAnsi="Cambria" w:cs="Calibri Light"/>
          <w:color w:val="000000"/>
        </w:rPr>
      </w:pPr>
      <w:r w:rsidRPr="007175E2">
        <w:rPr>
          <w:rFonts w:ascii="Cambria" w:eastAsia="Batang" w:hAnsi="Cambria" w:cs="Calibri Light"/>
          <w:color w:val="000000"/>
        </w:rPr>
        <w:t>2.</w:t>
      </w:r>
      <w:r w:rsidRPr="007175E2">
        <w:rPr>
          <w:rFonts w:ascii="Cambria" w:eastAsia="Batang" w:hAnsi="Cambria" w:cs="Calibri Light"/>
          <w:color w:val="000000"/>
        </w:rPr>
        <w:tab/>
        <w:t>On July 7, 2017, the Commission approved the agreement signed by the parties, by means of Report No.92/17.</w:t>
      </w:r>
    </w:p>
    <w:p w14:paraId="204E570E" w14:textId="21462CB3" w:rsidR="00E52E07" w:rsidRDefault="00E52E07" w:rsidP="00E52E07">
      <w:pPr>
        <w:spacing w:after="0" w:line="240" w:lineRule="auto"/>
        <w:ind w:firstLine="709"/>
        <w:contextualSpacing/>
        <w:jc w:val="both"/>
        <w:rPr>
          <w:rFonts w:ascii="Cambria" w:eastAsia="Batang" w:hAnsi="Cambria" w:cs="Calibri Light"/>
          <w:color w:val="000000"/>
        </w:rPr>
      </w:pPr>
    </w:p>
    <w:p w14:paraId="1C2DA2E0" w14:textId="1DCE28AB" w:rsidR="00E52E07" w:rsidRDefault="00E52E07" w:rsidP="00E52E07">
      <w:pPr>
        <w:spacing w:after="0" w:line="240" w:lineRule="auto"/>
        <w:ind w:firstLine="709"/>
        <w:contextualSpacing/>
        <w:jc w:val="both"/>
        <w:rPr>
          <w:rFonts w:ascii="Cambria" w:eastAsia="Batang" w:hAnsi="Cambria" w:cs="Calibri Light"/>
          <w:color w:val="000000"/>
        </w:rPr>
      </w:pPr>
    </w:p>
    <w:p w14:paraId="08FAF1EE" w14:textId="1E1FE7B8" w:rsidR="00E52E07" w:rsidRDefault="00E52E07" w:rsidP="00E52E07">
      <w:pPr>
        <w:spacing w:after="0" w:line="240" w:lineRule="auto"/>
        <w:ind w:firstLine="709"/>
        <w:contextualSpacing/>
        <w:jc w:val="both"/>
        <w:rPr>
          <w:rFonts w:ascii="Cambria" w:eastAsia="Batang" w:hAnsi="Cambria" w:cs="Calibri Light"/>
          <w:color w:val="000000"/>
        </w:rPr>
      </w:pPr>
    </w:p>
    <w:p w14:paraId="4909306C" w14:textId="00936A04" w:rsidR="00E52E07" w:rsidRDefault="00E52E07" w:rsidP="00E52E07">
      <w:pPr>
        <w:spacing w:after="0" w:line="240" w:lineRule="auto"/>
        <w:ind w:firstLine="709"/>
        <w:contextualSpacing/>
        <w:jc w:val="both"/>
        <w:rPr>
          <w:rFonts w:ascii="Cambria" w:eastAsia="Batang" w:hAnsi="Cambria" w:cs="Calibri Light"/>
          <w:color w:val="000000"/>
        </w:rPr>
      </w:pPr>
    </w:p>
    <w:p w14:paraId="3256D992" w14:textId="48E57FC5" w:rsidR="00E52E07" w:rsidRDefault="00E52E07" w:rsidP="00E52E07">
      <w:pPr>
        <w:spacing w:after="0" w:line="240" w:lineRule="auto"/>
        <w:ind w:firstLine="709"/>
        <w:contextualSpacing/>
        <w:jc w:val="both"/>
        <w:rPr>
          <w:rFonts w:ascii="Cambria" w:eastAsia="Batang" w:hAnsi="Cambria" w:cs="Calibri Light"/>
          <w:color w:val="000000"/>
        </w:rPr>
      </w:pPr>
    </w:p>
    <w:p w14:paraId="276383B8" w14:textId="2FC0EF3B" w:rsidR="00E52E07" w:rsidRDefault="00E52E07" w:rsidP="00E52E07">
      <w:pPr>
        <w:spacing w:after="0" w:line="240" w:lineRule="auto"/>
        <w:ind w:firstLine="709"/>
        <w:contextualSpacing/>
        <w:jc w:val="both"/>
        <w:rPr>
          <w:rFonts w:ascii="Cambria" w:eastAsia="Batang" w:hAnsi="Cambria" w:cs="Calibri Light"/>
          <w:color w:val="000000"/>
        </w:rPr>
      </w:pPr>
    </w:p>
    <w:p w14:paraId="17A6658E" w14:textId="77777777" w:rsidR="00E52E07" w:rsidRDefault="00E52E07" w:rsidP="00E52E07">
      <w:pPr>
        <w:spacing w:after="0" w:line="240" w:lineRule="auto"/>
        <w:ind w:firstLine="709"/>
        <w:contextualSpacing/>
        <w:jc w:val="both"/>
        <w:rPr>
          <w:rFonts w:ascii="Cambria" w:eastAsia="Batang" w:hAnsi="Cambria" w:cs="Calibri Light"/>
          <w:color w:val="000000"/>
        </w:rPr>
      </w:pPr>
    </w:p>
    <w:p w14:paraId="7802130A" w14:textId="205B51C6" w:rsidR="00F62829" w:rsidRPr="00E52E07" w:rsidRDefault="00F62829" w:rsidP="00E52E07">
      <w:pPr>
        <w:pStyle w:val="ListParagraph"/>
        <w:numPr>
          <w:ilvl w:val="0"/>
          <w:numId w:val="28"/>
        </w:numPr>
        <w:spacing w:after="0" w:line="240" w:lineRule="auto"/>
        <w:ind w:left="0" w:firstLine="720"/>
        <w:jc w:val="both"/>
        <w:rPr>
          <w:rFonts w:ascii="Cambria" w:eastAsia="Batang" w:hAnsi="Cambria" w:cs="Calibri Light"/>
          <w:b/>
          <w:color w:val="000000"/>
        </w:rPr>
      </w:pPr>
      <w:r w:rsidRPr="00E52E07">
        <w:rPr>
          <w:rFonts w:ascii="Cambria" w:eastAsia="Batang" w:hAnsi="Cambria" w:cs="Calibri Light"/>
          <w:b/>
          <w:color w:val="000000"/>
        </w:rPr>
        <w:lastRenderedPageBreak/>
        <w:t xml:space="preserve">ANALYSIS OF COMPLIANCE WITH THE CLAUSES OF THE FRIENDLY SETTLEMENT </w:t>
      </w:r>
    </w:p>
    <w:p w14:paraId="02A16F9B" w14:textId="77777777" w:rsidR="00F62829" w:rsidRPr="007175E2" w:rsidRDefault="00F62829" w:rsidP="00F62829">
      <w:pPr>
        <w:spacing w:after="0" w:line="240" w:lineRule="auto"/>
        <w:ind w:left="720"/>
        <w:contextualSpacing/>
        <w:jc w:val="both"/>
        <w:rPr>
          <w:rFonts w:ascii="Cambria" w:eastAsia="Batang" w:hAnsi="Cambria" w:cs="Calibri Light"/>
          <w:b/>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F62829" w:rsidRPr="007175E2" w14:paraId="47EE2C7F"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34249" w14:textId="77777777" w:rsidR="00F62829" w:rsidRPr="007175E2" w:rsidRDefault="00F62829" w:rsidP="00F024F0">
            <w:pPr>
              <w:tabs>
                <w:tab w:val="center" w:pos="2049"/>
              </w:tabs>
              <w:spacing w:after="0" w:line="240" w:lineRule="auto"/>
              <w:jc w:val="center"/>
              <w:rPr>
                <w:rFonts w:ascii="Cambria" w:eastAsia="Batang" w:hAnsi="Cambria"/>
                <w:b/>
                <w:color w:val="000000"/>
              </w:rPr>
            </w:pPr>
            <w:r w:rsidRPr="007175E2">
              <w:rPr>
                <w:rFonts w:ascii="Cambria" w:eastAsia="Batang" w:hAnsi="Cambria"/>
                <w:b/>
                <w:color w:val="00000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2AE1B" w14:textId="77777777" w:rsidR="00F62829" w:rsidRPr="007175E2" w:rsidRDefault="00F62829" w:rsidP="00F024F0">
            <w:pPr>
              <w:spacing w:after="0" w:line="240" w:lineRule="auto"/>
              <w:jc w:val="center"/>
              <w:rPr>
                <w:rFonts w:ascii="Cambria" w:eastAsia="Batang" w:hAnsi="Cambria"/>
                <w:b/>
                <w:color w:val="000000"/>
              </w:rPr>
            </w:pPr>
            <w:r w:rsidRPr="007175E2">
              <w:rPr>
                <w:rFonts w:ascii="Cambria" w:eastAsia="Batang" w:hAnsi="Cambria"/>
                <w:b/>
                <w:color w:val="000000"/>
              </w:rPr>
              <w:t xml:space="preserve">Status of Implementation </w:t>
            </w:r>
          </w:p>
        </w:tc>
      </w:tr>
      <w:tr w:rsidR="00F62829" w:rsidRPr="007175E2" w14:paraId="5725006C" w14:textId="77777777" w:rsidTr="00655003">
        <w:trPr>
          <w:trHeight w:val="169"/>
          <w:jc w:val="center"/>
        </w:trPr>
        <w:tc>
          <w:tcPr>
            <w:tcW w:w="9356" w:type="dxa"/>
            <w:gridSpan w:val="2"/>
            <w:tcBorders>
              <w:top w:val="single" w:sz="4" w:space="0" w:color="auto"/>
              <w:left w:val="single" w:sz="4" w:space="0" w:color="auto"/>
              <w:bottom w:val="single" w:sz="4" w:space="0" w:color="auto"/>
              <w:right w:val="single" w:sz="4" w:space="0" w:color="auto"/>
            </w:tcBorders>
          </w:tcPr>
          <w:p w14:paraId="172DE7DE" w14:textId="77777777" w:rsidR="00F62829" w:rsidRPr="007175E2" w:rsidRDefault="00F62829" w:rsidP="00F024F0">
            <w:pPr>
              <w:spacing w:after="0" w:line="240" w:lineRule="auto"/>
              <w:rPr>
                <w:rFonts w:ascii="Cambria" w:eastAsia="MS Mincho" w:hAnsi="Cambria"/>
                <w:lang w:eastAsia="es-ES_tradnl"/>
              </w:rPr>
            </w:pPr>
            <w:r w:rsidRPr="007175E2">
              <w:rPr>
                <w:rFonts w:ascii="Cambria" w:eastAsia="MS Mincho" w:hAnsi="Cambria"/>
                <w:b/>
                <w:bCs/>
                <w:lang w:eastAsia="es-ES_tradnl"/>
              </w:rPr>
              <w:t>VI.</w:t>
            </w:r>
            <w:r w:rsidRPr="007175E2">
              <w:rPr>
                <w:rFonts w:ascii="Cambria" w:eastAsia="MS Mincho" w:hAnsi="Cambria"/>
                <w:bCs/>
                <w:lang w:eastAsia="es-ES_tradnl"/>
              </w:rPr>
              <w:t xml:space="preserve"> </w:t>
            </w:r>
            <w:r w:rsidRPr="007175E2">
              <w:rPr>
                <w:rFonts w:ascii="Cambria" w:eastAsia="MS Mincho" w:hAnsi="Cambria"/>
                <w:b/>
                <w:bCs/>
                <w:lang w:eastAsia="es-ES_tradnl"/>
              </w:rPr>
              <w:t>COMPREHENSIVE REPARATION FOR HARM DONE</w:t>
            </w:r>
          </w:p>
        </w:tc>
      </w:tr>
      <w:tr w:rsidR="00F62829" w:rsidRPr="007175E2" w14:paraId="3540C9E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418E01BB" w14:textId="77777777" w:rsidR="00F62829" w:rsidRPr="007175E2" w:rsidRDefault="00F62829" w:rsidP="00F024F0">
            <w:pPr>
              <w:spacing w:after="0" w:line="240" w:lineRule="auto"/>
              <w:jc w:val="both"/>
              <w:rPr>
                <w:rFonts w:ascii="Cambria" w:eastAsia="MS Mincho" w:hAnsi="Cambria"/>
                <w:lang w:eastAsia="es-ES_tradnl"/>
              </w:rPr>
            </w:pPr>
            <w:r w:rsidRPr="007175E2">
              <w:rPr>
                <w:rFonts w:ascii="Cambria" w:eastAsia="MS Mincho" w:hAnsi="Cambria"/>
                <w:b/>
                <w:lang w:eastAsia="es-ES_tradnl"/>
              </w:rPr>
              <w:t>VII.1 Compensation for damages</w:t>
            </w:r>
            <w:r w:rsidRPr="007175E2">
              <w:rPr>
                <w:rFonts w:ascii="Cambria" w:eastAsia="MS Mincho" w:hAnsi="Cambria"/>
                <w:lang w:eastAsia="es-ES_tradnl"/>
              </w:rPr>
              <w:t xml:space="preserve"> </w:t>
            </w:r>
          </w:p>
          <w:p w14:paraId="7FE53C3F" w14:textId="77777777" w:rsidR="00F62829" w:rsidRPr="007175E2" w:rsidRDefault="00F62829" w:rsidP="00F024F0">
            <w:pPr>
              <w:spacing w:after="0" w:line="240" w:lineRule="auto"/>
              <w:jc w:val="both"/>
              <w:rPr>
                <w:rFonts w:ascii="Cambria" w:eastAsia="MS Mincho" w:hAnsi="Cambria"/>
                <w:lang w:eastAsia="es-ES_tradnl"/>
              </w:rPr>
            </w:pPr>
            <w:r w:rsidRPr="007175E2">
              <w:rPr>
                <w:rFonts w:ascii="Cambria" w:eastAsia="MS Mincho" w:hAnsi="Cambria"/>
                <w:b/>
                <w:lang w:eastAsia="es-ES_tradnl"/>
              </w:rPr>
              <w:t>FIRST.</w:t>
            </w:r>
            <w:r w:rsidRPr="007175E2">
              <w:rPr>
                <w:rFonts w:ascii="Cambria" w:eastAsia="MS Mincho" w:hAnsi="Cambria"/>
                <w:lang w:eastAsia="es-ES_tradnl"/>
              </w:rPr>
              <w:t xml:space="preserve"> Based on case law of the inter-American system for the protection of human rights, the Mexican State will hand over the sum of $465,400.00 (four hundred and sixty-five thousand four hundred Mexican pesos) as comprehensive reparation for harm done. </w:t>
            </w:r>
          </w:p>
          <w:p w14:paraId="18452A82" w14:textId="77777777" w:rsidR="00F62829" w:rsidRPr="007175E2" w:rsidRDefault="00F62829" w:rsidP="00F024F0">
            <w:pPr>
              <w:spacing w:after="0" w:line="240" w:lineRule="auto"/>
              <w:ind w:right="72"/>
              <w:jc w:val="both"/>
              <w:rPr>
                <w:rFonts w:ascii="Cambria" w:hAnsi="Cambria"/>
                <w:bCs/>
                <w:color w:val="000000"/>
                <w:kern w:val="36"/>
              </w:rPr>
            </w:pPr>
            <w:r w:rsidRPr="007175E2">
              <w:rPr>
                <w:rFonts w:ascii="Cambria" w:eastAsia="MS Mincho" w:hAnsi="Cambria"/>
                <w:b/>
                <w:lang w:eastAsia="es-ES_tradnl"/>
              </w:rPr>
              <w:t>SECOND.</w:t>
            </w:r>
            <w:r w:rsidRPr="007175E2">
              <w:rPr>
                <w:rFonts w:ascii="Cambria" w:eastAsia="MS Mincho" w:hAnsi="Cambria"/>
                <w:lang w:eastAsia="es-ES_tradnl"/>
              </w:rPr>
              <w:t xml:space="preserve"> The compensation amounts owed to the victim will be paid by the Mexican State within 30 business days of the signature of the present Agreement through the Unit for the Promotion and Defense of Human Rights of the Secretariat of the Governance.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7C8D2D" w14:textId="77777777" w:rsidR="00F62829" w:rsidRPr="007175E2" w:rsidRDefault="00F62829" w:rsidP="00F024F0">
            <w:pPr>
              <w:spacing w:after="0" w:line="240" w:lineRule="auto"/>
              <w:jc w:val="center"/>
              <w:rPr>
                <w:rFonts w:ascii="Cambria" w:eastAsia="Batang" w:hAnsi="Cambria"/>
                <w:b/>
                <w:bCs/>
                <w:color w:val="000000"/>
              </w:rPr>
            </w:pPr>
            <w:r w:rsidRPr="007175E2">
              <w:rPr>
                <w:rFonts w:ascii="Cambria" w:hAnsi="Cambria"/>
                <w:b/>
              </w:rPr>
              <w:t>Total</w:t>
            </w:r>
            <w:r w:rsidRPr="007175E2">
              <w:rPr>
                <w:rFonts w:ascii="Cambria" w:eastAsia="MS Mincho" w:hAnsi="Cambria"/>
                <w:vertAlign w:val="superscript"/>
                <w:lang w:eastAsia="es-ES_tradnl"/>
              </w:rPr>
              <w:footnoteReference w:id="1"/>
            </w:r>
          </w:p>
        </w:tc>
      </w:tr>
      <w:tr w:rsidR="00F62829" w:rsidRPr="007175E2" w14:paraId="3A4B1C2B" w14:textId="77777777" w:rsidTr="00655003">
        <w:trPr>
          <w:trHeight w:val="73"/>
          <w:jc w:val="center"/>
        </w:trPr>
        <w:tc>
          <w:tcPr>
            <w:tcW w:w="9356" w:type="dxa"/>
            <w:gridSpan w:val="2"/>
            <w:tcBorders>
              <w:top w:val="single" w:sz="4" w:space="0" w:color="auto"/>
              <w:left w:val="single" w:sz="4" w:space="0" w:color="auto"/>
              <w:bottom w:val="single" w:sz="4" w:space="0" w:color="auto"/>
              <w:right w:val="single" w:sz="4" w:space="0" w:color="auto"/>
            </w:tcBorders>
          </w:tcPr>
          <w:p w14:paraId="118F1CA8" w14:textId="77777777" w:rsidR="00F62829" w:rsidRPr="007175E2" w:rsidRDefault="00F62829" w:rsidP="00F024F0">
            <w:pPr>
              <w:spacing w:after="0" w:line="240" w:lineRule="auto"/>
              <w:rPr>
                <w:rFonts w:ascii="Cambria" w:eastAsia="Batang" w:hAnsi="Cambria"/>
                <w:b/>
                <w:color w:val="000000"/>
              </w:rPr>
            </w:pPr>
            <w:r w:rsidRPr="007175E2">
              <w:rPr>
                <w:rFonts w:ascii="Cambria" w:eastAsia="MS Mincho" w:hAnsi="Cambria"/>
                <w:b/>
                <w:lang w:eastAsia="es-ES_tradnl"/>
              </w:rPr>
              <w:t>VIII.2 Measures of satisfaction/apology and guarantees of non-repetition</w:t>
            </w:r>
          </w:p>
        </w:tc>
      </w:tr>
      <w:tr w:rsidR="00F62829" w:rsidRPr="007175E2" w14:paraId="6977CC17" w14:textId="77777777" w:rsidTr="00655003">
        <w:trPr>
          <w:trHeight w:val="73"/>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6E846DDE" w14:textId="77777777" w:rsidR="00F62829" w:rsidRPr="007175E2" w:rsidRDefault="00F62829" w:rsidP="00F024F0">
            <w:pPr>
              <w:spacing w:after="0" w:line="240" w:lineRule="auto"/>
              <w:rPr>
                <w:rFonts w:ascii="Cambria" w:eastAsia="MS Mincho" w:hAnsi="Cambria"/>
                <w:b/>
                <w:lang w:eastAsia="es-ES_tradnl"/>
              </w:rPr>
            </w:pPr>
            <w:r w:rsidRPr="007175E2">
              <w:rPr>
                <w:rFonts w:ascii="Cambria" w:eastAsia="MS Mincho" w:hAnsi="Cambria"/>
                <w:b/>
                <w:lang w:eastAsia="es-ES_tradnl"/>
              </w:rPr>
              <w:t>VIII.2.1 Investigation of the facts of the case and punishment of those responsible</w:t>
            </w:r>
          </w:p>
        </w:tc>
      </w:tr>
      <w:tr w:rsidR="00F62829" w:rsidRPr="007175E2" w14:paraId="6C6B7495"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33DD84AB" w14:textId="77777777" w:rsidR="00F62829" w:rsidRPr="007175E2" w:rsidRDefault="00F62829" w:rsidP="00F024F0">
            <w:pPr>
              <w:spacing w:after="0" w:line="240" w:lineRule="auto"/>
              <w:ind w:right="72"/>
              <w:jc w:val="both"/>
              <w:rPr>
                <w:rFonts w:ascii="Cambria" w:eastAsia="Times New Roman" w:hAnsi="Cambria"/>
                <w:bCs/>
              </w:rPr>
            </w:pPr>
            <w:r w:rsidRPr="007175E2">
              <w:rPr>
                <w:rFonts w:ascii="Cambria" w:hAnsi="Cambria"/>
                <w:b/>
              </w:rPr>
              <w:t>FIRST.</w:t>
            </w:r>
            <w:r w:rsidRPr="007175E2">
              <w:rPr>
                <w:rFonts w:ascii="Cambria" w:hAnsi="Cambria"/>
              </w:rPr>
              <w:t xml:space="preserve"> The Office of the Attorney General of the Republic, through the Unit Specializing in Terrorism and the Stockpiling of, and Trafficking in, Firearms, commits to keeping the investigation open in the AC/PGR/SIEDO/UEITA/131/20D7, and to continue pursuing any lines that result from it, on account of the possible commission of federal offenses: an investigation that it has conducted diligently and that it will continue in a prompt and expeditious manner, till the matter is resolved in accordance with law.</w:t>
            </w:r>
          </w:p>
        </w:tc>
        <w:tc>
          <w:tcPr>
            <w:tcW w:w="1985" w:type="dxa"/>
            <w:tcBorders>
              <w:top w:val="single" w:sz="4" w:space="0" w:color="auto"/>
              <w:left w:val="single" w:sz="4" w:space="0" w:color="auto"/>
              <w:bottom w:val="single" w:sz="4" w:space="0" w:color="auto"/>
              <w:right w:val="single" w:sz="4" w:space="0" w:color="auto"/>
            </w:tcBorders>
            <w:vAlign w:val="center"/>
          </w:tcPr>
          <w:p w14:paraId="543766B1" w14:textId="77777777" w:rsidR="00F62829" w:rsidRPr="007175E2" w:rsidRDefault="00F62829"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vertAlign w:val="superscript"/>
                <w:lang w:eastAsia="es-ES_tradnl"/>
              </w:rPr>
              <w:footnoteReference w:id="2"/>
            </w:r>
          </w:p>
        </w:tc>
      </w:tr>
      <w:tr w:rsidR="00F62829" w:rsidRPr="007175E2" w14:paraId="75A173D0"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716461A0" w14:textId="77777777" w:rsidR="00F62829" w:rsidRPr="007175E2" w:rsidRDefault="00F62829" w:rsidP="00F024F0">
            <w:pPr>
              <w:spacing w:after="0" w:line="240" w:lineRule="auto"/>
              <w:ind w:right="72"/>
              <w:jc w:val="both"/>
              <w:rPr>
                <w:rFonts w:ascii="Cambria" w:eastAsia="Times New Roman" w:hAnsi="Cambria"/>
                <w:bCs/>
              </w:rPr>
            </w:pPr>
            <w:r w:rsidRPr="007175E2">
              <w:rPr>
                <w:rFonts w:ascii="Cambria" w:hAnsi="Cambria"/>
                <w:b/>
              </w:rPr>
              <w:t>SECOND.</w:t>
            </w:r>
            <w:r w:rsidRPr="007175E2">
              <w:rPr>
                <w:rFonts w:ascii="Cambria" w:hAnsi="Cambria"/>
              </w:rPr>
              <w:t xml:space="preserve"> The Unit Specializing in Terrorism and the Stockpiling of, and Trafficking in, Firearms (UEITA) will continue to provide </w:t>
            </w:r>
            <w:r w:rsidRPr="007175E2">
              <w:rPr>
                <w:rFonts w:ascii="Cambria" w:hAnsi="Cambria"/>
                <w:b/>
              </w:rPr>
              <w:t>escort and protection services to Ms. María Nicolasa García Reynoso</w:t>
            </w:r>
            <w:r w:rsidRPr="007175E2">
              <w:rPr>
                <w:rFonts w:ascii="Cambria" w:hAnsi="Cambria"/>
              </w:rPr>
              <w:t>, on the understanding that this service may be withdrawn only once the Mechanism envisaged in the Law for the Protection of Human Rights Defenders and Journalists is up and running and providing protection services to Ms. García Reynoso in her capacity as a human rights defender.</w:t>
            </w:r>
          </w:p>
        </w:tc>
        <w:tc>
          <w:tcPr>
            <w:tcW w:w="1985" w:type="dxa"/>
            <w:tcBorders>
              <w:top w:val="single" w:sz="4" w:space="0" w:color="auto"/>
              <w:left w:val="single" w:sz="4" w:space="0" w:color="auto"/>
              <w:bottom w:val="single" w:sz="4" w:space="0" w:color="auto"/>
              <w:right w:val="single" w:sz="4" w:space="0" w:color="auto"/>
            </w:tcBorders>
            <w:vAlign w:val="center"/>
          </w:tcPr>
          <w:p w14:paraId="33022DBD" w14:textId="77777777" w:rsidR="00F62829" w:rsidRPr="007175E2" w:rsidRDefault="00F62829" w:rsidP="00F024F0">
            <w:pPr>
              <w:spacing w:after="0" w:line="240" w:lineRule="auto"/>
              <w:jc w:val="center"/>
              <w:rPr>
                <w:rFonts w:ascii="Cambria" w:hAnsi="Cambria"/>
                <w:b/>
                <w:color w:val="000000"/>
              </w:rPr>
            </w:pPr>
            <w:r w:rsidRPr="007175E2">
              <w:rPr>
                <w:rFonts w:ascii="Cambria" w:hAnsi="Cambria"/>
                <w:b/>
              </w:rPr>
              <w:t>Total</w:t>
            </w:r>
            <w:r w:rsidRPr="007175E2">
              <w:rPr>
                <w:rFonts w:ascii="Cambria" w:eastAsia="MS Mincho" w:hAnsi="Cambria"/>
                <w:vertAlign w:val="superscript"/>
                <w:lang w:eastAsia="es-ES_tradnl"/>
              </w:rPr>
              <w:footnoteReference w:id="3"/>
            </w:r>
          </w:p>
        </w:tc>
      </w:tr>
      <w:tr w:rsidR="00F62829" w:rsidRPr="007175E2" w14:paraId="50CCA6FD" w14:textId="77777777" w:rsidTr="00655003">
        <w:trPr>
          <w:trHeight w:val="64"/>
          <w:jc w:val="center"/>
        </w:trPr>
        <w:tc>
          <w:tcPr>
            <w:tcW w:w="7371" w:type="dxa"/>
            <w:tcBorders>
              <w:top w:val="single" w:sz="4" w:space="0" w:color="auto"/>
              <w:left w:val="single" w:sz="4" w:space="0" w:color="auto"/>
              <w:bottom w:val="single" w:sz="4" w:space="0" w:color="auto"/>
              <w:right w:val="single" w:sz="4" w:space="0" w:color="auto"/>
            </w:tcBorders>
          </w:tcPr>
          <w:p w14:paraId="4DE4EFB1" w14:textId="77777777" w:rsidR="00F62829" w:rsidRPr="007175E2" w:rsidRDefault="00F62829" w:rsidP="00F024F0">
            <w:pPr>
              <w:spacing w:after="0" w:line="240" w:lineRule="auto"/>
              <w:ind w:right="72"/>
              <w:jc w:val="both"/>
              <w:rPr>
                <w:rFonts w:ascii="Cambria" w:eastAsia="Times New Roman" w:hAnsi="Cambria"/>
                <w:bCs/>
              </w:rPr>
            </w:pPr>
            <w:r w:rsidRPr="007175E2">
              <w:rPr>
                <w:rFonts w:ascii="Cambria" w:hAnsi="Cambria"/>
                <w:b/>
              </w:rPr>
              <w:t>THIRD.</w:t>
            </w:r>
            <w:r w:rsidRPr="007175E2">
              <w:rPr>
                <w:rFonts w:ascii="Cambria" w:hAnsi="Cambria"/>
              </w:rPr>
              <w:t xml:space="preserve"> The Unit for the Promotion and Defense of Human Rights of the Secretariat of the Governance commits to making all arrangement needed, once the Mechanism mentioned in the foregoing clause is operating, to have Ms. María Nicolasa García Reynoso covered by it in light of the risk to which she is exposed as a human rights defender; accordingly, she will be granted such prevention and/or protection measures as are needed to protect her life and integrity, in accordance with the provisions of the Law for the Protection of Human Rights Defenders and Journalists.</w:t>
            </w:r>
          </w:p>
        </w:tc>
        <w:tc>
          <w:tcPr>
            <w:tcW w:w="1985" w:type="dxa"/>
            <w:tcBorders>
              <w:top w:val="single" w:sz="4" w:space="0" w:color="auto"/>
              <w:left w:val="single" w:sz="4" w:space="0" w:color="auto"/>
              <w:bottom w:val="single" w:sz="4" w:space="0" w:color="auto"/>
              <w:right w:val="single" w:sz="4" w:space="0" w:color="auto"/>
            </w:tcBorders>
            <w:vAlign w:val="center"/>
          </w:tcPr>
          <w:p w14:paraId="62CC4053" w14:textId="77777777" w:rsidR="00F62829" w:rsidRPr="007175E2" w:rsidRDefault="00F62829" w:rsidP="00F024F0">
            <w:pPr>
              <w:spacing w:after="0" w:line="240" w:lineRule="auto"/>
              <w:jc w:val="center"/>
              <w:rPr>
                <w:rFonts w:ascii="Cambria" w:hAnsi="Cambria"/>
                <w:b/>
                <w:color w:val="000000"/>
              </w:rPr>
            </w:pPr>
            <w:r w:rsidRPr="007175E2">
              <w:rPr>
                <w:rFonts w:ascii="Cambria" w:hAnsi="Cambria"/>
                <w:b/>
              </w:rPr>
              <w:t>Total</w:t>
            </w:r>
            <w:r w:rsidRPr="007175E2">
              <w:rPr>
                <w:rStyle w:val="FootnoteReference"/>
                <w:rFonts w:ascii="Cambria" w:eastAsia="MS Mincho" w:hAnsi="Cambria"/>
                <w:b/>
                <w:lang w:eastAsia="es-ES_tradnl"/>
              </w:rPr>
              <w:footnoteReference w:id="4"/>
            </w:r>
          </w:p>
        </w:tc>
      </w:tr>
    </w:tbl>
    <w:p w14:paraId="562F14E5" w14:textId="6592B820" w:rsidR="00F62829" w:rsidRDefault="00F62829" w:rsidP="00F62829">
      <w:pPr>
        <w:spacing w:after="0" w:line="240" w:lineRule="auto"/>
        <w:contextualSpacing/>
        <w:jc w:val="both"/>
        <w:rPr>
          <w:rFonts w:ascii="Cambria" w:eastAsia="Batang" w:hAnsi="Cambria" w:cs="Calibri Light"/>
          <w:b/>
          <w:color w:val="000000"/>
        </w:rPr>
      </w:pPr>
    </w:p>
    <w:p w14:paraId="48AE7EAA" w14:textId="693E0DD5" w:rsidR="00E52E07" w:rsidRDefault="00E52E07" w:rsidP="00F62829">
      <w:pPr>
        <w:spacing w:after="0" w:line="240" w:lineRule="auto"/>
        <w:contextualSpacing/>
        <w:jc w:val="both"/>
        <w:rPr>
          <w:rFonts w:ascii="Cambria" w:eastAsia="Batang" w:hAnsi="Cambria" w:cs="Calibri Light"/>
          <w:b/>
          <w:color w:val="000000"/>
        </w:rPr>
      </w:pPr>
    </w:p>
    <w:p w14:paraId="0CA58890" w14:textId="77777777" w:rsidR="00E52E07" w:rsidRPr="007175E2" w:rsidRDefault="00E52E07" w:rsidP="00F62829">
      <w:pPr>
        <w:spacing w:after="0" w:line="240" w:lineRule="auto"/>
        <w:contextualSpacing/>
        <w:jc w:val="both"/>
        <w:rPr>
          <w:rFonts w:ascii="Cambria" w:eastAsia="Batang" w:hAnsi="Cambria" w:cs="Calibri Light"/>
          <w:b/>
          <w:color w:val="000000"/>
        </w:rPr>
      </w:pPr>
    </w:p>
    <w:p w14:paraId="56B19C08" w14:textId="77777777" w:rsidR="00AC2C8E" w:rsidRPr="007175E2" w:rsidRDefault="00AC2C8E" w:rsidP="00473C6A">
      <w:pPr>
        <w:numPr>
          <w:ilvl w:val="0"/>
          <w:numId w:val="28"/>
        </w:numPr>
        <w:tabs>
          <w:tab w:val="left" w:pos="720"/>
        </w:tabs>
        <w:autoSpaceDE w:val="0"/>
        <w:autoSpaceDN w:val="0"/>
        <w:adjustRightInd w:val="0"/>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LEVEL OF COMPLIANCE OF THE CASE </w:t>
      </w:r>
    </w:p>
    <w:p w14:paraId="76BBBCDD" w14:textId="77777777" w:rsidR="00AC2C8E" w:rsidRPr="007175E2" w:rsidRDefault="00AC2C8E" w:rsidP="00473C6A">
      <w:pPr>
        <w:tabs>
          <w:tab w:val="left" w:pos="720"/>
        </w:tabs>
        <w:autoSpaceDE w:val="0"/>
        <w:autoSpaceDN w:val="0"/>
        <w:adjustRightInd w:val="0"/>
        <w:spacing w:after="0" w:line="240" w:lineRule="auto"/>
        <w:ind w:firstLine="720"/>
        <w:jc w:val="both"/>
        <w:rPr>
          <w:rFonts w:ascii="Cambria" w:eastAsia="Batang" w:hAnsi="Cambria"/>
          <w:color w:val="000000"/>
        </w:rPr>
      </w:pPr>
    </w:p>
    <w:p w14:paraId="1B4961F3" w14:textId="71E1C5A6" w:rsidR="00AC2C8E" w:rsidRPr="00473C6A" w:rsidRDefault="00AC2C8E" w:rsidP="00473C6A">
      <w:pPr>
        <w:pStyle w:val="ListParagraph"/>
        <w:numPr>
          <w:ilvl w:val="0"/>
          <w:numId w:val="40"/>
        </w:numPr>
        <w:autoSpaceDE w:val="0"/>
        <w:autoSpaceDN w:val="0"/>
        <w:adjustRightInd w:val="0"/>
        <w:spacing w:after="0" w:line="240" w:lineRule="auto"/>
        <w:ind w:left="0" w:firstLine="720"/>
        <w:jc w:val="both"/>
        <w:rPr>
          <w:rFonts w:ascii="Cambria" w:eastAsia="Batang" w:hAnsi="Cambria" w:cs="Calibri Light"/>
          <w:b/>
          <w:color w:val="080808"/>
        </w:rPr>
      </w:pPr>
      <w:r w:rsidRPr="00473C6A">
        <w:rPr>
          <w:rFonts w:ascii="Cambria" w:hAnsi="Cambria"/>
          <w:color w:val="080808"/>
        </w:rPr>
        <w:t>The Commission declared full compliance with the case and the ceasing of the follow-up of the friendly settlement agreement in the 2021 Annual Report.</w:t>
      </w:r>
    </w:p>
    <w:p w14:paraId="693F5DE6" w14:textId="77777777" w:rsidR="00AC2C8E" w:rsidRPr="007175E2" w:rsidRDefault="00AC2C8E" w:rsidP="00473C6A">
      <w:pPr>
        <w:pStyle w:val="ListParagraph"/>
        <w:autoSpaceDE w:val="0"/>
        <w:autoSpaceDN w:val="0"/>
        <w:adjustRightInd w:val="0"/>
        <w:spacing w:after="0" w:line="240" w:lineRule="auto"/>
        <w:ind w:left="0" w:firstLine="720"/>
        <w:jc w:val="both"/>
        <w:rPr>
          <w:rFonts w:ascii="Cambria" w:eastAsia="Batang" w:hAnsi="Cambria" w:cs="Calibri Light"/>
          <w:b/>
          <w:color w:val="080808"/>
          <w:highlight w:val="cyan"/>
        </w:rPr>
      </w:pPr>
    </w:p>
    <w:p w14:paraId="3F022A5B" w14:textId="0568B169" w:rsidR="00AC2C8E" w:rsidRPr="00473C6A" w:rsidRDefault="00AC2C8E" w:rsidP="00473C6A">
      <w:pPr>
        <w:pStyle w:val="ListParagraph"/>
        <w:numPr>
          <w:ilvl w:val="0"/>
          <w:numId w:val="28"/>
        </w:numPr>
        <w:spacing w:after="0" w:line="240" w:lineRule="auto"/>
        <w:ind w:left="0" w:firstLine="720"/>
        <w:jc w:val="both"/>
        <w:rPr>
          <w:rFonts w:ascii="Cambria" w:eastAsia="Batang" w:hAnsi="Cambria" w:cs="Calibri Light"/>
          <w:b/>
          <w:color w:val="000000"/>
        </w:rPr>
      </w:pPr>
      <w:r w:rsidRPr="00473C6A">
        <w:rPr>
          <w:rFonts w:ascii="Cambria" w:eastAsia="Batang" w:hAnsi="Cambria" w:cs="Calibri Light"/>
          <w:b/>
          <w:color w:val="000000"/>
        </w:rPr>
        <w:t xml:space="preserve">INDIVIDUAL AND STRUCTURAL OUTCOMES OF THE CASE </w:t>
      </w:r>
    </w:p>
    <w:p w14:paraId="511FAAD1" w14:textId="77777777" w:rsidR="00AC2C8E" w:rsidRPr="007175E2" w:rsidRDefault="00AC2C8E" w:rsidP="00AC2C8E">
      <w:pPr>
        <w:spacing w:after="0" w:line="240" w:lineRule="auto"/>
        <w:ind w:firstLine="709"/>
        <w:contextualSpacing/>
        <w:jc w:val="both"/>
        <w:rPr>
          <w:rFonts w:ascii="Cambria" w:eastAsia="Batang" w:hAnsi="Cambria" w:cs="Calibri Light"/>
          <w:b/>
          <w:color w:val="000000"/>
        </w:rPr>
      </w:pPr>
    </w:p>
    <w:p w14:paraId="46E8F1E3" w14:textId="77777777" w:rsidR="00AC2C8E" w:rsidRPr="007175E2" w:rsidRDefault="00AC2C8E" w:rsidP="00637AFB">
      <w:pPr>
        <w:numPr>
          <w:ilvl w:val="0"/>
          <w:numId w:val="29"/>
        </w:numPr>
        <w:spacing w:line="240" w:lineRule="auto"/>
        <w:ind w:left="1418" w:hanging="709"/>
        <w:contextualSpacing/>
        <w:jc w:val="both"/>
        <w:rPr>
          <w:rFonts w:ascii="Cambria" w:hAnsi="Cambria" w:cs="Calibri Light"/>
          <w:b/>
        </w:rPr>
      </w:pPr>
      <w:r w:rsidRPr="007175E2">
        <w:rPr>
          <w:rFonts w:ascii="Cambria" w:hAnsi="Cambria" w:cs="Calibri Light"/>
          <w:b/>
        </w:rPr>
        <w:t>Individual outcomes of the case</w:t>
      </w:r>
    </w:p>
    <w:p w14:paraId="719462C2" w14:textId="77777777" w:rsidR="00AC2C8E" w:rsidRPr="007175E2" w:rsidRDefault="00AC2C8E" w:rsidP="00AC2C8E">
      <w:pPr>
        <w:spacing w:line="240" w:lineRule="auto"/>
        <w:ind w:left="1418" w:hanging="709"/>
        <w:contextualSpacing/>
        <w:jc w:val="both"/>
        <w:rPr>
          <w:rFonts w:ascii="Cambria" w:hAnsi="Cambria" w:cs="Calibri Light"/>
          <w:b/>
        </w:rPr>
      </w:pPr>
    </w:p>
    <w:p w14:paraId="649DAFC0" w14:textId="77777777" w:rsidR="00AC2C8E" w:rsidRPr="007175E2" w:rsidRDefault="00AC2C8E" w:rsidP="00637AFB">
      <w:pPr>
        <w:numPr>
          <w:ilvl w:val="0"/>
          <w:numId w:val="30"/>
        </w:numPr>
        <w:spacing w:after="0" w:line="240" w:lineRule="auto"/>
        <w:ind w:left="1418" w:hanging="709"/>
        <w:jc w:val="both"/>
        <w:rPr>
          <w:rFonts w:ascii="Cambria" w:hAnsi="Cambria"/>
        </w:rPr>
      </w:pPr>
      <w:r w:rsidRPr="007175E2">
        <w:rPr>
          <w:rFonts w:ascii="Cambria" w:hAnsi="Cambria"/>
        </w:rPr>
        <w:t>A check in the amount of $465,400 (four hundred and sixty-five thousand four hundred Mexican pesos) was delivered to Ms. María Garcia Reynoso as financial compensation</w:t>
      </w:r>
      <w:r w:rsidR="00B60889" w:rsidRPr="007175E2">
        <w:rPr>
          <w:rFonts w:ascii="Cambria" w:hAnsi="Cambria"/>
        </w:rPr>
        <w:t>.</w:t>
      </w:r>
    </w:p>
    <w:p w14:paraId="106C3B95" w14:textId="77777777" w:rsidR="00AC2C8E" w:rsidRPr="007175E2" w:rsidRDefault="00AC2C8E" w:rsidP="00637AFB">
      <w:pPr>
        <w:numPr>
          <w:ilvl w:val="0"/>
          <w:numId w:val="30"/>
        </w:numPr>
        <w:spacing w:after="0" w:line="240" w:lineRule="auto"/>
        <w:ind w:left="1418" w:hanging="709"/>
        <w:jc w:val="both"/>
        <w:rPr>
          <w:rFonts w:ascii="Cambria" w:eastAsia="MS Mincho" w:hAnsi="Cambria"/>
          <w:lang w:eastAsia="es-ES_tradnl"/>
        </w:rPr>
      </w:pPr>
      <w:r w:rsidRPr="007175E2">
        <w:rPr>
          <w:rFonts w:ascii="Cambria" w:eastAsia="MS Mincho" w:hAnsi="Cambria"/>
          <w:lang w:eastAsia="es-ES_tradnl"/>
        </w:rPr>
        <w:t xml:space="preserve">The beneficiary was granted protection measures that include a) an alarm button; b) installation and operation of a video intercom with electromagnetic lock in her home; c) installation and operation of an alarm system with an alert module for her cell phone; d) a request had been made to restore the escort service for the beneficiary, which had been provided before but was then withdrawn.  </w:t>
      </w:r>
    </w:p>
    <w:p w14:paraId="23368D03" w14:textId="77777777" w:rsidR="00AC2C8E" w:rsidRPr="007175E2" w:rsidRDefault="00AC2C8E" w:rsidP="00637AFB">
      <w:pPr>
        <w:numPr>
          <w:ilvl w:val="0"/>
          <w:numId w:val="30"/>
        </w:numPr>
        <w:spacing w:after="0" w:line="240" w:lineRule="auto"/>
        <w:ind w:left="1418" w:hanging="709"/>
        <w:jc w:val="both"/>
        <w:rPr>
          <w:rFonts w:ascii="Cambria" w:eastAsia="MS Mincho" w:hAnsi="Cambria"/>
          <w:lang w:eastAsia="es-ES_tradnl"/>
        </w:rPr>
      </w:pPr>
      <w:r w:rsidRPr="007175E2">
        <w:rPr>
          <w:rFonts w:ascii="Cambria" w:eastAsia="MS Mincho" w:hAnsi="Cambria"/>
          <w:lang w:eastAsia="es-ES_tradnl"/>
        </w:rPr>
        <w:t>The State registered the petitioner in the Mechanism of Protection for Human Rights Defenders and Journalists; under that mechanism made the periodic risk assessments; and has provided security measures to the petitioner.</w:t>
      </w:r>
    </w:p>
    <w:p w14:paraId="7ECC634F" w14:textId="77777777" w:rsidR="00AC2C8E" w:rsidRPr="007175E2" w:rsidRDefault="00AC2C8E" w:rsidP="00637AFB">
      <w:pPr>
        <w:numPr>
          <w:ilvl w:val="0"/>
          <w:numId w:val="30"/>
        </w:numPr>
        <w:spacing w:after="0" w:line="240" w:lineRule="auto"/>
        <w:ind w:left="1418" w:hanging="709"/>
        <w:jc w:val="both"/>
        <w:rPr>
          <w:rFonts w:ascii="Cambria" w:eastAsia="MS Mincho" w:hAnsi="Cambria"/>
          <w:color w:val="000000"/>
          <w:lang w:eastAsia="es-ES_tradnl"/>
        </w:rPr>
      </w:pPr>
      <w:r w:rsidRPr="007175E2">
        <w:rPr>
          <w:rFonts w:ascii="Cambria" w:hAnsi="Cambria"/>
          <w:color w:val="000000"/>
        </w:rPr>
        <w:t xml:space="preserve">The State conducted an assessment of risk to the beneficiary and included her in the </w:t>
      </w:r>
      <w:r w:rsidRPr="007175E2">
        <w:rPr>
          <w:rFonts w:ascii="Cambria" w:eastAsia="MS Mincho" w:hAnsi="Cambria"/>
          <w:lang w:eastAsia="es-ES_tradnl"/>
        </w:rPr>
        <w:t>Mechanism for the Protection of Human Rights Defenders and Journalists</w:t>
      </w:r>
      <w:r w:rsidRPr="007175E2">
        <w:rPr>
          <w:rFonts w:ascii="Cambria" w:eastAsia="MS Mincho" w:hAnsi="Cambria"/>
          <w:color w:val="000000"/>
          <w:lang w:eastAsia="es-ES_tradnl"/>
        </w:rPr>
        <w:t xml:space="preserve">. </w:t>
      </w:r>
    </w:p>
    <w:p w14:paraId="020AC8E3" w14:textId="77777777" w:rsidR="00AC2C8E" w:rsidRPr="007175E2" w:rsidRDefault="00AC2C8E" w:rsidP="00637AFB">
      <w:pPr>
        <w:numPr>
          <w:ilvl w:val="0"/>
          <w:numId w:val="30"/>
        </w:numPr>
        <w:spacing w:after="0" w:line="240" w:lineRule="auto"/>
        <w:ind w:left="1418" w:hanging="709"/>
        <w:jc w:val="both"/>
        <w:rPr>
          <w:rFonts w:ascii="Cambria" w:eastAsia="MS Mincho" w:hAnsi="Cambria"/>
          <w:color w:val="000000"/>
          <w:lang w:eastAsia="es-ES_tradnl"/>
        </w:rPr>
      </w:pPr>
      <w:r w:rsidRPr="007175E2">
        <w:rPr>
          <w:rFonts w:ascii="Cambria" w:eastAsia="MS Mincho" w:hAnsi="Cambria"/>
          <w:color w:val="000000"/>
          <w:lang w:eastAsia="es-ES_tradnl"/>
        </w:rPr>
        <w:t>The State provided protection measures consisting of the installation of an exterior five-camera CCTV surveillance system with channel network and the leasing of an IP-CCTV digital closed-circuit television (without cameras); visits to check their installation; and periodic follow-up calls.</w:t>
      </w:r>
    </w:p>
    <w:p w14:paraId="72C95140" w14:textId="77777777" w:rsidR="00AC2C8E" w:rsidRPr="007175E2" w:rsidRDefault="00AC2C8E" w:rsidP="00AC2C8E">
      <w:pPr>
        <w:spacing w:after="0" w:line="240" w:lineRule="auto"/>
        <w:ind w:left="1418"/>
        <w:jc w:val="both"/>
        <w:rPr>
          <w:rFonts w:ascii="Cambria" w:eastAsia="MS Mincho" w:hAnsi="Cambria"/>
          <w:color w:val="000000"/>
          <w:highlight w:val="yellow"/>
          <w:lang w:eastAsia="es-ES_tradnl"/>
        </w:rPr>
      </w:pPr>
    </w:p>
    <w:p w14:paraId="303F0B93" w14:textId="77777777" w:rsidR="00AC2C8E" w:rsidRPr="007175E2" w:rsidRDefault="00AC2C8E" w:rsidP="00637AFB">
      <w:pPr>
        <w:numPr>
          <w:ilvl w:val="0"/>
          <w:numId w:val="29"/>
        </w:numPr>
        <w:spacing w:after="0" w:line="240" w:lineRule="auto"/>
        <w:ind w:left="1418" w:hanging="709"/>
        <w:jc w:val="both"/>
        <w:rPr>
          <w:rFonts w:ascii="Cambria" w:eastAsia="MS Mincho" w:hAnsi="Cambria"/>
          <w:b/>
          <w:lang w:eastAsia="es-ES_tradnl"/>
        </w:rPr>
      </w:pPr>
      <w:r w:rsidRPr="007175E2">
        <w:rPr>
          <w:rFonts w:ascii="Cambria" w:eastAsia="MS Mincho" w:hAnsi="Cambria"/>
          <w:b/>
          <w:lang w:eastAsia="es-ES_tradnl"/>
        </w:rPr>
        <w:t>Structural outcomes of the case</w:t>
      </w:r>
    </w:p>
    <w:p w14:paraId="7DABD29A" w14:textId="77777777" w:rsidR="00AC2C8E" w:rsidRPr="007175E2" w:rsidRDefault="00AC2C8E" w:rsidP="00AC2C8E">
      <w:pPr>
        <w:spacing w:after="0" w:line="240" w:lineRule="auto"/>
        <w:ind w:left="1418" w:hanging="709"/>
        <w:jc w:val="both"/>
        <w:rPr>
          <w:rFonts w:ascii="Cambria" w:eastAsia="MS Mincho" w:hAnsi="Cambria"/>
          <w:lang w:eastAsia="es-ES_tradnl"/>
        </w:rPr>
      </w:pPr>
    </w:p>
    <w:p w14:paraId="43BB53BC" w14:textId="77777777" w:rsidR="00AC2C8E" w:rsidRPr="007175E2" w:rsidRDefault="00AC2C8E" w:rsidP="00E52E07">
      <w:pPr>
        <w:numPr>
          <w:ilvl w:val="0"/>
          <w:numId w:val="31"/>
        </w:numPr>
        <w:spacing w:after="0" w:line="240" w:lineRule="auto"/>
        <w:ind w:left="1418" w:hanging="709"/>
        <w:jc w:val="both"/>
        <w:rPr>
          <w:rFonts w:ascii="Cambria" w:eastAsia="MS Mincho" w:hAnsi="Cambria"/>
          <w:lang w:eastAsia="es-ES_tradnl"/>
        </w:rPr>
      </w:pPr>
      <w:r w:rsidRPr="007175E2">
        <w:rPr>
          <w:rFonts w:ascii="Cambria" w:hAnsi="Cambria" w:cs="Arial"/>
        </w:rPr>
        <w:t>The State informed Ms. María Nicolasa García Reynoso about the progress made in the investigation files relative to the incidents that gave rise to the petition and that were the subject of complaints by the petitioner in her work as a human rights defender, as well as about the current status of various inquiries</w:t>
      </w:r>
      <w:r w:rsidR="00B60889" w:rsidRPr="007175E2">
        <w:rPr>
          <w:rFonts w:ascii="Cambria" w:hAnsi="Cambria" w:cs="Arial"/>
        </w:rPr>
        <w:t>.</w:t>
      </w:r>
    </w:p>
    <w:p w14:paraId="749207E8" w14:textId="3F55EE02" w:rsidR="00AA164D" w:rsidRPr="00E52E07" w:rsidRDefault="00AC2C8E" w:rsidP="00E52E07">
      <w:pPr>
        <w:numPr>
          <w:ilvl w:val="0"/>
          <w:numId w:val="31"/>
        </w:numPr>
        <w:spacing w:after="0" w:line="240" w:lineRule="auto"/>
        <w:ind w:left="1418" w:right="4" w:hanging="709"/>
        <w:contextualSpacing/>
        <w:jc w:val="both"/>
        <w:rPr>
          <w:rFonts w:ascii="Cambria" w:eastAsia="Batang" w:hAnsi="Cambria"/>
          <w:b/>
          <w:color w:val="000000"/>
        </w:rPr>
      </w:pPr>
      <w:r w:rsidRPr="00E52E07">
        <w:rPr>
          <w:rFonts w:ascii="Cambria" w:hAnsi="Cambria" w:cs="Arial"/>
        </w:rPr>
        <w:t>The parties jointly recognize the existence of several judgments of conviction in high-impact cases, as important results of this friendly settlement process.</w:t>
      </w:r>
    </w:p>
    <w:sectPr w:rsidR="00AA164D" w:rsidRPr="00E52E07" w:rsidSect="00E52E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8403" w14:textId="77777777" w:rsidR="00781E9B" w:rsidRDefault="00781E9B" w:rsidP="00A343FF">
      <w:pPr>
        <w:spacing w:after="0" w:line="240" w:lineRule="auto"/>
      </w:pPr>
      <w:r>
        <w:separator/>
      </w:r>
    </w:p>
  </w:endnote>
  <w:endnote w:type="continuationSeparator" w:id="0">
    <w:p w14:paraId="053C8E8F" w14:textId="77777777" w:rsidR="00781E9B" w:rsidRDefault="00781E9B"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B233DB"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8"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654C" w14:textId="77777777" w:rsidR="00781E9B" w:rsidRDefault="00781E9B" w:rsidP="00A343FF">
      <w:pPr>
        <w:spacing w:after="0" w:line="240" w:lineRule="auto"/>
      </w:pPr>
      <w:r>
        <w:separator/>
      </w:r>
    </w:p>
  </w:footnote>
  <w:footnote w:type="continuationSeparator" w:id="0">
    <w:p w14:paraId="294BBFA1" w14:textId="77777777" w:rsidR="00781E9B" w:rsidRDefault="00781E9B" w:rsidP="00A343FF">
      <w:pPr>
        <w:spacing w:after="0" w:line="240" w:lineRule="auto"/>
      </w:pPr>
      <w:r>
        <w:continuationSeparator/>
      </w:r>
    </w:p>
  </w:footnote>
  <w:footnote w:id="1">
    <w:p w14:paraId="02FC2C85" w14:textId="77777777" w:rsidR="00F62829" w:rsidRPr="007175E2" w:rsidRDefault="00F62829" w:rsidP="007175E2">
      <w:pPr>
        <w:pStyle w:val="FootnoteText"/>
        <w:tabs>
          <w:tab w:val="left" w:pos="900"/>
        </w:tabs>
        <w:ind w:firstLine="720"/>
        <w:jc w:val="both"/>
        <w:rPr>
          <w:rFonts w:ascii="Cambria" w:hAnsi="Cambria"/>
          <w:color w:val="000000"/>
          <w:sz w:val="16"/>
          <w:szCs w:val="16"/>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IACHR, Report No. 92/17, Case 12.627, Friendly Settlement, María Nicolasa García Reynoso, Mexico.</w:t>
      </w:r>
    </w:p>
  </w:footnote>
  <w:footnote w:id="2">
    <w:p w14:paraId="1F44934E" w14:textId="77777777" w:rsidR="00F62829" w:rsidRPr="007175E2" w:rsidRDefault="00F62829" w:rsidP="007175E2">
      <w:pPr>
        <w:pStyle w:val="FootnoteText"/>
        <w:ind w:firstLine="709"/>
        <w:jc w:val="both"/>
        <w:rPr>
          <w:rFonts w:ascii="Cambria" w:hAnsi="Cambria"/>
          <w:sz w:val="16"/>
          <w:szCs w:val="16"/>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w:t>
      </w:r>
      <w:r w:rsidRPr="007175E2">
        <w:rPr>
          <w:rFonts w:ascii="Cambria" w:hAnsi="Cambria"/>
          <w:sz w:val="16"/>
          <w:szCs w:val="16"/>
        </w:rPr>
        <w:t>See IACHR, Annual Report 2021, Chapter II, Section F: Progress and Setbacks in the Negotiation and Implementation of Friendly Settlement Agreements, Available at: https://www.oas.org/es/cidh/docs/anual/2021/capitulos/IA2021cap2-es.pdf.</w:t>
      </w:r>
    </w:p>
  </w:footnote>
  <w:footnote w:id="3">
    <w:p w14:paraId="24D3D887" w14:textId="77777777" w:rsidR="00F62829" w:rsidRPr="007175E2" w:rsidRDefault="00F62829" w:rsidP="007175E2">
      <w:pPr>
        <w:pStyle w:val="FootnoteText"/>
        <w:tabs>
          <w:tab w:val="left" w:pos="900"/>
        </w:tabs>
        <w:ind w:firstLine="720"/>
        <w:jc w:val="both"/>
        <w:rPr>
          <w:rFonts w:ascii="Cambria" w:hAnsi="Cambria"/>
          <w:color w:val="000000" w:themeColor="text1"/>
          <w:sz w:val="16"/>
          <w:szCs w:val="16"/>
        </w:rPr>
      </w:pPr>
      <w:r w:rsidRPr="007175E2">
        <w:rPr>
          <w:rFonts w:ascii="Cambria" w:hAnsi="Cambria"/>
          <w:color w:val="000000"/>
          <w:sz w:val="16"/>
          <w:szCs w:val="16"/>
          <w:vertAlign w:val="superscript"/>
        </w:rPr>
        <w:footnoteRef/>
      </w:r>
      <w:r w:rsidRPr="007175E2">
        <w:rPr>
          <w:rFonts w:ascii="Cambria" w:hAnsi="Cambria"/>
          <w:color w:val="000000"/>
          <w:sz w:val="16"/>
          <w:szCs w:val="16"/>
        </w:rPr>
        <w:t xml:space="preserve"> IACHR, </w:t>
      </w:r>
      <w:r w:rsidRPr="007175E2">
        <w:rPr>
          <w:rFonts w:ascii="Cambria" w:hAnsi="Cambria"/>
          <w:color w:val="000000" w:themeColor="text1"/>
          <w:sz w:val="16"/>
          <w:szCs w:val="16"/>
        </w:rPr>
        <w:t>Report No. 92/17, Case 12.627, Friendly Settlement, María Nicolasa García Reynoso, Mexico.</w:t>
      </w:r>
    </w:p>
  </w:footnote>
  <w:footnote w:id="4">
    <w:p w14:paraId="6E267E91" w14:textId="77777777" w:rsidR="00F62829" w:rsidRPr="007175E2" w:rsidRDefault="00F62829" w:rsidP="007175E2">
      <w:pPr>
        <w:tabs>
          <w:tab w:val="left" w:pos="900"/>
        </w:tabs>
        <w:spacing w:after="0" w:line="240" w:lineRule="auto"/>
        <w:ind w:firstLine="720"/>
        <w:jc w:val="both"/>
        <w:rPr>
          <w:rFonts w:ascii="Cambria" w:hAnsi="Cambria"/>
          <w:color w:val="000000" w:themeColor="text1"/>
          <w:sz w:val="16"/>
          <w:szCs w:val="16"/>
        </w:rPr>
      </w:pPr>
      <w:r w:rsidRPr="007175E2">
        <w:rPr>
          <w:rStyle w:val="FootnoteReference"/>
          <w:rFonts w:ascii="Cambria" w:hAnsi="Cambria"/>
          <w:color w:val="000000" w:themeColor="text1"/>
          <w:sz w:val="16"/>
          <w:szCs w:val="16"/>
        </w:rPr>
        <w:footnoteRef/>
      </w:r>
      <w:r w:rsidRPr="007175E2">
        <w:rPr>
          <w:rFonts w:ascii="Cambria" w:hAnsi="Cambria"/>
          <w:color w:val="000000" w:themeColor="text1"/>
          <w:sz w:val="16"/>
          <w:szCs w:val="16"/>
        </w:rPr>
        <w:t xml:space="preserve">See IACHR, Annual Report 2019, Chapter II, Section G. Friendly Settlements. Available at: </w:t>
      </w:r>
      <w:hyperlink r:id="rId1" w:history="1">
        <w:r w:rsidRPr="007175E2">
          <w:rPr>
            <w:rStyle w:val="Hyperlink"/>
            <w:rFonts w:ascii="Cambria" w:hAnsi="Cambria"/>
            <w:color w:val="000000" w:themeColor="text1"/>
            <w:sz w:val="16"/>
            <w:szCs w:val="16"/>
          </w:rPr>
          <w:t>http://www.oas.org/es/cidh/docs/anual/2019/docs/IA2019cap2-es.pdf</w:t>
        </w:r>
      </w:hyperlink>
    </w:p>
    <w:p w14:paraId="55D28479" w14:textId="77777777" w:rsidR="00F62829" w:rsidRPr="007175E2" w:rsidRDefault="00F62829" w:rsidP="007175E2">
      <w:pPr>
        <w:pStyle w:val="FootnoteText"/>
        <w:tabs>
          <w:tab w:val="left" w:pos="900"/>
        </w:tabs>
        <w:ind w:firstLine="720"/>
        <w:jc w:val="both"/>
        <w:rPr>
          <w:rFonts w:ascii="Cambria" w:hAnsi="Cambri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B233DB">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B233DB"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155712"/>
    <w:multiLevelType w:val="hybridMultilevel"/>
    <w:tmpl w:val="C1FEB6C2"/>
    <w:lvl w:ilvl="0" w:tplc="A4F4A94E">
      <w:start w:val="3"/>
      <w:numFmt w:val="decimal"/>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9"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29"/>
  </w:num>
  <w:num w:numId="3" w16cid:durableId="897327684">
    <w:abstractNumId w:val="19"/>
  </w:num>
  <w:num w:numId="4" w16cid:durableId="1141650489">
    <w:abstractNumId w:val="28"/>
  </w:num>
  <w:num w:numId="5" w16cid:durableId="746342540">
    <w:abstractNumId w:val="13"/>
  </w:num>
  <w:num w:numId="6" w16cid:durableId="1621692518">
    <w:abstractNumId w:val="6"/>
  </w:num>
  <w:num w:numId="7" w16cid:durableId="971790784">
    <w:abstractNumId w:val="1"/>
  </w:num>
  <w:num w:numId="8" w16cid:durableId="1387029646">
    <w:abstractNumId w:val="35"/>
  </w:num>
  <w:num w:numId="9" w16cid:durableId="1086881292">
    <w:abstractNumId w:val="7"/>
  </w:num>
  <w:num w:numId="10" w16cid:durableId="1292322756">
    <w:abstractNumId w:val="12"/>
  </w:num>
  <w:num w:numId="11" w16cid:durableId="1000500350">
    <w:abstractNumId w:val="2"/>
  </w:num>
  <w:num w:numId="12" w16cid:durableId="1706103099">
    <w:abstractNumId w:val="34"/>
  </w:num>
  <w:num w:numId="13" w16cid:durableId="1756710271">
    <w:abstractNumId w:val="21"/>
  </w:num>
  <w:num w:numId="14" w16cid:durableId="1099252676">
    <w:abstractNumId w:val="38"/>
  </w:num>
  <w:num w:numId="15" w16cid:durableId="1030109151">
    <w:abstractNumId w:val="16"/>
  </w:num>
  <w:num w:numId="16" w16cid:durableId="1722748191">
    <w:abstractNumId w:val="15"/>
  </w:num>
  <w:num w:numId="17" w16cid:durableId="351491452">
    <w:abstractNumId w:val="27"/>
  </w:num>
  <w:num w:numId="18" w16cid:durableId="1027633537">
    <w:abstractNumId w:val="9"/>
  </w:num>
  <w:num w:numId="19" w16cid:durableId="457845413">
    <w:abstractNumId w:val="26"/>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0"/>
  </w:num>
  <w:num w:numId="22" w16cid:durableId="2003926928">
    <w:abstractNumId w:val="10"/>
  </w:num>
  <w:num w:numId="23" w16cid:durableId="1497725357">
    <w:abstractNumId w:val="22"/>
  </w:num>
  <w:num w:numId="24" w16cid:durableId="307248652">
    <w:abstractNumId w:val="24"/>
  </w:num>
  <w:num w:numId="25" w16cid:durableId="1985550389">
    <w:abstractNumId w:val="5"/>
  </w:num>
  <w:num w:numId="26" w16cid:durableId="1478456909">
    <w:abstractNumId w:val="8"/>
  </w:num>
  <w:num w:numId="27" w16cid:durableId="1176925587">
    <w:abstractNumId w:val="3"/>
  </w:num>
  <w:num w:numId="28" w16cid:durableId="1876766616">
    <w:abstractNumId w:val="36"/>
  </w:num>
  <w:num w:numId="29" w16cid:durableId="2142572164">
    <w:abstractNumId w:val="33"/>
  </w:num>
  <w:num w:numId="30" w16cid:durableId="571933528">
    <w:abstractNumId w:val="31"/>
  </w:num>
  <w:num w:numId="31" w16cid:durableId="1861430946">
    <w:abstractNumId w:val="14"/>
  </w:num>
  <w:num w:numId="32" w16cid:durableId="803893092">
    <w:abstractNumId w:val="18"/>
  </w:num>
  <w:num w:numId="33" w16cid:durableId="1739936026">
    <w:abstractNumId w:val="4"/>
  </w:num>
  <w:num w:numId="34" w16cid:durableId="1458915668">
    <w:abstractNumId w:val="30"/>
  </w:num>
  <w:num w:numId="35" w16cid:durableId="1599485303">
    <w:abstractNumId w:val="39"/>
  </w:num>
  <w:num w:numId="36" w16cid:durableId="1664964272">
    <w:abstractNumId w:val="37"/>
  </w:num>
  <w:num w:numId="37" w16cid:durableId="2074966919">
    <w:abstractNumId w:val="32"/>
  </w:num>
  <w:num w:numId="38" w16cid:durableId="20934263">
    <w:abstractNumId w:val="23"/>
  </w:num>
  <w:num w:numId="39" w16cid:durableId="195656616">
    <w:abstractNumId w:val="25"/>
  </w:num>
  <w:num w:numId="40" w16cid:durableId="99171887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1011E0"/>
    <w:rsid w:val="00101E3E"/>
    <w:rsid w:val="00112395"/>
    <w:rsid w:val="0012326D"/>
    <w:rsid w:val="0012586C"/>
    <w:rsid w:val="00127F17"/>
    <w:rsid w:val="001511FD"/>
    <w:rsid w:val="001541D4"/>
    <w:rsid w:val="00162518"/>
    <w:rsid w:val="001834F6"/>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E4FBC"/>
    <w:rsid w:val="002F156A"/>
    <w:rsid w:val="00324C1A"/>
    <w:rsid w:val="00335042"/>
    <w:rsid w:val="00336E78"/>
    <w:rsid w:val="003419CC"/>
    <w:rsid w:val="00343CED"/>
    <w:rsid w:val="0036283E"/>
    <w:rsid w:val="00385F0C"/>
    <w:rsid w:val="00393310"/>
    <w:rsid w:val="00394EEF"/>
    <w:rsid w:val="003C4836"/>
    <w:rsid w:val="003E4C2F"/>
    <w:rsid w:val="003E533F"/>
    <w:rsid w:val="003E6F57"/>
    <w:rsid w:val="003F3C6B"/>
    <w:rsid w:val="00402700"/>
    <w:rsid w:val="00417964"/>
    <w:rsid w:val="00420BB1"/>
    <w:rsid w:val="0043583A"/>
    <w:rsid w:val="004545D1"/>
    <w:rsid w:val="00470C7B"/>
    <w:rsid w:val="0047146A"/>
    <w:rsid w:val="004722BC"/>
    <w:rsid w:val="00472E04"/>
    <w:rsid w:val="00473C6A"/>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D20"/>
    <w:rsid w:val="005A5AE8"/>
    <w:rsid w:val="005A5E14"/>
    <w:rsid w:val="005B2E65"/>
    <w:rsid w:val="005C2637"/>
    <w:rsid w:val="005C414D"/>
    <w:rsid w:val="005D7F05"/>
    <w:rsid w:val="005E3720"/>
    <w:rsid w:val="005E4B03"/>
    <w:rsid w:val="005F171A"/>
    <w:rsid w:val="005F4AAA"/>
    <w:rsid w:val="0060081A"/>
    <w:rsid w:val="00604132"/>
    <w:rsid w:val="00634F89"/>
    <w:rsid w:val="00637AFB"/>
    <w:rsid w:val="00655003"/>
    <w:rsid w:val="00660EF3"/>
    <w:rsid w:val="00663A76"/>
    <w:rsid w:val="0067152B"/>
    <w:rsid w:val="00672090"/>
    <w:rsid w:val="006C2941"/>
    <w:rsid w:val="006C2B06"/>
    <w:rsid w:val="006C7308"/>
    <w:rsid w:val="006E2BD8"/>
    <w:rsid w:val="006F0429"/>
    <w:rsid w:val="0070407B"/>
    <w:rsid w:val="00705E57"/>
    <w:rsid w:val="007175E2"/>
    <w:rsid w:val="00727940"/>
    <w:rsid w:val="00730193"/>
    <w:rsid w:val="0073227E"/>
    <w:rsid w:val="00732EA4"/>
    <w:rsid w:val="007377D4"/>
    <w:rsid w:val="00781E9B"/>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E42E1"/>
    <w:rsid w:val="008E751C"/>
    <w:rsid w:val="008F2248"/>
    <w:rsid w:val="009108A4"/>
    <w:rsid w:val="009162E7"/>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233DB"/>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52E07"/>
    <w:rsid w:val="00E6614F"/>
    <w:rsid w:val="00E737AE"/>
    <w:rsid w:val="00E953CE"/>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s.org/en/iachr/decisions/2017/MXSA12627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idh.org/annualrep/2007eng/Mexico1193.03eng.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org/en/iachr/decisions/2017/MXSA12627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9/docs/IA2019cap2-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2023-03-07T20:29:00Z</dcterms:created>
  <dcterms:modified xsi:type="dcterms:W3CDTF">2023-03-07T20:29:00Z</dcterms:modified>
</cp:coreProperties>
</file>