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2198F2F0" w14:textId="77777777" w:rsidR="005A5AE8" w:rsidRPr="007175E2" w:rsidRDefault="005A5AE8" w:rsidP="00AC2C8E">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TECHNICAL INFORMATION SHEET</w:t>
      </w:r>
    </w:p>
    <w:p w14:paraId="03ACB4F6" w14:textId="77777777" w:rsidR="005A5AE8" w:rsidRPr="007175E2" w:rsidRDefault="005A5AE8" w:rsidP="00AC2C8E">
      <w:pPr>
        <w:pStyle w:val="NoSpacing"/>
        <w:ind w:left="-270" w:right="4"/>
        <w:jc w:val="center"/>
        <w:rPr>
          <w:rFonts w:ascii="Cambria" w:hAnsi="Cambria"/>
          <w:b/>
          <w:szCs w:val="20"/>
        </w:rPr>
      </w:pPr>
      <w:r w:rsidRPr="007175E2">
        <w:rPr>
          <w:rFonts w:ascii="Cambria" w:hAnsi="Cambria"/>
          <w:b/>
          <w:bCs/>
          <w:szCs w:val="20"/>
        </w:rPr>
        <w:t>CASE 12.847</w:t>
      </w:r>
      <w:r w:rsidRPr="007175E2">
        <w:rPr>
          <w:rFonts w:ascii="Cambria" w:hAnsi="Cambria"/>
          <w:b/>
          <w:szCs w:val="20"/>
        </w:rPr>
        <w:t xml:space="preserve"> VICENTA SÁNCHEZ VALDIVIESO</w:t>
      </w:r>
    </w:p>
    <w:p w14:paraId="13A6F7B1" w14:textId="1363276C" w:rsidR="005A5AE8" w:rsidRPr="007175E2" w:rsidRDefault="005A5AE8" w:rsidP="00AC2C8E">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FRIENDLY SETTLEMENT REPORT No</w:t>
      </w:r>
      <w:r w:rsidRPr="007175E2">
        <w:rPr>
          <w:rFonts w:ascii="Cambria" w:eastAsia="Batang" w:hAnsi="Cambria"/>
          <w:b/>
          <w:color w:val="000000" w:themeColor="text1"/>
        </w:rPr>
        <w:t>.</w:t>
      </w:r>
      <w:r w:rsidR="0096142F" w:rsidRPr="007175E2">
        <w:rPr>
          <w:rFonts w:ascii="Cambria" w:eastAsia="Batang" w:hAnsi="Cambria"/>
          <w:b/>
          <w:color w:val="000000" w:themeColor="text1"/>
        </w:rPr>
        <w:t xml:space="preserve"> </w:t>
      </w:r>
      <w:hyperlink r:id="rId11" w:history="1">
        <w:r w:rsidRPr="007175E2">
          <w:rPr>
            <w:rStyle w:val="Hyperlink"/>
            <w:rFonts w:ascii="Cambria" w:hAnsi="Cambria"/>
            <w:b/>
            <w:bCs/>
            <w:color w:val="000000" w:themeColor="text1"/>
            <w:u w:val="none"/>
          </w:rPr>
          <w:t>16/16</w:t>
        </w:r>
      </w:hyperlink>
    </w:p>
    <w:p w14:paraId="07790F3B" w14:textId="77777777" w:rsidR="005A5AE8" w:rsidRPr="007175E2" w:rsidRDefault="005A5AE8" w:rsidP="00AC2C8E">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TOTAL COMPLIANCE</w:t>
      </w:r>
    </w:p>
    <w:p w14:paraId="4A49FA50" w14:textId="77777777" w:rsidR="005A5AE8" w:rsidRPr="007175E2" w:rsidRDefault="005A5AE8" w:rsidP="00AC2C8E">
      <w:pPr>
        <w:spacing w:after="0" w:line="240" w:lineRule="auto"/>
        <w:ind w:right="4"/>
        <w:contextualSpacing/>
        <w:jc w:val="center"/>
        <w:rPr>
          <w:rFonts w:ascii="Cambria" w:eastAsia="Batang" w:hAnsi="Cambria"/>
          <w:b/>
          <w:color w:val="000000"/>
          <w:lang w:val="es-ES"/>
        </w:rPr>
      </w:pPr>
      <w:r w:rsidRPr="007175E2">
        <w:rPr>
          <w:rFonts w:ascii="Cambria" w:eastAsia="Batang" w:hAnsi="Cambria"/>
          <w:b/>
          <w:color w:val="000000"/>
          <w:lang w:val="es-ES"/>
        </w:rPr>
        <w:t>(MEXICO)</w:t>
      </w:r>
    </w:p>
    <w:p w14:paraId="1314AB87" w14:textId="77777777" w:rsidR="005A5AE8" w:rsidRPr="007175E2" w:rsidRDefault="005A5AE8" w:rsidP="005A5AE8">
      <w:pPr>
        <w:spacing w:after="0" w:line="240" w:lineRule="auto"/>
        <w:ind w:right="-270"/>
        <w:jc w:val="center"/>
        <w:rPr>
          <w:rFonts w:ascii="Cambria" w:eastAsia="Batang" w:hAnsi="Cambria"/>
          <w:b/>
          <w:color w:val="000000"/>
          <w:lang w:val="es-ES"/>
        </w:rPr>
      </w:pPr>
    </w:p>
    <w:p w14:paraId="1B051311" w14:textId="77777777" w:rsidR="005A5AE8" w:rsidRPr="007175E2" w:rsidRDefault="005A5AE8" w:rsidP="00637AFB">
      <w:pPr>
        <w:numPr>
          <w:ilvl w:val="0"/>
          <w:numId w:val="24"/>
        </w:numPr>
        <w:spacing w:after="0" w:line="240" w:lineRule="auto"/>
        <w:rPr>
          <w:rFonts w:ascii="Cambria" w:eastAsia="Batang" w:hAnsi="Cambria" w:cs="Calibri Light"/>
          <w:b/>
          <w:color w:val="000000"/>
        </w:rPr>
      </w:pPr>
      <w:r w:rsidRPr="007175E2">
        <w:rPr>
          <w:rFonts w:ascii="Cambria" w:eastAsia="Batang" w:hAnsi="Cambria" w:cs="Calibri Light"/>
          <w:b/>
          <w:color w:val="000000"/>
        </w:rPr>
        <w:t>SUMMARY OF THE CASE</w:t>
      </w:r>
    </w:p>
    <w:p w14:paraId="2CB92F6B" w14:textId="77777777" w:rsidR="005A5AE8" w:rsidRPr="007175E2" w:rsidRDefault="005A5AE8" w:rsidP="005A5AE8">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A5AE8" w:rsidRPr="007175E2" w14:paraId="345EEF24" w14:textId="77777777" w:rsidTr="00F024F0">
        <w:trPr>
          <w:trHeight w:val="6520"/>
          <w:jc w:val="center"/>
        </w:trPr>
        <w:tc>
          <w:tcPr>
            <w:tcW w:w="9576" w:type="dxa"/>
            <w:shd w:val="clear" w:color="auto" w:fill="F2F2F2"/>
          </w:tcPr>
          <w:p w14:paraId="575CF735" w14:textId="77777777" w:rsidR="005A5AE8" w:rsidRPr="007175E2" w:rsidRDefault="005A5AE8"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Victim(s): </w:t>
            </w:r>
            <w:r w:rsidRPr="007175E2">
              <w:rPr>
                <w:rFonts w:ascii="Cambria" w:eastAsia="Batang" w:hAnsi="Cambria"/>
                <w:bCs/>
                <w:color w:val="000000"/>
              </w:rPr>
              <w:t>Vicenta Sánchez Valdivieso</w:t>
            </w:r>
          </w:p>
          <w:p w14:paraId="24849634" w14:textId="77777777" w:rsidR="005A5AE8" w:rsidRPr="007175E2" w:rsidRDefault="005A5AE8" w:rsidP="00F024F0">
            <w:pPr>
              <w:tabs>
                <w:tab w:val="left" w:pos="9270"/>
              </w:tabs>
              <w:spacing w:after="0" w:line="240" w:lineRule="auto"/>
              <w:jc w:val="both"/>
              <w:rPr>
                <w:rFonts w:ascii="Cambria" w:eastAsia="Batang" w:hAnsi="Cambria"/>
                <w:bCs/>
                <w:color w:val="000000"/>
              </w:rPr>
            </w:pPr>
            <w:r w:rsidRPr="007175E2">
              <w:rPr>
                <w:rFonts w:ascii="Cambria" w:eastAsia="Batang" w:hAnsi="Cambria"/>
                <w:b/>
                <w:color w:val="000000"/>
              </w:rPr>
              <w:t xml:space="preserve">Petitioner(s): </w:t>
            </w:r>
            <w:r w:rsidRPr="007175E2">
              <w:rPr>
                <w:rFonts w:ascii="Cambria" w:eastAsia="Batang" w:hAnsi="Cambria"/>
                <w:bCs/>
                <w:color w:val="000000"/>
              </w:rPr>
              <w:t>Juan Carlos Santiago Sánchez and Isidro Santiago Sánchez</w:t>
            </w:r>
          </w:p>
          <w:p w14:paraId="0D831C97" w14:textId="77777777" w:rsidR="005A5AE8" w:rsidRPr="007175E2" w:rsidRDefault="005A5AE8" w:rsidP="00F024F0">
            <w:pPr>
              <w:tabs>
                <w:tab w:val="left" w:pos="9270"/>
              </w:tabs>
              <w:spacing w:after="0" w:line="240" w:lineRule="auto"/>
              <w:jc w:val="both"/>
              <w:rPr>
                <w:rFonts w:ascii="Cambria" w:eastAsia="Batang" w:hAnsi="Cambria"/>
                <w:bCs/>
                <w:color w:val="000000"/>
              </w:rPr>
            </w:pPr>
            <w:r w:rsidRPr="007175E2">
              <w:rPr>
                <w:rFonts w:ascii="Cambria" w:eastAsia="Batang" w:hAnsi="Cambria"/>
                <w:bCs/>
                <w:color w:val="000000"/>
              </w:rPr>
              <w:t>State: Mexico</w:t>
            </w:r>
          </w:p>
          <w:p w14:paraId="79EC7C35" w14:textId="77777777" w:rsidR="005A5AE8" w:rsidRPr="007175E2" w:rsidRDefault="005A5AE8" w:rsidP="00F024F0">
            <w:pPr>
              <w:tabs>
                <w:tab w:val="left" w:pos="9270"/>
              </w:tabs>
              <w:spacing w:after="0" w:line="240" w:lineRule="auto"/>
              <w:jc w:val="both"/>
              <w:rPr>
                <w:rFonts w:ascii="Cambria" w:eastAsia="Batang" w:hAnsi="Cambria"/>
                <w:b/>
                <w:bCs/>
                <w:color w:val="000000"/>
              </w:rPr>
            </w:pPr>
            <w:r w:rsidRPr="007175E2">
              <w:rPr>
                <w:rFonts w:ascii="Cambria" w:eastAsia="Batang" w:hAnsi="Cambria"/>
                <w:b/>
                <w:bCs/>
                <w:color w:val="000000"/>
              </w:rPr>
              <w:t xml:space="preserve">Beginning of the negotiation date: </w:t>
            </w:r>
            <w:r w:rsidRPr="007175E2">
              <w:rPr>
                <w:rFonts w:ascii="Cambria" w:eastAsia="Batang" w:hAnsi="Cambria"/>
                <w:color w:val="000000"/>
              </w:rPr>
              <w:t>February 2012</w:t>
            </w:r>
            <w:r w:rsidRPr="007175E2">
              <w:rPr>
                <w:rFonts w:ascii="Cambria" w:eastAsia="Batang" w:hAnsi="Cambria"/>
                <w:b/>
                <w:bCs/>
                <w:color w:val="000000"/>
              </w:rPr>
              <w:t xml:space="preserve"> </w:t>
            </w:r>
          </w:p>
          <w:p w14:paraId="0065F5AB" w14:textId="77777777" w:rsidR="005A5AE8" w:rsidRPr="007175E2" w:rsidRDefault="005A5AE8" w:rsidP="00F024F0">
            <w:pPr>
              <w:tabs>
                <w:tab w:val="left" w:pos="9270"/>
              </w:tabs>
              <w:spacing w:after="0" w:line="240" w:lineRule="auto"/>
              <w:jc w:val="both"/>
              <w:rPr>
                <w:rFonts w:ascii="Cambria" w:eastAsia="Batang" w:hAnsi="Cambria"/>
                <w:b/>
                <w:bCs/>
                <w:color w:val="000000"/>
              </w:rPr>
            </w:pPr>
            <w:r w:rsidRPr="007175E2">
              <w:rPr>
                <w:rFonts w:ascii="Cambria" w:eastAsia="Batang" w:hAnsi="Cambria"/>
                <w:b/>
                <w:bCs/>
                <w:color w:val="000000"/>
              </w:rPr>
              <w:t xml:space="preserve">FSA signature date: </w:t>
            </w:r>
            <w:r w:rsidRPr="007175E2">
              <w:rPr>
                <w:rFonts w:ascii="Cambria" w:eastAsia="Batang" w:hAnsi="Cambria"/>
                <w:color w:val="000000"/>
              </w:rPr>
              <w:t>September 25, 2012</w:t>
            </w:r>
          </w:p>
          <w:p w14:paraId="628E50B3" w14:textId="77777777" w:rsidR="005A5AE8" w:rsidRPr="007175E2" w:rsidRDefault="005A5AE8"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Report on Admissibility</w:t>
            </w:r>
            <w:r w:rsidR="00660EF3" w:rsidRPr="007175E2">
              <w:rPr>
                <w:rFonts w:ascii="Cambria" w:eastAsia="Batang" w:hAnsi="Cambria"/>
                <w:b/>
                <w:color w:val="000000"/>
              </w:rPr>
              <w:t xml:space="preserve"> Nº</w:t>
            </w:r>
            <w:r w:rsidRPr="007175E2">
              <w:rPr>
                <w:rFonts w:ascii="Cambria" w:eastAsia="Batang" w:hAnsi="Cambria"/>
                <w:b/>
                <w:color w:val="000000"/>
              </w:rPr>
              <w:t xml:space="preserve">: </w:t>
            </w:r>
            <w:hyperlink r:id="rId12" w:history="1">
              <w:r w:rsidRPr="007175E2">
                <w:rPr>
                  <w:rStyle w:val="Hyperlink"/>
                  <w:rFonts w:ascii="Cambria" w:eastAsia="Batang" w:hAnsi="Cambria"/>
                  <w:b/>
                  <w:bCs/>
                  <w:color w:val="000000" w:themeColor="text1"/>
                </w:rPr>
                <w:t>159/11</w:t>
              </w:r>
            </w:hyperlink>
            <w:r w:rsidRPr="007175E2">
              <w:rPr>
                <w:rFonts w:ascii="Cambria" w:eastAsia="Batang" w:hAnsi="Cambria"/>
                <w:bCs/>
                <w:color w:val="000000"/>
              </w:rPr>
              <w:t xml:space="preserve"> published on November 2, 2011</w:t>
            </w:r>
          </w:p>
          <w:p w14:paraId="08BAC9FC" w14:textId="77777777" w:rsidR="005A5AE8" w:rsidRPr="007175E2" w:rsidRDefault="005A5AE8"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Report on Friendly Settlement Agreement</w:t>
            </w:r>
            <w:r w:rsidR="00660EF3" w:rsidRPr="007175E2">
              <w:rPr>
                <w:rFonts w:ascii="Cambria" w:eastAsia="Batang" w:hAnsi="Cambria"/>
                <w:b/>
                <w:color w:val="000000"/>
              </w:rPr>
              <w:t xml:space="preserve"> Nº</w:t>
            </w:r>
            <w:r w:rsidRPr="007175E2">
              <w:rPr>
                <w:rFonts w:ascii="Cambria" w:eastAsia="Batang" w:hAnsi="Cambria"/>
                <w:b/>
                <w:color w:val="000000"/>
              </w:rPr>
              <w:t xml:space="preserve">: </w:t>
            </w:r>
            <w:hyperlink r:id="rId13" w:history="1">
              <w:r w:rsidRPr="007175E2">
                <w:rPr>
                  <w:rStyle w:val="Hyperlink"/>
                  <w:rFonts w:ascii="Cambria" w:eastAsia="Batang" w:hAnsi="Cambria"/>
                  <w:b/>
                  <w:bCs/>
                  <w:color w:val="000000" w:themeColor="text1"/>
                </w:rPr>
                <w:t>16/16</w:t>
              </w:r>
            </w:hyperlink>
            <w:r w:rsidRPr="007175E2">
              <w:rPr>
                <w:rFonts w:ascii="Cambria" w:eastAsia="Batang" w:hAnsi="Cambria"/>
                <w:b/>
                <w:bCs/>
                <w:color w:val="000000" w:themeColor="text1"/>
              </w:rPr>
              <w:t>,</w:t>
            </w:r>
            <w:r w:rsidRPr="007175E2">
              <w:rPr>
                <w:rFonts w:ascii="Cambria" w:eastAsia="Batang" w:hAnsi="Cambria"/>
                <w:bCs/>
                <w:color w:val="000000" w:themeColor="text1"/>
              </w:rPr>
              <w:t xml:space="preserve"> </w:t>
            </w:r>
            <w:r w:rsidRPr="007175E2">
              <w:rPr>
                <w:rFonts w:ascii="Cambria" w:eastAsia="Batang" w:hAnsi="Cambria"/>
                <w:bCs/>
                <w:color w:val="000000"/>
              </w:rPr>
              <w:t>published on April 14, 2016</w:t>
            </w:r>
          </w:p>
          <w:p w14:paraId="00E37A14" w14:textId="77777777" w:rsidR="005A5AE8" w:rsidRPr="007175E2" w:rsidRDefault="005A5AE8" w:rsidP="00F024F0">
            <w:pPr>
              <w:tabs>
                <w:tab w:val="left" w:pos="9270"/>
              </w:tabs>
              <w:spacing w:after="0" w:line="240" w:lineRule="auto"/>
              <w:jc w:val="both"/>
              <w:rPr>
                <w:rFonts w:ascii="Cambria" w:eastAsia="Batang" w:hAnsi="Cambria"/>
                <w:b/>
                <w:bCs/>
                <w:color w:val="000000"/>
              </w:rPr>
            </w:pPr>
            <w:r w:rsidRPr="007175E2">
              <w:rPr>
                <w:rFonts w:ascii="Cambria" w:eastAsia="Batang" w:hAnsi="Cambria"/>
                <w:b/>
                <w:bCs/>
                <w:color w:val="000000"/>
              </w:rPr>
              <w:t xml:space="preserve">Estimated length of the negotiation phase: </w:t>
            </w:r>
            <w:r w:rsidRPr="007175E2">
              <w:rPr>
                <w:rFonts w:ascii="Cambria" w:eastAsia="Batang" w:hAnsi="Cambria"/>
                <w:color w:val="000000"/>
              </w:rPr>
              <w:t>4 years</w:t>
            </w:r>
          </w:p>
          <w:p w14:paraId="31CF0737" w14:textId="77777777" w:rsidR="005A5AE8" w:rsidRPr="007175E2" w:rsidRDefault="005A5AE8"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Associated rapporteurship: </w:t>
            </w:r>
            <w:r w:rsidRPr="007175E2">
              <w:rPr>
                <w:rFonts w:ascii="Cambria" w:eastAsia="Batang" w:hAnsi="Cambria"/>
                <w:bCs/>
                <w:color w:val="000000"/>
              </w:rPr>
              <w:t>N/A</w:t>
            </w:r>
          </w:p>
          <w:p w14:paraId="6E549A6D" w14:textId="77777777" w:rsidR="005A5AE8" w:rsidRPr="007175E2" w:rsidRDefault="005A5AE8"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Topics: </w:t>
            </w:r>
            <w:r w:rsidRPr="007175E2">
              <w:rPr>
                <w:rFonts w:ascii="Cambria" w:eastAsia="Batang" w:hAnsi="Cambria"/>
                <w:bCs/>
                <w:color w:val="000000"/>
              </w:rPr>
              <w:t>Due process/Judicial guarantees</w:t>
            </w:r>
          </w:p>
          <w:p w14:paraId="3EB53DF3" w14:textId="77777777" w:rsidR="005A5AE8" w:rsidRPr="007175E2" w:rsidRDefault="005A5AE8" w:rsidP="00F024F0">
            <w:pPr>
              <w:tabs>
                <w:tab w:val="left" w:pos="9270"/>
              </w:tabs>
              <w:spacing w:after="0" w:line="240" w:lineRule="auto"/>
              <w:jc w:val="both"/>
              <w:rPr>
                <w:rFonts w:ascii="Cambria" w:eastAsia="Batang" w:hAnsi="Cambria"/>
                <w:b/>
                <w:color w:val="000000"/>
              </w:rPr>
            </w:pPr>
          </w:p>
          <w:p w14:paraId="4A165630" w14:textId="003C6308" w:rsidR="005A5AE8" w:rsidRPr="007175E2" w:rsidRDefault="005A5AE8"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Facts: </w:t>
            </w:r>
            <w:r w:rsidRPr="007175E2">
              <w:rPr>
                <w:rFonts w:ascii="Cambria" w:eastAsia="Batang" w:hAnsi="Cambria"/>
                <w:bCs/>
                <w:color w:val="000000"/>
              </w:rPr>
              <w:t xml:space="preserve">The case refers to the violation of the human rights of Vicenta Sánchez Valdivieso, a Zapoteca indigenous woman, as a result of the failure to implement a labor-related ruling issued for her benefit on August 13, 1999, which had sentenced the employer to pay 97,827.60 Mexican pesos. In view of the failure to make this payment, a lien had been placed on the motor vehicle of the debtor and Ms. Esther Jiménez Guerra was appointed as depository of the asset; afterwards, on March 2, 2000, the employer with a group of persons had gone to the house of the depositary of the lien and had violently seized the car. Because of the above, Vicenta Sánchez had filed criminal proceedings for theft on March 3, </w:t>
            </w:r>
            <w:r w:rsidR="002F156A" w:rsidRPr="007175E2">
              <w:rPr>
                <w:rFonts w:ascii="Cambria" w:eastAsia="Batang" w:hAnsi="Cambria"/>
                <w:bCs/>
                <w:color w:val="000000"/>
              </w:rPr>
              <w:t>2000,</w:t>
            </w:r>
            <w:r w:rsidRPr="007175E2">
              <w:rPr>
                <w:rFonts w:ascii="Cambria" w:eastAsia="Batang" w:hAnsi="Cambria"/>
                <w:bCs/>
                <w:color w:val="000000"/>
              </w:rPr>
              <w:t xml:space="preserve"> and, as part of these proceedings, a warrant of arrest had been issued against Santana Lopez, but he had not been arrested, because he had been chosen to be an electoral candidate in the federal elections.</w:t>
            </w:r>
            <w:r w:rsidRPr="007175E2">
              <w:rPr>
                <w:rFonts w:ascii="Cambria" w:eastAsia="Batang" w:hAnsi="Cambria"/>
                <w:b/>
                <w:color w:val="000000"/>
              </w:rPr>
              <w:t xml:space="preserve"> </w:t>
            </w:r>
          </w:p>
          <w:p w14:paraId="55F55125" w14:textId="77777777" w:rsidR="005A5AE8" w:rsidRPr="007175E2" w:rsidRDefault="005A5AE8" w:rsidP="00F024F0">
            <w:pPr>
              <w:tabs>
                <w:tab w:val="left" w:pos="9270"/>
              </w:tabs>
              <w:spacing w:after="0" w:line="240" w:lineRule="auto"/>
              <w:jc w:val="both"/>
              <w:rPr>
                <w:rFonts w:ascii="Cambria" w:eastAsia="Batang" w:hAnsi="Cambria"/>
                <w:b/>
                <w:color w:val="000000"/>
              </w:rPr>
            </w:pPr>
          </w:p>
          <w:p w14:paraId="3F36CCE3" w14:textId="27AFD01F" w:rsidR="005A5AE8" w:rsidRPr="007175E2" w:rsidRDefault="005A5AE8" w:rsidP="00F024F0">
            <w:pPr>
              <w:tabs>
                <w:tab w:val="left" w:pos="9270"/>
              </w:tabs>
              <w:spacing w:after="0" w:line="240" w:lineRule="auto"/>
              <w:jc w:val="both"/>
              <w:rPr>
                <w:rFonts w:ascii="Cambria" w:eastAsia="Batang" w:hAnsi="Cambria"/>
                <w:color w:val="000000"/>
              </w:rPr>
            </w:pPr>
            <w:r w:rsidRPr="007175E2">
              <w:rPr>
                <w:rFonts w:ascii="Cambria" w:eastAsia="Batang" w:hAnsi="Cambria"/>
                <w:b/>
                <w:color w:val="000000"/>
              </w:rPr>
              <w:t xml:space="preserve">Rights declared admissible: </w:t>
            </w:r>
            <w:r w:rsidRPr="007175E2">
              <w:rPr>
                <w:rFonts w:ascii="Cambria" w:eastAsia="Batang" w:hAnsi="Cambria"/>
                <w:bCs/>
                <w:color w:val="000000"/>
              </w:rPr>
              <w:t xml:space="preserve">The Commission concluded that it was competent to take up the instant case, that the petition was admissible in relation to </w:t>
            </w:r>
            <w:r w:rsidR="008B1EA8" w:rsidRPr="007175E2">
              <w:rPr>
                <w:rFonts w:ascii="Cambria" w:eastAsia="Batang" w:hAnsi="Cambria"/>
                <w:bCs/>
                <w:color w:val="000000"/>
              </w:rPr>
              <w:t>a</w:t>
            </w:r>
            <w:r w:rsidRPr="007175E2">
              <w:rPr>
                <w:rFonts w:ascii="Cambria" w:eastAsia="Batang" w:hAnsi="Cambria"/>
                <w:bCs/>
                <w:color w:val="000000"/>
              </w:rPr>
              <w:t>rticles 5 (right to humane treatment), 8 (right to a fair trial), and 25 (right to judicial protection) of the American Convention, in connection with Articles 1(1) and 2 thereof, and that the petition met the requirements set forth in Articles 46 and 47 of that instrument. The commission also decided to notify parties and to publish its report in its annual report.</w:t>
            </w:r>
          </w:p>
        </w:tc>
      </w:tr>
    </w:tbl>
    <w:p w14:paraId="39090747" w14:textId="77777777" w:rsidR="005A5AE8" w:rsidRPr="007175E2" w:rsidRDefault="005A5AE8" w:rsidP="005A5AE8">
      <w:pPr>
        <w:spacing w:after="0" w:line="240" w:lineRule="auto"/>
        <w:ind w:left="720"/>
        <w:contextualSpacing/>
        <w:jc w:val="both"/>
        <w:rPr>
          <w:rFonts w:ascii="Cambria" w:eastAsia="Batang" w:hAnsi="Cambria" w:cs="Calibri Light"/>
          <w:b/>
          <w:color w:val="000000"/>
        </w:rPr>
      </w:pPr>
    </w:p>
    <w:p w14:paraId="2A690869" w14:textId="77777777" w:rsidR="005A5AE8" w:rsidRPr="007175E2" w:rsidRDefault="005A5AE8" w:rsidP="00637AFB">
      <w:pPr>
        <w:numPr>
          <w:ilvl w:val="0"/>
          <w:numId w:val="24"/>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t>PROCEDURAL ACTIVITY</w:t>
      </w:r>
    </w:p>
    <w:p w14:paraId="1A7460EA" w14:textId="77777777" w:rsidR="005A5AE8" w:rsidRPr="007175E2" w:rsidRDefault="005A5AE8" w:rsidP="005A5AE8">
      <w:pPr>
        <w:spacing w:after="0" w:line="240" w:lineRule="auto"/>
        <w:ind w:firstLine="720"/>
        <w:contextualSpacing/>
        <w:jc w:val="both"/>
        <w:rPr>
          <w:rFonts w:ascii="Cambria" w:eastAsia="Batang" w:hAnsi="Cambria" w:cs="Calibri Light"/>
          <w:b/>
          <w:color w:val="000000"/>
        </w:rPr>
      </w:pPr>
    </w:p>
    <w:p w14:paraId="7DB6B065" w14:textId="4BD34FB5" w:rsidR="005A5AE8" w:rsidRPr="007175E2" w:rsidRDefault="005A5AE8" w:rsidP="005A5AE8">
      <w:pPr>
        <w:spacing w:after="0" w:line="240" w:lineRule="auto"/>
        <w:ind w:firstLine="709"/>
        <w:contextualSpacing/>
        <w:jc w:val="both"/>
        <w:rPr>
          <w:rFonts w:ascii="Cambria" w:eastAsia="Batang" w:hAnsi="Cambria" w:cs="Calibri Light"/>
          <w:color w:val="000000"/>
        </w:rPr>
      </w:pPr>
      <w:r w:rsidRPr="007175E2">
        <w:rPr>
          <w:rFonts w:ascii="Cambria" w:eastAsia="Batang" w:hAnsi="Cambria" w:cs="Calibri Light"/>
          <w:color w:val="000000"/>
        </w:rPr>
        <w:t>1.</w:t>
      </w:r>
      <w:r w:rsidRPr="007175E2">
        <w:rPr>
          <w:rFonts w:ascii="Cambria" w:eastAsia="Batang" w:hAnsi="Cambria" w:cs="Calibri Light"/>
          <w:color w:val="000000"/>
        </w:rPr>
        <w:tab/>
        <w:t xml:space="preserve">On September 25, 2012, the parties </w:t>
      </w:r>
      <w:r w:rsidR="007175E2" w:rsidRPr="007175E2">
        <w:rPr>
          <w:rFonts w:ascii="Cambria" w:eastAsia="Batang" w:hAnsi="Cambria" w:cs="Calibri Light"/>
          <w:color w:val="000000"/>
        </w:rPr>
        <w:t>signed a</w:t>
      </w:r>
      <w:r w:rsidRPr="007175E2">
        <w:rPr>
          <w:rFonts w:ascii="Cambria" w:eastAsia="Batang" w:hAnsi="Cambria" w:cs="Calibri Light"/>
          <w:color w:val="000000"/>
        </w:rPr>
        <w:t xml:space="preserve"> friendly settlement</w:t>
      </w:r>
      <w:r w:rsidR="007175E2" w:rsidRPr="007175E2">
        <w:rPr>
          <w:rFonts w:ascii="Cambria" w:eastAsia="Batang" w:hAnsi="Cambria" w:cs="Calibri Light"/>
          <w:color w:val="000000"/>
        </w:rPr>
        <w:t xml:space="preserve"> agreement</w:t>
      </w:r>
      <w:r w:rsidRPr="007175E2">
        <w:rPr>
          <w:rFonts w:ascii="Cambria" w:eastAsia="Batang" w:hAnsi="Cambria" w:cs="Calibri Light"/>
          <w:color w:val="000000"/>
        </w:rPr>
        <w:t>.</w:t>
      </w:r>
    </w:p>
    <w:p w14:paraId="649A0627" w14:textId="77777777" w:rsidR="005A5AE8" w:rsidRPr="007175E2" w:rsidRDefault="005A5AE8" w:rsidP="005A5AE8">
      <w:pPr>
        <w:spacing w:after="0" w:line="240" w:lineRule="auto"/>
        <w:ind w:firstLine="709"/>
        <w:contextualSpacing/>
        <w:jc w:val="both"/>
        <w:rPr>
          <w:rFonts w:ascii="Cambria" w:eastAsia="Batang" w:hAnsi="Cambria" w:cs="Calibri Light"/>
          <w:color w:val="000000"/>
        </w:rPr>
      </w:pPr>
    </w:p>
    <w:p w14:paraId="03EB02ED" w14:textId="77777777" w:rsidR="005A5AE8" w:rsidRPr="007175E2" w:rsidRDefault="005A5AE8" w:rsidP="005A5AE8">
      <w:pPr>
        <w:spacing w:after="0" w:line="240" w:lineRule="auto"/>
        <w:ind w:firstLine="709"/>
        <w:contextualSpacing/>
        <w:jc w:val="both"/>
        <w:rPr>
          <w:rFonts w:ascii="Cambria" w:eastAsia="Batang" w:hAnsi="Cambria" w:cs="Calibri Light"/>
          <w:color w:val="000000"/>
        </w:rPr>
      </w:pPr>
      <w:r w:rsidRPr="007175E2">
        <w:rPr>
          <w:rFonts w:ascii="Cambria" w:eastAsia="Batang" w:hAnsi="Cambria" w:cs="Calibri Light"/>
          <w:color w:val="000000"/>
        </w:rPr>
        <w:t>2.</w:t>
      </w:r>
      <w:r w:rsidRPr="007175E2">
        <w:rPr>
          <w:rFonts w:ascii="Cambria" w:eastAsia="Batang" w:hAnsi="Cambria" w:cs="Calibri Light"/>
          <w:color w:val="000000"/>
        </w:rPr>
        <w:tab/>
        <w:t>On April 14, 2016, the Commission approved the agreement signed by the parties, by means of Report No.16/16.</w:t>
      </w:r>
    </w:p>
    <w:p w14:paraId="2C684901" w14:textId="77777777" w:rsidR="00515127" w:rsidRDefault="00515127" w:rsidP="00515127">
      <w:pPr>
        <w:spacing w:after="0" w:line="240" w:lineRule="auto"/>
        <w:ind w:left="720"/>
        <w:contextualSpacing/>
        <w:jc w:val="both"/>
        <w:rPr>
          <w:rFonts w:ascii="Cambria" w:eastAsia="Batang" w:hAnsi="Cambria" w:cs="Calibri Light"/>
          <w:b/>
          <w:color w:val="000000"/>
        </w:rPr>
      </w:pPr>
    </w:p>
    <w:p w14:paraId="2AA8E635" w14:textId="77777777" w:rsidR="00515127" w:rsidRDefault="00515127" w:rsidP="00515127">
      <w:pPr>
        <w:spacing w:after="0" w:line="240" w:lineRule="auto"/>
        <w:ind w:left="720"/>
        <w:contextualSpacing/>
        <w:jc w:val="both"/>
        <w:rPr>
          <w:rFonts w:ascii="Cambria" w:eastAsia="Batang" w:hAnsi="Cambria" w:cs="Calibri Light"/>
          <w:b/>
          <w:color w:val="000000"/>
        </w:rPr>
      </w:pPr>
    </w:p>
    <w:p w14:paraId="52643CCE" w14:textId="77777777" w:rsidR="00515127" w:rsidRDefault="00515127" w:rsidP="00515127">
      <w:pPr>
        <w:spacing w:after="0" w:line="240" w:lineRule="auto"/>
        <w:ind w:left="720"/>
        <w:contextualSpacing/>
        <w:jc w:val="both"/>
        <w:rPr>
          <w:rFonts w:ascii="Cambria" w:eastAsia="Batang" w:hAnsi="Cambria" w:cs="Calibri Light"/>
          <w:b/>
          <w:color w:val="000000"/>
        </w:rPr>
      </w:pPr>
    </w:p>
    <w:p w14:paraId="384AA97E" w14:textId="2C945A98" w:rsidR="00660EF3" w:rsidRPr="007175E2" w:rsidRDefault="00660EF3" w:rsidP="00637AFB">
      <w:pPr>
        <w:numPr>
          <w:ilvl w:val="0"/>
          <w:numId w:val="24"/>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cs="Calibri Light"/>
          <w:b/>
          <w:color w:val="000000"/>
        </w:rPr>
        <w:lastRenderedPageBreak/>
        <w:t xml:space="preserve">ANALYSIS OF COMPLIANCE WITH THE CLAUSES OF THE FRIENDLY SETTLEMENT </w:t>
      </w:r>
    </w:p>
    <w:p w14:paraId="23552A21" w14:textId="77777777" w:rsidR="00660EF3" w:rsidRPr="007175E2" w:rsidRDefault="00660EF3" w:rsidP="00660EF3">
      <w:pPr>
        <w:spacing w:after="0" w:line="240" w:lineRule="auto"/>
        <w:ind w:left="720"/>
        <w:contextualSpacing/>
        <w:jc w:val="both"/>
        <w:rPr>
          <w:rFonts w:ascii="Cambria" w:eastAsia="Batang" w:hAnsi="Cambria" w:cs="Calibri Light"/>
          <w:b/>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660EF3" w:rsidRPr="007175E2" w14:paraId="6894506A" w14:textId="77777777" w:rsidTr="00655003">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3E0849" w14:textId="77777777" w:rsidR="00660EF3" w:rsidRPr="007175E2" w:rsidRDefault="00660EF3" w:rsidP="00F024F0">
            <w:pPr>
              <w:tabs>
                <w:tab w:val="center" w:pos="2049"/>
              </w:tabs>
              <w:spacing w:after="0" w:line="240" w:lineRule="auto"/>
              <w:jc w:val="center"/>
              <w:rPr>
                <w:rFonts w:ascii="Cambria" w:eastAsia="Batang" w:hAnsi="Cambria"/>
                <w:b/>
                <w:color w:val="000000"/>
              </w:rPr>
            </w:pPr>
            <w:r w:rsidRPr="007175E2">
              <w:rPr>
                <w:rFonts w:ascii="Cambria" w:eastAsia="Batang" w:hAnsi="Cambria"/>
                <w:b/>
                <w:color w:val="00000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D09943" w14:textId="77777777" w:rsidR="00660EF3" w:rsidRPr="007175E2" w:rsidRDefault="00660EF3" w:rsidP="00F024F0">
            <w:pPr>
              <w:spacing w:after="0" w:line="240" w:lineRule="auto"/>
              <w:jc w:val="center"/>
              <w:rPr>
                <w:rFonts w:ascii="Cambria" w:eastAsia="Batang" w:hAnsi="Cambria"/>
                <w:b/>
                <w:color w:val="000000"/>
              </w:rPr>
            </w:pPr>
            <w:r w:rsidRPr="007175E2">
              <w:rPr>
                <w:rFonts w:ascii="Cambria" w:eastAsia="Batang" w:hAnsi="Cambria"/>
                <w:b/>
                <w:color w:val="000000"/>
              </w:rPr>
              <w:t xml:space="preserve">Status of Implementation </w:t>
            </w:r>
          </w:p>
        </w:tc>
      </w:tr>
      <w:tr w:rsidR="00660EF3" w:rsidRPr="007175E2" w14:paraId="673F7855"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tcPr>
          <w:p w14:paraId="1CDDF1BD" w14:textId="77777777" w:rsidR="00660EF3" w:rsidRPr="007175E2" w:rsidRDefault="00660EF3" w:rsidP="00F024F0">
            <w:pPr>
              <w:spacing w:after="0" w:line="240" w:lineRule="auto"/>
              <w:jc w:val="both"/>
              <w:rPr>
                <w:rFonts w:ascii="Cambria" w:eastAsia="MS Mincho" w:hAnsi="Cambria"/>
                <w:lang w:eastAsia="es-ES_tradnl"/>
              </w:rPr>
            </w:pPr>
            <w:r w:rsidRPr="007175E2">
              <w:rPr>
                <w:rFonts w:ascii="Cambria" w:eastAsia="MS Mincho" w:hAnsi="Cambria"/>
                <w:b/>
                <w:lang w:eastAsia="es-ES_tradnl"/>
              </w:rPr>
              <w:t>SECOND.</w:t>
            </w:r>
            <w:r w:rsidRPr="007175E2">
              <w:rPr>
                <w:rFonts w:ascii="Cambria" w:eastAsia="MS Mincho" w:hAnsi="Cambria"/>
                <w:lang w:eastAsia="es-ES_tradnl"/>
              </w:rPr>
              <w:t xml:space="preserve"> The State commits to providing, in accordance with the Inter-American Court of Human Rights’ case law, as comprehensive redress for harm caused, a total of $498,927.00 Mexican pesos (four hundred and ninety-eight thousand, nine hundred and twenty-seven and 00/100).</w:t>
            </w:r>
          </w:p>
          <w:p w14:paraId="098FA379" w14:textId="77777777" w:rsidR="00660EF3" w:rsidRPr="007175E2" w:rsidRDefault="00660EF3" w:rsidP="00F024F0">
            <w:pPr>
              <w:spacing w:after="0" w:line="240" w:lineRule="auto"/>
              <w:jc w:val="both"/>
              <w:rPr>
                <w:rFonts w:ascii="Cambria" w:eastAsia="MS Mincho" w:hAnsi="Cambria"/>
                <w:lang w:eastAsia="es-ES_tradnl"/>
              </w:rPr>
            </w:pPr>
          </w:p>
          <w:p w14:paraId="667F1B31" w14:textId="77777777" w:rsidR="00660EF3" w:rsidRPr="007175E2" w:rsidRDefault="00660EF3" w:rsidP="00F024F0">
            <w:pPr>
              <w:spacing w:after="0" w:line="240" w:lineRule="auto"/>
              <w:jc w:val="both"/>
              <w:rPr>
                <w:rFonts w:ascii="Cambria" w:eastAsia="MS Mincho" w:hAnsi="Cambria"/>
                <w:lang w:eastAsia="es-ES_tradnl"/>
              </w:rPr>
            </w:pPr>
            <w:r w:rsidRPr="007175E2">
              <w:rPr>
                <w:rFonts w:ascii="Cambria" w:eastAsia="MS Mincho" w:hAnsi="Cambria"/>
                <w:lang w:eastAsia="es-ES_tradnl"/>
              </w:rPr>
              <w:t>The amount of $378,927.00 Mexican pesos (three hundred and seventy-eight thousand, nine hundred and twenty-seven and 00/100) will be paid by the Secretariat of the Interior, via the Unit for the Promotion and Defense of Human Rights, by means of delivery of the pertinent commercial documents within 30 business days as from the signature of this friendly settlement agreement.</w:t>
            </w:r>
          </w:p>
          <w:p w14:paraId="35431685" w14:textId="77777777" w:rsidR="00660EF3" w:rsidRPr="007175E2" w:rsidRDefault="00660EF3" w:rsidP="00F024F0">
            <w:pPr>
              <w:spacing w:after="0" w:line="240" w:lineRule="auto"/>
              <w:jc w:val="both"/>
              <w:rPr>
                <w:rFonts w:ascii="Cambria" w:eastAsia="MS Mincho" w:hAnsi="Cambria"/>
                <w:lang w:eastAsia="es-ES_tradnl"/>
              </w:rPr>
            </w:pPr>
          </w:p>
          <w:p w14:paraId="69C3BF7C" w14:textId="77777777" w:rsidR="00660EF3" w:rsidRPr="007175E2" w:rsidRDefault="00660EF3" w:rsidP="00F024F0">
            <w:pPr>
              <w:spacing w:after="0" w:line="240" w:lineRule="auto"/>
              <w:ind w:right="72"/>
              <w:jc w:val="both"/>
              <w:rPr>
                <w:rFonts w:ascii="Cambria" w:hAnsi="Cambria"/>
                <w:bCs/>
                <w:color w:val="000000"/>
                <w:kern w:val="36"/>
              </w:rPr>
            </w:pPr>
            <w:r w:rsidRPr="007175E2">
              <w:rPr>
                <w:rFonts w:ascii="Cambria" w:eastAsia="MS Mincho" w:hAnsi="Cambria"/>
                <w:lang w:eastAsia="es-ES_tradnl"/>
              </w:rPr>
              <w:t>The amount of $120,000.00 Mexican pesos (one hundred and twenty thousand and 00/100) will be paid by the Government of the State of Oaxaca, via the Office for Human Rights Assistance, by means of delivery of the pertinent commercial documents within 30 business days as from the signature of this friendly settlement agreement.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595E9B7" w14:textId="77777777" w:rsidR="00660EF3" w:rsidRPr="007175E2" w:rsidRDefault="00660EF3" w:rsidP="00F024F0">
            <w:pPr>
              <w:spacing w:after="0" w:line="240" w:lineRule="auto"/>
              <w:jc w:val="center"/>
              <w:rPr>
                <w:rFonts w:ascii="Cambria" w:eastAsia="MS Mincho" w:hAnsi="Cambria"/>
                <w:lang w:eastAsia="es-ES_tradnl"/>
              </w:rPr>
            </w:pPr>
          </w:p>
          <w:p w14:paraId="3333DA03" w14:textId="77777777" w:rsidR="00660EF3" w:rsidRPr="007175E2" w:rsidRDefault="00660EF3" w:rsidP="00F024F0">
            <w:pPr>
              <w:spacing w:after="0" w:line="240" w:lineRule="auto"/>
              <w:jc w:val="center"/>
              <w:rPr>
                <w:rFonts w:ascii="Cambria" w:eastAsia="Batang" w:hAnsi="Cambria"/>
                <w:b/>
                <w:bCs/>
                <w:color w:val="000000"/>
              </w:rPr>
            </w:pPr>
            <w:r w:rsidRPr="007175E2">
              <w:rPr>
                <w:rFonts w:ascii="Cambria" w:hAnsi="Cambria"/>
                <w:b/>
              </w:rPr>
              <w:t>Total</w:t>
            </w:r>
            <w:r w:rsidRPr="007175E2">
              <w:rPr>
                <w:rFonts w:ascii="Cambria" w:eastAsia="MS Mincho" w:hAnsi="Cambria"/>
                <w:vertAlign w:val="superscript"/>
                <w:lang w:eastAsia="es-ES_tradnl"/>
              </w:rPr>
              <w:footnoteReference w:id="1"/>
            </w:r>
          </w:p>
        </w:tc>
      </w:tr>
      <w:tr w:rsidR="00660EF3" w:rsidRPr="007175E2" w14:paraId="38C2855D" w14:textId="77777777" w:rsidTr="00655003">
        <w:trPr>
          <w:trHeight w:val="73"/>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08F84D84" w14:textId="77777777" w:rsidR="00660EF3" w:rsidRPr="007175E2" w:rsidRDefault="00660EF3" w:rsidP="00F024F0">
            <w:pPr>
              <w:spacing w:after="0" w:line="240" w:lineRule="auto"/>
              <w:rPr>
                <w:rFonts w:ascii="Cambria" w:eastAsia="Batang" w:hAnsi="Cambria"/>
                <w:b/>
                <w:color w:val="000000"/>
              </w:rPr>
            </w:pPr>
            <w:r w:rsidRPr="007175E2">
              <w:rPr>
                <w:rFonts w:ascii="Cambria" w:eastAsia="MS Mincho" w:hAnsi="Cambria"/>
                <w:b/>
                <w:lang w:eastAsia="es-ES_tradnl"/>
              </w:rPr>
              <w:t>THIRD.</w:t>
            </w:r>
            <w:r w:rsidRPr="007175E2">
              <w:rPr>
                <w:rFonts w:ascii="Cambria" w:eastAsia="MS Mincho" w:hAnsi="Cambria"/>
                <w:lang w:eastAsia="es-ES_tradnl"/>
              </w:rPr>
              <w:t xml:space="preserve"> The Mexican State commits to including Ms. Vicenta Sánchez Valdivieso in the following programs offered by the government of the State of Oaxaca:</w:t>
            </w:r>
          </w:p>
        </w:tc>
      </w:tr>
      <w:tr w:rsidR="00660EF3" w:rsidRPr="007175E2" w14:paraId="64F83F92" w14:textId="77777777" w:rsidTr="00655003">
        <w:trPr>
          <w:trHeight w:val="367"/>
          <w:jc w:val="center"/>
        </w:trPr>
        <w:tc>
          <w:tcPr>
            <w:tcW w:w="7371" w:type="dxa"/>
            <w:tcBorders>
              <w:top w:val="single" w:sz="4" w:space="0" w:color="auto"/>
              <w:left w:val="single" w:sz="4" w:space="0" w:color="auto"/>
              <w:bottom w:val="single" w:sz="4" w:space="0" w:color="auto"/>
              <w:right w:val="single" w:sz="4" w:space="0" w:color="auto"/>
            </w:tcBorders>
            <w:vAlign w:val="center"/>
          </w:tcPr>
          <w:p w14:paraId="19831468" w14:textId="77777777" w:rsidR="00660EF3" w:rsidRPr="007175E2" w:rsidRDefault="00660EF3" w:rsidP="00637AFB">
            <w:pPr>
              <w:numPr>
                <w:ilvl w:val="0"/>
                <w:numId w:val="25"/>
              </w:numPr>
              <w:spacing w:after="0" w:line="240" w:lineRule="auto"/>
              <w:ind w:left="33" w:right="72" w:firstLine="0"/>
              <w:jc w:val="both"/>
              <w:rPr>
                <w:rFonts w:ascii="Cambria" w:eastAsia="Times New Roman" w:hAnsi="Cambria"/>
                <w:bCs/>
              </w:rPr>
            </w:pPr>
            <w:r w:rsidRPr="007175E2">
              <w:rPr>
                <w:rFonts w:ascii="Cambria" w:eastAsia="MS Mincho" w:hAnsi="Cambria"/>
              </w:rPr>
              <w:t>“Productive program” under the Institute for Employment Training and Productivity of the State of Oaxaca.</w:t>
            </w:r>
          </w:p>
        </w:tc>
        <w:tc>
          <w:tcPr>
            <w:tcW w:w="1985" w:type="dxa"/>
            <w:tcBorders>
              <w:top w:val="single" w:sz="4" w:space="0" w:color="auto"/>
              <w:left w:val="single" w:sz="4" w:space="0" w:color="auto"/>
              <w:bottom w:val="single" w:sz="4" w:space="0" w:color="auto"/>
              <w:right w:val="single" w:sz="4" w:space="0" w:color="auto"/>
            </w:tcBorders>
            <w:vAlign w:val="center"/>
          </w:tcPr>
          <w:p w14:paraId="54B2A888" w14:textId="77777777" w:rsidR="00660EF3" w:rsidRPr="007175E2" w:rsidRDefault="00660EF3" w:rsidP="00F024F0">
            <w:pPr>
              <w:spacing w:after="0" w:line="240" w:lineRule="auto"/>
              <w:jc w:val="center"/>
              <w:rPr>
                <w:rFonts w:ascii="Cambria" w:hAnsi="Cambria"/>
                <w:b/>
                <w:color w:val="000000"/>
              </w:rPr>
            </w:pPr>
            <w:r w:rsidRPr="007175E2">
              <w:rPr>
                <w:rFonts w:ascii="Cambria" w:hAnsi="Cambria"/>
                <w:b/>
              </w:rPr>
              <w:t>Total</w:t>
            </w:r>
            <w:r w:rsidRPr="007175E2">
              <w:rPr>
                <w:rFonts w:ascii="Cambria" w:eastAsia="MS Mincho" w:hAnsi="Cambria"/>
                <w:vertAlign w:val="superscript"/>
                <w:lang w:eastAsia="es-ES_tradnl"/>
              </w:rPr>
              <w:footnoteReference w:id="2"/>
            </w:r>
          </w:p>
        </w:tc>
      </w:tr>
      <w:tr w:rsidR="00660EF3" w:rsidRPr="007175E2" w14:paraId="02E169E6" w14:textId="77777777" w:rsidTr="00655003">
        <w:trPr>
          <w:trHeight w:val="274"/>
          <w:jc w:val="center"/>
        </w:trPr>
        <w:tc>
          <w:tcPr>
            <w:tcW w:w="7371" w:type="dxa"/>
            <w:tcBorders>
              <w:top w:val="single" w:sz="4" w:space="0" w:color="auto"/>
              <w:left w:val="single" w:sz="4" w:space="0" w:color="auto"/>
              <w:bottom w:val="single" w:sz="4" w:space="0" w:color="auto"/>
              <w:right w:val="single" w:sz="4" w:space="0" w:color="auto"/>
            </w:tcBorders>
            <w:vAlign w:val="center"/>
          </w:tcPr>
          <w:p w14:paraId="22ABBFE6" w14:textId="77777777" w:rsidR="00660EF3" w:rsidRPr="007175E2" w:rsidRDefault="00660EF3" w:rsidP="00637AFB">
            <w:pPr>
              <w:numPr>
                <w:ilvl w:val="0"/>
                <w:numId w:val="25"/>
              </w:numPr>
              <w:spacing w:after="0" w:line="240" w:lineRule="auto"/>
              <w:ind w:left="33" w:right="72" w:firstLine="0"/>
              <w:jc w:val="both"/>
              <w:rPr>
                <w:rFonts w:ascii="Cambria" w:eastAsia="Times New Roman" w:hAnsi="Cambria"/>
                <w:bCs/>
              </w:rPr>
            </w:pPr>
            <w:r w:rsidRPr="007175E2">
              <w:rPr>
                <w:rFonts w:ascii="Cambria" w:eastAsia="MS Mincho" w:hAnsi="Cambria"/>
              </w:rPr>
              <w:t>Seed program and job training stipend.</w:t>
            </w:r>
          </w:p>
        </w:tc>
        <w:tc>
          <w:tcPr>
            <w:tcW w:w="1985" w:type="dxa"/>
            <w:tcBorders>
              <w:top w:val="single" w:sz="4" w:space="0" w:color="auto"/>
              <w:left w:val="single" w:sz="4" w:space="0" w:color="auto"/>
              <w:bottom w:val="single" w:sz="4" w:space="0" w:color="auto"/>
              <w:right w:val="single" w:sz="4" w:space="0" w:color="auto"/>
            </w:tcBorders>
            <w:vAlign w:val="center"/>
          </w:tcPr>
          <w:p w14:paraId="31ED97B3" w14:textId="77777777" w:rsidR="00660EF3" w:rsidRPr="007175E2" w:rsidRDefault="00660EF3" w:rsidP="00F024F0">
            <w:pPr>
              <w:spacing w:after="0" w:line="240" w:lineRule="auto"/>
              <w:jc w:val="center"/>
              <w:rPr>
                <w:rFonts w:ascii="Cambria" w:hAnsi="Cambria"/>
                <w:b/>
                <w:color w:val="000000"/>
              </w:rPr>
            </w:pPr>
            <w:r w:rsidRPr="007175E2">
              <w:rPr>
                <w:rFonts w:ascii="Cambria" w:hAnsi="Cambria"/>
                <w:b/>
              </w:rPr>
              <w:t>Total</w:t>
            </w:r>
            <w:r w:rsidRPr="007175E2">
              <w:rPr>
                <w:rFonts w:ascii="Cambria" w:eastAsia="MS Mincho" w:hAnsi="Cambria"/>
                <w:vertAlign w:val="superscript"/>
                <w:lang w:eastAsia="es-ES_tradnl"/>
              </w:rPr>
              <w:footnoteReference w:id="3"/>
            </w:r>
          </w:p>
        </w:tc>
      </w:tr>
      <w:tr w:rsidR="00660EF3" w:rsidRPr="007175E2" w14:paraId="537718D5" w14:textId="77777777" w:rsidTr="00655003">
        <w:trPr>
          <w:trHeight w:val="590"/>
          <w:jc w:val="center"/>
        </w:trPr>
        <w:tc>
          <w:tcPr>
            <w:tcW w:w="7371" w:type="dxa"/>
            <w:tcBorders>
              <w:top w:val="single" w:sz="4" w:space="0" w:color="auto"/>
              <w:left w:val="single" w:sz="4" w:space="0" w:color="auto"/>
              <w:bottom w:val="single" w:sz="4" w:space="0" w:color="auto"/>
              <w:right w:val="single" w:sz="4" w:space="0" w:color="auto"/>
            </w:tcBorders>
            <w:vAlign w:val="center"/>
          </w:tcPr>
          <w:p w14:paraId="1CA8550E" w14:textId="77777777" w:rsidR="00660EF3" w:rsidRPr="007175E2" w:rsidRDefault="00660EF3" w:rsidP="00637AFB">
            <w:pPr>
              <w:numPr>
                <w:ilvl w:val="0"/>
                <w:numId w:val="25"/>
              </w:numPr>
              <w:spacing w:after="0" w:line="240" w:lineRule="auto"/>
              <w:ind w:left="33" w:right="72" w:firstLine="0"/>
              <w:jc w:val="both"/>
              <w:rPr>
                <w:rFonts w:ascii="Cambria" w:eastAsia="Times New Roman" w:hAnsi="Cambria"/>
                <w:bCs/>
              </w:rPr>
            </w:pPr>
            <w:r w:rsidRPr="007175E2">
              <w:rPr>
                <w:rFonts w:ascii="Cambria" w:eastAsia="MS Mincho" w:hAnsi="Cambria"/>
              </w:rPr>
              <w:t>Medical insurance through the State of Oaxaca’s public insurance program.</w:t>
            </w:r>
          </w:p>
        </w:tc>
        <w:tc>
          <w:tcPr>
            <w:tcW w:w="1985" w:type="dxa"/>
            <w:tcBorders>
              <w:top w:val="single" w:sz="4" w:space="0" w:color="auto"/>
              <w:left w:val="single" w:sz="4" w:space="0" w:color="auto"/>
              <w:bottom w:val="single" w:sz="4" w:space="0" w:color="auto"/>
              <w:right w:val="single" w:sz="4" w:space="0" w:color="auto"/>
            </w:tcBorders>
            <w:vAlign w:val="center"/>
          </w:tcPr>
          <w:p w14:paraId="00D3ABEB" w14:textId="77777777" w:rsidR="00660EF3" w:rsidRPr="007175E2" w:rsidRDefault="00660EF3" w:rsidP="00F024F0">
            <w:pPr>
              <w:spacing w:after="0" w:line="240" w:lineRule="auto"/>
              <w:jc w:val="center"/>
              <w:rPr>
                <w:rFonts w:ascii="Cambria" w:hAnsi="Cambria"/>
                <w:b/>
                <w:color w:val="000000"/>
              </w:rPr>
            </w:pPr>
            <w:r w:rsidRPr="007175E2">
              <w:rPr>
                <w:rFonts w:ascii="Cambria" w:hAnsi="Cambria"/>
                <w:b/>
              </w:rPr>
              <w:t>Total</w:t>
            </w:r>
            <w:r w:rsidRPr="007175E2">
              <w:rPr>
                <w:rStyle w:val="FootnoteReference"/>
                <w:rFonts w:ascii="Cambria" w:eastAsia="MS Mincho" w:hAnsi="Cambria"/>
                <w:b/>
                <w:lang w:eastAsia="es-ES_tradnl"/>
              </w:rPr>
              <w:footnoteReference w:id="4"/>
            </w:r>
          </w:p>
        </w:tc>
      </w:tr>
      <w:tr w:rsidR="00660EF3" w:rsidRPr="007175E2" w14:paraId="5663699B" w14:textId="77777777" w:rsidTr="00655003">
        <w:trPr>
          <w:trHeight w:val="64"/>
          <w:jc w:val="center"/>
        </w:trPr>
        <w:tc>
          <w:tcPr>
            <w:tcW w:w="7371" w:type="dxa"/>
            <w:tcBorders>
              <w:top w:val="single" w:sz="4" w:space="0" w:color="auto"/>
              <w:left w:val="single" w:sz="4" w:space="0" w:color="auto"/>
              <w:bottom w:val="single" w:sz="4" w:space="0" w:color="auto"/>
              <w:right w:val="single" w:sz="4" w:space="0" w:color="auto"/>
            </w:tcBorders>
          </w:tcPr>
          <w:p w14:paraId="1B0081A4" w14:textId="77777777" w:rsidR="00660EF3" w:rsidRPr="007175E2" w:rsidRDefault="00660EF3" w:rsidP="00637AFB">
            <w:pPr>
              <w:numPr>
                <w:ilvl w:val="0"/>
                <w:numId w:val="25"/>
              </w:numPr>
              <w:spacing w:after="0" w:line="240" w:lineRule="auto"/>
              <w:ind w:left="33" w:right="72" w:firstLine="0"/>
              <w:jc w:val="both"/>
              <w:rPr>
                <w:rFonts w:ascii="Cambria" w:eastAsia="Times New Roman" w:hAnsi="Cambria"/>
                <w:bCs/>
              </w:rPr>
            </w:pPr>
            <w:r w:rsidRPr="007175E2">
              <w:rPr>
                <w:rFonts w:ascii="Cambria" w:eastAsia="MS Mincho" w:hAnsi="Cambria"/>
              </w:rPr>
              <w:t>Housing improvement support.</w:t>
            </w:r>
          </w:p>
        </w:tc>
        <w:tc>
          <w:tcPr>
            <w:tcW w:w="1985" w:type="dxa"/>
            <w:tcBorders>
              <w:top w:val="single" w:sz="4" w:space="0" w:color="auto"/>
              <w:left w:val="single" w:sz="4" w:space="0" w:color="auto"/>
              <w:bottom w:val="single" w:sz="4" w:space="0" w:color="auto"/>
              <w:right w:val="single" w:sz="4" w:space="0" w:color="auto"/>
            </w:tcBorders>
            <w:vAlign w:val="center"/>
          </w:tcPr>
          <w:p w14:paraId="7D7A42D9" w14:textId="77777777" w:rsidR="00660EF3" w:rsidRPr="007175E2" w:rsidRDefault="00660EF3" w:rsidP="00F024F0">
            <w:pPr>
              <w:spacing w:after="0" w:line="240" w:lineRule="auto"/>
              <w:jc w:val="center"/>
              <w:rPr>
                <w:rFonts w:ascii="Cambria" w:hAnsi="Cambria"/>
                <w:b/>
                <w:color w:val="000000"/>
              </w:rPr>
            </w:pPr>
            <w:r w:rsidRPr="007175E2">
              <w:rPr>
                <w:rFonts w:ascii="Cambria" w:eastAsia="MS Mincho" w:hAnsi="Cambria"/>
                <w:b/>
                <w:lang w:eastAsia="es-ES_tradnl"/>
              </w:rPr>
              <w:t>Total</w:t>
            </w:r>
            <w:r w:rsidRPr="007175E2">
              <w:rPr>
                <w:rStyle w:val="FootnoteReference"/>
                <w:rFonts w:ascii="Cambria" w:eastAsia="MS Mincho" w:hAnsi="Cambria"/>
                <w:b/>
                <w:lang w:eastAsia="es-ES_tradnl"/>
              </w:rPr>
              <w:footnoteReference w:id="5"/>
            </w:r>
          </w:p>
        </w:tc>
      </w:tr>
      <w:tr w:rsidR="005E3720" w:rsidRPr="007175E2" w14:paraId="3825324F" w14:textId="77777777" w:rsidTr="00FC62AE">
        <w:trPr>
          <w:trHeight w:val="64"/>
          <w:jc w:val="center"/>
        </w:trPr>
        <w:tc>
          <w:tcPr>
            <w:tcW w:w="7371" w:type="dxa"/>
            <w:tcBorders>
              <w:top w:val="single" w:sz="4" w:space="0" w:color="auto"/>
              <w:left w:val="single" w:sz="4" w:space="0" w:color="auto"/>
              <w:bottom w:val="single" w:sz="4" w:space="0" w:color="auto"/>
              <w:right w:val="single" w:sz="4" w:space="0" w:color="auto"/>
            </w:tcBorders>
          </w:tcPr>
          <w:p w14:paraId="2A82C142" w14:textId="1D1A5336" w:rsidR="005E3720" w:rsidRPr="007175E2" w:rsidRDefault="00806082" w:rsidP="00637AFB">
            <w:pPr>
              <w:numPr>
                <w:ilvl w:val="0"/>
                <w:numId w:val="25"/>
              </w:numPr>
              <w:spacing w:after="0" w:line="240" w:lineRule="auto"/>
              <w:ind w:left="33" w:right="72" w:firstLine="0"/>
              <w:jc w:val="both"/>
              <w:rPr>
                <w:rFonts w:ascii="Cambria" w:eastAsia="MS Mincho" w:hAnsi="Cambria"/>
              </w:rPr>
            </w:pPr>
            <w:r w:rsidRPr="007175E2">
              <w:rPr>
                <w:rFonts w:ascii="Cambria" w:eastAsia="MS Mincho" w:hAnsi="Cambria"/>
              </w:rPr>
              <w:t>Educational stipends for children between the ages of 4 and 14.</w:t>
            </w:r>
          </w:p>
        </w:tc>
        <w:tc>
          <w:tcPr>
            <w:tcW w:w="1985" w:type="dxa"/>
            <w:tcBorders>
              <w:top w:val="single" w:sz="4" w:space="0" w:color="auto"/>
              <w:left w:val="single" w:sz="4" w:space="0" w:color="auto"/>
              <w:bottom w:val="single" w:sz="4" w:space="0" w:color="auto"/>
              <w:right w:val="single" w:sz="4" w:space="0" w:color="auto"/>
            </w:tcBorders>
            <w:vAlign w:val="center"/>
          </w:tcPr>
          <w:p w14:paraId="753CCA2E" w14:textId="27AD5685" w:rsidR="005E3720" w:rsidRPr="007175E2" w:rsidRDefault="005E3720" w:rsidP="00F024F0">
            <w:pPr>
              <w:spacing w:after="0" w:line="240" w:lineRule="auto"/>
              <w:jc w:val="center"/>
              <w:rPr>
                <w:rFonts w:ascii="Cambria" w:eastAsia="MS Mincho" w:hAnsi="Cambria"/>
                <w:b/>
                <w:lang w:eastAsia="es-ES_tradnl"/>
              </w:rPr>
            </w:pPr>
            <w:r w:rsidRPr="007175E2">
              <w:rPr>
                <w:rFonts w:ascii="Cambria" w:eastAsia="MS Mincho" w:hAnsi="Cambria"/>
                <w:b/>
                <w:lang w:eastAsia="es-ES_tradnl"/>
              </w:rPr>
              <w:t>Total</w:t>
            </w:r>
            <w:r w:rsidR="00801509" w:rsidRPr="007175E2">
              <w:rPr>
                <w:rStyle w:val="FootnoteReference"/>
                <w:rFonts w:ascii="Cambria" w:eastAsia="MS Mincho" w:hAnsi="Cambria"/>
                <w:b/>
                <w:lang w:eastAsia="es-ES_tradnl"/>
              </w:rPr>
              <w:footnoteReference w:id="6"/>
            </w:r>
          </w:p>
        </w:tc>
      </w:tr>
    </w:tbl>
    <w:p w14:paraId="3ED73301" w14:textId="4F521B89" w:rsidR="00660EF3" w:rsidRDefault="00660EF3" w:rsidP="00660EF3">
      <w:pPr>
        <w:spacing w:after="0" w:line="240" w:lineRule="auto"/>
        <w:contextualSpacing/>
        <w:jc w:val="both"/>
        <w:rPr>
          <w:rFonts w:ascii="Cambria" w:eastAsia="Batang" w:hAnsi="Cambria" w:cs="Calibri Light"/>
          <w:b/>
          <w:color w:val="000000"/>
        </w:rPr>
      </w:pPr>
    </w:p>
    <w:p w14:paraId="1BF729DE" w14:textId="740DEDFB" w:rsidR="00B43180" w:rsidRDefault="00B43180" w:rsidP="00660EF3">
      <w:pPr>
        <w:spacing w:after="0" w:line="240" w:lineRule="auto"/>
        <w:contextualSpacing/>
        <w:jc w:val="both"/>
        <w:rPr>
          <w:rFonts w:ascii="Cambria" w:eastAsia="Batang" w:hAnsi="Cambria" w:cs="Calibri Light"/>
          <w:b/>
          <w:color w:val="000000"/>
        </w:rPr>
      </w:pPr>
    </w:p>
    <w:p w14:paraId="60CC8314" w14:textId="77777777" w:rsidR="00660EF3" w:rsidRPr="007175E2" w:rsidRDefault="00660EF3" w:rsidP="00637AFB">
      <w:pPr>
        <w:numPr>
          <w:ilvl w:val="0"/>
          <w:numId w:val="24"/>
        </w:numPr>
        <w:tabs>
          <w:tab w:val="left" w:pos="720"/>
        </w:tabs>
        <w:autoSpaceDE w:val="0"/>
        <w:autoSpaceDN w:val="0"/>
        <w:adjustRightInd w:val="0"/>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t xml:space="preserve">LEVEL OF COMPLIANCE OF THE CASE </w:t>
      </w:r>
    </w:p>
    <w:p w14:paraId="20CD8EAD" w14:textId="77777777" w:rsidR="00660EF3" w:rsidRPr="007175E2" w:rsidRDefault="00660EF3" w:rsidP="00660EF3">
      <w:pPr>
        <w:tabs>
          <w:tab w:val="left" w:pos="720"/>
        </w:tabs>
        <w:autoSpaceDE w:val="0"/>
        <w:autoSpaceDN w:val="0"/>
        <w:adjustRightInd w:val="0"/>
        <w:spacing w:after="0" w:line="240" w:lineRule="auto"/>
        <w:ind w:left="1440"/>
        <w:jc w:val="both"/>
        <w:rPr>
          <w:rFonts w:ascii="Cambria" w:eastAsia="Batang" w:hAnsi="Cambria"/>
          <w:color w:val="000000"/>
        </w:rPr>
      </w:pPr>
    </w:p>
    <w:p w14:paraId="08E758B8" w14:textId="2CC1E8D6" w:rsidR="00660EF3" w:rsidRPr="00B43180" w:rsidRDefault="00660EF3" w:rsidP="00B43180">
      <w:pPr>
        <w:pStyle w:val="ListParagraph"/>
        <w:numPr>
          <w:ilvl w:val="0"/>
          <w:numId w:val="40"/>
        </w:numPr>
        <w:autoSpaceDE w:val="0"/>
        <w:autoSpaceDN w:val="0"/>
        <w:adjustRightInd w:val="0"/>
        <w:spacing w:after="0" w:line="240" w:lineRule="auto"/>
        <w:ind w:left="0" w:firstLine="720"/>
        <w:jc w:val="both"/>
        <w:rPr>
          <w:rFonts w:ascii="Cambria" w:eastAsia="Batang" w:hAnsi="Cambria" w:cs="Calibri Light"/>
          <w:b/>
          <w:color w:val="080808"/>
        </w:rPr>
      </w:pPr>
      <w:r w:rsidRPr="00B43180">
        <w:rPr>
          <w:rFonts w:ascii="Cambria" w:hAnsi="Cambria"/>
          <w:color w:val="080808"/>
        </w:rPr>
        <w:t>The Commission declared full compliance with the case and the ceasing of the follow-up of the friendly settlement agreement in the 2021 Annual Report.</w:t>
      </w:r>
    </w:p>
    <w:p w14:paraId="3A1A8FDB" w14:textId="197A9DAB" w:rsidR="00CE74B7" w:rsidRDefault="00CE74B7" w:rsidP="00CE74B7">
      <w:pPr>
        <w:pStyle w:val="ListParagraph"/>
        <w:autoSpaceDE w:val="0"/>
        <w:autoSpaceDN w:val="0"/>
        <w:adjustRightInd w:val="0"/>
        <w:spacing w:after="0" w:line="240" w:lineRule="auto"/>
        <w:ind w:left="709"/>
        <w:jc w:val="both"/>
        <w:rPr>
          <w:rFonts w:ascii="Cambria" w:eastAsia="Batang" w:hAnsi="Cambria" w:cs="Calibri Light"/>
          <w:b/>
          <w:color w:val="080808"/>
          <w:highlight w:val="yellow"/>
        </w:rPr>
      </w:pPr>
    </w:p>
    <w:p w14:paraId="0FFF57BB" w14:textId="51D553A9" w:rsidR="00B43180" w:rsidRDefault="00B43180" w:rsidP="00CE74B7">
      <w:pPr>
        <w:pStyle w:val="ListParagraph"/>
        <w:autoSpaceDE w:val="0"/>
        <w:autoSpaceDN w:val="0"/>
        <w:adjustRightInd w:val="0"/>
        <w:spacing w:after="0" w:line="240" w:lineRule="auto"/>
        <w:ind w:left="709"/>
        <w:jc w:val="both"/>
        <w:rPr>
          <w:rFonts w:ascii="Cambria" w:eastAsia="Batang" w:hAnsi="Cambria" w:cs="Calibri Light"/>
          <w:b/>
          <w:color w:val="080808"/>
          <w:highlight w:val="yellow"/>
        </w:rPr>
      </w:pPr>
    </w:p>
    <w:p w14:paraId="7FF7531B" w14:textId="4E3C3568" w:rsidR="00B43180" w:rsidRDefault="00B43180" w:rsidP="00CE74B7">
      <w:pPr>
        <w:pStyle w:val="ListParagraph"/>
        <w:autoSpaceDE w:val="0"/>
        <w:autoSpaceDN w:val="0"/>
        <w:adjustRightInd w:val="0"/>
        <w:spacing w:after="0" w:line="240" w:lineRule="auto"/>
        <w:ind w:left="709"/>
        <w:jc w:val="both"/>
        <w:rPr>
          <w:rFonts w:ascii="Cambria" w:eastAsia="Batang" w:hAnsi="Cambria" w:cs="Calibri Light"/>
          <w:b/>
          <w:color w:val="080808"/>
          <w:highlight w:val="yellow"/>
        </w:rPr>
      </w:pPr>
    </w:p>
    <w:p w14:paraId="76D9C7B2" w14:textId="1BCEED9B" w:rsidR="00B43180" w:rsidRDefault="00B43180" w:rsidP="00CE74B7">
      <w:pPr>
        <w:pStyle w:val="ListParagraph"/>
        <w:autoSpaceDE w:val="0"/>
        <w:autoSpaceDN w:val="0"/>
        <w:adjustRightInd w:val="0"/>
        <w:spacing w:after="0" w:line="240" w:lineRule="auto"/>
        <w:ind w:left="709"/>
        <w:jc w:val="both"/>
        <w:rPr>
          <w:rFonts w:ascii="Cambria" w:eastAsia="Batang" w:hAnsi="Cambria" w:cs="Calibri Light"/>
          <w:b/>
          <w:color w:val="080808"/>
          <w:highlight w:val="yellow"/>
        </w:rPr>
      </w:pPr>
    </w:p>
    <w:p w14:paraId="6C7E032F" w14:textId="394D24E6" w:rsidR="00B43180" w:rsidRDefault="00B43180" w:rsidP="00CE74B7">
      <w:pPr>
        <w:pStyle w:val="ListParagraph"/>
        <w:autoSpaceDE w:val="0"/>
        <w:autoSpaceDN w:val="0"/>
        <w:adjustRightInd w:val="0"/>
        <w:spacing w:after="0" w:line="240" w:lineRule="auto"/>
        <w:ind w:left="709"/>
        <w:jc w:val="both"/>
        <w:rPr>
          <w:rFonts w:ascii="Cambria" w:eastAsia="Batang" w:hAnsi="Cambria" w:cs="Calibri Light"/>
          <w:b/>
          <w:color w:val="080808"/>
          <w:highlight w:val="yellow"/>
        </w:rPr>
      </w:pPr>
    </w:p>
    <w:p w14:paraId="5F8D6B16" w14:textId="77777777" w:rsidR="00B43180" w:rsidRDefault="00B43180" w:rsidP="00CE74B7">
      <w:pPr>
        <w:pStyle w:val="ListParagraph"/>
        <w:autoSpaceDE w:val="0"/>
        <w:autoSpaceDN w:val="0"/>
        <w:adjustRightInd w:val="0"/>
        <w:spacing w:after="0" w:line="240" w:lineRule="auto"/>
        <w:ind w:left="709"/>
        <w:jc w:val="both"/>
        <w:rPr>
          <w:rFonts w:ascii="Cambria" w:eastAsia="Batang" w:hAnsi="Cambria" w:cs="Calibri Light"/>
          <w:b/>
          <w:color w:val="080808"/>
          <w:highlight w:val="yellow"/>
        </w:rPr>
      </w:pPr>
    </w:p>
    <w:p w14:paraId="65A656DB" w14:textId="086AB623" w:rsidR="00660EF3" w:rsidRPr="005B0B9D" w:rsidRDefault="00660EF3" w:rsidP="005B0B9D">
      <w:pPr>
        <w:pStyle w:val="ListParagraph"/>
        <w:numPr>
          <w:ilvl w:val="0"/>
          <w:numId w:val="24"/>
        </w:numPr>
        <w:spacing w:after="0" w:line="240" w:lineRule="auto"/>
        <w:jc w:val="both"/>
        <w:rPr>
          <w:rFonts w:ascii="Cambria" w:eastAsia="Batang" w:hAnsi="Cambria" w:cs="Calibri Light"/>
          <w:b/>
          <w:color w:val="000000"/>
        </w:rPr>
      </w:pPr>
      <w:r w:rsidRPr="005B0B9D">
        <w:rPr>
          <w:rFonts w:ascii="Cambria" w:eastAsia="Batang" w:hAnsi="Cambria" w:cs="Calibri Light"/>
          <w:b/>
          <w:color w:val="000000"/>
        </w:rPr>
        <w:t xml:space="preserve">INDIVIDUAL AND STRUCTURAL OUTCOMES OF THE CASE </w:t>
      </w:r>
    </w:p>
    <w:p w14:paraId="395EF04B" w14:textId="77777777" w:rsidR="00660EF3" w:rsidRPr="007175E2" w:rsidRDefault="00660EF3" w:rsidP="00660EF3">
      <w:pPr>
        <w:spacing w:after="0" w:line="240" w:lineRule="auto"/>
        <w:ind w:firstLine="709"/>
        <w:contextualSpacing/>
        <w:jc w:val="both"/>
        <w:rPr>
          <w:rFonts w:ascii="Cambria" w:eastAsia="Batang" w:hAnsi="Cambria" w:cs="Calibri Light"/>
          <w:b/>
          <w:color w:val="000000"/>
        </w:rPr>
      </w:pPr>
    </w:p>
    <w:p w14:paraId="0A3533D5" w14:textId="77777777" w:rsidR="00660EF3" w:rsidRPr="007175E2" w:rsidRDefault="00660EF3" w:rsidP="00637AFB">
      <w:pPr>
        <w:numPr>
          <w:ilvl w:val="0"/>
          <w:numId w:val="26"/>
        </w:numPr>
        <w:spacing w:after="0" w:line="240" w:lineRule="auto"/>
        <w:ind w:left="0" w:firstLine="709"/>
        <w:contextualSpacing/>
        <w:jc w:val="both"/>
        <w:rPr>
          <w:rFonts w:ascii="Cambria" w:eastAsia="Batang" w:hAnsi="Cambria" w:cs="Calibri Light"/>
          <w:b/>
          <w:color w:val="000000"/>
        </w:rPr>
      </w:pPr>
      <w:r w:rsidRPr="007175E2">
        <w:rPr>
          <w:rFonts w:ascii="Cambria" w:eastAsia="Batang" w:hAnsi="Cambria" w:cs="Calibri Light"/>
          <w:b/>
          <w:color w:val="000000"/>
        </w:rPr>
        <w:t xml:space="preserve">Individual outcomes of the case </w:t>
      </w:r>
    </w:p>
    <w:p w14:paraId="361229E7" w14:textId="77777777" w:rsidR="00660EF3" w:rsidRPr="007175E2" w:rsidRDefault="00660EF3" w:rsidP="00660EF3">
      <w:pPr>
        <w:pStyle w:val="ListParagraph"/>
        <w:spacing w:after="0" w:line="240" w:lineRule="auto"/>
        <w:ind w:left="1418" w:hanging="709"/>
        <w:jc w:val="both"/>
        <w:rPr>
          <w:rFonts w:ascii="Cambria" w:hAnsi="Cambria" w:cs="Calibri Light"/>
          <w:b/>
          <w:color w:val="000000"/>
        </w:rPr>
      </w:pPr>
    </w:p>
    <w:p w14:paraId="71DE4D3E" w14:textId="77777777" w:rsidR="00F62829" w:rsidRPr="007175E2" w:rsidRDefault="00660EF3" w:rsidP="00637AFB">
      <w:pPr>
        <w:numPr>
          <w:ilvl w:val="0"/>
          <w:numId w:val="27"/>
        </w:numPr>
        <w:spacing w:after="0" w:line="240" w:lineRule="auto"/>
        <w:ind w:left="1418" w:hanging="709"/>
        <w:jc w:val="both"/>
        <w:rPr>
          <w:rFonts w:ascii="Cambria" w:eastAsia="MS Mincho" w:hAnsi="Cambria"/>
        </w:rPr>
      </w:pPr>
      <w:r w:rsidRPr="007175E2">
        <w:rPr>
          <w:rFonts w:ascii="Cambria" w:eastAsia="MS Mincho" w:hAnsi="Cambria"/>
        </w:rPr>
        <w:t>Two checks payable to Ms. Sanchez Valdivieso were delivered: one check issued by the government of Oaxaca in the amount of one hundred and twenty thousand Mexican pesos (MX$120,000.00), as well as a check issued by the Secretariat of the Interior in the amount of three</w:t>
      </w:r>
      <w:r w:rsidR="00F62829" w:rsidRPr="007175E2">
        <w:rPr>
          <w:rFonts w:ascii="Cambria" w:eastAsia="MS Mincho" w:hAnsi="Cambria"/>
        </w:rPr>
        <w:t xml:space="preserve"> hundred and seventy-eight thousand nine hundred and twenty-seven Mexican pesos (MX$378,927.00)</w:t>
      </w:r>
      <w:r w:rsidR="00CE024B" w:rsidRPr="007175E2">
        <w:rPr>
          <w:rFonts w:ascii="Cambria" w:eastAsia="MS Mincho" w:hAnsi="Cambria"/>
        </w:rPr>
        <w:t>.</w:t>
      </w:r>
    </w:p>
    <w:p w14:paraId="78464AEA" w14:textId="77777777" w:rsidR="00F62829" w:rsidRPr="007175E2" w:rsidRDefault="00F62829" w:rsidP="00637AFB">
      <w:pPr>
        <w:numPr>
          <w:ilvl w:val="0"/>
          <w:numId w:val="27"/>
        </w:numPr>
        <w:spacing w:after="0" w:line="240" w:lineRule="auto"/>
        <w:ind w:left="1418" w:hanging="709"/>
        <w:jc w:val="both"/>
        <w:rPr>
          <w:rFonts w:ascii="Cambria" w:eastAsia="MS Mincho" w:hAnsi="Cambria"/>
        </w:rPr>
      </w:pPr>
      <w:r w:rsidRPr="007175E2">
        <w:rPr>
          <w:rFonts w:ascii="Cambria" w:eastAsia="MS Mincho" w:hAnsi="Cambria"/>
        </w:rPr>
        <w:t>On December 10, 2012, the government of Oaxaca furnished property to the victim and her family under the “Self-Employed Occupational Initiative” that included a chicken rotisserie machine for Ms. Vicenta Sánchez Valdivieso and equipment to start her own business, “Rosticería Ña Vicenta.”</w:t>
      </w:r>
    </w:p>
    <w:p w14:paraId="3BB4FBE7" w14:textId="77777777" w:rsidR="00F62829" w:rsidRPr="007175E2" w:rsidRDefault="00F62829" w:rsidP="00637AFB">
      <w:pPr>
        <w:numPr>
          <w:ilvl w:val="0"/>
          <w:numId w:val="27"/>
        </w:numPr>
        <w:spacing w:after="0" w:line="240" w:lineRule="auto"/>
        <w:ind w:left="1418" w:hanging="709"/>
        <w:jc w:val="both"/>
        <w:rPr>
          <w:rFonts w:ascii="Cambria" w:eastAsia="MS Mincho" w:hAnsi="Cambria"/>
        </w:rPr>
      </w:pPr>
      <w:r w:rsidRPr="007175E2">
        <w:rPr>
          <w:rFonts w:ascii="Cambria" w:eastAsia="MS Mincho" w:hAnsi="Cambria"/>
        </w:rPr>
        <w:t>Training was provided to the petitioners in the use and operation of the chicken rotisserie, in keeping with the plan for self-employment. The seed program is focused on business project development through the financing of activities to help launch entrepreneurial endeavors</w:t>
      </w:r>
      <w:r w:rsidR="00CE024B" w:rsidRPr="007175E2">
        <w:rPr>
          <w:rFonts w:ascii="Cambria" w:eastAsia="MS Mincho" w:hAnsi="Cambria"/>
        </w:rPr>
        <w:t>.</w:t>
      </w:r>
    </w:p>
    <w:p w14:paraId="379D58B2" w14:textId="77777777" w:rsidR="00B43180" w:rsidRDefault="00F62829" w:rsidP="00B43180">
      <w:pPr>
        <w:numPr>
          <w:ilvl w:val="0"/>
          <w:numId w:val="27"/>
        </w:numPr>
        <w:spacing w:after="0" w:line="240" w:lineRule="auto"/>
        <w:ind w:left="1418" w:hanging="709"/>
        <w:jc w:val="both"/>
        <w:rPr>
          <w:rFonts w:ascii="Cambria" w:eastAsia="MS Mincho" w:hAnsi="Cambria"/>
        </w:rPr>
      </w:pPr>
      <w:r w:rsidRPr="007175E2">
        <w:rPr>
          <w:rFonts w:ascii="Cambria" w:eastAsia="MS Mincho" w:hAnsi="Cambria"/>
        </w:rPr>
        <w:t>Checks to pay for scholarships were given to the petitioner's relatives</w:t>
      </w:r>
      <w:r w:rsidR="00CE024B" w:rsidRPr="007175E2">
        <w:rPr>
          <w:rFonts w:ascii="Cambria" w:eastAsia="MS Mincho" w:hAnsi="Cambria"/>
        </w:rPr>
        <w:t>.</w:t>
      </w:r>
    </w:p>
    <w:p w14:paraId="4914ED11" w14:textId="00BEED2C" w:rsidR="00F62829" w:rsidRPr="00B43180" w:rsidRDefault="00F62829" w:rsidP="00B43180">
      <w:pPr>
        <w:numPr>
          <w:ilvl w:val="0"/>
          <w:numId w:val="27"/>
        </w:numPr>
        <w:spacing w:after="0" w:line="240" w:lineRule="auto"/>
        <w:ind w:left="1418" w:hanging="709"/>
        <w:jc w:val="both"/>
        <w:rPr>
          <w:rFonts w:ascii="Cambria" w:eastAsia="MS Mincho" w:hAnsi="Cambria"/>
        </w:rPr>
      </w:pPr>
      <w:r w:rsidRPr="00B43180">
        <w:rPr>
          <w:rFonts w:ascii="Cambria" w:eastAsia="MS Mincho" w:hAnsi="Cambria"/>
          <w:color w:val="000000"/>
        </w:rPr>
        <w:t xml:space="preserve">The State provided support for housing improvements in the amount of </w:t>
      </w:r>
      <w:r w:rsidRPr="00B43180">
        <w:rPr>
          <w:rFonts w:ascii="Cambria" w:eastAsia="MS Mincho" w:hAnsi="Cambria"/>
          <w:color w:val="000000"/>
          <w:lang w:eastAsia="es-ES_tradnl"/>
        </w:rPr>
        <w:t>$15,000.00 pesos (fifteen thousand Mexican pesos).</w:t>
      </w:r>
    </w:p>
    <w:sectPr w:rsidR="00F62829" w:rsidRPr="00B43180" w:rsidSect="0051512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458E" w14:textId="77777777" w:rsidR="00987064" w:rsidRDefault="00987064" w:rsidP="00A343FF">
      <w:pPr>
        <w:spacing w:after="0" w:line="240" w:lineRule="auto"/>
      </w:pPr>
      <w:r>
        <w:separator/>
      </w:r>
    </w:p>
  </w:endnote>
  <w:endnote w:type="continuationSeparator" w:id="0">
    <w:p w14:paraId="7127DD39" w14:textId="77777777" w:rsidR="00987064" w:rsidRDefault="00987064"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F71F"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0B0361"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4F55" w14:textId="77777777" w:rsidR="00987064" w:rsidRDefault="00987064" w:rsidP="00A343FF">
      <w:pPr>
        <w:spacing w:after="0" w:line="240" w:lineRule="auto"/>
      </w:pPr>
      <w:r>
        <w:separator/>
      </w:r>
    </w:p>
  </w:footnote>
  <w:footnote w:type="continuationSeparator" w:id="0">
    <w:p w14:paraId="2A9210D5" w14:textId="77777777" w:rsidR="00987064" w:rsidRDefault="00987064" w:rsidP="00A343FF">
      <w:pPr>
        <w:spacing w:after="0" w:line="240" w:lineRule="auto"/>
      </w:pPr>
      <w:r>
        <w:continuationSeparator/>
      </w:r>
    </w:p>
  </w:footnote>
  <w:footnote w:id="1">
    <w:p w14:paraId="339816D0" w14:textId="77777777" w:rsidR="00660EF3" w:rsidRPr="00637AFB" w:rsidRDefault="00660EF3" w:rsidP="007175E2">
      <w:pPr>
        <w:pStyle w:val="FootnoteText"/>
        <w:tabs>
          <w:tab w:val="left" w:pos="900"/>
        </w:tabs>
        <w:ind w:firstLine="709"/>
        <w:jc w:val="both"/>
        <w:rPr>
          <w:rFonts w:ascii="Cambria" w:hAnsi="Cambria"/>
          <w:color w:val="000000"/>
          <w:sz w:val="16"/>
          <w:szCs w:val="16"/>
        </w:rPr>
      </w:pPr>
      <w:r w:rsidRPr="00637AFB">
        <w:rPr>
          <w:rFonts w:ascii="Cambria" w:hAnsi="Cambria"/>
          <w:color w:val="000000"/>
          <w:sz w:val="16"/>
          <w:szCs w:val="16"/>
          <w:vertAlign w:val="superscript"/>
        </w:rPr>
        <w:footnoteRef/>
      </w:r>
      <w:r w:rsidRPr="00637AFB">
        <w:rPr>
          <w:rFonts w:ascii="Cambria" w:hAnsi="Cambria"/>
          <w:color w:val="000000"/>
          <w:sz w:val="16"/>
          <w:szCs w:val="16"/>
        </w:rPr>
        <w:t xml:space="preserve"> IACHR, Report No. 16/16, Case 12.847, Friendly Settlement, Vicenta Sanchez Valdivieso, Mexico.</w:t>
      </w:r>
    </w:p>
  </w:footnote>
  <w:footnote w:id="2">
    <w:p w14:paraId="6CAFEE0B" w14:textId="77777777" w:rsidR="00660EF3" w:rsidRPr="00637AFB" w:rsidRDefault="00660EF3" w:rsidP="007175E2">
      <w:pPr>
        <w:pStyle w:val="FootnoteText"/>
        <w:tabs>
          <w:tab w:val="left" w:pos="900"/>
        </w:tabs>
        <w:ind w:firstLine="709"/>
        <w:jc w:val="both"/>
        <w:rPr>
          <w:rFonts w:ascii="Cambria" w:hAnsi="Cambria"/>
          <w:color w:val="000000"/>
          <w:sz w:val="16"/>
          <w:szCs w:val="16"/>
        </w:rPr>
      </w:pPr>
      <w:r w:rsidRPr="00637AFB">
        <w:rPr>
          <w:rFonts w:ascii="Cambria" w:hAnsi="Cambria"/>
          <w:color w:val="000000"/>
          <w:sz w:val="16"/>
          <w:szCs w:val="16"/>
          <w:vertAlign w:val="superscript"/>
        </w:rPr>
        <w:footnoteRef/>
      </w:r>
      <w:r w:rsidRPr="00637AFB">
        <w:rPr>
          <w:rFonts w:ascii="Cambria" w:hAnsi="Cambria"/>
          <w:color w:val="000000"/>
          <w:sz w:val="16"/>
          <w:szCs w:val="16"/>
        </w:rPr>
        <w:t xml:space="preserve"> IACHR, Report No. 16/16, Case 12.847, Friendly Settlement, Vicenta Sanchez Valdivieso, Mexico. </w:t>
      </w:r>
    </w:p>
  </w:footnote>
  <w:footnote w:id="3">
    <w:p w14:paraId="344C1CF3" w14:textId="77777777" w:rsidR="00660EF3" w:rsidRPr="00637AFB" w:rsidRDefault="00660EF3" w:rsidP="007175E2">
      <w:pPr>
        <w:pStyle w:val="FootnoteText"/>
        <w:tabs>
          <w:tab w:val="left" w:pos="900"/>
        </w:tabs>
        <w:ind w:firstLine="709"/>
        <w:jc w:val="both"/>
        <w:rPr>
          <w:rFonts w:ascii="Cambria" w:hAnsi="Cambria"/>
          <w:color w:val="000000"/>
          <w:sz w:val="16"/>
          <w:szCs w:val="16"/>
        </w:rPr>
      </w:pPr>
      <w:r w:rsidRPr="00637AFB">
        <w:rPr>
          <w:rFonts w:ascii="Cambria" w:hAnsi="Cambria"/>
          <w:color w:val="000000"/>
          <w:sz w:val="16"/>
          <w:szCs w:val="16"/>
          <w:vertAlign w:val="superscript"/>
        </w:rPr>
        <w:footnoteRef/>
      </w:r>
      <w:r w:rsidRPr="00637AFB">
        <w:rPr>
          <w:rFonts w:ascii="Cambria" w:hAnsi="Cambria"/>
          <w:color w:val="000000"/>
          <w:sz w:val="16"/>
          <w:szCs w:val="16"/>
        </w:rPr>
        <w:t xml:space="preserve"> IACHR, Report No. 16/16, Case 12.847, Friendly Settlement, Vicenta Sanchez Valdivieso, Mexico.</w:t>
      </w:r>
    </w:p>
  </w:footnote>
  <w:footnote w:id="4">
    <w:p w14:paraId="66FF60FB" w14:textId="77777777" w:rsidR="00660EF3" w:rsidRPr="00637AFB" w:rsidRDefault="00660EF3" w:rsidP="007175E2">
      <w:pPr>
        <w:pStyle w:val="FootnoteText"/>
        <w:tabs>
          <w:tab w:val="left" w:pos="810"/>
          <w:tab w:val="left" w:pos="900"/>
          <w:tab w:val="left" w:pos="990"/>
          <w:tab w:val="left" w:pos="2070"/>
          <w:tab w:val="left" w:pos="3150"/>
          <w:tab w:val="left" w:pos="9270"/>
        </w:tabs>
        <w:ind w:firstLine="709"/>
        <w:jc w:val="both"/>
        <w:rPr>
          <w:rFonts w:ascii="Cambria" w:hAnsi="Cambria"/>
          <w:color w:val="000000" w:themeColor="text1"/>
          <w:sz w:val="16"/>
          <w:szCs w:val="16"/>
        </w:rPr>
      </w:pPr>
      <w:r w:rsidRPr="00637AFB">
        <w:rPr>
          <w:rStyle w:val="FootnoteReference"/>
          <w:rFonts w:ascii="Cambria" w:hAnsi="Cambria"/>
          <w:sz w:val="16"/>
          <w:szCs w:val="16"/>
        </w:rPr>
        <w:footnoteRef/>
      </w:r>
      <w:r w:rsidRPr="00637AFB">
        <w:rPr>
          <w:rFonts w:ascii="Cambria" w:hAnsi="Cambria"/>
          <w:color w:val="000000"/>
          <w:sz w:val="16"/>
          <w:szCs w:val="16"/>
        </w:rPr>
        <w:t xml:space="preserve">See IACHR, Annual Report 2019, Chapter II, Section G. Friendly Settlements. Available at: </w:t>
      </w:r>
      <w:hyperlink r:id="rId1" w:history="1">
        <w:r w:rsidRPr="00637AFB">
          <w:rPr>
            <w:rStyle w:val="Hyperlink"/>
            <w:rFonts w:ascii="Cambria" w:hAnsi="Cambria"/>
            <w:color w:val="000000" w:themeColor="text1"/>
            <w:sz w:val="16"/>
            <w:szCs w:val="16"/>
          </w:rPr>
          <w:t>http://www.oas.org/es/cidh/docs/anual/2019/docs/IA2019cap2-es.pdf</w:t>
        </w:r>
      </w:hyperlink>
    </w:p>
  </w:footnote>
  <w:footnote w:id="5">
    <w:p w14:paraId="6E385AB1" w14:textId="77777777" w:rsidR="00660EF3" w:rsidRPr="00637AFB" w:rsidRDefault="00660EF3" w:rsidP="007175E2">
      <w:pPr>
        <w:pStyle w:val="FootnoteText"/>
        <w:ind w:firstLine="709"/>
        <w:jc w:val="both"/>
        <w:rPr>
          <w:rFonts w:ascii="Cambria" w:hAnsi="Cambria"/>
          <w:sz w:val="16"/>
          <w:szCs w:val="16"/>
        </w:rPr>
      </w:pPr>
      <w:r w:rsidRPr="00637AFB">
        <w:rPr>
          <w:rStyle w:val="FootnoteReference"/>
          <w:rFonts w:ascii="Cambria" w:hAnsi="Cambria"/>
          <w:color w:val="000000" w:themeColor="text1"/>
          <w:sz w:val="16"/>
          <w:szCs w:val="16"/>
        </w:rPr>
        <w:footnoteRef/>
      </w:r>
      <w:r w:rsidRPr="00637AFB">
        <w:rPr>
          <w:rFonts w:ascii="Cambria" w:hAnsi="Cambria"/>
          <w:color w:val="000000" w:themeColor="text1"/>
          <w:sz w:val="16"/>
          <w:szCs w:val="16"/>
        </w:rPr>
        <w:t xml:space="preserve"> See IACHR, Annual Report 2021, Chapter II, Section F: Progress and Setbacks in the Negotiation and Implementation of Friendly Settlement Agreements, Available at: https://www.oas.org/es/cidh/docs/anual/2021/capitulos/IA2021cap2-es.pdf.</w:t>
      </w:r>
    </w:p>
  </w:footnote>
  <w:footnote w:id="6">
    <w:p w14:paraId="3FDCF3E0" w14:textId="41B4AA00" w:rsidR="00801509" w:rsidRPr="007175E2" w:rsidRDefault="00801509" w:rsidP="007175E2">
      <w:pPr>
        <w:pStyle w:val="FootnoteText"/>
        <w:ind w:firstLine="720"/>
        <w:rPr>
          <w:rFonts w:ascii="Cambria" w:hAnsi="Cambria"/>
          <w:sz w:val="16"/>
          <w:szCs w:val="16"/>
        </w:rPr>
      </w:pPr>
      <w:r w:rsidRPr="00637AFB">
        <w:rPr>
          <w:rStyle w:val="FootnoteReference"/>
          <w:rFonts w:ascii="Cambria" w:hAnsi="Cambria"/>
          <w:sz w:val="16"/>
          <w:szCs w:val="16"/>
        </w:rPr>
        <w:footnoteRef/>
      </w:r>
      <w:r w:rsidRPr="00637AFB">
        <w:rPr>
          <w:rFonts w:ascii="Cambria" w:hAnsi="Cambria"/>
          <w:sz w:val="16"/>
          <w:szCs w:val="16"/>
        </w:rPr>
        <w:t xml:space="preserve"> </w:t>
      </w:r>
      <w:r w:rsidRPr="00637AFB">
        <w:rPr>
          <w:rFonts w:ascii="Cambria" w:hAnsi="Cambria"/>
          <w:color w:val="000000"/>
          <w:sz w:val="16"/>
          <w:szCs w:val="16"/>
        </w:rPr>
        <w:t>IACHR, Report No. 16/16, Case 12.847, Friendly Settlement, Vicenta Sanchez Valdivieso, Mexico.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EDE9"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0B0361">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5168"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0B0361"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8"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3EA2039"/>
    <w:multiLevelType w:val="hybridMultilevel"/>
    <w:tmpl w:val="1E027E30"/>
    <w:lvl w:ilvl="0" w:tplc="231081EE">
      <w:start w:val="3"/>
      <w:numFmt w:val="decimal"/>
      <w:lvlText w:val="%1."/>
      <w:lvlJc w:val="left"/>
      <w:pPr>
        <w:ind w:left="720" w:hanging="360"/>
      </w:pPr>
      <w:rPr>
        <w:rFonts w:eastAsia="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1"/>
  </w:num>
  <w:num w:numId="2" w16cid:durableId="453600156">
    <w:abstractNumId w:val="28"/>
  </w:num>
  <w:num w:numId="3" w16cid:durableId="897327684">
    <w:abstractNumId w:val="18"/>
  </w:num>
  <w:num w:numId="4" w16cid:durableId="1141650489">
    <w:abstractNumId w:val="27"/>
  </w:num>
  <w:num w:numId="5" w16cid:durableId="746342540">
    <w:abstractNumId w:val="13"/>
  </w:num>
  <w:num w:numId="6" w16cid:durableId="1621692518">
    <w:abstractNumId w:val="6"/>
  </w:num>
  <w:num w:numId="7" w16cid:durableId="971790784">
    <w:abstractNumId w:val="1"/>
  </w:num>
  <w:num w:numId="8" w16cid:durableId="1387029646">
    <w:abstractNumId w:val="35"/>
  </w:num>
  <w:num w:numId="9" w16cid:durableId="1086881292">
    <w:abstractNumId w:val="7"/>
  </w:num>
  <w:num w:numId="10" w16cid:durableId="1292322756">
    <w:abstractNumId w:val="12"/>
  </w:num>
  <w:num w:numId="11" w16cid:durableId="1000500350">
    <w:abstractNumId w:val="2"/>
  </w:num>
  <w:num w:numId="12" w16cid:durableId="1706103099">
    <w:abstractNumId w:val="34"/>
  </w:num>
  <w:num w:numId="13" w16cid:durableId="1756710271">
    <w:abstractNumId w:val="20"/>
  </w:num>
  <w:num w:numId="14" w16cid:durableId="1099252676">
    <w:abstractNumId w:val="38"/>
  </w:num>
  <w:num w:numId="15" w16cid:durableId="1030109151">
    <w:abstractNumId w:val="16"/>
  </w:num>
  <w:num w:numId="16" w16cid:durableId="1722748191">
    <w:abstractNumId w:val="15"/>
  </w:num>
  <w:num w:numId="17" w16cid:durableId="351491452">
    <w:abstractNumId w:val="26"/>
  </w:num>
  <w:num w:numId="18" w16cid:durableId="1027633537">
    <w:abstractNumId w:val="9"/>
  </w:num>
  <w:num w:numId="19" w16cid:durableId="457845413">
    <w:abstractNumId w:val="25"/>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19"/>
  </w:num>
  <w:num w:numId="22" w16cid:durableId="2003926928">
    <w:abstractNumId w:val="10"/>
  </w:num>
  <w:num w:numId="23" w16cid:durableId="1497725357">
    <w:abstractNumId w:val="21"/>
  </w:num>
  <w:num w:numId="24" w16cid:durableId="307248652">
    <w:abstractNumId w:val="23"/>
  </w:num>
  <w:num w:numId="25" w16cid:durableId="1985550389">
    <w:abstractNumId w:val="5"/>
  </w:num>
  <w:num w:numId="26" w16cid:durableId="1478456909">
    <w:abstractNumId w:val="8"/>
  </w:num>
  <w:num w:numId="27" w16cid:durableId="1176925587">
    <w:abstractNumId w:val="3"/>
  </w:num>
  <w:num w:numId="28" w16cid:durableId="1876766616">
    <w:abstractNumId w:val="36"/>
  </w:num>
  <w:num w:numId="29" w16cid:durableId="2142572164">
    <w:abstractNumId w:val="33"/>
  </w:num>
  <w:num w:numId="30" w16cid:durableId="571933528">
    <w:abstractNumId w:val="30"/>
  </w:num>
  <w:num w:numId="31" w16cid:durableId="1861430946">
    <w:abstractNumId w:val="14"/>
  </w:num>
  <w:num w:numId="32" w16cid:durableId="803893092">
    <w:abstractNumId w:val="17"/>
  </w:num>
  <w:num w:numId="33" w16cid:durableId="1739936026">
    <w:abstractNumId w:val="4"/>
  </w:num>
  <w:num w:numId="34" w16cid:durableId="1458915668">
    <w:abstractNumId w:val="29"/>
  </w:num>
  <w:num w:numId="35" w16cid:durableId="1599485303">
    <w:abstractNumId w:val="39"/>
  </w:num>
  <w:num w:numId="36" w16cid:durableId="1664964272">
    <w:abstractNumId w:val="37"/>
  </w:num>
  <w:num w:numId="37" w16cid:durableId="2074966919">
    <w:abstractNumId w:val="32"/>
  </w:num>
  <w:num w:numId="38" w16cid:durableId="20934263">
    <w:abstractNumId w:val="22"/>
  </w:num>
  <w:num w:numId="39" w16cid:durableId="195656616">
    <w:abstractNumId w:val="24"/>
  </w:num>
  <w:num w:numId="40" w16cid:durableId="1087269491">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4D00"/>
    <w:rsid w:val="00096079"/>
    <w:rsid w:val="000B0361"/>
    <w:rsid w:val="000B3203"/>
    <w:rsid w:val="000B3318"/>
    <w:rsid w:val="000D32B6"/>
    <w:rsid w:val="001011E0"/>
    <w:rsid w:val="00101E3E"/>
    <w:rsid w:val="00112395"/>
    <w:rsid w:val="0012326D"/>
    <w:rsid w:val="0012586C"/>
    <w:rsid w:val="00127F17"/>
    <w:rsid w:val="001511FD"/>
    <w:rsid w:val="001541D4"/>
    <w:rsid w:val="00162518"/>
    <w:rsid w:val="001834F6"/>
    <w:rsid w:val="001C516B"/>
    <w:rsid w:val="001E3F4C"/>
    <w:rsid w:val="00215215"/>
    <w:rsid w:val="0021669C"/>
    <w:rsid w:val="00226F48"/>
    <w:rsid w:val="00240E8E"/>
    <w:rsid w:val="002547E7"/>
    <w:rsid w:val="00260836"/>
    <w:rsid w:val="00277604"/>
    <w:rsid w:val="002859A9"/>
    <w:rsid w:val="00292B52"/>
    <w:rsid w:val="00294A83"/>
    <w:rsid w:val="00294B17"/>
    <w:rsid w:val="002A39B2"/>
    <w:rsid w:val="002D40CD"/>
    <w:rsid w:val="002E4FBC"/>
    <w:rsid w:val="002F156A"/>
    <w:rsid w:val="00324C1A"/>
    <w:rsid w:val="00335042"/>
    <w:rsid w:val="00336E78"/>
    <w:rsid w:val="003419CC"/>
    <w:rsid w:val="00343CED"/>
    <w:rsid w:val="0036283E"/>
    <w:rsid w:val="00385F0C"/>
    <w:rsid w:val="00393310"/>
    <w:rsid w:val="00394EEF"/>
    <w:rsid w:val="003C4836"/>
    <w:rsid w:val="003E4C2F"/>
    <w:rsid w:val="003E533F"/>
    <w:rsid w:val="003E6F57"/>
    <w:rsid w:val="003F3C6B"/>
    <w:rsid w:val="00402700"/>
    <w:rsid w:val="00417964"/>
    <w:rsid w:val="00420BB1"/>
    <w:rsid w:val="0043583A"/>
    <w:rsid w:val="004545D1"/>
    <w:rsid w:val="00470C7B"/>
    <w:rsid w:val="0047146A"/>
    <w:rsid w:val="004722BC"/>
    <w:rsid w:val="00472E04"/>
    <w:rsid w:val="0047567D"/>
    <w:rsid w:val="00477BF2"/>
    <w:rsid w:val="004B3074"/>
    <w:rsid w:val="004B7CA6"/>
    <w:rsid w:val="004C6CCF"/>
    <w:rsid w:val="004C7C99"/>
    <w:rsid w:val="004F5CA9"/>
    <w:rsid w:val="004F5F70"/>
    <w:rsid w:val="00504855"/>
    <w:rsid w:val="005145CC"/>
    <w:rsid w:val="00515127"/>
    <w:rsid w:val="005205B9"/>
    <w:rsid w:val="00534F2B"/>
    <w:rsid w:val="005566F5"/>
    <w:rsid w:val="005829B9"/>
    <w:rsid w:val="00594A1B"/>
    <w:rsid w:val="005A328E"/>
    <w:rsid w:val="005A4D20"/>
    <w:rsid w:val="005A5AE8"/>
    <w:rsid w:val="005A5E14"/>
    <w:rsid w:val="005B0B9D"/>
    <w:rsid w:val="005B2E65"/>
    <w:rsid w:val="005C2637"/>
    <w:rsid w:val="005C414D"/>
    <w:rsid w:val="005D7F05"/>
    <w:rsid w:val="005E3720"/>
    <w:rsid w:val="005E4B03"/>
    <w:rsid w:val="005F171A"/>
    <w:rsid w:val="005F4AAA"/>
    <w:rsid w:val="0060081A"/>
    <w:rsid w:val="00604132"/>
    <w:rsid w:val="00634F89"/>
    <w:rsid w:val="00637AFB"/>
    <w:rsid w:val="00655003"/>
    <w:rsid w:val="00660EF3"/>
    <w:rsid w:val="00663A76"/>
    <w:rsid w:val="0067152B"/>
    <w:rsid w:val="00672090"/>
    <w:rsid w:val="006C2941"/>
    <w:rsid w:val="006C2B06"/>
    <w:rsid w:val="006C7308"/>
    <w:rsid w:val="006E2BD8"/>
    <w:rsid w:val="006F0429"/>
    <w:rsid w:val="0070407B"/>
    <w:rsid w:val="00705E57"/>
    <w:rsid w:val="007175E2"/>
    <w:rsid w:val="00727940"/>
    <w:rsid w:val="00730193"/>
    <w:rsid w:val="0073227E"/>
    <w:rsid w:val="00732EA4"/>
    <w:rsid w:val="007377D4"/>
    <w:rsid w:val="007B0327"/>
    <w:rsid w:val="007B3452"/>
    <w:rsid w:val="007B3D07"/>
    <w:rsid w:val="007C2CC3"/>
    <w:rsid w:val="007C351D"/>
    <w:rsid w:val="007D4C18"/>
    <w:rsid w:val="007E463E"/>
    <w:rsid w:val="007F5F4E"/>
    <w:rsid w:val="00801509"/>
    <w:rsid w:val="00802867"/>
    <w:rsid w:val="00806082"/>
    <w:rsid w:val="00807BAA"/>
    <w:rsid w:val="008145AE"/>
    <w:rsid w:val="00817E0C"/>
    <w:rsid w:val="008338E4"/>
    <w:rsid w:val="00833BA8"/>
    <w:rsid w:val="00846397"/>
    <w:rsid w:val="008521E0"/>
    <w:rsid w:val="00854914"/>
    <w:rsid w:val="008550EF"/>
    <w:rsid w:val="00893661"/>
    <w:rsid w:val="008A1CBE"/>
    <w:rsid w:val="008B1EA8"/>
    <w:rsid w:val="008B2A99"/>
    <w:rsid w:val="008B6DA8"/>
    <w:rsid w:val="008E42E1"/>
    <w:rsid w:val="008E751C"/>
    <w:rsid w:val="008F2248"/>
    <w:rsid w:val="009162E7"/>
    <w:rsid w:val="00941BE5"/>
    <w:rsid w:val="009457D8"/>
    <w:rsid w:val="0096142F"/>
    <w:rsid w:val="0096419E"/>
    <w:rsid w:val="00987064"/>
    <w:rsid w:val="00994458"/>
    <w:rsid w:val="009949ED"/>
    <w:rsid w:val="009B1135"/>
    <w:rsid w:val="009B219C"/>
    <w:rsid w:val="009C227B"/>
    <w:rsid w:val="009C4D87"/>
    <w:rsid w:val="009C5BE9"/>
    <w:rsid w:val="009E73F0"/>
    <w:rsid w:val="009F66EA"/>
    <w:rsid w:val="00A2502C"/>
    <w:rsid w:val="00A25CA7"/>
    <w:rsid w:val="00A343FF"/>
    <w:rsid w:val="00A61B5E"/>
    <w:rsid w:val="00A678C3"/>
    <w:rsid w:val="00A70B4A"/>
    <w:rsid w:val="00A76705"/>
    <w:rsid w:val="00A7781B"/>
    <w:rsid w:val="00A860C7"/>
    <w:rsid w:val="00AA164D"/>
    <w:rsid w:val="00AB0F8C"/>
    <w:rsid w:val="00AB253B"/>
    <w:rsid w:val="00AC2C8E"/>
    <w:rsid w:val="00AE1B0F"/>
    <w:rsid w:val="00AF2D92"/>
    <w:rsid w:val="00B002D8"/>
    <w:rsid w:val="00B056D9"/>
    <w:rsid w:val="00B063D6"/>
    <w:rsid w:val="00B120EB"/>
    <w:rsid w:val="00B205A7"/>
    <w:rsid w:val="00B3732F"/>
    <w:rsid w:val="00B40F77"/>
    <w:rsid w:val="00B43180"/>
    <w:rsid w:val="00B4343F"/>
    <w:rsid w:val="00B60889"/>
    <w:rsid w:val="00B674F5"/>
    <w:rsid w:val="00B74EA5"/>
    <w:rsid w:val="00B8008C"/>
    <w:rsid w:val="00B806AC"/>
    <w:rsid w:val="00B93993"/>
    <w:rsid w:val="00BA2B9F"/>
    <w:rsid w:val="00BB0A8F"/>
    <w:rsid w:val="00BC3854"/>
    <w:rsid w:val="00C03B37"/>
    <w:rsid w:val="00C17E67"/>
    <w:rsid w:val="00C17F04"/>
    <w:rsid w:val="00C30658"/>
    <w:rsid w:val="00C3260E"/>
    <w:rsid w:val="00C3445F"/>
    <w:rsid w:val="00C402CB"/>
    <w:rsid w:val="00C55E1C"/>
    <w:rsid w:val="00C56464"/>
    <w:rsid w:val="00C57947"/>
    <w:rsid w:val="00C76780"/>
    <w:rsid w:val="00CB6344"/>
    <w:rsid w:val="00CB7CD5"/>
    <w:rsid w:val="00CB7D17"/>
    <w:rsid w:val="00CC0731"/>
    <w:rsid w:val="00CC6DB2"/>
    <w:rsid w:val="00CD169F"/>
    <w:rsid w:val="00CE024B"/>
    <w:rsid w:val="00CE74B7"/>
    <w:rsid w:val="00CF54E1"/>
    <w:rsid w:val="00D048B2"/>
    <w:rsid w:val="00D05BCC"/>
    <w:rsid w:val="00D23C64"/>
    <w:rsid w:val="00D735C2"/>
    <w:rsid w:val="00D76EDC"/>
    <w:rsid w:val="00D91EBA"/>
    <w:rsid w:val="00D9413D"/>
    <w:rsid w:val="00DA7797"/>
    <w:rsid w:val="00DC5A37"/>
    <w:rsid w:val="00DC7C8F"/>
    <w:rsid w:val="00DE4A18"/>
    <w:rsid w:val="00DF0FE5"/>
    <w:rsid w:val="00E12118"/>
    <w:rsid w:val="00E177B0"/>
    <w:rsid w:val="00E24621"/>
    <w:rsid w:val="00E3040C"/>
    <w:rsid w:val="00E31824"/>
    <w:rsid w:val="00E42870"/>
    <w:rsid w:val="00E525B3"/>
    <w:rsid w:val="00E6614F"/>
    <w:rsid w:val="00E737AE"/>
    <w:rsid w:val="00E953CE"/>
    <w:rsid w:val="00EC2A38"/>
    <w:rsid w:val="00ED7332"/>
    <w:rsid w:val="00ED73A5"/>
    <w:rsid w:val="00F14821"/>
    <w:rsid w:val="00F43314"/>
    <w:rsid w:val="00F45256"/>
    <w:rsid w:val="00F53B51"/>
    <w:rsid w:val="00F54F60"/>
    <w:rsid w:val="00F61B1D"/>
    <w:rsid w:val="00F62829"/>
    <w:rsid w:val="00F66FEE"/>
    <w:rsid w:val="00F74974"/>
    <w:rsid w:val="00F7589F"/>
    <w:rsid w:val="00F8575B"/>
    <w:rsid w:val="00F9351A"/>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as.org/en/iachr/decisions/2016/MXSA12847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as.org/en/iachr/decisions/admissibilities.as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org/en/iachr/decisions/2016/MXSA12847EN.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ocs/anual/2019/docs/IA2019cap2-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3.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4.xml><?xml version="1.0" encoding="utf-8"?>
<ds:datastoreItem xmlns:ds="http://schemas.openxmlformats.org/officeDocument/2006/customXml" ds:itemID="{2C534A0D-18CE-4362-9E26-A3C7BFDE77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2023-03-07T20:29:00Z</dcterms:created>
  <dcterms:modified xsi:type="dcterms:W3CDTF">2023-03-07T20:29:00Z</dcterms:modified>
</cp:coreProperties>
</file>