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0D5C3" w14:textId="77777777" w:rsidR="00E737AE" w:rsidRPr="007175E2" w:rsidRDefault="00E737AE" w:rsidP="00112395">
      <w:pPr>
        <w:spacing w:after="0" w:line="240" w:lineRule="auto"/>
        <w:ind w:right="4"/>
        <w:rPr>
          <w:rFonts w:ascii="Cambria" w:hAnsi="Cambria"/>
        </w:rPr>
      </w:pPr>
    </w:p>
    <w:p w14:paraId="524EBAB9" w14:textId="77777777" w:rsidR="001541D4" w:rsidRPr="007175E2" w:rsidRDefault="001541D4" w:rsidP="003E6F57">
      <w:pPr>
        <w:spacing w:after="0" w:line="240" w:lineRule="auto"/>
        <w:ind w:right="4"/>
        <w:contextualSpacing/>
        <w:jc w:val="center"/>
        <w:rPr>
          <w:rFonts w:ascii="Cambria" w:eastAsia="Batang" w:hAnsi="Cambria"/>
          <w:b/>
          <w:color w:val="000000" w:themeColor="text1"/>
        </w:rPr>
      </w:pPr>
      <w:r w:rsidRPr="007175E2">
        <w:rPr>
          <w:rFonts w:ascii="Cambria" w:eastAsia="Batang" w:hAnsi="Cambria"/>
          <w:b/>
          <w:color w:val="000000" w:themeColor="text1"/>
        </w:rPr>
        <w:t>TECHNICAL INFORMATION SHEET</w:t>
      </w:r>
    </w:p>
    <w:p w14:paraId="315E1AEF" w14:textId="77777777" w:rsidR="001541D4" w:rsidRPr="007175E2" w:rsidRDefault="001541D4" w:rsidP="003E6F57">
      <w:pPr>
        <w:spacing w:after="0" w:line="240" w:lineRule="auto"/>
        <w:ind w:right="4"/>
        <w:contextualSpacing/>
        <w:jc w:val="center"/>
        <w:rPr>
          <w:rFonts w:ascii="Cambria" w:eastAsia="Batang" w:hAnsi="Cambria"/>
          <w:b/>
          <w:color w:val="000000" w:themeColor="text1"/>
        </w:rPr>
      </w:pPr>
      <w:r w:rsidRPr="007175E2">
        <w:rPr>
          <w:rFonts w:ascii="Cambria" w:eastAsia="Batang" w:hAnsi="Cambria"/>
          <w:b/>
          <w:color w:val="000000" w:themeColor="text1"/>
        </w:rPr>
        <w:t>CASE 12.374 JORGE ENRIQUE PATIÑO PALACIOS</w:t>
      </w:r>
    </w:p>
    <w:p w14:paraId="023C007F" w14:textId="14E89DE6" w:rsidR="001541D4" w:rsidRPr="007175E2" w:rsidRDefault="001541D4" w:rsidP="003E6F57">
      <w:pPr>
        <w:spacing w:after="0" w:line="240" w:lineRule="auto"/>
        <w:ind w:right="4"/>
        <w:contextualSpacing/>
        <w:jc w:val="center"/>
        <w:rPr>
          <w:rFonts w:ascii="Cambria" w:eastAsia="Batang" w:hAnsi="Cambria"/>
          <w:b/>
          <w:color w:val="000000" w:themeColor="text1"/>
        </w:rPr>
      </w:pPr>
      <w:r w:rsidRPr="007175E2">
        <w:rPr>
          <w:rFonts w:ascii="Cambria" w:eastAsia="Batang" w:hAnsi="Cambria"/>
          <w:b/>
          <w:color w:val="000000" w:themeColor="text1"/>
        </w:rPr>
        <w:t>FRIENDLY SETTLEMENT REPORT No.</w:t>
      </w:r>
      <w:r w:rsidR="00D735C2" w:rsidRPr="007175E2">
        <w:rPr>
          <w:rFonts w:ascii="Cambria" w:eastAsia="Batang" w:hAnsi="Cambria"/>
          <w:b/>
          <w:color w:val="000000" w:themeColor="text1"/>
        </w:rPr>
        <w:t xml:space="preserve"> </w:t>
      </w:r>
      <w:hyperlink r:id="rId11" w:history="1">
        <w:r w:rsidRPr="007175E2">
          <w:rPr>
            <w:rStyle w:val="Hyperlink"/>
            <w:rFonts w:ascii="Cambria" w:eastAsia="Batang" w:hAnsi="Cambria"/>
            <w:b/>
            <w:color w:val="000000" w:themeColor="text1"/>
            <w:u w:val="none"/>
          </w:rPr>
          <w:t>85/20</w:t>
        </w:r>
      </w:hyperlink>
    </w:p>
    <w:p w14:paraId="52EBA80E" w14:textId="77777777" w:rsidR="001541D4" w:rsidRPr="007175E2" w:rsidRDefault="001541D4" w:rsidP="003E6F57">
      <w:pPr>
        <w:spacing w:after="0" w:line="240" w:lineRule="auto"/>
        <w:ind w:right="4"/>
        <w:contextualSpacing/>
        <w:jc w:val="center"/>
        <w:rPr>
          <w:rFonts w:ascii="Cambria" w:eastAsia="Batang" w:hAnsi="Cambria"/>
          <w:b/>
          <w:color w:val="000000" w:themeColor="text1"/>
        </w:rPr>
      </w:pPr>
      <w:r w:rsidRPr="007175E2">
        <w:rPr>
          <w:rFonts w:ascii="Cambria" w:eastAsia="Batang" w:hAnsi="Cambria"/>
          <w:b/>
          <w:color w:val="000000" w:themeColor="text1"/>
        </w:rPr>
        <w:t>TOTAL COMPLIANCE</w:t>
      </w:r>
    </w:p>
    <w:p w14:paraId="359B0977" w14:textId="77777777" w:rsidR="001541D4" w:rsidRPr="007175E2" w:rsidRDefault="001541D4" w:rsidP="003E6F57">
      <w:pPr>
        <w:spacing w:after="0" w:line="240" w:lineRule="auto"/>
        <w:ind w:right="4"/>
        <w:contextualSpacing/>
        <w:jc w:val="center"/>
        <w:rPr>
          <w:rFonts w:ascii="Cambria" w:eastAsia="Batang" w:hAnsi="Cambria"/>
          <w:b/>
          <w:color w:val="000000" w:themeColor="text1"/>
        </w:rPr>
      </w:pPr>
      <w:r w:rsidRPr="007175E2">
        <w:rPr>
          <w:rFonts w:ascii="Cambria" w:eastAsia="Batang" w:hAnsi="Cambria"/>
          <w:b/>
          <w:color w:val="000000" w:themeColor="text1"/>
        </w:rPr>
        <w:t>(PARAGUAY)</w:t>
      </w:r>
    </w:p>
    <w:p w14:paraId="17C6E5B0" w14:textId="77777777" w:rsidR="001541D4" w:rsidRPr="007175E2" w:rsidRDefault="001541D4" w:rsidP="001541D4">
      <w:pPr>
        <w:spacing w:after="0" w:line="240" w:lineRule="auto"/>
        <w:ind w:right="-270"/>
        <w:jc w:val="center"/>
        <w:rPr>
          <w:rFonts w:ascii="Cambria" w:eastAsia="Batang" w:hAnsi="Cambria"/>
          <w:b/>
          <w:color w:val="000000"/>
        </w:rPr>
      </w:pPr>
    </w:p>
    <w:p w14:paraId="4466410B" w14:textId="77777777" w:rsidR="001541D4" w:rsidRPr="007175E2" w:rsidRDefault="001541D4" w:rsidP="00637AFB">
      <w:pPr>
        <w:numPr>
          <w:ilvl w:val="0"/>
          <w:numId w:val="37"/>
        </w:numPr>
        <w:spacing w:after="0" w:line="240" w:lineRule="auto"/>
        <w:ind w:left="0" w:firstLine="709"/>
        <w:rPr>
          <w:rFonts w:ascii="Cambria" w:eastAsia="Batang" w:hAnsi="Cambria" w:cs="Calibri Light"/>
          <w:b/>
          <w:color w:val="000000"/>
        </w:rPr>
      </w:pPr>
      <w:r w:rsidRPr="007175E2">
        <w:rPr>
          <w:rFonts w:ascii="Cambria" w:eastAsia="Batang" w:hAnsi="Cambria" w:cs="Calibri Light"/>
          <w:b/>
          <w:color w:val="000000"/>
        </w:rPr>
        <w:t>SUMMARY OF THE CASE</w:t>
      </w:r>
    </w:p>
    <w:p w14:paraId="21DA0E00" w14:textId="77777777" w:rsidR="001541D4" w:rsidRPr="007175E2" w:rsidRDefault="001541D4" w:rsidP="001541D4">
      <w:pPr>
        <w:spacing w:after="0" w:line="240" w:lineRule="auto"/>
        <w:rPr>
          <w:rFonts w:ascii="Cambria" w:eastAsia="Batang" w:hAnsi="Cambria" w:cs="Calibri Light"/>
          <w:b/>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0"/>
      </w:tblGrid>
      <w:tr w:rsidR="001541D4" w:rsidRPr="007175E2" w14:paraId="58669F97" w14:textId="77777777" w:rsidTr="003E6F57">
        <w:trPr>
          <w:trHeight w:val="5967"/>
          <w:jc w:val="center"/>
        </w:trPr>
        <w:tc>
          <w:tcPr>
            <w:tcW w:w="9350" w:type="dxa"/>
            <w:shd w:val="clear" w:color="auto" w:fill="F2F2F2"/>
          </w:tcPr>
          <w:p w14:paraId="4557E905" w14:textId="77777777" w:rsidR="001541D4" w:rsidRPr="007175E2" w:rsidRDefault="001541D4" w:rsidP="00F024F0">
            <w:pPr>
              <w:tabs>
                <w:tab w:val="left" w:pos="9270"/>
              </w:tabs>
              <w:spacing w:after="0" w:line="240" w:lineRule="auto"/>
              <w:jc w:val="both"/>
              <w:rPr>
                <w:rFonts w:ascii="Cambria" w:eastAsia="Batang" w:hAnsi="Cambria"/>
                <w:b/>
                <w:color w:val="000000"/>
                <w:lang w:val="pt-BR"/>
              </w:rPr>
            </w:pPr>
            <w:r w:rsidRPr="007175E2">
              <w:rPr>
                <w:rFonts w:ascii="Cambria" w:eastAsia="Batang" w:hAnsi="Cambria"/>
                <w:b/>
                <w:color w:val="000000"/>
                <w:lang w:val="pt-BR"/>
              </w:rPr>
              <w:t xml:space="preserve">Victim (s): </w:t>
            </w:r>
            <w:r w:rsidRPr="007175E2">
              <w:rPr>
                <w:rFonts w:ascii="Cambria" w:eastAsia="Batang" w:hAnsi="Cambria"/>
                <w:bCs/>
                <w:color w:val="000000"/>
                <w:lang w:val="pt-BR"/>
              </w:rPr>
              <w:t>Jorge Enrique Patiño Palacios</w:t>
            </w:r>
            <w:r w:rsidRPr="007175E2">
              <w:rPr>
                <w:rFonts w:ascii="Cambria" w:eastAsia="Batang" w:hAnsi="Cambria"/>
                <w:b/>
                <w:color w:val="000000"/>
                <w:lang w:val="pt-BR"/>
              </w:rPr>
              <w:t xml:space="preserve"> </w:t>
            </w:r>
          </w:p>
          <w:p w14:paraId="5893488B" w14:textId="77777777" w:rsidR="001541D4" w:rsidRPr="007175E2" w:rsidRDefault="001541D4" w:rsidP="00F024F0">
            <w:pPr>
              <w:tabs>
                <w:tab w:val="left" w:pos="9270"/>
              </w:tabs>
              <w:spacing w:after="0" w:line="240" w:lineRule="auto"/>
              <w:jc w:val="both"/>
              <w:rPr>
                <w:rFonts w:ascii="Cambria" w:eastAsia="Batang" w:hAnsi="Cambria"/>
                <w:b/>
                <w:color w:val="000000"/>
              </w:rPr>
            </w:pPr>
            <w:r w:rsidRPr="007175E2">
              <w:rPr>
                <w:rFonts w:ascii="Cambria" w:eastAsia="Batang" w:hAnsi="Cambria"/>
                <w:b/>
                <w:color w:val="000000"/>
              </w:rPr>
              <w:t xml:space="preserve">Petitioner (s): </w:t>
            </w:r>
            <w:r w:rsidRPr="007175E2">
              <w:rPr>
                <w:rFonts w:ascii="Cambria" w:eastAsia="Batang" w:hAnsi="Cambria"/>
                <w:bCs/>
                <w:color w:val="000000"/>
              </w:rPr>
              <w:t>Cesar Patiño Mignone and Alba Palacios de Patiño</w:t>
            </w:r>
          </w:p>
          <w:p w14:paraId="2552F3A2" w14:textId="77777777" w:rsidR="001541D4" w:rsidRPr="007175E2" w:rsidRDefault="001541D4" w:rsidP="00F024F0">
            <w:pPr>
              <w:tabs>
                <w:tab w:val="left" w:pos="9270"/>
              </w:tabs>
              <w:spacing w:after="0" w:line="240" w:lineRule="auto"/>
              <w:jc w:val="both"/>
              <w:rPr>
                <w:rFonts w:ascii="Cambria" w:eastAsia="Batang" w:hAnsi="Cambria"/>
                <w:b/>
                <w:color w:val="000000"/>
              </w:rPr>
            </w:pPr>
            <w:r w:rsidRPr="007175E2">
              <w:rPr>
                <w:rFonts w:ascii="Cambria" w:eastAsia="Batang" w:hAnsi="Cambria"/>
                <w:b/>
                <w:color w:val="000000"/>
              </w:rPr>
              <w:t xml:space="preserve">State: </w:t>
            </w:r>
            <w:r w:rsidRPr="007175E2">
              <w:rPr>
                <w:rFonts w:ascii="Cambria" w:eastAsia="Batang" w:hAnsi="Cambria"/>
                <w:bCs/>
                <w:color w:val="000000"/>
              </w:rPr>
              <w:t>Paraguay</w:t>
            </w:r>
          </w:p>
          <w:p w14:paraId="7A596058" w14:textId="77777777" w:rsidR="001541D4" w:rsidRPr="007175E2" w:rsidRDefault="001541D4" w:rsidP="00F024F0">
            <w:pPr>
              <w:tabs>
                <w:tab w:val="left" w:pos="9270"/>
              </w:tabs>
              <w:spacing w:after="0" w:line="240" w:lineRule="auto"/>
              <w:jc w:val="both"/>
              <w:rPr>
                <w:rFonts w:ascii="Cambria" w:eastAsia="Batang" w:hAnsi="Cambria"/>
                <w:b/>
                <w:color w:val="000000"/>
              </w:rPr>
            </w:pPr>
            <w:r w:rsidRPr="007175E2">
              <w:rPr>
                <w:rFonts w:ascii="Cambria" w:eastAsia="Batang" w:hAnsi="Cambria"/>
                <w:b/>
                <w:bCs/>
                <w:color w:val="000000"/>
              </w:rPr>
              <w:t xml:space="preserve">Start date of negotiations: </w:t>
            </w:r>
            <w:r w:rsidRPr="007175E2">
              <w:rPr>
                <w:rFonts w:ascii="Cambria" w:eastAsia="Batang" w:hAnsi="Cambria"/>
                <w:bCs/>
                <w:color w:val="000000"/>
              </w:rPr>
              <w:t>N/A</w:t>
            </w:r>
          </w:p>
          <w:p w14:paraId="51D20FA5" w14:textId="061835CA" w:rsidR="001541D4" w:rsidRPr="007175E2" w:rsidRDefault="001541D4" w:rsidP="00F024F0">
            <w:pPr>
              <w:tabs>
                <w:tab w:val="left" w:pos="9270"/>
              </w:tabs>
              <w:spacing w:after="0" w:line="240" w:lineRule="auto"/>
              <w:jc w:val="both"/>
              <w:rPr>
                <w:rFonts w:ascii="Cambria" w:eastAsia="Batang" w:hAnsi="Cambria"/>
                <w:bCs/>
                <w:color w:val="000000"/>
              </w:rPr>
            </w:pPr>
            <w:r w:rsidRPr="007175E2">
              <w:rPr>
                <w:rFonts w:ascii="Cambria" w:eastAsia="Batang" w:hAnsi="Cambria"/>
                <w:b/>
                <w:bCs/>
                <w:color w:val="000000"/>
              </w:rPr>
              <w:t xml:space="preserve">Date of signing of FSA: </w:t>
            </w:r>
            <w:r w:rsidRPr="007175E2">
              <w:rPr>
                <w:rFonts w:ascii="Cambria" w:eastAsia="Batang" w:hAnsi="Cambria"/>
                <w:bCs/>
                <w:color w:val="000000"/>
              </w:rPr>
              <w:t>January 30, 2012</w:t>
            </w:r>
          </w:p>
          <w:p w14:paraId="69D44B9D" w14:textId="3E464A61" w:rsidR="00D23C64" w:rsidRPr="007175E2" w:rsidRDefault="00D23C64" w:rsidP="00F024F0">
            <w:pPr>
              <w:tabs>
                <w:tab w:val="left" w:pos="9270"/>
              </w:tabs>
              <w:spacing w:after="0" w:line="240" w:lineRule="auto"/>
              <w:jc w:val="both"/>
              <w:rPr>
                <w:rFonts w:ascii="Cambria" w:eastAsia="Batang" w:hAnsi="Cambria"/>
                <w:bCs/>
                <w:color w:val="000000"/>
              </w:rPr>
            </w:pPr>
            <w:r w:rsidRPr="007175E2">
              <w:rPr>
                <w:rFonts w:ascii="Cambria" w:eastAsia="Batang" w:hAnsi="Cambria"/>
                <w:b/>
                <w:bCs/>
                <w:color w:val="000000"/>
              </w:rPr>
              <w:t>Admissibility Report</w:t>
            </w:r>
            <w:r w:rsidRPr="007175E2">
              <w:rPr>
                <w:rFonts w:ascii="Cambria" w:eastAsia="Batang" w:hAnsi="Cambria"/>
                <w:color w:val="000000"/>
              </w:rPr>
              <w:t xml:space="preserve"> </w:t>
            </w:r>
            <w:r w:rsidRPr="007175E2">
              <w:rPr>
                <w:rFonts w:ascii="Cambria" w:eastAsia="Batang" w:hAnsi="Cambria"/>
                <w:b/>
                <w:color w:val="080808"/>
              </w:rPr>
              <w:t>N</w:t>
            </w:r>
            <w:r w:rsidRPr="007175E2">
              <w:rPr>
                <w:rFonts w:ascii="Cambria" w:eastAsia="Batang" w:hAnsi="Cambria"/>
                <w:b/>
              </w:rPr>
              <w:t>º:</w:t>
            </w:r>
            <w:r w:rsidR="0047567D" w:rsidRPr="007175E2">
              <w:rPr>
                <w:rFonts w:ascii="Cambria" w:eastAsia="Batang" w:hAnsi="Cambria"/>
                <w:b/>
              </w:rPr>
              <w:t xml:space="preserve"> </w:t>
            </w:r>
            <w:hyperlink r:id="rId12" w:history="1">
              <w:r w:rsidR="0047567D" w:rsidRPr="007175E2">
                <w:rPr>
                  <w:rStyle w:val="Hyperlink"/>
                  <w:rFonts w:ascii="Cambria" w:hAnsi="Cambria"/>
                  <w:color w:val="auto"/>
                </w:rPr>
                <w:t>8/10</w:t>
              </w:r>
            </w:hyperlink>
            <w:r w:rsidR="0047567D" w:rsidRPr="007175E2">
              <w:rPr>
                <w:rFonts w:ascii="Cambria" w:eastAsia="Batang" w:hAnsi="Cambria"/>
                <w:b/>
              </w:rPr>
              <w:t xml:space="preserve"> </w:t>
            </w:r>
            <w:r w:rsidR="0047567D" w:rsidRPr="007175E2">
              <w:rPr>
                <w:rFonts w:ascii="Cambria" w:eastAsia="Batang" w:hAnsi="Cambria"/>
                <w:bCs/>
              </w:rPr>
              <w:t>published on</w:t>
            </w:r>
          </w:p>
          <w:p w14:paraId="02AF1A91" w14:textId="77777777" w:rsidR="001541D4" w:rsidRPr="007175E2" w:rsidRDefault="001541D4" w:rsidP="00F024F0">
            <w:pPr>
              <w:tabs>
                <w:tab w:val="left" w:pos="9270"/>
              </w:tabs>
              <w:spacing w:after="0" w:line="240" w:lineRule="auto"/>
              <w:jc w:val="both"/>
              <w:rPr>
                <w:rFonts w:ascii="Cambria" w:eastAsia="Batang" w:hAnsi="Cambria"/>
                <w:b/>
                <w:color w:val="000000"/>
              </w:rPr>
            </w:pPr>
            <w:r w:rsidRPr="007175E2">
              <w:rPr>
                <w:rFonts w:ascii="Cambria" w:eastAsia="Batang" w:hAnsi="Cambria"/>
                <w:b/>
                <w:color w:val="000000"/>
              </w:rPr>
              <w:t>Report on Friendly Settlement Agreement Nº:</w:t>
            </w:r>
            <w:r w:rsidRPr="007175E2">
              <w:rPr>
                <w:rFonts w:ascii="Cambria" w:eastAsia="Batang" w:hAnsi="Cambria"/>
                <w:b/>
                <w:color w:val="000000"/>
                <w:u w:val="single"/>
              </w:rPr>
              <w:t xml:space="preserve"> </w:t>
            </w:r>
            <w:hyperlink r:id="rId13" w:history="1">
              <w:r w:rsidRPr="007175E2">
                <w:rPr>
                  <w:rStyle w:val="Hyperlink"/>
                  <w:rFonts w:ascii="Cambria" w:eastAsia="Batang" w:hAnsi="Cambria"/>
                  <w:b/>
                  <w:bCs/>
                  <w:color w:val="000000" w:themeColor="text1"/>
                </w:rPr>
                <w:t>85/20</w:t>
              </w:r>
            </w:hyperlink>
            <w:r w:rsidRPr="007175E2">
              <w:rPr>
                <w:rFonts w:ascii="Cambria" w:eastAsia="Batang" w:hAnsi="Cambria"/>
                <w:bCs/>
                <w:color w:val="000000" w:themeColor="text1"/>
                <w:u w:val="single"/>
              </w:rPr>
              <w:t xml:space="preserve"> </w:t>
            </w:r>
            <w:r w:rsidRPr="007175E2">
              <w:rPr>
                <w:rFonts w:ascii="Cambria" w:eastAsia="Batang" w:hAnsi="Cambria"/>
                <w:bCs/>
                <w:color w:val="000000"/>
              </w:rPr>
              <w:t>published on June 1, 2020</w:t>
            </w:r>
          </w:p>
          <w:p w14:paraId="129AD630" w14:textId="77777777" w:rsidR="001541D4" w:rsidRPr="007175E2" w:rsidRDefault="001541D4" w:rsidP="00F024F0">
            <w:pPr>
              <w:tabs>
                <w:tab w:val="left" w:pos="9270"/>
              </w:tabs>
              <w:spacing w:after="0" w:line="240" w:lineRule="auto"/>
              <w:jc w:val="both"/>
              <w:rPr>
                <w:rFonts w:ascii="Cambria" w:eastAsia="Batang" w:hAnsi="Cambria"/>
                <w:b/>
                <w:bCs/>
                <w:color w:val="000000"/>
              </w:rPr>
            </w:pPr>
            <w:r w:rsidRPr="007175E2">
              <w:rPr>
                <w:rFonts w:ascii="Cambria" w:eastAsia="Batang" w:hAnsi="Cambria"/>
                <w:b/>
                <w:bCs/>
                <w:color w:val="000000"/>
              </w:rPr>
              <w:t xml:space="preserve">Estimated length of negotiation phase: </w:t>
            </w:r>
            <w:r w:rsidRPr="007175E2">
              <w:rPr>
                <w:rFonts w:ascii="Cambria" w:eastAsia="Batang" w:hAnsi="Cambria"/>
                <w:bCs/>
                <w:color w:val="000000"/>
              </w:rPr>
              <w:t>8 years and 6 months</w:t>
            </w:r>
          </w:p>
          <w:p w14:paraId="5917BB0B" w14:textId="77777777" w:rsidR="001541D4" w:rsidRPr="007175E2" w:rsidRDefault="001541D4" w:rsidP="00F024F0">
            <w:pPr>
              <w:tabs>
                <w:tab w:val="left" w:pos="9270"/>
              </w:tabs>
              <w:spacing w:after="0" w:line="240" w:lineRule="auto"/>
              <w:jc w:val="both"/>
              <w:rPr>
                <w:rFonts w:ascii="Cambria" w:eastAsia="Batang" w:hAnsi="Cambria"/>
                <w:b/>
                <w:color w:val="000000"/>
              </w:rPr>
            </w:pPr>
            <w:r w:rsidRPr="007175E2">
              <w:rPr>
                <w:rFonts w:ascii="Cambria" w:eastAsia="Batang" w:hAnsi="Cambria"/>
                <w:b/>
                <w:color w:val="000000"/>
              </w:rPr>
              <w:t>Associated Rapporteurship:</w:t>
            </w:r>
            <w:r w:rsidRPr="007175E2">
              <w:rPr>
                <w:rFonts w:ascii="Cambria" w:eastAsia="Batang" w:hAnsi="Cambria"/>
                <w:b/>
                <w:bCs/>
                <w:color w:val="000000"/>
              </w:rPr>
              <w:t xml:space="preserve"> </w:t>
            </w:r>
            <w:r w:rsidRPr="007175E2">
              <w:rPr>
                <w:rFonts w:ascii="Cambria" w:eastAsia="Batang" w:hAnsi="Cambria"/>
                <w:color w:val="000000"/>
              </w:rPr>
              <w:t>N/A</w:t>
            </w:r>
          </w:p>
          <w:p w14:paraId="7E6F6A09" w14:textId="77777777" w:rsidR="001541D4" w:rsidRPr="007175E2" w:rsidRDefault="001541D4" w:rsidP="00F024F0">
            <w:pPr>
              <w:tabs>
                <w:tab w:val="left" w:pos="9270"/>
              </w:tabs>
              <w:spacing w:after="0" w:line="240" w:lineRule="auto"/>
              <w:jc w:val="both"/>
              <w:rPr>
                <w:rFonts w:ascii="Cambria" w:eastAsia="Batang" w:hAnsi="Cambria"/>
                <w:b/>
                <w:bCs/>
                <w:color w:val="000000"/>
              </w:rPr>
            </w:pPr>
            <w:r w:rsidRPr="007175E2">
              <w:rPr>
                <w:rFonts w:ascii="Cambria" w:eastAsia="Batang" w:hAnsi="Cambria"/>
                <w:b/>
                <w:color w:val="000000"/>
              </w:rPr>
              <w:t xml:space="preserve">Topics: </w:t>
            </w:r>
            <w:r w:rsidRPr="007175E2">
              <w:rPr>
                <w:rFonts w:ascii="Cambria" w:eastAsia="Batang" w:hAnsi="Cambria"/>
                <w:color w:val="000000"/>
              </w:rPr>
              <w:t>Fair trial rights / Investigation and due diligence / Judicial protection</w:t>
            </w:r>
            <w:r w:rsidRPr="007175E2">
              <w:rPr>
                <w:rFonts w:ascii="Cambria" w:eastAsia="Batang" w:hAnsi="Cambria"/>
                <w:b/>
                <w:color w:val="000000"/>
              </w:rPr>
              <w:t xml:space="preserve"> </w:t>
            </w:r>
          </w:p>
          <w:p w14:paraId="1343E1B2" w14:textId="77777777" w:rsidR="001541D4" w:rsidRPr="007175E2" w:rsidRDefault="001541D4" w:rsidP="00F024F0">
            <w:pPr>
              <w:tabs>
                <w:tab w:val="left" w:pos="9270"/>
              </w:tabs>
              <w:spacing w:after="0" w:line="240" w:lineRule="auto"/>
              <w:jc w:val="both"/>
              <w:rPr>
                <w:rFonts w:ascii="Cambria" w:eastAsia="Batang" w:hAnsi="Cambria"/>
                <w:b/>
                <w:bCs/>
                <w:color w:val="000000"/>
              </w:rPr>
            </w:pPr>
          </w:p>
          <w:p w14:paraId="2E36180C" w14:textId="77777777" w:rsidR="001541D4" w:rsidRPr="007175E2" w:rsidRDefault="001541D4" w:rsidP="00F024F0">
            <w:pPr>
              <w:tabs>
                <w:tab w:val="left" w:pos="9270"/>
              </w:tabs>
              <w:spacing w:after="0" w:line="240" w:lineRule="auto"/>
              <w:jc w:val="both"/>
              <w:rPr>
                <w:rFonts w:ascii="Cambria" w:eastAsia="Batang" w:hAnsi="Cambria"/>
                <w:b/>
                <w:color w:val="000000"/>
              </w:rPr>
            </w:pPr>
            <w:r w:rsidRPr="007175E2">
              <w:rPr>
                <w:rFonts w:ascii="Cambria" w:eastAsia="Batang" w:hAnsi="Cambria"/>
                <w:b/>
                <w:color w:val="000000"/>
              </w:rPr>
              <w:t xml:space="preserve">Facts: </w:t>
            </w:r>
            <w:r w:rsidRPr="007175E2">
              <w:rPr>
                <w:rFonts w:ascii="Cambria" w:eastAsia="Batang" w:hAnsi="Cambria"/>
                <w:bCs/>
                <w:color w:val="000000"/>
              </w:rPr>
              <w:t>On February 26, 2001, the Inter-American Commission on Human Rights received a petition filed by César Patiño Mignone and Alba Palacios de Patiño, alleging international responsibility of the Republic of Paraguay, for violation of the human rights enshrined in Articles 8 (fair trial), and 25 (judicial protection), in connection with Article 1 (obligation to respect rights) of the American Convention on Human Rights (hereinafter, “Convention” or “American Convention”), to the detriment of their son, Jorge Enrique Patiño Palacios, 20 years of age at the time, who died from a gunshot allegedly fired by civilians, and subsequent failure to investigate and punish those responsible stemming from irregularities in the investigation into the facts by police agents as well as judicial authorities.</w:t>
            </w:r>
            <w:r w:rsidRPr="007175E2">
              <w:rPr>
                <w:rFonts w:ascii="Cambria" w:eastAsia="Batang" w:hAnsi="Cambria"/>
                <w:b/>
                <w:color w:val="000000"/>
              </w:rPr>
              <w:t xml:space="preserve"> </w:t>
            </w:r>
          </w:p>
          <w:p w14:paraId="6C45488B" w14:textId="77777777" w:rsidR="001541D4" w:rsidRPr="007175E2" w:rsidRDefault="001541D4" w:rsidP="00F024F0">
            <w:pPr>
              <w:tabs>
                <w:tab w:val="left" w:pos="9270"/>
              </w:tabs>
              <w:spacing w:after="0" w:line="240" w:lineRule="auto"/>
              <w:jc w:val="both"/>
              <w:rPr>
                <w:rFonts w:ascii="Cambria" w:eastAsia="Batang" w:hAnsi="Cambria"/>
                <w:b/>
                <w:color w:val="000000"/>
              </w:rPr>
            </w:pPr>
          </w:p>
          <w:p w14:paraId="38FCE193" w14:textId="77777777" w:rsidR="001541D4" w:rsidRPr="007175E2" w:rsidRDefault="001541D4" w:rsidP="00F024F0">
            <w:pPr>
              <w:tabs>
                <w:tab w:val="left" w:pos="9270"/>
              </w:tabs>
              <w:spacing w:after="0" w:line="240" w:lineRule="auto"/>
              <w:jc w:val="both"/>
              <w:rPr>
                <w:rFonts w:ascii="Cambria" w:eastAsia="Batang" w:hAnsi="Cambria"/>
                <w:color w:val="000000"/>
              </w:rPr>
            </w:pPr>
            <w:r w:rsidRPr="007175E2">
              <w:rPr>
                <w:rFonts w:ascii="Cambria" w:eastAsia="Batang" w:hAnsi="Cambria"/>
                <w:b/>
                <w:color w:val="000000"/>
              </w:rPr>
              <w:t xml:space="preserve">Rights declared admissible / Rights alleged: </w:t>
            </w:r>
            <w:r w:rsidRPr="007175E2">
              <w:rPr>
                <w:rFonts w:ascii="Cambria" w:eastAsia="Batang" w:hAnsi="Cambria"/>
                <w:bCs/>
                <w:color w:val="000000"/>
              </w:rPr>
              <w:t>The IACHR decided to declare the petition admissible for the alleged violation of Articles 8 (fair trial rights) and 25 (judicial protection) as set forth in the American Convention.</w:t>
            </w:r>
          </w:p>
        </w:tc>
      </w:tr>
    </w:tbl>
    <w:p w14:paraId="74053FDD" w14:textId="77777777" w:rsidR="001541D4" w:rsidRPr="007175E2" w:rsidRDefault="001541D4" w:rsidP="001541D4">
      <w:pPr>
        <w:spacing w:after="0" w:line="240" w:lineRule="auto"/>
        <w:ind w:left="720"/>
        <w:contextualSpacing/>
        <w:jc w:val="both"/>
        <w:rPr>
          <w:rFonts w:ascii="Cambria" w:eastAsia="Batang" w:hAnsi="Cambria" w:cs="Calibri Light"/>
          <w:b/>
          <w:color w:val="000000"/>
        </w:rPr>
      </w:pPr>
    </w:p>
    <w:p w14:paraId="08700397" w14:textId="77777777" w:rsidR="001541D4" w:rsidRPr="007175E2" w:rsidRDefault="001541D4" w:rsidP="00637AFB">
      <w:pPr>
        <w:numPr>
          <w:ilvl w:val="0"/>
          <w:numId w:val="37"/>
        </w:numPr>
        <w:spacing w:after="0" w:line="240" w:lineRule="auto"/>
        <w:ind w:left="0" w:firstLine="720"/>
        <w:contextualSpacing/>
        <w:jc w:val="both"/>
        <w:rPr>
          <w:rFonts w:ascii="Cambria" w:eastAsia="Batang" w:hAnsi="Cambria" w:cs="Calibri Light"/>
          <w:b/>
          <w:color w:val="000000"/>
        </w:rPr>
      </w:pPr>
      <w:r w:rsidRPr="007175E2">
        <w:rPr>
          <w:rFonts w:ascii="Cambria" w:eastAsia="Batang" w:hAnsi="Cambria"/>
          <w:b/>
          <w:color w:val="000000"/>
        </w:rPr>
        <w:t>PROCEDURAL ACTIVITY</w:t>
      </w:r>
    </w:p>
    <w:p w14:paraId="4C466689" w14:textId="77777777" w:rsidR="001541D4" w:rsidRPr="007175E2" w:rsidRDefault="001541D4" w:rsidP="001541D4">
      <w:pPr>
        <w:spacing w:after="0" w:line="240" w:lineRule="auto"/>
        <w:ind w:firstLine="720"/>
        <w:contextualSpacing/>
        <w:jc w:val="both"/>
        <w:rPr>
          <w:rFonts w:ascii="Cambria" w:eastAsia="Batang" w:hAnsi="Cambria" w:cs="Calibri Light"/>
          <w:b/>
          <w:color w:val="000000"/>
        </w:rPr>
      </w:pPr>
    </w:p>
    <w:p w14:paraId="43D875D4" w14:textId="7991912D" w:rsidR="001541D4" w:rsidRPr="007175E2" w:rsidRDefault="001541D4" w:rsidP="004C7C99">
      <w:pPr>
        <w:numPr>
          <w:ilvl w:val="6"/>
          <w:numId w:val="4"/>
        </w:numPr>
        <w:spacing w:after="0" w:line="240" w:lineRule="auto"/>
        <w:ind w:left="0" w:firstLine="709"/>
        <w:contextualSpacing/>
        <w:jc w:val="both"/>
        <w:rPr>
          <w:rFonts w:ascii="Cambria" w:eastAsia="Batang" w:hAnsi="Cambria" w:cs="Calibri Light"/>
          <w:color w:val="000000"/>
        </w:rPr>
      </w:pPr>
      <w:r w:rsidRPr="007175E2">
        <w:rPr>
          <w:rFonts w:ascii="Cambria" w:eastAsia="Batang" w:hAnsi="Cambria" w:cs="Calibri Light"/>
          <w:color w:val="000000"/>
        </w:rPr>
        <w:t xml:space="preserve">On January 30, 2012, the parties </w:t>
      </w:r>
      <w:r w:rsidR="004C7C99" w:rsidRPr="007175E2">
        <w:rPr>
          <w:rFonts w:ascii="Cambria" w:eastAsia="Batang" w:hAnsi="Cambria" w:cs="Calibri Light"/>
          <w:color w:val="000000"/>
        </w:rPr>
        <w:t>signed</w:t>
      </w:r>
      <w:r w:rsidRPr="007175E2">
        <w:rPr>
          <w:rFonts w:ascii="Cambria" w:eastAsia="Batang" w:hAnsi="Cambria" w:cs="Calibri Light"/>
          <w:color w:val="000000"/>
        </w:rPr>
        <w:t xml:space="preserve"> a friendly settlement</w:t>
      </w:r>
      <w:r w:rsidR="007377D4" w:rsidRPr="007175E2">
        <w:rPr>
          <w:rFonts w:ascii="Cambria" w:eastAsia="Batang" w:hAnsi="Cambria" w:cs="Calibri Light"/>
          <w:color w:val="000000"/>
        </w:rPr>
        <w:t xml:space="preserve"> agreement</w:t>
      </w:r>
      <w:r w:rsidRPr="007175E2">
        <w:rPr>
          <w:rFonts w:ascii="Cambria" w:eastAsia="Batang" w:hAnsi="Cambria" w:cs="Calibri Light"/>
          <w:color w:val="000000"/>
        </w:rPr>
        <w:t>.</w:t>
      </w:r>
    </w:p>
    <w:p w14:paraId="622D1A9C" w14:textId="77777777" w:rsidR="001541D4" w:rsidRPr="007175E2" w:rsidRDefault="001541D4" w:rsidP="001541D4">
      <w:pPr>
        <w:spacing w:after="0" w:line="240" w:lineRule="auto"/>
        <w:ind w:firstLine="709"/>
        <w:contextualSpacing/>
        <w:jc w:val="both"/>
        <w:rPr>
          <w:rFonts w:ascii="Cambria" w:eastAsia="Batang" w:hAnsi="Cambria" w:cs="Calibri Light"/>
          <w:color w:val="000000"/>
        </w:rPr>
      </w:pPr>
    </w:p>
    <w:p w14:paraId="7762AF48" w14:textId="3707E6F3" w:rsidR="001541D4" w:rsidRPr="007175E2" w:rsidRDefault="001541D4" w:rsidP="004C7C99">
      <w:pPr>
        <w:numPr>
          <w:ilvl w:val="6"/>
          <w:numId w:val="4"/>
        </w:numPr>
        <w:spacing w:after="0" w:line="240" w:lineRule="auto"/>
        <w:ind w:left="0" w:firstLine="709"/>
        <w:contextualSpacing/>
        <w:jc w:val="both"/>
        <w:rPr>
          <w:rFonts w:ascii="Cambria" w:eastAsia="Batang" w:hAnsi="Cambria" w:cs="Calibri Light"/>
          <w:color w:val="000000"/>
        </w:rPr>
      </w:pPr>
      <w:r w:rsidRPr="007175E2">
        <w:rPr>
          <w:rFonts w:ascii="Cambria" w:eastAsia="Batang" w:hAnsi="Cambria" w:cs="Calibri Light"/>
          <w:color w:val="000000"/>
        </w:rPr>
        <w:t>On June 1, 2020, the Commission approved the agreement signed by the parties, by means of Report No.</w:t>
      </w:r>
      <w:r w:rsidR="007377D4" w:rsidRPr="007175E2">
        <w:rPr>
          <w:rFonts w:ascii="Cambria" w:eastAsia="Batang" w:hAnsi="Cambria" w:cs="Calibri Light"/>
          <w:color w:val="000000"/>
        </w:rPr>
        <w:t xml:space="preserve"> </w:t>
      </w:r>
      <w:r w:rsidRPr="007175E2">
        <w:rPr>
          <w:rFonts w:ascii="Cambria" w:eastAsia="Batang" w:hAnsi="Cambria" w:cs="Calibri Light"/>
          <w:color w:val="000000"/>
        </w:rPr>
        <w:t>85/17.</w:t>
      </w:r>
    </w:p>
    <w:p w14:paraId="1FEB4A7B" w14:textId="77777777" w:rsidR="001541D4" w:rsidRPr="007175E2" w:rsidRDefault="001541D4" w:rsidP="001541D4">
      <w:pPr>
        <w:spacing w:after="0" w:line="240" w:lineRule="auto"/>
        <w:ind w:firstLine="709"/>
        <w:contextualSpacing/>
        <w:jc w:val="both"/>
        <w:rPr>
          <w:rFonts w:ascii="Cambria" w:eastAsia="Batang" w:hAnsi="Cambria" w:cs="Calibri Light"/>
          <w:color w:val="000000"/>
          <w:highlight w:val="cyan"/>
        </w:rPr>
      </w:pPr>
    </w:p>
    <w:p w14:paraId="209504C3" w14:textId="77777777" w:rsidR="001541D4" w:rsidRPr="007175E2" w:rsidRDefault="001541D4" w:rsidP="001541D4">
      <w:pPr>
        <w:spacing w:after="0" w:line="240" w:lineRule="auto"/>
        <w:ind w:left="709" w:right="4"/>
        <w:jc w:val="both"/>
        <w:rPr>
          <w:rFonts w:ascii="Cambria" w:eastAsia="MS Mincho" w:hAnsi="Cambria"/>
          <w:color w:val="000000"/>
          <w:highlight w:val="yellow"/>
        </w:rPr>
      </w:pPr>
    </w:p>
    <w:p w14:paraId="0FE46989" w14:textId="77777777" w:rsidR="005C414D" w:rsidRPr="007175E2" w:rsidRDefault="005C414D" w:rsidP="005C414D">
      <w:pPr>
        <w:rPr>
          <w:rFonts w:ascii="Cambria" w:eastAsia="MS Mincho" w:hAnsi="Cambria"/>
          <w:highlight w:val="yellow"/>
        </w:rPr>
      </w:pPr>
    </w:p>
    <w:p w14:paraId="48B16531" w14:textId="77777777" w:rsidR="005C414D" w:rsidRPr="007175E2" w:rsidRDefault="005C414D" w:rsidP="005C414D">
      <w:pPr>
        <w:rPr>
          <w:rFonts w:ascii="Cambria" w:eastAsia="MS Mincho" w:hAnsi="Cambria"/>
          <w:highlight w:val="yellow"/>
        </w:rPr>
      </w:pPr>
    </w:p>
    <w:p w14:paraId="5883DA06" w14:textId="77777777" w:rsidR="005C414D" w:rsidRPr="007175E2" w:rsidRDefault="005C414D" w:rsidP="00637AFB">
      <w:pPr>
        <w:pStyle w:val="ListParagraph"/>
        <w:numPr>
          <w:ilvl w:val="0"/>
          <w:numId w:val="37"/>
        </w:numPr>
        <w:spacing w:after="0" w:line="240" w:lineRule="auto"/>
        <w:ind w:left="0" w:firstLine="720"/>
        <w:jc w:val="both"/>
        <w:rPr>
          <w:rFonts w:ascii="Cambria" w:eastAsia="Batang" w:hAnsi="Cambria" w:cs="Calibri Light"/>
          <w:b/>
          <w:color w:val="000000"/>
        </w:rPr>
        <w:sectPr w:rsidR="005C414D" w:rsidRPr="007175E2" w:rsidSect="005C414D">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titlePg/>
          <w:docGrid w:linePitch="360"/>
        </w:sectPr>
      </w:pPr>
    </w:p>
    <w:p w14:paraId="554FEE1F" w14:textId="77777777" w:rsidR="001541D4" w:rsidRPr="007175E2" w:rsidRDefault="001541D4" w:rsidP="00637AFB">
      <w:pPr>
        <w:pStyle w:val="ListParagraph"/>
        <w:numPr>
          <w:ilvl w:val="0"/>
          <w:numId w:val="37"/>
        </w:numPr>
        <w:spacing w:after="0" w:line="240" w:lineRule="auto"/>
        <w:ind w:left="0" w:firstLine="720"/>
        <w:jc w:val="both"/>
        <w:rPr>
          <w:rFonts w:ascii="Cambria" w:eastAsia="Batang" w:hAnsi="Cambria" w:cs="Calibri Light"/>
          <w:b/>
          <w:color w:val="000000"/>
        </w:rPr>
      </w:pPr>
      <w:r w:rsidRPr="007175E2">
        <w:rPr>
          <w:rFonts w:ascii="Cambria" w:eastAsia="Batang" w:hAnsi="Cambria" w:cs="Calibri Light"/>
          <w:b/>
          <w:color w:val="000000"/>
        </w:rPr>
        <w:lastRenderedPageBreak/>
        <w:t xml:space="preserve">ANALYSIS OF COMPLIANCE WITH THE CLAUSES OF THE FRIENDLY SETTLEMENT </w:t>
      </w:r>
    </w:p>
    <w:p w14:paraId="766F0236" w14:textId="77777777" w:rsidR="001541D4" w:rsidRPr="007175E2" w:rsidRDefault="001541D4" w:rsidP="001541D4">
      <w:pPr>
        <w:spacing w:after="0" w:line="240" w:lineRule="auto"/>
        <w:ind w:left="709" w:right="4"/>
        <w:jc w:val="both"/>
        <w:rPr>
          <w:rFonts w:ascii="Cambria" w:eastAsia="MS Mincho" w:hAnsi="Cambria"/>
          <w:color w:val="000000"/>
          <w:highlight w:val="yellow"/>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1"/>
        <w:gridCol w:w="1985"/>
      </w:tblGrid>
      <w:tr w:rsidR="00C03B37" w:rsidRPr="007175E2" w14:paraId="53700876" w14:textId="77777777" w:rsidTr="00655003">
        <w:trPr>
          <w:jc w:val="center"/>
        </w:trPr>
        <w:tc>
          <w:tcPr>
            <w:tcW w:w="737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B4C17D" w14:textId="77777777" w:rsidR="003E6F57" w:rsidRPr="007175E2" w:rsidRDefault="003E6F57" w:rsidP="00F024F0">
            <w:pPr>
              <w:tabs>
                <w:tab w:val="center" w:pos="2049"/>
              </w:tabs>
              <w:spacing w:after="0" w:line="240" w:lineRule="auto"/>
              <w:jc w:val="center"/>
              <w:rPr>
                <w:rFonts w:ascii="Cambria" w:eastAsia="Batang" w:hAnsi="Cambria"/>
                <w:b/>
                <w:color w:val="000000"/>
              </w:rPr>
            </w:pPr>
            <w:r w:rsidRPr="007175E2">
              <w:rPr>
                <w:rFonts w:ascii="Cambria" w:eastAsia="Batang" w:hAnsi="Cambria"/>
                <w:b/>
                <w:color w:val="000000"/>
              </w:rPr>
              <w:t xml:space="preserve">Clause of the Agreement </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6F933C" w14:textId="77777777" w:rsidR="003E6F57" w:rsidRPr="007175E2" w:rsidRDefault="003E6F57" w:rsidP="00F024F0">
            <w:pPr>
              <w:spacing w:after="0" w:line="240" w:lineRule="auto"/>
              <w:jc w:val="center"/>
              <w:rPr>
                <w:rFonts w:ascii="Cambria" w:eastAsia="Batang" w:hAnsi="Cambria"/>
                <w:b/>
                <w:color w:val="000000"/>
              </w:rPr>
            </w:pPr>
            <w:r w:rsidRPr="007175E2">
              <w:rPr>
                <w:rFonts w:ascii="Cambria" w:eastAsia="Batang" w:hAnsi="Cambria"/>
                <w:b/>
                <w:color w:val="000000"/>
              </w:rPr>
              <w:t xml:space="preserve">Status of Implementation </w:t>
            </w:r>
          </w:p>
        </w:tc>
      </w:tr>
      <w:tr w:rsidR="003E6F57" w:rsidRPr="007175E2" w14:paraId="05E01043" w14:textId="77777777" w:rsidTr="00655003">
        <w:trPr>
          <w:trHeight w:val="221"/>
          <w:jc w:val="center"/>
        </w:trPr>
        <w:tc>
          <w:tcPr>
            <w:tcW w:w="7371" w:type="dxa"/>
            <w:tcBorders>
              <w:top w:val="single" w:sz="4" w:space="0" w:color="auto"/>
              <w:left w:val="single" w:sz="4" w:space="0" w:color="auto"/>
              <w:bottom w:val="single" w:sz="4" w:space="0" w:color="auto"/>
              <w:right w:val="single" w:sz="4" w:space="0" w:color="auto"/>
            </w:tcBorders>
            <w:vAlign w:val="center"/>
          </w:tcPr>
          <w:p w14:paraId="0C018265" w14:textId="77777777" w:rsidR="003E6F57" w:rsidRPr="007175E2" w:rsidRDefault="003E6F57" w:rsidP="00F024F0">
            <w:pPr>
              <w:spacing w:after="0" w:line="240" w:lineRule="auto"/>
              <w:jc w:val="both"/>
              <w:rPr>
                <w:rFonts w:ascii="Cambria" w:eastAsia="Times New Roman" w:hAnsi="Cambria"/>
                <w:lang w:eastAsia="es-ES_tradnl"/>
              </w:rPr>
            </w:pPr>
            <w:r w:rsidRPr="007175E2">
              <w:rPr>
                <w:rFonts w:ascii="Cambria" w:eastAsia="Times New Roman" w:hAnsi="Cambria"/>
              </w:rPr>
              <w:t xml:space="preserve"> </w:t>
            </w:r>
            <w:r w:rsidRPr="007175E2">
              <w:rPr>
                <w:rFonts w:ascii="Cambria" w:eastAsia="Times New Roman" w:hAnsi="Cambria"/>
                <w:b/>
                <w:bCs/>
                <w:lang w:eastAsia="es-ES_tradnl"/>
              </w:rPr>
              <w:t xml:space="preserve">FIRST CLAUSE: RECOGNITION OF RESPONSIBILITY </w:t>
            </w:r>
          </w:p>
          <w:p w14:paraId="30F40E5F" w14:textId="77777777" w:rsidR="003E6F57" w:rsidRPr="007175E2" w:rsidRDefault="003E6F57" w:rsidP="00F024F0">
            <w:pPr>
              <w:spacing w:after="0" w:line="240" w:lineRule="auto"/>
              <w:jc w:val="both"/>
              <w:rPr>
                <w:rFonts w:ascii="Cambria" w:eastAsia="MS Mincho" w:hAnsi="Cambria"/>
                <w:b/>
                <w:lang w:eastAsia="es-ES_tradnl"/>
              </w:rPr>
            </w:pPr>
            <w:r w:rsidRPr="007175E2">
              <w:rPr>
                <w:rFonts w:ascii="Cambria" w:eastAsia="Times New Roman" w:hAnsi="Cambria"/>
                <w:lang w:eastAsia="es-ES_tradnl"/>
              </w:rPr>
              <w:t xml:space="preserve">The Paraguayan State recognizes its international responsibility in case 12.374, “Jorge Enrique Patiño Palacios”, which is about the death of the young man Jorge Enrique Patiño Palacios, on October 24, 1994- for the violation of due process and fair trial rights enshrined in Articles 8 and 25 of the American Convention. In the case brought because of the death of Jorge Enrique Patiño Palacios, the State did not conduct investigations in keeping with due diligence standards. It also exceeded a reasonable time for the investigation, which was tantamount to unwarranted delay as a consequence of not abiding by the time period expressly provided for in the Code of Criminal Procedure of the Republic of Paraguay, and the reluctance to prosecute, as is noted in the successive attenuating circumstances, which are not expressly set forth in the procedural law, and are on record in the case proceedings at all the levels of the administration of justice.  This had an impact on establishing appropriate responsibility for the acts proven in the respective judicial case proceedings file and were a violation of international legal instruments, which the Paraguayan State undertook to respect. </w:t>
            </w:r>
          </w:p>
        </w:tc>
        <w:tc>
          <w:tcPr>
            <w:tcW w:w="1985" w:type="dxa"/>
            <w:tcBorders>
              <w:top w:val="single" w:sz="4" w:space="0" w:color="auto"/>
              <w:left w:val="single" w:sz="4" w:space="0" w:color="auto"/>
              <w:bottom w:val="single" w:sz="4" w:space="0" w:color="auto"/>
              <w:right w:val="single" w:sz="4" w:space="0" w:color="auto"/>
            </w:tcBorders>
            <w:vAlign w:val="center"/>
          </w:tcPr>
          <w:p w14:paraId="1DD81666" w14:textId="77777777" w:rsidR="003E6F57" w:rsidRPr="007175E2" w:rsidRDefault="003E6F57" w:rsidP="00F024F0">
            <w:pPr>
              <w:spacing w:after="0" w:line="240" w:lineRule="auto"/>
              <w:jc w:val="center"/>
              <w:rPr>
                <w:rFonts w:ascii="Cambria" w:hAnsi="Cambria"/>
                <w:b/>
              </w:rPr>
            </w:pPr>
            <w:r w:rsidRPr="007175E2">
              <w:rPr>
                <w:rFonts w:ascii="Cambria" w:eastAsia="Batang" w:hAnsi="Cambria"/>
                <w:b/>
                <w:color w:val="000000"/>
                <w:lang w:eastAsia="es-ES_tradnl"/>
              </w:rPr>
              <w:t xml:space="preserve">Declarative clause </w:t>
            </w:r>
          </w:p>
        </w:tc>
      </w:tr>
      <w:tr w:rsidR="003E6F57" w:rsidRPr="007175E2" w14:paraId="6133689B" w14:textId="77777777" w:rsidTr="00655003">
        <w:trPr>
          <w:trHeight w:val="608"/>
          <w:jc w:val="center"/>
        </w:trPr>
        <w:tc>
          <w:tcPr>
            <w:tcW w:w="7371" w:type="dxa"/>
            <w:tcBorders>
              <w:top w:val="single" w:sz="4" w:space="0" w:color="auto"/>
              <w:left w:val="single" w:sz="4" w:space="0" w:color="auto"/>
              <w:bottom w:val="single" w:sz="4" w:space="0" w:color="auto"/>
              <w:right w:val="single" w:sz="4" w:space="0" w:color="auto"/>
            </w:tcBorders>
          </w:tcPr>
          <w:p w14:paraId="7FDC9F92" w14:textId="77777777" w:rsidR="003E6F57" w:rsidRPr="007175E2" w:rsidRDefault="003E6F57" w:rsidP="00F024F0">
            <w:pPr>
              <w:spacing w:after="0" w:line="240" w:lineRule="auto"/>
              <w:jc w:val="both"/>
              <w:rPr>
                <w:rFonts w:ascii="Cambria" w:eastAsia="Times New Roman" w:hAnsi="Cambria"/>
                <w:lang w:eastAsia="es-ES_tradnl"/>
              </w:rPr>
            </w:pPr>
            <w:r w:rsidRPr="007175E2">
              <w:rPr>
                <w:rFonts w:ascii="Cambria" w:eastAsia="Times New Roman" w:hAnsi="Cambria"/>
                <w:b/>
                <w:bCs/>
                <w:lang w:eastAsia="es-ES_tradnl"/>
              </w:rPr>
              <w:t xml:space="preserve">SECOND CLAUSE: WAIVER OF ANY FORM OF MONETARY REPARATION </w:t>
            </w:r>
          </w:p>
          <w:p w14:paraId="4DE29DF2" w14:textId="77777777" w:rsidR="003E6F57" w:rsidRPr="007175E2" w:rsidRDefault="003E6F57" w:rsidP="00F024F0">
            <w:pPr>
              <w:spacing w:after="0" w:line="240" w:lineRule="auto"/>
              <w:ind w:right="72"/>
              <w:jc w:val="both"/>
              <w:rPr>
                <w:rFonts w:ascii="Cambria" w:hAnsi="Cambria"/>
                <w:bCs/>
                <w:color w:val="000000"/>
                <w:kern w:val="36"/>
              </w:rPr>
            </w:pPr>
            <w:r w:rsidRPr="007175E2">
              <w:rPr>
                <w:rFonts w:ascii="Cambria" w:eastAsia="Times New Roman" w:hAnsi="Cambria"/>
                <w:lang w:eastAsia="es-ES_tradnl"/>
              </w:rPr>
              <w:t>The family members of Jorge Enrique Patiño Palacios formally waive the right to collect any monetary reparation.</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9D23B23" w14:textId="77777777" w:rsidR="003E6F57" w:rsidRPr="007175E2" w:rsidRDefault="003E6F57" w:rsidP="00F024F0">
            <w:pPr>
              <w:spacing w:after="0" w:line="240" w:lineRule="auto"/>
              <w:jc w:val="center"/>
              <w:rPr>
                <w:rFonts w:ascii="Cambria" w:eastAsia="Batang" w:hAnsi="Cambria"/>
                <w:b/>
                <w:bCs/>
                <w:color w:val="000000"/>
              </w:rPr>
            </w:pPr>
            <w:r w:rsidRPr="007175E2">
              <w:rPr>
                <w:rFonts w:ascii="Cambria" w:eastAsia="Batang" w:hAnsi="Cambria"/>
                <w:b/>
                <w:bCs/>
                <w:color w:val="000000"/>
                <w:lang w:eastAsia="es-ES_tradnl"/>
              </w:rPr>
              <w:t xml:space="preserve">Declarative clause </w:t>
            </w:r>
          </w:p>
        </w:tc>
      </w:tr>
      <w:tr w:rsidR="003E6F57" w:rsidRPr="007175E2" w14:paraId="0C4AA553" w14:textId="77777777" w:rsidTr="00655003">
        <w:trPr>
          <w:trHeight w:val="367"/>
          <w:jc w:val="center"/>
        </w:trPr>
        <w:tc>
          <w:tcPr>
            <w:tcW w:w="7371" w:type="dxa"/>
            <w:tcBorders>
              <w:top w:val="single" w:sz="4" w:space="0" w:color="auto"/>
              <w:left w:val="single" w:sz="4" w:space="0" w:color="auto"/>
              <w:bottom w:val="single" w:sz="4" w:space="0" w:color="auto"/>
              <w:right w:val="single" w:sz="4" w:space="0" w:color="auto"/>
            </w:tcBorders>
            <w:vAlign w:val="center"/>
          </w:tcPr>
          <w:p w14:paraId="0C40F9AC" w14:textId="77777777" w:rsidR="003E6F57" w:rsidRPr="007175E2" w:rsidRDefault="003E6F57" w:rsidP="00F024F0">
            <w:pPr>
              <w:spacing w:after="0" w:line="240" w:lineRule="auto"/>
              <w:jc w:val="both"/>
              <w:rPr>
                <w:rFonts w:ascii="Cambria" w:eastAsia="Times New Roman" w:hAnsi="Cambria"/>
                <w:lang w:eastAsia="es-ES_tradnl"/>
              </w:rPr>
            </w:pPr>
            <w:r w:rsidRPr="007175E2">
              <w:rPr>
                <w:rFonts w:ascii="Cambria" w:eastAsia="Times New Roman" w:hAnsi="Cambria"/>
                <w:b/>
                <w:bCs/>
                <w:lang w:eastAsia="es-ES_tradnl"/>
              </w:rPr>
              <w:t xml:space="preserve">THIRD CLAUSE: GUARANTEES OF NON-REPETITION </w:t>
            </w:r>
          </w:p>
          <w:p w14:paraId="33B6FC86" w14:textId="77777777" w:rsidR="003E6F57" w:rsidRPr="007175E2" w:rsidRDefault="003E6F57" w:rsidP="00F024F0">
            <w:pPr>
              <w:spacing w:after="0" w:line="240" w:lineRule="auto"/>
              <w:jc w:val="both"/>
              <w:rPr>
                <w:rFonts w:ascii="Cambria" w:eastAsia="Times New Roman" w:hAnsi="Cambria"/>
                <w:lang w:eastAsia="es-ES_tradnl"/>
              </w:rPr>
            </w:pPr>
            <w:r w:rsidRPr="007175E2">
              <w:rPr>
                <w:rFonts w:ascii="Cambria" w:eastAsia="Times New Roman" w:hAnsi="Cambria"/>
                <w:lang w:eastAsia="es-ES_tradnl"/>
              </w:rPr>
              <w:t xml:space="preserve">Case N° 12.374, “Jorge Enrique Patiño Palacios” exposes the lack of diligence in the conduct of the authorities in charge of the investigation into the punishable acts in processing the case brought before Paraguayan Justice: </w:t>
            </w:r>
          </w:p>
          <w:p w14:paraId="0E026DA2" w14:textId="77777777" w:rsidR="003E6F57" w:rsidRPr="007175E2" w:rsidRDefault="003E6F57" w:rsidP="00F024F0">
            <w:pPr>
              <w:spacing w:after="0" w:line="240" w:lineRule="auto"/>
              <w:jc w:val="both"/>
              <w:rPr>
                <w:rFonts w:ascii="Cambria" w:eastAsia="Times New Roman" w:hAnsi="Cambria"/>
                <w:lang w:eastAsia="es-ES_tradnl"/>
              </w:rPr>
            </w:pPr>
            <w:r w:rsidRPr="007175E2">
              <w:rPr>
                <w:rFonts w:ascii="Cambria" w:eastAsia="Times New Roman" w:hAnsi="Cambria"/>
                <w:lang w:eastAsia="es-ES_tradnl"/>
              </w:rPr>
              <w:t xml:space="preserve">For this purpose, as a guarantee of non-repetition of the crimes as they were reported in the case, institutional capacity of the State agencies that perform these duties must be strengthened, and in that regard the State accepts the following commitment:  </w:t>
            </w:r>
          </w:p>
          <w:p w14:paraId="0E34A83C" w14:textId="77777777" w:rsidR="003E6F57" w:rsidRPr="007175E2" w:rsidRDefault="003E6F57" w:rsidP="00F024F0">
            <w:pPr>
              <w:spacing w:after="0" w:line="240" w:lineRule="auto"/>
              <w:ind w:right="72"/>
              <w:jc w:val="both"/>
              <w:rPr>
                <w:rFonts w:ascii="Cambria" w:eastAsia="Times New Roman" w:hAnsi="Cambria"/>
                <w:bCs/>
              </w:rPr>
            </w:pPr>
            <w:r w:rsidRPr="007175E2">
              <w:rPr>
                <w:rFonts w:ascii="Cambria" w:eastAsia="Times New Roman" w:hAnsi="Cambria"/>
                <w:lang w:eastAsia="es-ES_tradnl"/>
              </w:rPr>
              <w:t>1. The Paraguayan State undertakes to request on a semiannual basis, through the Supreme Court of Justice, reports on the status of the proceedings of the cases of all courts in the country, in order to verify strict compliance with the time periods and deadlines established in procedural laws, and in the event that violations of these principles are observed, to apply the corresponding sanctions and, according to the seriousness of the incident, to file a report with the Magistrates’ Trial Jury, and it must report on this, until there is full compliance with the other clauses of the Agreement.</w:t>
            </w:r>
          </w:p>
        </w:tc>
        <w:tc>
          <w:tcPr>
            <w:tcW w:w="1985" w:type="dxa"/>
            <w:tcBorders>
              <w:top w:val="single" w:sz="4" w:space="0" w:color="auto"/>
              <w:left w:val="single" w:sz="4" w:space="0" w:color="auto"/>
              <w:bottom w:val="single" w:sz="4" w:space="0" w:color="auto"/>
              <w:right w:val="single" w:sz="4" w:space="0" w:color="auto"/>
            </w:tcBorders>
            <w:vAlign w:val="center"/>
          </w:tcPr>
          <w:p w14:paraId="1526CB1C" w14:textId="77777777" w:rsidR="003E6F57" w:rsidRPr="007175E2" w:rsidRDefault="003E6F57" w:rsidP="00F024F0">
            <w:pPr>
              <w:spacing w:after="0" w:line="240" w:lineRule="auto"/>
              <w:jc w:val="center"/>
              <w:rPr>
                <w:rFonts w:ascii="Cambria" w:hAnsi="Cambria"/>
                <w:b/>
                <w:color w:val="000000"/>
              </w:rPr>
            </w:pPr>
            <w:r w:rsidRPr="007175E2">
              <w:rPr>
                <w:rFonts w:ascii="Cambria" w:hAnsi="Cambria"/>
                <w:b/>
              </w:rPr>
              <w:t>Total</w:t>
            </w:r>
            <w:r w:rsidRPr="007175E2">
              <w:rPr>
                <w:rFonts w:ascii="Cambria" w:eastAsia="MS Mincho" w:hAnsi="Cambria"/>
                <w:b/>
                <w:vertAlign w:val="superscript"/>
                <w:lang w:eastAsia="es-ES_tradnl"/>
              </w:rPr>
              <w:footnoteReference w:id="1"/>
            </w:r>
          </w:p>
        </w:tc>
      </w:tr>
      <w:tr w:rsidR="003E6F57" w:rsidRPr="007175E2" w14:paraId="29CCA4D8" w14:textId="77777777" w:rsidTr="00655003">
        <w:trPr>
          <w:trHeight w:val="274"/>
          <w:jc w:val="center"/>
        </w:trPr>
        <w:tc>
          <w:tcPr>
            <w:tcW w:w="7371" w:type="dxa"/>
            <w:tcBorders>
              <w:top w:val="single" w:sz="4" w:space="0" w:color="auto"/>
              <w:left w:val="single" w:sz="4" w:space="0" w:color="auto"/>
              <w:bottom w:val="single" w:sz="4" w:space="0" w:color="auto"/>
              <w:right w:val="single" w:sz="4" w:space="0" w:color="auto"/>
            </w:tcBorders>
          </w:tcPr>
          <w:p w14:paraId="26B524D1" w14:textId="77777777" w:rsidR="003E6F57" w:rsidRPr="007175E2" w:rsidRDefault="003E6F57" w:rsidP="00F024F0">
            <w:pPr>
              <w:pStyle w:val="NormalWeb"/>
              <w:spacing w:before="0" w:beforeAutospacing="0" w:after="0" w:afterAutospacing="0"/>
              <w:jc w:val="both"/>
              <w:rPr>
                <w:rFonts w:ascii="Cambria" w:hAnsi="Cambria"/>
                <w:sz w:val="22"/>
                <w:szCs w:val="22"/>
              </w:rPr>
            </w:pPr>
            <w:r w:rsidRPr="007175E2">
              <w:rPr>
                <w:rFonts w:ascii="Cambria" w:hAnsi="Cambria"/>
                <w:sz w:val="22"/>
                <w:szCs w:val="22"/>
              </w:rPr>
              <w:t xml:space="preserve">2. Implement, within a period of one year counted from the date of the signing of the instant friendly settlement agreement, for the Magistrates of the Criminal Jurisdiction, the members of the Public Prosecutor’s Office and the Department of Criminal Investigation, a course or seminar on international due diligence standards in investigations, the gathering and weighing of </w:t>
            </w:r>
            <w:r w:rsidRPr="007175E2">
              <w:rPr>
                <w:rFonts w:ascii="Cambria" w:hAnsi="Cambria"/>
                <w:sz w:val="22"/>
                <w:szCs w:val="22"/>
              </w:rPr>
              <w:lastRenderedPageBreak/>
              <w:t xml:space="preserve">forensic evidence  in the framework of specialized courses on State responsibility for negligence or mala praxis of its judicial bodies, which is to be implemented throughout the Republic of Paraguay. </w:t>
            </w:r>
          </w:p>
          <w:p w14:paraId="0E521A3B" w14:textId="3DB02902" w:rsidR="003E6F57" w:rsidRPr="007175E2" w:rsidRDefault="003E6F57" w:rsidP="00F024F0">
            <w:pPr>
              <w:pStyle w:val="NormalWeb"/>
              <w:spacing w:before="0" w:beforeAutospacing="0" w:after="0" w:afterAutospacing="0"/>
              <w:jc w:val="both"/>
              <w:rPr>
                <w:rFonts w:ascii="Cambria" w:hAnsi="Cambria"/>
                <w:sz w:val="22"/>
                <w:szCs w:val="22"/>
              </w:rPr>
            </w:pPr>
            <w:r w:rsidRPr="007175E2">
              <w:rPr>
                <w:rFonts w:ascii="Cambria" w:hAnsi="Cambria"/>
                <w:sz w:val="22"/>
                <w:szCs w:val="22"/>
              </w:rPr>
              <w:t xml:space="preserve">Both in the announcement of these courses or seminars and during the courses themselves, express reference will be made to the instant Friendly Settlement </w:t>
            </w:r>
            <w:r w:rsidR="005205B9" w:rsidRPr="007175E2">
              <w:rPr>
                <w:rFonts w:ascii="Cambria" w:hAnsi="Cambria"/>
                <w:sz w:val="22"/>
                <w:szCs w:val="22"/>
              </w:rPr>
              <w:t>Agreement,</w:t>
            </w:r>
            <w:r w:rsidRPr="007175E2">
              <w:rPr>
                <w:rFonts w:ascii="Cambria" w:hAnsi="Cambria"/>
                <w:sz w:val="22"/>
                <w:szCs w:val="22"/>
              </w:rPr>
              <w:t xml:space="preserve"> and it will be noted that the requirement to do so is related to recognition by the State of responsibility in the instant case.  </w:t>
            </w:r>
          </w:p>
          <w:p w14:paraId="7EC4F4AA" w14:textId="77777777" w:rsidR="003E6F57" w:rsidRPr="007175E2" w:rsidRDefault="003E6F57" w:rsidP="00F024F0">
            <w:pPr>
              <w:spacing w:after="0" w:line="240" w:lineRule="auto"/>
              <w:ind w:right="72"/>
              <w:jc w:val="both"/>
              <w:rPr>
                <w:rFonts w:ascii="Cambria" w:eastAsia="Times New Roman" w:hAnsi="Cambria"/>
                <w:bCs/>
              </w:rPr>
            </w:pPr>
            <w:r w:rsidRPr="007175E2">
              <w:rPr>
                <w:rFonts w:ascii="Cambria" w:eastAsia="Times New Roman" w:hAnsi="Cambria"/>
              </w:rPr>
              <w:t>The announcements shall be issued jointly between the Judiciary and the Public Prosecutor’s Office.</w:t>
            </w:r>
          </w:p>
        </w:tc>
        <w:tc>
          <w:tcPr>
            <w:tcW w:w="1985" w:type="dxa"/>
            <w:tcBorders>
              <w:top w:val="single" w:sz="4" w:space="0" w:color="auto"/>
              <w:left w:val="single" w:sz="4" w:space="0" w:color="auto"/>
              <w:bottom w:val="single" w:sz="4" w:space="0" w:color="auto"/>
              <w:right w:val="single" w:sz="4" w:space="0" w:color="auto"/>
            </w:tcBorders>
            <w:vAlign w:val="center"/>
          </w:tcPr>
          <w:p w14:paraId="64EB168A" w14:textId="77777777" w:rsidR="003E6F57" w:rsidRPr="007175E2" w:rsidRDefault="003E6F57" w:rsidP="00F024F0">
            <w:pPr>
              <w:spacing w:after="0" w:line="240" w:lineRule="auto"/>
              <w:jc w:val="center"/>
              <w:rPr>
                <w:rFonts w:ascii="Cambria" w:hAnsi="Cambria"/>
                <w:b/>
                <w:color w:val="000000"/>
              </w:rPr>
            </w:pPr>
            <w:r w:rsidRPr="007175E2">
              <w:rPr>
                <w:rFonts w:ascii="Cambria" w:eastAsia="Batang" w:hAnsi="Cambria"/>
                <w:b/>
                <w:color w:val="000000"/>
                <w:lang w:eastAsia="es-ES_tradnl"/>
              </w:rPr>
              <w:lastRenderedPageBreak/>
              <w:t>Total</w:t>
            </w:r>
            <w:r w:rsidRPr="007175E2">
              <w:rPr>
                <w:rFonts w:ascii="Cambria" w:eastAsia="Batang" w:hAnsi="Cambria"/>
                <w:b/>
                <w:color w:val="000000"/>
                <w:vertAlign w:val="superscript"/>
                <w:lang w:eastAsia="es-ES_tradnl"/>
              </w:rPr>
              <w:footnoteReference w:id="2"/>
            </w:r>
          </w:p>
        </w:tc>
      </w:tr>
      <w:tr w:rsidR="003E6F57" w:rsidRPr="007175E2" w14:paraId="56E27501" w14:textId="77777777" w:rsidTr="00655003">
        <w:trPr>
          <w:trHeight w:val="64"/>
          <w:jc w:val="center"/>
        </w:trPr>
        <w:tc>
          <w:tcPr>
            <w:tcW w:w="7371" w:type="dxa"/>
            <w:tcBorders>
              <w:top w:val="single" w:sz="4" w:space="0" w:color="auto"/>
              <w:left w:val="single" w:sz="4" w:space="0" w:color="auto"/>
              <w:bottom w:val="single" w:sz="4" w:space="0" w:color="auto"/>
              <w:right w:val="single" w:sz="4" w:space="0" w:color="auto"/>
            </w:tcBorders>
          </w:tcPr>
          <w:p w14:paraId="2ADCBDD9" w14:textId="77777777" w:rsidR="003E6F57" w:rsidRPr="007175E2" w:rsidRDefault="003E6F57" w:rsidP="00F024F0">
            <w:pPr>
              <w:spacing w:after="0" w:line="240" w:lineRule="auto"/>
              <w:ind w:right="72"/>
              <w:jc w:val="both"/>
              <w:rPr>
                <w:rFonts w:ascii="Cambria" w:eastAsia="Times New Roman" w:hAnsi="Cambria"/>
              </w:rPr>
            </w:pPr>
            <w:r w:rsidRPr="007175E2">
              <w:rPr>
                <w:rFonts w:ascii="Cambria" w:hAnsi="Cambria"/>
              </w:rPr>
              <w:t>3. The competent Judicial Authorities shall issue within the scope of their powers and competence the necessary legal instruments to establish the procedures that must be observed to guarantee the chain of custody of evidence and proof, that is gathered, obtained, produced or received, in the framework of the criminal case, and the punishments for failure to abide by the procedures.</w:t>
            </w:r>
          </w:p>
        </w:tc>
        <w:tc>
          <w:tcPr>
            <w:tcW w:w="1985" w:type="dxa"/>
            <w:tcBorders>
              <w:top w:val="single" w:sz="4" w:space="0" w:color="auto"/>
              <w:left w:val="single" w:sz="4" w:space="0" w:color="auto"/>
              <w:bottom w:val="single" w:sz="4" w:space="0" w:color="auto"/>
              <w:right w:val="single" w:sz="4" w:space="0" w:color="auto"/>
            </w:tcBorders>
            <w:vAlign w:val="center"/>
          </w:tcPr>
          <w:p w14:paraId="716BFD54" w14:textId="77777777" w:rsidR="003E6F57" w:rsidRPr="007175E2" w:rsidRDefault="003E6F57" w:rsidP="00F024F0">
            <w:pPr>
              <w:spacing w:after="0" w:line="240" w:lineRule="auto"/>
              <w:jc w:val="center"/>
              <w:rPr>
                <w:rFonts w:ascii="Cambria" w:hAnsi="Cambria"/>
                <w:b/>
                <w:color w:val="000000"/>
              </w:rPr>
            </w:pPr>
            <w:r w:rsidRPr="007175E2">
              <w:rPr>
                <w:rFonts w:ascii="Cambria" w:hAnsi="Cambria"/>
                <w:b/>
              </w:rPr>
              <w:t>Total</w:t>
            </w:r>
            <w:r w:rsidRPr="007175E2">
              <w:rPr>
                <w:rStyle w:val="FootnoteReference"/>
                <w:rFonts w:ascii="Cambria" w:eastAsia="Batang" w:hAnsi="Cambria"/>
                <w:b/>
              </w:rPr>
              <w:footnoteReference w:id="3"/>
            </w:r>
          </w:p>
        </w:tc>
      </w:tr>
      <w:tr w:rsidR="003E6F57" w:rsidRPr="007175E2" w14:paraId="0FC94E27" w14:textId="77777777" w:rsidTr="00655003">
        <w:trPr>
          <w:trHeight w:val="64"/>
          <w:jc w:val="center"/>
        </w:trPr>
        <w:tc>
          <w:tcPr>
            <w:tcW w:w="7371" w:type="dxa"/>
            <w:tcBorders>
              <w:top w:val="single" w:sz="4" w:space="0" w:color="auto"/>
              <w:left w:val="single" w:sz="4" w:space="0" w:color="auto"/>
              <w:bottom w:val="single" w:sz="4" w:space="0" w:color="auto"/>
              <w:right w:val="single" w:sz="4" w:space="0" w:color="auto"/>
            </w:tcBorders>
          </w:tcPr>
          <w:p w14:paraId="48AF7A02" w14:textId="77777777" w:rsidR="003E6F57" w:rsidRPr="007175E2" w:rsidRDefault="003E6F57" w:rsidP="00F024F0">
            <w:pPr>
              <w:spacing w:after="0" w:line="240" w:lineRule="auto"/>
              <w:jc w:val="both"/>
              <w:rPr>
                <w:rFonts w:ascii="Cambria" w:eastAsia="Times New Roman" w:hAnsi="Cambria"/>
                <w:lang w:eastAsia="es-ES_tradnl"/>
              </w:rPr>
            </w:pPr>
            <w:r w:rsidRPr="007175E2">
              <w:rPr>
                <w:rFonts w:ascii="Cambria" w:eastAsia="Times New Roman" w:hAnsi="Cambria"/>
                <w:b/>
                <w:bCs/>
                <w:lang w:eastAsia="es-ES_tradnl"/>
              </w:rPr>
              <w:t xml:space="preserve">FOURTH CLAUSE: MEASURE OF SATISFACTION </w:t>
            </w:r>
          </w:p>
          <w:p w14:paraId="0EE885FB" w14:textId="77777777" w:rsidR="003E6F57" w:rsidRPr="007175E2" w:rsidRDefault="003E6F57" w:rsidP="00F024F0">
            <w:pPr>
              <w:spacing w:after="0" w:line="240" w:lineRule="auto"/>
              <w:ind w:right="72"/>
              <w:jc w:val="both"/>
              <w:rPr>
                <w:rFonts w:ascii="Cambria" w:hAnsi="Cambria"/>
                <w:b/>
                <w:bCs/>
              </w:rPr>
            </w:pPr>
            <w:r w:rsidRPr="007175E2">
              <w:rPr>
                <w:rFonts w:ascii="Cambria" w:eastAsia="Times New Roman" w:hAnsi="Cambria"/>
                <w:lang w:eastAsia="es-ES_tradnl"/>
              </w:rPr>
              <w:t xml:space="preserve">For the purposes of honoring the memory of the young man Jorge Enrique Patiño Palacios, the State undertakes to name after the victim, within the period of three months as of the signing of the instant agreement, a hearing room in the Palace of Justice and at the “Ñemity Center for Pedagogical Engagement (“Centro de Convivencia Pedagógica Ñemity”) of the Secretariat for Children and Adolescents, an institution that is used to provide education and health care to abandoned children and adolescents located in Reducto San Lorenzo. </w:t>
            </w:r>
          </w:p>
        </w:tc>
        <w:tc>
          <w:tcPr>
            <w:tcW w:w="1985" w:type="dxa"/>
            <w:tcBorders>
              <w:top w:val="single" w:sz="4" w:space="0" w:color="auto"/>
              <w:left w:val="single" w:sz="4" w:space="0" w:color="auto"/>
              <w:bottom w:val="single" w:sz="4" w:space="0" w:color="auto"/>
              <w:right w:val="single" w:sz="4" w:space="0" w:color="auto"/>
            </w:tcBorders>
            <w:vAlign w:val="center"/>
          </w:tcPr>
          <w:p w14:paraId="0968AD34" w14:textId="77777777" w:rsidR="003E6F57" w:rsidRPr="007175E2" w:rsidRDefault="003E6F57" w:rsidP="00F024F0">
            <w:pPr>
              <w:spacing w:after="0" w:line="240" w:lineRule="auto"/>
              <w:jc w:val="center"/>
              <w:rPr>
                <w:rFonts w:ascii="Cambria" w:hAnsi="Cambria"/>
                <w:b/>
              </w:rPr>
            </w:pPr>
            <w:r w:rsidRPr="007175E2">
              <w:rPr>
                <w:rFonts w:ascii="Cambria" w:eastAsia="Batang" w:hAnsi="Cambria"/>
                <w:b/>
                <w:color w:val="000000"/>
                <w:lang w:eastAsia="es-ES_tradnl"/>
              </w:rPr>
              <w:t>Total</w:t>
            </w:r>
            <w:r w:rsidRPr="007175E2">
              <w:rPr>
                <w:rFonts w:ascii="Cambria" w:eastAsia="Batang" w:hAnsi="Cambria"/>
                <w:b/>
                <w:color w:val="000000"/>
                <w:vertAlign w:val="superscript"/>
                <w:lang w:eastAsia="es-ES_tradnl"/>
              </w:rPr>
              <w:footnoteReference w:id="4"/>
            </w:r>
          </w:p>
        </w:tc>
      </w:tr>
      <w:tr w:rsidR="003E6F57" w:rsidRPr="007175E2" w14:paraId="4DACB989" w14:textId="77777777" w:rsidTr="00655003">
        <w:trPr>
          <w:trHeight w:val="64"/>
          <w:jc w:val="center"/>
        </w:trPr>
        <w:tc>
          <w:tcPr>
            <w:tcW w:w="7371" w:type="dxa"/>
            <w:tcBorders>
              <w:top w:val="single" w:sz="4" w:space="0" w:color="auto"/>
              <w:left w:val="single" w:sz="4" w:space="0" w:color="auto"/>
              <w:bottom w:val="single" w:sz="4" w:space="0" w:color="auto"/>
              <w:right w:val="single" w:sz="4" w:space="0" w:color="auto"/>
            </w:tcBorders>
          </w:tcPr>
          <w:p w14:paraId="38C7F2BA" w14:textId="77777777" w:rsidR="003E6F57" w:rsidRPr="007175E2" w:rsidRDefault="003E6F57" w:rsidP="00F024F0">
            <w:pPr>
              <w:spacing w:after="0" w:line="240" w:lineRule="auto"/>
              <w:jc w:val="both"/>
              <w:rPr>
                <w:rFonts w:ascii="Cambria" w:eastAsia="Times New Roman" w:hAnsi="Cambria"/>
                <w:lang w:eastAsia="es-ES_tradnl"/>
              </w:rPr>
            </w:pPr>
            <w:r w:rsidRPr="007175E2">
              <w:rPr>
                <w:rFonts w:ascii="Cambria" w:eastAsia="Times New Roman" w:hAnsi="Cambria"/>
                <w:b/>
                <w:bCs/>
                <w:lang w:eastAsia="es-ES_tradnl"/>
              </w:rPr>
              <w:t xml:space="preserve">FIFTH CLAUSE: TERMS AND CONDITIONS OF INTERNATIONAL RECOGNITION </w:t>
            </w:r>
          </w:p>
          <w:p w14:paraId="69B7AB20" w14:textId="77777777" w:rsidR="003E6F57" w:rsidRPr="007175E2" w:rsidRDefault="003E6F57" w:rsidP="00F024F0">
            <w:pPr>
              <w:spacing w:after="0" w:line="240" w:lineRule="auto"/>
              <w:jc w:val="both"/>
              <w:rPr>
                <w:rFonts w:ascii="Cambria" w:eastAsia="Times New Roman" w:hAnsi="Cambria"/>
                <w:lang w:eastAsia="es-ES_tradnl"/>
              </w:rPr>
            </w:pPr>
            <w:r w:rsidRPr="007175E2">
              <w:rPr>
                <w:rFonts w:ascii="Cambria" w:eastAsia="Times New Roman" w:hAnsi="Cambria"/>
                <w:lang w:eastAsia="es-ES_tradnl"/>
              </w:rPr>
              <w:t xml:space="preserve">The State undertakes to publish the full text of the Friendly Settlement Agreement on the website portal of the Ministry of Foreign Affairs and the Judiciary, with an announcement on the webpage of the Office of the President of the Republic, and keep it posted for a period of one year. Once full compliance is attained, the text will be published in the Official Gazette.  </w:t>
            </w:r>
          </w:p>
          <w:p w14:paraId="462CD77F" w14:textId="77777777" w:rsidR="003E6F57" w:rsidRPr="007175E2" w:rsidRDefault="003E6F57" w:rsidP="00F024F0">
            <w:pPr>
              <w:spacing w:after="0" w:line="240" w:lineRule="auto"/>
              <w:ind w:right="72"/>
              <w:jc w:val="both"/>
              <w:rPr>
                <w:rFonts w:ascii="Cambria" w:hAnsi="Cambria"/>
                <w:b/>
                <w:bCs/>
                <w:highlight w:val="yellow"/>
              </w:rPr>
            </w:pPr>
            <w:r w:rsidRPr="007175E2">
              <w:rPr>
                <w:rFonts w:ascii="Cambria" w:eastAsia="Times New Roman" w:hAnsi="Cambria"/>
                <w:lang w:eastAsia="es-ES_tradnl"/>
              </w:rPr>
              <w:t>Once the instant Friendly Settlement Agreement has been fully implemented, the corresponding report of the Inter-American Commission on Human Rights, pursuant to the provisions of Article 49 of the American Convention on Human Rights, will be published in the Official Bulletin of the State (Official Gazette) and the Internet web Portal of the Judiciary and of the Ministry of Foreign Affairs.</w:t>
            </w:r>
          </w:p>
        </w:tc>
        <w:tc>
          <w:tcPr>
            <w:tcW w:w="1985" w:type="dxa"/>
            <w:tcBorders>
              <w:top w:val="single" w:sz="4" w:space="0" w:color="auto"/>
              <w:left w:val="single" w:sz="4" w:space="0" w:color="auto"/>
              <w:bottom w:val="single" w:sz="4" w:space="0" w:color="auto"/>
              <w:right w:val="single" w:sz="4" w:space="0" w:color="auto"/>
            </w:tcBorders>
            <w:vAlign w:val="center"/>
          </w:tcPr>
          <w:p w14:paraId="4153FA0E" w14:textId="77777777" w:rsidR="003E6F57" w:rsidRPr="007175E2" w:rsidRDefault="003E6F57" w:rsidP="00F024F0">
            <w:pPr>
              <w:spacing w:after="0" w:line="240" w:lineRule="auto"/>
              <w:jc w:val="center"/>
              <w:rPr>
                <w:rFonts w:ascii="Cambria" w:hAnsi="Cambria"/>
                <w:b/>
                <w:highlight w:val="yellow"/>
              </w:rPr>
            </w:pPr>
            <w:r w:rsidRPr="007175E2">
              <w:rPr>
                <w:rFonts w:ascii="Cambria" w:hAnsi="Cambria"/>
                <w:b/>
              </w:rPr>
              <w:t>Total</w:t>
            </w:r>
            <w:r w:rsidRPr="007175E2">
              <w:rPr>
                <w:rFonts w:ascii="Cambria" w:eastAsia="Batang" w:hAnsi="Cambria"/>
                <w:b/>
                <w:vertAlign w:val="superscript"/>
              </w:rPr>
              <w:footnoteReference w:id="5"/>
            </w:r>
          </w:p>
        </w:tc>
      </w:tr>
    </w:tbl>
    <w:p w14:paraId="76569D6D" w14:textId="77777777" w:rsidR="003E6F57" w:rsidRPr="007175E2" w:rsidRDefault="003E6F57" w:rsidP="001541D4">
      <w:pPr>
        <w:spacing w:after="0" w:line="240" w:lineRule="auto"/>
        <w:ind w:left="709" w:right="4"/>
        <w:jc w:val="both"/>
        <w:rPr>
          <w:rFonts w:ascii="Cambria" w:eastAsia="MS Mincho" w:hAnsi="Cambria"/>
          <w:color w:val="000000"/>
          <w:highlight w:val="yellow"/>
        </w:rPr>
      </w:pPr>
    </w:p>
    <w:p w14:paraId="73E24492" w14:textId="77777777" w:rsidR="003E6F57" w:rsidRPr="007175E2" w:rsidRDefault="003E6F57" w:rsidP="00637AFB">
      <w:pPr>
        <w:numPr>
          <w:ilvl w:val="0"/>
          <w:numId w:val="37"/>
        </w:numPr>
        <w:tabs>
          <w:tab w:val="left" w:pos="720"/>
        </w:tabs>
        <w:autoSpaceDE w:val="0"/>
        <w:autoSpaceDN w:val="0"/>
        <w:adjustRightInd w:val="0"/>
        <w:spacing w:after="0" w:line="240" w:lineRule="auto"/>
        <w:jc w:val="both"/>
        <w:rPr>
          <w:rFonts w:ascii="Cambria" w:eastAsia="Batang" w:hAnsi="Cambria" w:cs="Calibri Light"/>
          <w:b/>
          <w:color w:val="000000"/>
        </w:rPr>
      </w:pPr>
      <w:r w:rsidRPr="007175E2">
        <w:rPr>
          <w:rFonts w:ascii="Cambria" w:eastAsia="Batang" w:hAnsi="Cambria" w:cs="Calibri Light"/>
          <w:b/>
          <w:color w:val="000000"/>
        </w:rPr>
        <w:t xml:space="preserve">LEVEL OF COMPLIANCE OF THE CASE </w:t>
      </w:r>
    </w:p>
    <w:p w14:paraId="4A6D9D7C" w14:textId="77777777" w:rsidR="003E6F57" w:rsidRPr="007175E2" w:rsidRDefault="003E6F57" w:rsidP="003E6F57">
      <w:pPr>
        <w:tabs>
          <w:tab w:val="left" w:pos="720"/>
        </w:tabs>
        <w:autoSpaceDE w:val="0"/>
        <w:autoSpaceDN w:val="0"/>
        <w:adjustRightInd w:val="0"/>
        <w:spacing w:after="0" w:line="240" w:lineRule="auto"/>
        <w:ind w:left="1440"/>
        <w:jc w:val="both"/>
        <w:rPr>
          <w:rFonts w:ascii="Cambria" w:eastAsia="Batang" w:hAnsi="Cambria"/>
          <w:color w:val="000000"/>
        </w:rPr>
      </w:pPr>
    </w:p>
    <w:p w14:paraId="6A3F6F0B" w14:textId="77777777" w:rsidR="003E6F57" w:rsidRPr="007175E2" w:rsidRDefault="003E6F57" w:rsidP="004C7C99">
      <w:pPr>
        <w:pStyle w:val="ListParagraph"/>
        <w:numPr>
          <w:ilvl w:val="6"/>
          <w:numId w:val="4"/>
        </w:numPr>
        <w:autoSpaceDE w:val="0"/>
        <w:autoSpaceDN w:val="0"/>
        <w:adjustRightInd w:val="0"/>
        <w:spacing w:after="0" w:line="240" w:lineRule="auto"/>
        <w:ind w:left="0" w:firstLine="709"/>
        <w:jc w:val="both"/>
        <w:rPr>
          <w:rFonts w:ascii="Cambria" w:eastAsia="Batang" w:hAnsi="Cambria" w:cs="Calibri Light"/>
          <w:b/>
          <w:color w:val="080808"/>
        </w:rPr>
      </w:pPr>
      <w:r w:rsidRPr="007175E2">
        <w:rPr>
          <w:rFonts w:ascii="Cambria" w:hAnsi="Cambria"/>
          <w:color w:val="080808"/>
        </w:rPr>
        <w:t>The Commission declared full compliance with the case and the ceasing of the follow-up of the friendly settlement agreement in the 2021 Annual Report.</w:t>
      </w:r>
    </w:p>
    <w:p w14:paraId="1E93E066" w14:textId="77777777" w:rsidR="003E6F57" w:rsidRPr="007175E2" w:rsidRDefault="003E6F57" w:rsidP="003E6F57">
      <w:pPr>
        <w:pStyle w:val="ListParagraph"/>
        <w:autoSpaceDE w:val="0"/>
        <w:autoSpaceDN w:val="0"/>
        <w:adjustRightInd w:val="0"/>
        <w:spacing w:after="0" w:line="240" w:lineRule="auto"/>
        <w:ind w:left="0" w:firstLine="709"/>
        <w:jc w:val="both"/>
        <w:rPr>
          <w:rFonts w:ascii="Cambria" w:eastAsia="Batang" w:hAnsi="Cambria" w:cs="Calibri Light"/>
          <w:b/>
          <w:color w:val="080808"/>
        </w:rPr>
      </w:pPr>
    </w:p>
    <w:p w14:paraId="2A147602" w14:textId="77777777" w:rsidR="003E6F57" w:rsidRPr="007175E2" w:rsidRDefault="003E6F57" w:rsidP="00637AFB">
      <w:pPr>
        <w:pStyle w:val="ListParagraph"/>
        <w:numPr>
          <w:ilvl w:val="0"/>
          <w:numId w:val="37"/>
        </w:numPr>
        <w:spacing w:after="0" w:line="240" w:lineRule="auto"/>
        <w:jc w:val="both"/>
        <w:rPr>
          <w:rFonts w:ascii="Cambria" w:eastAsia="Batang" w:hAnsi="Cambria" w:cs="Calibri Light"/>
          <w:b/>
          <w:color w:val="000000"/>
        </w:rPr>
        <w:sectPr w:rsidR="003E6F57" w:rsidRPr="007175E2" w:rsidSect="00907A05">
          <w:pgSz w:w="12240" w:h="15840" w:code="1"/>
          <w:pgMar w:top="1440" w:right="1440" w:bottom="1440" w:left="1440" w:header="720" w:footer="720" w:gutter="0"/>
          <w:cols w:space="720"/>
          <w:docGrid w:linePitch="360"/>
        </w:sectPr>
      </w:pPr>
    </w:p>
    <w:p w14:paraId="6DFFF31B" w14:textId="77777777" w:rsidR="003E6F57" w:rsidRPr="007175E2" w:rsidRDefault="003E6F57" w:rsidP="00637AFB">
      <w:pPr>
        <w:pStyle w:val="ListParagraph"/>
        <w:numPr>
          <w:ilvl w:val="0"/>
          <w:numId w:val="37"/>
        </w:numPr>
        <w:spacing w:after="0" w:line="240" w:lineRule="auto"/>
        <w:jc w:val="both"/>
        <w:rPr>
          <w:rFonts w:ascii="Cambria" w:eastAsia="Batang" w:hAnsi="Cambria" w:cs="Calibri Light"/>
          <w:b/>
          <w:color w:val="000000"/>
        </w:rPr>
      </w:pPr>
      <w:r w:rsidRPr="007175E2">
        <w:rPr>
          <w:rFonts w:ascii="Cambria" w:eastAsia="Batang" w:hAnsi="Cambria" w:cs="Calibri Light"/>
          <w:b/>
          <w:color w:val="000000"/>
        </w:rPr>
        <w:lastRenderedPageBreak/>
        <w:t xml:space="preserve">INDIVIDUAL AND STRUCTURAL OUTCOMES OF THE CASE </w:t>
      </w:r>
    </w:p>
    <w:p w14:paraId="0F1E3E7C" w14:textId="77777777" w:rsidR="003E6F57" w:rsidRPr="007175E2" w:rsidRDefault="003E6F57" w:rsidP="003E6F57">
      <w:pPr>
        <w:spacing w:after="0" w:line="240" w:lineRule="auto"/>
        <w:ind w:firstLine="709"/>
        <w:contextualSpacing/>
        <w:jc w:val="both"/>
        <w:rPr>
          <w:rFonts w:ascii="Cambria" w:eastAsia="Batang" w:hAnsi="Cambria" w:cs="Calibri Light"/>
          <w:b/>
          <w:color w:val="000000"/>
        </w:rPr>
      </w:pPr>
    </w:p>
    <w:p w14:paraId="164FCF46" w14:textId="77777777" w:rsidR="003E6F57" w:rsidRPr="007175E2" w:rsidRDefault="003E6F57" w:rsidP="00637AFB">
      <w:pPr>
        <w:numPr>
          <w:ilvl w:val="0"/>
          <w:numId w:val="38"/>
        </w:numPr>
        <w:spacing w:after="0" w:line="240" w:lineRule="auto"/>
        <w:ind w:left="1418" w:right="4" w:hanging="709"/>
        <w:contextualSpacing/>
        <w:jc w:val="both"/>
        <w:rPr>
          <w:rFonts w:ascii="Cambria" w:hAnsi="Cambria" w:cs="Calibri Light"/>
          <w:b/>
        </w:rPr>
      </w:pPr>
      <w:r w:rsidRPr="007175E2">
        <w:rPr>
          <w:rFonts w:ascii="Cambria" w:hAnsi="Cambria" w:cs="Calibri Light"/>
          <w:b/>
        </w:rPr>
        <w:t>Individual outcomes of the case</w:t>
      </w:r>
    </w:p>
    <w:p w14:paraId="0ECF7B10" w14:textId="77777777" w:rsidR="003E6F57" w:rsidRPr="007175E2" w:rsidRDefault="003E6F57" w:rsidP="003E6F57">
      <w:pPr>
        <w:spacing w:after="0" w:line="240" w:lineRule="auto"/>
        <w:ind w:left="1418" w:right="4" w:hanging="709"/>
        <w:contextualSpacing/>
        <w:jc w:val="both"/>
        <w:rPr>
          <w:rFonts w:ascii="Cambria" w:hAnsi="Cambria" w:cs="Calibri Light"/>
          <w:b/>
        </w:rPr>
      </w:pPr>
    </w:p>
    <w:p w14:paraId="48B0C4FE" w14:textId="77777777" w:rsidR="003E6F57" w:rsidRPr="007175E2" w:rsidRDefault="003E6F57" w:rsidP="003E6F57">
      <w:pPr>
        <w:numPr>
          <w:ilvl w:val="0"/>
          <w:numId w:val="6"/>
        </w:numPr>
        <w:spacing w:after="0" w:line="240" w:lineRule="auto"/>
        <w:ind w:left="1418" w:right="4" w:hanging="709"/>
        <w:contextualSpacing/>
        <w:jc w:val="both"/>
        <w:rPr>
          <w:rFonts w:ascii="Cambria" w:eastAsia="Batang" w:hAnsi="Cambria"/>
          <w:color w:val="000000"/>
          <w:lang w:eastAsia="es-ES_tradnl"/>
        </w:rPr>
      </w:pPr>
      <w:r w:rsidRPr="007175E2">
        <w:rPr>
          <w:rFonts w:ascii="Cambria" w:eastAsia="Times New Roman" w:hAnsi="Cambria"/>
          <w:lang w:eastAsia="es-ES_tradnl"/>
        </w:rPr>
        <w:t xml:space="preserve">For the purposes of honoring the memory of the young man Jorge Enrique Patiño Palacios, the State has named after the victim a hearing room in the Palace of Justice and the “Centro de Convivencia Pedagógica Ñemity” of the Secretariat of Children and Adolescents, which is used for providing education and health care to abandoned children and adolescents located in Reducto San Lorenzo. </w:t>
      </w:r>
    </w:p>
    <w:p w14:paraId="4082163F" w14:textId="77777777" w:rsidR="003E6F57" w:rsidRPr="007175E2" w:rsidRDefault="003E6F57" w:rsidP="003E6F57">
      <w:pPr>
        <w:spacing w:after="0" w:line="240" w:lineRule="auto"/>
        <w:ind w:left="1418" w:right="4" w:hanging="709"/>
        <w:contextualSpacing/>
        <w:jc w:val="both"/>
        <w:rPr>
          <w:rFonts w:ascii="Cambria" w:eastAsia="Batang" w:hAnsi="Cambria"/>
          <w:color w:val="000000"/>
        </w:rPr>
      </w:pPr>
    </w:p>
    <w:p w14:paraId="599C3DC9" w14:textId="77777777" w:rsidR="003E6F57" w:rsidRPr="007175E2" w:rsidRDefault="003E6F57" w:rsidP="00637AFB">
      <w:pPr>
        <w:numPr>
          <w:ilvl w:val="0"/>
          <w:numId w:val="38"/>
        </w:numPr>
        <w:spacing w:after="0" w:line="240" w:lineRule="auto"/>
        <w:ind w:left="1418" w:right="4" w:hanging="709"/>
        <w:jc w:val="both"/>
        <w:rPr>
          <w:rFonts w:ascii="Cambria" w:eastAsia="MS Mincho" w:hAnsi="Cambria"/>
          <w:b/>
          <w:lang w:eastAsia="es-ES_tradnl"/>
        </w:rPr>
      </w:pPr>
      <w:r w:rsidRPr="007175E2">
        <w:rPr>
          <w:rFonts w:ascii="Cambria" w:eastAsia="MS Mincho" w:hAnsi="Cambria"/>
          <w:b/>
          <w:lang w:eastAsia="es-ES_tradnl"/>
        </w:rPr>
        <w:t>Structural outcomes of the case</w:t>
      </w:r>
    </w:p>
    <w:p w14:paraId="59FB2C1F" w14:textId="77777777" w:rsidR="003E6F57" w:rsidRPr="007175E2" w:rsidRDefault="003E6F57" w:rsidP="003E6F57">
      <w:pPr>
        <w:spacing w:after="0" w:line="240" w:lineRule="auto"/>
        <w:ind w:left="1418" w:right="4" w:hanging="709"/>
        <w:jc w:val="both"/>
        <w:rPr>
          <w:rFonts w:ascii="Cambria" w:eastAsia="MS Mincho" w:hAnsi="Cambria"/>
          <w:lang w:eastAsia="es-ES_tradnl"/>
        </w:rPr>
      </w:pPr>
    </w:p>
    <w:p w14:paraId="13D894E1" w14:textId="77777777" w:rsidR="003E6F57" w:rsidRPr="007175E2" w:rsidRDefault="003E6F57" w:rsidP="00637AFB">
      <w:pPr>
        <w:numPr>
          <w:ilvl w:val="0"/>
          <w:numId w:val="36"/>
        </w:numPr>
        <w:tabs>
          <w:tab w:val="left" w:pos="0"/>
        </w:tabs>
        <w:spacing w:after="0" w:line="240" w:lineRule="auto"/>
        <w:ind w:left="1418" w:right="4" w:hanging="709"/>
        <w:contextualSpacing/>
        <w:jc w:val="both"/>
        <w:rPr>
          <w:rFonts w:ascii="Cambria" w:eastAsia="Batang" w:hAnsi="Cambria"/>
        </w:rPr>
      </w:pPr>
      <w:r w:rsidRPr="007175E2">
        <w:rPr>
          <w:rFonts w:ascii="Cambria" w:eastAsia="Batang" w:hAnsi="Cambria"/>
        </w:rPr>
        <w:t xml:space="preserve">The State trained the Magistrates of the Criminal Jurisdiction, the members of the Office of the Public Prosecutor and the Department of Criminal Investigation, gave a course or seminar about international due diligence standards in investigations, gathering and weighing of forensic evidence in the framework of specialized courses on State responsibility for negligence or mala praxis of its judicial bodies.  </w:t>
      </w:r>
    </w:p>
    <w:p w14:paraId="76D439A0" w14:textId="77777777" w:rsidR="003E6F57" w:rsidRPr="007175E2" w:rsidRDefault="003E6F57" w:rsidP="00637AFB">
      <w:pPr>
        <w:numPr>
          <w:ilvl w:val="0"/>
          <w:numId w:val="36"/>
        </w:numPr>
        <w:tabs>
          <w:tab w:val="left" w:pos="0"/>
        </w:tabs>
        <w:spacing w:after="0" w:line="240" w:lineRule="auto"/>
        <w:ind w:left="1418" w:right="4" w:hanging="709"/>
        <w:contextualSpacing/>
        <w:jc w:val="both"/>
        <w:rPr>
          <w:rFonts w:ascii="Cambria" w:eastAsia="Batang" w:hAnsi="Cambria"/>
        </w:rPr>
      </w:pPr>
      <w:r w:rsidRPr="007175E2">
        <w:rPr>
          <w:rFonts w:ascii="Cambria" w:eastAsia="Batang" w:hAnsi="Cambria"/>
        </w:rPr>
        <w:t xml:space="preserve">The friendly settlement agreement entered into with the petitioners was posted on the webpage of both the Ministry of Foreign Affairs and the Judiciary, as well as in the Official Bulletin of the State. </w:t>
      </w:r>
    </w:p>
    <w:p w14:paraId="46B3B0AD" w14:textId="77777777" w:rsidR="003E6F57" w:rsidRPr="007175E2" w:rsidRDefault="003E6F57" w:rsidP="00637AFB">
      <w:pPr>
        <w:numPr>
          <w:ilvl w:val="0"/>
          <w:numId w:val="36"/>
        </w:numPr>
        <w:tabs>
          <w:tab w:val="left" w:pos="0"/>
        </w:tabs>
        <w:spacing w:after="0" w:line="240" w:lineRule="auto"/>
        <w:ind w:left="1418" w:right="4" w:hanging="709"/>
        <w:contextualSpacing/>
        <w:jc w:val="both"/>
        <w:rPr>
          <w:rFonts w:ascii="Cambria" w:eastAsia="Batang" w:hAnsi="Cambria"/>
        </w:rPr>
      </w:pPr>
      <w:r w:rsidRPr="007175E2">
        <w:rPr>
          <w:rFonts w:ascii="Cambria" w:eastAsia="Batang" w:hAnsi="Cambria"/>
        </w:rPr>
        <w:t xml:space="preserve">The “Protocol of Intervention in the management and custody of evidence. Legal compilation in force in 2020” was drawn up jointly with the petitioners and was approved by the Supreme Court of Justice, the Office of the Attorney General, and the Ministry of the Interior. </w:t>
      </w:r>
    </w:p>
    <w:p w14:paraId="768DB8EE" w14:textId="77777777" w:rsidR="003E6F57" w:rsidRPr="007175E2" w:rsidRDefault="003E6F57" w:rsidP="00637AFB">
      <w:pPr>
        <w:numPr>
          <w:ilvl w:val="0"/>
          <w:numId w:val="36"/>
        </w:numPr>
        <w:tabs>
          <w:tab w:val="left" w:pos="0"/>
        </w:tabs>
        <w:spacing w:after="0" w:line="240" w:lineRule="auto"/>
        <w:ind w:left="1418" w:right="4" w:hanging="709"/>
        <w:contextualSpacing/>
        <w:jc w:val="both"/>
        <w:rPr>
          <w:rFonts w:ascii="Cambria" w:eastAsia="Batang" w:hAnsi="Cambria"/>
        </w:rPr>
      </w:pPr>
      <w:r w:rsidRPr="007175E2">
        <w:rPr>
          <w:rFonts w:ascii="Cambria" w:eastAsia="Batang" w:hAnsi="Cambria"/>
        </w:rPr>
        <w:t>The Prosecutor General of the State issued Resolution No. 1181 whereby it resolved “</w:t>
      </w:r>
      <w:r w:rsidRPr="007175E2">
        <w:rPr>
          <w:rFonts w:ascii="Cambria" w:eastAsia="Batang" w:hAnsi="Cambria"/>
          <w:i/>
          <w:iCs/>
        </w:rPr>
        <w:t>to approve the mainstreaming of legal instruments provided by the Office of the Attorney General to the Protocol of intervention in the management and custody of evidence</w:t>
      </w:r>
      <w:r w:rsidRPr="007175E2">
        <w:rPr>
          <w:rFonts w:ascii="Cambria" w:eastAsia="Batang" w:hAnsi="Cambria"/>
        </w:rPr>
        <w:t xml:space="preserve">” and ordered the dissemination of the protocol to all agencies of the Office of the Attorney General for its enforcement. </w:t>
      </w:r>
    </w:p>
    <w:p w14:paraId="35FC8BBB" w14:textId="77777777" w:rsidR="003E6F57" w:rsidRPr="007175E2" w:rsidRDefault="003E6F57" w:rsidP="00637AFB">
      <w:pPr>
        <w:numPr>
          <w:ilvl w:val="0"/>
          <w:numId w:val="36"/>
        </w:numPr>
        <w:tabs>
          <w:tab w:val="left" w:pos="0"/>
        </w:tabs>
        <w:spacing w:after="0" w:line="240" w:lineRule="auto"/>
        <w:ind w:left="1418" w:right="4" w:hanging="709"/>
        <w:contextualSpacing/>
        <w:jc w:val="both"/>
        <w:rPr>
          <w:rFonts w:ascii="Cambria" w:eastAsia="Batang" w:hAnsi="Cambria"/>
        </w:rPr>
      </w:pPr>
      <w:r w:rsidRPr="007175E2">
        <w:rPr>
          <w:rFonts w:ascii="Cambria" w:eastAsia="Batang" w:hAnsi="Cambria"/>
        </w:rPr>
        <w:t>The Headquarters of the National Police, which reports to the Ministry of the Interior, issued Resolution No. 355 “Whereby the Protocol of intervention in the management and custody of evidence is approved and incorporated.”</w:t>
      </w:r>
    </w:p>
    <w:p w14:paraId="348955C8" w14:textId="77777777" w:rsidR="003E6F57" w:rsidRPr="007175E2" w:rsidRDefault="003E6F57" w:rsidP="001541D4">
      <w:pPr>
        <w:spacing w:after="0" w:line="240" w:lineRule="auto"/>
        <w:ind w:left="709" w:right="4"/>
        <w:jc w:val="both"/>
        <w:rPr>
          <w:rFonts w:ascii="Cambria" w:eastAsia="MS Mincho" w:hAnsi="Cambria"/>
          <w:color w:val="000000"/>
          <w:highlight w:val="yellow"/>
        </w:rPr>
      </w:pPr>
    </w:p>
    <w:sectPr w:rsidR="003E6F57" w:rsidRPr="007175E2" w:rsidSect="001541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C34F1" w14:textId="77777777" w:rsidR="00336E78" w:rsidRDefault="00336E78" w:rsidP="00A343FF">
      <w:pPr>
        <w:spacing w:after="0" w:line="240" w:lineRule="auto"/>
      </w:pPr>
      <w:r>
        <w:separator/>
      </w:r>
    </w:p>
  </w:endnote>
  <w:endnote w:type="continuationSeparator" w:id="0">
    <w:p w14:paraId="7163B0F8" w14:textId="77777777" w:rsidR="00336E78" w:rsidRDefault="00336E78" w:rsidP="00A34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7F71F" w14:textId="77777777" w:rsidR="00F74974" w:rsidRDefault="00F749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43703" w14:textId="77777777" w:rsidR="00A61B5E" w:rsidRPr="00A61B5E" w:rsidRDefault="00A61B5E">
    <w:pPr>
      <w:pStyle w:val="Footer"/>
      <w:jc w:val="center"/>
      <w:rPr>
        <w:color w:val="404040"/>
        <w:sz w:val="16"/>
        <w:szCs w:val="16"/>
      </w:rPr>
    </w:pPr>
    <w:r w:rsidRPr="00A61B5E">
      <w:rPr>
        <w:color w:val="404040"/>
        <w:sz w:val="16"/>
        <w:szCs w:val="16"/>
      </w:rPr>
      <w:fldChar w:fldCharType="begin"/>
    </w:r>
    <w:r w:rsidRPr="00A61B5E">
      <w:rPr>
        <w:color w:val="404040"/>
        <w:sz w:val="16"/>
        <w:szCs w:val="16"/>
      </w:rPr>
      <w:instrText xml:space="preserve"> PAGE   \* MERGEFORMAT </w:instrText>
    </w:r>
    <w:r w:rsidRPr="00A61B5E">
      <w:rPr>
        <w:color w:val="404040"/>
        <w:sz w:val="16"/>
        <w:szCs w:val="16"/>
      </w:rPr>
      <w:fldChar w:fldCharType="separate"/>
    </w:r>
    <w:r w:rsidR="00F74974">
      <w:rPr>
        <w:noProof/>
        <w:color w:val="404040"/>
        <w:sz w:val="16"/>
        <w:szCs w:val="16"/>
      </w:rPr>
      <w:t>2</w:t>
    </w:r>
    <w:r w:rsidRPr="00A61B5E">
      <w:rPr>
        <w:noProof/>
        <w:color w:val="404040"/>
        <w:sz w:val="16"/>
        <w:szCs w:val="16"/>
      </w:rPr>
      <w:fldChar w:fldCharType="end"/>
    </w:r>
  </w:p>
  <w:p w14:paraId="242F45FC" w14:textId="77777777" w:rsidR="00F66FEE" w:rsidRDefault="00F66FEE" w:rsidP="008550EF">
    <w:pPr>
      <w:pStyle w:val="Footer"/>
      <w:spacing w:line="360" w:lineRule="auto"/>
      <w:jc w:val="cente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BF5ED" w14:textId="77777777" w:rsidR="008F2248" w:rsidRDefault="00DA642E" w:rsidP="008F2248">
    <w:pPr>
      <w:pStyle w:val="Footer"/>
      <w:spacing w:line="360" w:lineRule="auto"/>
    </w:pPr>
    <w:r>
      <w:rPr>
        <w:noProof/>
      </w:rPr>
      <w:pict w14:anchorId="7DFD246B">
        <v:rect id="_x0000_i1027" alt="" style="width:441.9pt;height:.05pt;mso-width-percent:0;mso-height-percent:0;mso-width-percent:0;mso-height-percent:0" o:hralign="center" o:hrstd="t" o:hr="t" fillcolor="#a0a0a0" stroked="f"/>
      </w:pict>
    </w:r>
  </w:p>
  <w:p w14:paraId="6EC67A5C" w14:textId="77777777" w:rsidR="008F2248" w:rsidRDefault="00AB253B" w:rsidP="006E2BD8">
    <w:pPr>
      <w:pStyle w:val="Footer"/>
      <w:jc w:val="center"/>
    </w:pPr>
    <w:r>
      <w:rPr>
        <w:noProof/>
      </w:rPr>
      <w:drawing>
        <wp:inline distT="0" distB="0" distL="0" distR="0" wp14:anchorId="6DBA9108" wp14:editId="295ADEE9">
          <wp:extent cx="5235575" cy="324485"/>
          <wp:effectExtent l="0" t="0" r="0" b="0"/>
          <wp:docPr id="5"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5575" cy="3244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AB41B" w14:textId="77777777" w:rsidR="00336E78" w:rsidRDefault="00336E78" w:rsidP="00A343FF">
      <w:pPr>
        <w:spacing w:after="0" w:line="240" w:lineRule="auto"/>
      </w:pPr>
      <w:r>
        <w:separator/>
      </w:r>
    </w:p>
  </w:footnote>
  <w:footnote w:type="continuationSeparator" w:id="0">
    <w:p w14:paraId="4B392693" w14:textId="77777777" w:rsidR="00336E78" w:rsidRDefault="00336E78" w:rsidP="00A343FF">
      <w:pPr>
        <w:spacing w:after="0" w:line="240" w:lineRule="auto"/>
      </w:pPr>
      <w:r>
        <w:continuationSeparator/>
      </w:r>
    </w:p>
  </w:footnote>
  <w:footnote w:id="1">
    <w:p w14:paraId="5E55D9F7" w14:textId="77777777" w:rsidR="003E6F57" w:rsidRPr="007175E2" w:rsidRDefault="003E6F57" w:rsidP="007175E2">
      <w:pPr>
        <w:pStyle w:val="FootnoteText"/>
        <w:ind w:firstLine="709"/>
        <w:jc w:val="both"/>
        <w:rPr>
          <w:rFonts w:ascii="Cambria" w:hAnsi="Cambria"/>
          <w:color w:val="000000" w:themeColor="text1"/>
          <w:sz w:val="16"/>
          <w:szCs w:val="16"/>
        </w:rPr>
      </w:pPr>
      <w:r w:rsidRPr="007175E2">
        <w:rPr>
          <w:rFonts w:ascii="Cambria" w:hAnsi="Cambria"/>
          <w:color w:val="000000"/>
          <w:sz w:val="16"/>
          <w:szCs w:val="16"/>
          <w:vertAlign w:val="superscript"/>
        </w:rPr>
        <w:footnoteRef/>
      </w:r>
      <w:r w:rsidRPr="007175E2">
        <w:rPr>
          <w:rFonts w:ascii="Cambria" w:hAnsi="Cambria"/>
          <w:color w:val="000000"/>
          <w:sz w:val="16"/>
          <w:szCs w:val="16"/>
        </w:rPr>
        <w:t xml:space="preserve"> </w:t>
      </w:r>
      <w:r w:rsidRPr="007175E2">
        <w:rPr>
          <w:rFonts w:ascii="Cambria" w:hAnsi="Cambria"/>
          <w:sz w:val="16"/>
          <w:szCs w:val="16"/>
        </w:rPr>
        <w:t xml:space="preserve">See IACHR, Annual Report 2021, Chapter II, Section F: Progress and Setbacks in the Negotiation and Implementation of </w:t>
      </w:r>
      <w:r w:rsidRPr="007175E2">
        <w:rPr>
          <w:rFonts w:ascii="Cambria" w:hAnsi="Cambria"/>
          <w:color w:val="000000" w:themeColor="text1"/>
          <w:sz w:val="16"/>
          <w:szCs w:val="16"/>
        </w:rPr>
        <w:t>Friendly Settlement Agreements, Available at: https://www.oas.org/es/cidh/docs/anual/2021/capitulos/IA2021cap2-es.pdf.</w:t>
      </w:r>
    </w:p>
  </w:footnote>
  <w:footnote w:id="2">
    <w:p w14:paraId="1E97D377" w14:textId="77777777" w:rsidR="003E6F57" w:rsidRPr="007175E2" w:rsidRDefault="003E6F57" w:rsidP="007175E2">
      <w:pPr>
        <w:pStyle w:val="FootnoteText"/>
        <w:ind w:firstLine="720"/>
        <w:jc w:val="both"/>
        <w:rPr>
          <w:rFonts w:ascii="Cambria" w:hAnsi="Cambria"/>
          <w:sz w:val="16"/>
          <w:szCs w:val="16"/>
        </w:rPr>
      </w:pPr>
      <w:r w:rsidRPr="007175E2">
        <w:rPr>
          <w:rStyle w:val="FootnoteReference"/>
          <w:rFonts w:ascii="Cambria" w:hAnsi="Cambria"/>
          <w:color w:val="000000" w:themeColor="text1"/>
          <w:sz w:val="16"/>
          <w:szCs w:val="16"/>
        </w:rPr>
        <w:footnoteRef/>
      </w:r>
      <w:r w:rsidRPr="007175E2">
        <w:rPr>
          <w:rFonts w:ascii="Cambria" w:hAnsi="Cambria"/>
          <w:color w:val="000000" w:themeColor="text1"/>
          <w:sz w:val="16"/>
          <w:szCs w:val="16"/>
        </w:rPr>
        <w:t xml:space="preserve"> IACHR, Report No. 85/20, Case 12.374. Friendly Settlement. </w:t>
      </w:r>
      <w:r w:rsidRPr="007175E2">
        <w:rPr>
          <w:rFonts w:ascii="Cambria" w:hAnsi="Cambria"/>
          <w:color w:val="000000" w:themeColor="text1"/>
          <w:sz w:val="16"/>
          <w:szCs w:val="16"/>
          <w:lang w:val="pt-PT"/>
        </w:rPr>
        <w:t xml:space="preserve">Jorge Enrique Patiño Palacios. Paraguay. </w:t>
      </w:r>
      <w:r w:rsidRPr="007175E2">
        <w:rPr>
          <w:rFonts w:ascii="Cambria" w:hAnsi="Cambria"/>
          <w:color w:val="000000" w:themeColor="text1"/>
          <w:sz w:val="16"/>
          <w:szCs w:val="16"/>
        </w:rPr>
        <w:t xml:space="preserve">June 1, 2020. </w:t>
      </w:r>
      <w:hyperlink r:id="rId1" w:history="1">
        <w:r w:rsidRPr="007175E2">
          <w:rPr>
            <w:rStyle w:val="Hyperlink"/>
            <w:rFonts w:ascii="Cambria" w:hAnsi="Cambria"/>
            <w:color w:val="000000" w:themeColor="text1"/>
            <w:sz w:val="16"/>
            <w:szCs w:val="16"/>
          </w:rPr>
          <w:t>http://www.oas.org/en/iachr/decisions/2020/pysa12374en.pdf</w:t>
        </w:r>
      </w:hyperlink>
      <w:r w:rsidRPr="007175E2">
        <w:rPr>
          <w:rFonts w:ascii="Cambria" w:hAnsi="Cambria"/>
          <w:color w:val="000000" w:themeColor="text1"/>
          <w:sz w:val="16"/>
          <w:szCs w:val="16"/>
        </w:rPr>
        <w:t xml:space="preserve"> </w:t>
      </w:r>
    </w:p>
  </w:footnote>
  <w:footnote w:id="3">
    <w:p w14:paraId="419843F0" w14:textId="77777777" w:rsidR="003E6F57" w:rsidRPr="007175E2" w:rsidRDefault="003E6F57" w:rsidP="007175E2">
      <w:pPr>
        <w:pStyle w:val="NoSpacing"/>
        <w:tabs>
          <w:tab w:val="left" w:pos="900"/>
        </w:tabs>
        <w:ind w:firstLine="720"/>
        <w:contextualSpacing/>
        <w:jc w:val="both"/>
        <w:rPr>
          <w:rFonts w:ascii="Cambria" w:hAnsi="Cambria"/>
          <w:sz w:val="16"/>
          <w:szCs w:val="16"/>
        </w:rPr>
      </w:pPr>
      <w:r w:rsidRPr="007175E2">
        <w:rPr>
          <w:rStyle w:val="FootnoteReference"/>
          <w:rFonts w:ascii="Cambria" w:hAnsi="Cambria"/>
          <w:sz w:val="16"/>
          <w:szCs w:val="16"/>
        </w:rPr>
        <w:footnoteRef/>
      </w:r>
      <w:r w:rsidRPr="007175E2">
        <w:rPr>
          <w:rFonts w:ascii="Cambria" w:hAnsi="Cambria"/>
          <w:sz w:val="16"/>
          <w:szCs w:val="16"/>
        </w:rPr>
        <w:t xml:space="preserve"> See IACHR, Annual Report 2021, Chapter II, Section F: Progress and Setbacks in the Negotiation and Implementation of Friendly Settlement Agreements, Available at: https://www.oas.org/es/cidh/docs/anual/2021/capitulos/IA2021cap2-es.pdf.</w:t>
      </w:r>
    </w:p>
  </w:footnote>
  <w:footnote w:id="4">
    <w:p w14:paraId="09732183" w14:textId="77777777" w:rsidR="003E6F57" w:rsidRPr="007175E2" w:rsidRDefault="003E6F57" w:rsidP="007175E2">
      <w:pPr>
        <w:pStyle w:val="NormalWeb"/>
        <w:spacing w:before="0" w:beforeAutospacing="0" w:after="0" w:afterAutospacing="0"/>
        <w:contextualSpacing/>
        <w:jc w:val="both"/>
        <w:rPr>
          <w:rFonts w:ascii="Cambria" w:hAnsi="Cambria"/>
          <w:color w:val="000000" w:themeColor="text1"/>
          <w:sz w:val="16"/>
          <w:szCs w:val="16"/>
        </w:rPr>
      </w:pPr>
      <w:r w:rsidRPr="007175E2">
        <w:rPr>
          <w:rStyle w:val="FootnoteReference"/>
          <w:rFonts w:ascii="Cambria" w:hAnsi="Cambria"/>
          <w:sz w:val="16"/>
          <w:szCs w:val="16"/>
        </w:rPr>
        <w:footnoteRef/>
      </w:r>
      <w:r w:rsidRPr="007175E2">
        <w:rPr>
          <w:rFonts w:ascii="Cambria" w:hAnsi="Cambria"/>
          <w:sz w:val="16"/>
          <w:szCs w:val="16"/>
        </w:rPr>
        <w:t xml:space="preserve"> IACHR, Report </w:t>
      </w:r>
      <w:r w:rsidRPr="007175E2">
        <w:rPr>
          <w:rFonts w:ascii="Cambria" w:hAnsi="Cambria"/>
          <w:color w:val="000000"/>
          <w:sz w:val="16"/>
          <w:szCs w:val="16"/>
        </w:rPr>
        <w:t xml:space="preserve">No. 85/20, Case 12.374. Friendly Settlement. </w:t>
      </w:r>
      <w:r w:rsidRPr="007175E2">
        <w:rPr>
          <w:rFonts w:ascii="Cambria" w:hAnsi="Cambria"/>
          <w:color w:val="000000"/>
          <w:sz w:val="16"/>
          <w:szCs w:val="16"/>
          <w:lang w:val="pt-PT"/>
        </w:rPr>
        <w:t xml:space="preserve">Jorge Enrique Patiño Palacios. Paraguay. </w:t>
      </w:r>
      <w:r w:rsidRPr="007175E2">
        <w:rPr>
          <w:rFonts w:ascii="Cambria" w:hAnsi="Cambria"/>
          <w:color w:val="000000"/>
          <w:sz w:val="16"/>
          <w:szCs w:val="16"/>
        </w:rPr>
        <w:t xml:space="preserve">June 1, 2020. </w:t>
      </w:r>
      <w:hyperlink r:id="rId2" w:history="1">
        <w:r w:rsidRPr="007175E2">
          <w:rPr>
            <w:rStyle w:val="Hyperlink"/>
            <w:rFonts w:ascii="Cambria" w:hAnsi="Cambria"/>
            <w:color w:val="000000" w:themeColor="text1"/>
            <w:sz w:val="16"/>
            <w:szCs w:val="16"/>
          </w:rPr>
          <w:t>http://www.oas.org/en/iachr/decisions/2020/pysa12374en.pdf</w:t>
        </w:r>
      </w:hyperlink>
      <w:r w:rsidRPr="007175E2">
        <w:rPr>
          <w:rFonts w:ascii="Cambria" w:hAnsi="Cambria"/>
          <w:color w:val="000000" w:themeColor="text1"/>
          <w:sz w:val="16"/>
          <w:szCs w:val="16"/>
        </w:rPr>
        <w:t xml:space="preserve"> </w:t>
      </w:r>
    </w:p>
  </w:footnote>
  <w:footnote w:id="5">
    <w:p w14:paraId="20D95178" w14:textId="77777777" w:rsidR="003E6F57" w:rsidRPr="007175E2" w:rsidRDefault="003E6F57" w:rsidP="007175E2">
      <w:pPr>
        <w:pStyle w:val="FootnoteText"/>
        <w:tabs>
          <w:tab w:val="left" w:pos="900"/>
        </w:tabs>
        <w:ind w:firstLine="720"/>
        <w:jc w:val="both"/>
        <w:rPr>
          <w:rFonts w:ascii="Cambria" w:hAnsi="Cambria"/>
          <w:sz w:val="16"/>
          <w:szCs w:val="16"/>
        </w:rPr>
      </w:pPr>
      <w:r w:rsidRPr="007175E2">
        <w:rPr>
          <w:rStyle w:val="FootnoteReference"/>
          <w:rFonts w:ascii="Cambria" w:hAnsi="Cambria"/>
          <w:color w:val="000000" w:themeColor="text1"/>
          <w:sz w:val="16"/>
          <w:szCs w:val="16"/>
        </w:rPr>
        <w:footnoteRef/>
      </w:r>
      <w:r w:rsidRPr="007175E2">
        <w:rPr>
          <w:rFonts w:ascii="Cambria" w:hAnsi="Cambria"/>
          <w:color w:val="000000" w:themeColor="text1"/>
          <w:sz w:val="16"/>
          <w:szCs w:val="16"/>
        </w:rPr>
        <w:t xml:space="preserve"> See IACHR, Annual Report 2021, Chapter II, Section F: Progress and Setbacks in the Negotiation and Implementation of Friendly Settlement Agreements, Available at: https://www.oas.org/es/cidh/docs/anual/2021/capitulos/IA2021cap2-es.pdf.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BEDE9" w14:textId="77777777" w:rsidR="00F74974" w:rsidRDefault="00F749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F101B" w14:textId="77777777" w:rsidR="00A343FF" w:rsidRDefault="00AB253B" w:rsidP="00DC7C8F">
    <w:pPr>
      <w:pStyle w:val="Header"/>
      <w:jc w:val="center"/>
    </w:pPr>
    <w:r>
      <w:rPr>
        <w:noProof/>
      </w:rPr>
      <w:drawing>
        <wp:inline distT="0" distB="0" distL="0" distR="0" wp14:anchorId="12DE2D16" wp14:editId="70746368">
          <wp:extent cx="2271395" cy="118110"/>
          <wp:effectExtent l="0" t="0" r="0" b="0"/>
          <wp:docPr id="4"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1395" cy="118110"/>
                  </a:xfrm>
                  <a:prstGeom prst="rect">
                    <a:avLst/>
                  </a:prstGeom>
                  <a:noFill/>
                  <a:ln>
                    <a:noFill/>
                  </a:ln>
                </pic:spPr>
              </pic:pic>
            </a:graphicData>
          </a:graphic>
        </wp:inline>
      </w:drawing>
    </w:r>
  </w:p>
  <w:p w14:paraId="54B9C190" w14:textId="77777777" w:rsidR="00A343FF" w:rsidRDefault="00DA642E">
    <w:pPr>
      <w:pStyle w:val="Header"/>
    </w:pPr>
    <w:r>
      <w:rPr>
        <w:noProof/>
      </w:rPr>
      <w:pict w14:anchorId="3C167262">
        <v:rect id="_x0000_i1025" alt="" style="width:441.9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9FB95" w14:textId="77777777" w:rsidR="00A61B5E" w:rsidRDefault="00AB253B" w:rsidP="00A61B5E">
    <w:pPr>
      <w:pStyle w:val="Header"/>
    </w:pPr>
    <w:r>
      <w:rPr>
        <w:noProof/>
      </w:rPr>
      <w:drawing>
        <wp:anchor distT="0" distB="0" distL="114300" distR="114300" simplePos="0" relativeHeight="251656192" behindDoc="1" locked="0" layoutInCell="1" allowOverlap="1" wp14:anchorId="59FE738C" wp14:editId="11A3A48B">
          <wp:simplePos x="0" y="0"/>
          <wp:positionH relativeFrom="column">
            <wp:posOffset>0</wp:posOffset>
          </wp:positionH>
          <wp:positionV relativeFrom="paragraph">
            <wp:posOffset>-28575</wp:posOffset>
          </wp:positionV>
          <wp:extent cx="2567940" cy="495300"/>
          <wp:effectExtent l="0" t="0" r="0" b="0"/>
          <wp:wrapThrough wrapText="bothSides">
            <wp:wrapPolygon edited="0">
              <wp:start x="0" y="0"/>
              <wp:lineTo x="0" y="21046"/>
              <wp:lineTo x="21472" y="21046"/>
              <wp:lineTo x="21472" y="0"/>
              <wp:lineTo x="0" y="0"/>
            </wp:wrapPolygon>
          </wp:wrapThrough>
          <wp:docPr id="7"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794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4DEC2470" wp14:editId="773EC283">
          <wp:simplePos x="0" y="0"/>
          <wp:positionH relativeFrom="column">
            <wp:posOffset>4019550</wp:posOffset>
          </wp:positionH>
          <wp:positionV relativeFrom="paragraph">
            <wp:posOffset>-34290</wp:posOffset>
          </wp:positionV>
          <wp:extent cx="1924050" cy="499110"/>
          <wp:effectExtent l="0" t="0" r="0" b="0"/>
          <wp:wrapThrough wrapText="bothSides">
            <wp:wrapPolygon edited="0">
              <wp:start x="1711" y="0"/>
              <wp:lineTo x="0" y="3298"/>
              <wp:lineTo x="0" y="14290"/>
              <wp:lineTo x="428" y="18137"/>
              <wp:lineTo x="1568" y="20885"/>
              <wp:lineTo x="1711" y="20885"/>
              <wp:lineTo x="3850" y="20885"/>
              <wp:lineTo x="3992" y="20885"/>
              <wp:lineTo x="5133" y="17588"/>
              <wp:lineTo x="21529" y="17588"/>
              <wp:lineTo x="21529" y="11542"/>
              <wp:lineTo x="20103" y="8794"/>
              <wp:lineTo x="20388" y="5496"/>
              <wp:lineTo x="18962" y="4397"/>
              <wp:lineTo x="3707" y="0"/>
              <wp:lineTo x="1711" y="0"/>
            </wp:wrapPolygon>
          </wp:wrapThrough>
          <wp:docPr id="6"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050" cy="499110"/>
                  </a:xfrm>
                  <a:prstGeom prst="rect">
                    <a:avLst/>
                  </a:prstGeom>
                  <a:noFill/>
                  <a:ln>
                    <a:noFill/>
                  </a:ln>
                </pic:spPr>
              </pic:pic>
            </a:graphicData>
          </a:graphic>
          <wp14:sizeRelH relativeFrom="page">
            <wp14:pctWidth>0</wp14:pctWidth>
          </wp14:sizeRelH>
          <wp14:sizeRelV relativeFrom="page">
            <wp14:pctHeight>0</wp14:pctHeight>
          </wp14:sizeRelV>
        </wp:anchor>
      </w:drawing>
    </w:r>
    <w:r w:rsidR="00A61B5E">
      <w:tab/>
    </w:r>
    <w:r w:rsidR="00A61B5E">
      <w:tab/>
    </w:r>
  </w:p>
  <w:p w14:paraId="16B56DFB" w14:textId="77777777" w:rsidR="00F53B51" w:rsidRDefault="00F53B51" w:rsidP="00A61B5E">
    <w:pPr>
      <w:pStyle w:val="Header"/>
    </w:pPr>
  </w:p>
  <w:p w14:paraId="4948EA69" w14:textId="77777777" w:rsidR="00F53B51" w:rsidRDefault="00F53B51" w:rsidP="00A61B5E">
    <w:pPr>
      <w:pStyle w:val="Header"/>
    </w:pPr>
  </w:p>
  <w:p w14:paraId="0D5588C7" w14:textId="77777777" w:rsidR="00A61B5E" w:rsidRDefault="00DA642E" w:rsidP="00A61B5E">
    <w:pPr>
      <w:pStyle w:val="Header"/>
    </w:pPr>
    <w:r>
      <w:rPr>
        <w:noProof/>
      </w:rPr>
      <w:pict w14:anchorId="3DB91606">
        <v:rect id="_x0000_i1026" alt="" style="width:44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67BDB"/>
    <w:multiLevelType w:val="hybridMultilevel"/>
    <w:tmpl w:val="61D47DB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6C30BBE"/>
    <w:multiLevelType w:val="hybridMultilevel"/>
    <w:tmpl w:val="BBF0671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B45238"/>
    <w:multiLevelType w:val="hybridMultilevel"/>
    <w:tmpl w:val="E132C0D0"/>
    <w:lvl w:ilvl="0" w:tplc="65526156">
      <w:start w:val="1"/>
      <w:numFmt w:val="bullet"/>
      <w:lvlText w:val=""/>
      <w:lvlJc w:val="left"/>
      <w:pPr>
        <w:ind w:left="1530" w:hanging="360"/>
      </w:pPr>
      <w:rPr>
        <w:rFonts w:ascii="Symbol" w:hAnsi="Symbol" w:hint="default"/>
        <w:color w:val="000000"/>
        <w:sz w:val="20"/>
        <w:szCs w:val="20"/>
      </w:rPr>
    </w:lvl>
    <w:lvl w:ilvl="1" w:tplc="0C0A0003">
      <w:start w:val="1"/>
      <w:numFmt w:val="bullet"/>
      <w:lvlText w:val="o"/>
      <w:lvlJc w:val="left"/>
      <w:pPr>
        <w:ind w:left="2250" w:hanging="360"/>
      </w:pPr>
      <w:rPr>
        <w:rFonts w:ascii="Courier New" w:hAnsi="Courier New" w:cs="Courier New" w:hint="default"/>
      </w:rPr>
    </w:lvl>
    <w:lvl w:ilvl="2" w:tplc="0C0A0005" w:tentative="1">
      <w:start w:val="1"/>
      <w:numFmt w:val="bullet"/>
      <w:lvlText w:val=""/>
      <w:lvlJc w:val="left"/>
      <w:pPr>
        <w:ind w:left="2970" w:hanging="360"/>
      </w:pPr>
      <w:rPr>
        <w:rFonts w:ascii="Wingdings" w:hAnsi="Wingdings" w:hint="default"/>
      </w:rPr>
    </w:lvl>
    <w:lvl w:ilvl="3" w:tplc="0C0A0001" w:tentative="1">
      <w:start w:val="1"/>
      <w:numFmt w:val="bullet"/>
      <w:lvlText w:val=""/>
      <w:lvlJc w:val="left"/>
      <w:pPr>
        <w:ind w:left="3690" w:hanging="360"/>
      </w:pPr>
      <w:rPr>
        <w:rFonts w:ascii="Symbol" w:hAnsi="Symbol" w:hint="default"/>
      </w:rPr>
    </w:lvl>
    <w:lvl w:ilvl="4" w:tplc="0C0A0003" w:tentative="1">
      <w:start w:val="1"/>
      <w:numFmt w:val="bullet"/>
      <w:lvlText w:val="o"/>
      <w:lvlJc w:val="left"/>
      <w:pPr>
        <w:ind w:left="4410" w:hanging="360"/>
      </w:pPr>
      <w:rPr>
        <w:rFonts w:ascii="Courier New" w:hAnsi="Courier New" w:cs="Courier New" w:hint="default"/>
      </w:rPr>
    </w:lvl>
    <w:lvl w:ilvl="5" w:tplc="0C0A0005" w:tentative="1">
      <w:start w:val="1"/>
      <w:numFmt w:val="bullet"/>
      <w:lvlText w:val=""/>
      <w:lvlJc w:val="left"/>
      <w:pPr>
        <w:ind w:left="5130" w:hanging="360"/>
      </w:pPr>
      <w:rPr>
        <w:rFonts w:ascii="Wingdings" w:hAnsi="Wingdings" w:hint="default"/>
      </w:rPr>
    </w:lvl>
    <w:lvl w:ilvl="6" w:tplc="0C0A0001" w:tentative="1">
      <w:start w:val="1"/>
      <w:numFmt w:val="bullet"/>
      <w:lvlText w:val=""/>
      <w:lvlJc w:val="left"/>
      <w:pPr>
        <w:ind w:left="5850" w:hanging="360"/>
      </w:pPr>
      <w:rPr>
        <w:rFonts w:ascii="Symbol" w:hAnsi="Symbol" w:hint="default"/>
      </w:rPr>
    </w:lvl>
    <w:lvl w:ilvl="7" w:tplc="0C0A0003" w:tentative="1">
      <w:start w:val="1"/>
      <w:numFmt w:val="bullet"/>
      <w:lvlText w:val="o"/>
      <w:lvlJc w:val="left"/>
      <w:pPr>
        <w:ind w:left="6570" w:hanging="360"/>
      </w:pPr>
      <w:rPr>
        <w:rFonts w:ascii="Courier New" w:hAnsi="Courier New" w:cs="Courier New" w:hint="default"/>
      </w:rPr>
    </w:lvl>
    <w:lvl w:ilvl="8" w:tplc="0C0A0005" w:tentative="1">
      <w:start w:val="1"/>
      <w:numFmt w:val="bullet"/>
      <w:lvlText w:val=""/>
      <w:lvlJc w:val="left"/>
      <w:pPr>
        <w:ind w:left="7290" w:hanging="360"/>
      </w:pPr>
      <w:rPr>
        <w:rFonts w:ascii="Wingdings" w:hAnsi="Wingdings" w:hint="default"/>
      </w:rPr>
    </w:lvl>
  </w:abstractNum>
  <w:abstractNum w:abstractNumId="3" w15:restartNumberingAfterBreak="0">
    <w:nsid w:val="13E57989"/>
    <w:multiLevelType w:val="hybridMultilevel"/>
    <w:tmpl w:val="4E486E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67C4600"/>
    <w:multiLevelType w:val="multilevel"/>
    <w:tmpl w:val="4E82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4236A5"/>
    <w:multiLevelType w:val="hybridMultilevel"/>
    <w:tmpl w:val="2F82DD5C"/>
    <w:lvl w:ilvl="0" w:tplc="4C7ECB12">
      <w:start w:val="1"/>
      <w:numFmt w:val="decimal"/>
      <w:lvlText w:val="%1)"/>
      <w:lvlJc w:val="left"/>
      <w:pPr>
        <w:ind w:left="720" w:hanging="360"/>
      </w:pPr>
      <w:rPr>
        <w:rFonts w:eastAsia="MS Mincho"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0D445F"/>
    <w:multiLevelType w:val="hybridMultilevel"/>
    <w:tmpl w:val="4D32D53E"/>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7C14DC"/>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8312A9F"/>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837127D"/>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85B60A1"/>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8B27913"/>
    <w:multiLevelType w:val="hybridMultilevel"/>
    <w:tmpl w:val="D33EA58C"/>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333480"/>
    <w:multiLevelType w:val="hybridMultilevel"/>
    <w:tmpl w:val="52D07F1C"/>
    <w:lvl w:ilvl="0" w:tplc="FFFFFFFF">
      <w:start w:val="1"/>
      <w:numFmt w:val="upperRoman"/>
      <w:lvlText w:val="%1."/>
      <w:lvlJc w:val="left"/>
      <w:pPr>
        <w:ind w:left="1890" w:hanging="72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C352DCD4">
      <w:start w:val="1"/>
      <w:numFmt w:val="decimal"/>
      <w:lvlText w:val="%4."/>
      <w:lvlJc w:val="left"/>
      <w:pPr>
        <w:ind w:left="2880" w:hanging="360"/>
      </w:pPr>
      <w:rPr>
        <w:b w:val="0"/>
        <w:bCs/>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2BCA2B85"/>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C2833C9"/>
    <w:multiLevelType w:val="hybridMultilevel"/>
    <w:tmpl w:val="1E680606"/>
    <w:lvl w:ilvl="0" w:tplc="8BD876CA">
      <w:start w:val="1"/>
      <w:numFmt w:val="bullet"/>
      <w:lvlText w:val=""/>
      <w:lvlJc w:val="left"/>
      <w:pPr>
        <w:ind w:left="1440" w:hanging="360"/>
      </w:pPr>
      <w:rPr>
        <w:rFonts w:ascii="Symbol" w:hAnsi="Symbol" w:hint="default"/>
        <w:lang w:val="en-U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CC005EC"/>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EEE2BBA"/>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1276FA0"/>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7CD7804"/>
    <w:multiLevelType w:val="hybridMultilevel"/>
    <w:tmpl w:val="084A5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4D22AE"/>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21F5CCD"/>
    <w:multiLevelType w:val="hybridMultilevel"/>
    <w:tmpl w:val="842AE3C4"/>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49302B1"/>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5422B71"/>
    <w:multiLevelType w:val="hybridMultilevel"/>
    <w:tmpl w:val="BD1ED690"/>
    <w:lvl w:ilvl="0" w:tplc="FFFFFFFF">
      <w:start w:val="1"/>
      <w:numFmt w:val="upp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3" w15:restartNumberingAfterBreak="0">
    <w:nsid w:val="46253A63"/>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02F62E1"/>
    <w:multiLevelType w:val="multilevel"/>
    <w:tmpl w:val="52D07F1C"/>
    <w:styleLink w:val="CurrentList1"/>
    <w:lvl w:ilvl="0">
      <w:start w:val="1"/>
      <w:numFmt w:val="upperRoman"/>
      <w:lvlText w:val="%1."/>
      <w:lvlJc w:val="left"/>
      <w:pPr>
        <w:ind w:left="189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112EDA"/>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3E961B8"/>
    <w:multiLevelType w:val="hybridMultilevel"/>
    <w:tmpl w:val="6C02FA7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55252B23"/>
    <w:multiLevelType w:val="hybridMultilevel"/>
    <w:tmpl w:val="5262080E"/>
    <w:lvl w:ilvl="0" w:tplc="42D8C1E4">
      <w:start w:val="1"/>
      <w:numFmt w:val="decimal"/>
      <w:lvlText w:val="%1."/>
      <w:lvlJc w:val="left"/>
      <w:pPr>
        <w:ind w:left="1080" w:hanging="360"/>
      </w:pPr>
      <w:rPr>
        <w:rFonts w:ascii="Cambria" w:hAnsi="Cambria" w:hint="default"/>
        <w:b w:val="0"/>
        <w:bCs/>
        <w:sz w:val="22"/>
        <w:szCs w:val="22"/>
      </w:rPr>
    </w:lvl>
    <w:lvl w:ilvl="1" w:tplc="2C0A0019">
      <w:start w:val="1"/>
      <w:numFmt w:val="lowerLetter"/>
      <w:lvlText w:val="%2."/>
      <w:lvlJc w:val="left"/>
      <w:pPr>
        <w:ind w:left="1800" w:hanging="360"/>
      </w:pPr>
    </w:lvl>
    <w:lvl w:ilvl="2" w:tplc="2C0A001B">
      <w:start w:val="1"/>
      <w:numFmt w:val="lowerRoman"/>
      <w:lvlText w:val="%3."/>
      <w:lvlJc w:val="right"/>
      <w:pPr>
        <w:ind w:left="2520" w:hanging="180"/>
      </w:pPr>
    </w:lvl>
    <w:lvl w:ilvl="3" w:tplc="4B9C0506">
      <w:start w:val="1"/>
      <w:numFmt w:val="decimal"/>
      <w:lvlText w:val="%4."/>
      <w:lvlJc w:val="left"/>
      <w:pPr>
        <w:ind w:left="3240" w:hanging="360"/>
      </w:pPr>
      <w:rPr>
        <w:b w:val="0"/>
        <w:bCs/>
      </w:rPr>
    </w:lvl>
    <w:lvl w:ilvl="4" w:tplc="2C0A0019">
      <w:start w:val="1"/>
      <w:numFmt w:val="lowerLetter"/>
      <w:lvlText w:val="%5."/>
      <w:lvlJc w:val="left"/>
      <w:pPr>
        <w:ind w:left="3960" w:hanging="360"/>
      </w:pPr>
    </w:lvl>
    <w:lvl w:ilvl="5" w:tplc="2C0A001B">
      <w:start w:val="1"/>
      <w:numFmt w:val="lowerRoman"/>
      <w:lvlText w:val="%6."/>
      <w:lvlJc w:val="right"/>
      <w:pPr>
        <w:ind w:left="4680" w:hanging="180"/>
      </w:pPr>
    </w:lvl>
    <w:lvl w:ilvl="6" w:tplc="64F4750E">
      <w:start w:val="1"/>
      <w:numFmt w:val="decimal"/>
      <w:lvlText w:val="%7."/>
      <w:lvlJc w:val="left"/>
      <w:pPr>
        <w:ind w:left="5400" w:hanging="360"/>
      </w:pPr>
      <w:rPr>
        <w:b w:val="0"/>
        <w:bCs/>
      </w:rPr>
    </w:lvl>
    <w:lvl w:ilvl="7" w:tplc="2C0A0019">
      <w:start w:val="1"/>
      <w:numFmt w:val="lowerLetter"/>
      <w:lvlText w:val="%8."/>
      <w:lvlJc w:val="left"/>
      <w:pPr>
        <w:ind w:left="6120" w:hanging="360"/>
      </w:pPr>
    </w:lvl>
    <w:lvl w:ilvl="8" w:tplc="2C0A001B">
      <w:start w:val="1"/>
      <w:numFmt w:val="lowerRoman"/>
      <w:lvlText w:val="%9."/>
      <w:lvlJc w:val="right"/>
      <w:pPr>
        <w:ind w:left="6840" w:hanging="180"/>
      </w:pPr>
    </w:lvl>
  </w:abstractNum>
  <w:abstractNum w:abstractNumId="28" w15:restartNumberingAfterBreak="0">
    <w:nsid w:val="5C1A141F"/>
    <w:multiLevelType w:val="hybridMultilevel"/>
    <w:tmpl w:val="BBF067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A5433B"/>
    <w:multiLevelType w:val="hybridMultilevel"/>
    <w:tmpl w:val="BBF42C0A"/>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0" w15:restartNumberingAfterBreak="0">
    <w:nsid w:val="6DE83646"/>
    <w:multiLevelType w:val="hybridMultilevel"/>
    <w:tmpl w:val="AB56968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1" w15:restartNumberingAfterBreak="0">
    <w:nsid w:val="7437226A"/>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4374125"/>
    <w:multiLevelType w:val="hybridMultilevel"/>
    <w:tmpl w:val="BD1ED690"/>
    <w:lvl w:ilvl="0" w:tplc="0C0A0015">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3" w15:restartNumberingAfterBreak="0">
    <w:nsid w:val="7777634B"/>
    <w:multiLevelType w:val="hybridMultilevel"/>
    <w:tmpl w:val="BBF0671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B413E71"/>
    <w:multiLevelType w:val="hybridMultilevel"/>
    <w:tmpl w:val="639CBA1A"/>
    <w:lvl w:ilvl="0" w:tplc="17E875D0">
      <w:start w:val="2"/>
      <w:numFmt w:val="decimal"/>
      <w:lvlText w:val="%1."/>
      <w:lvlJc w:val="left"/>
      <w:pPr>
        <w:ind w:left="1440" w:hanging="360"/>
      </w:pPr>
      <w:rPr>
        <w:rFonts w:hint="default"/>
        <w:b w:val="0"/>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5" w15:restartNumberingAfterBreak="0">
    <w:nsid w:val="7BE974E9"/>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D4E5D74"/>
    <w:multiLevelType w:val="hybridMultilevel"/>
    <w:tmpl w:val="E530F43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7" w15:restartNumberingAfterBreak="0">
    <w:nsid w:val="7D5B68B4"/>
    <w:multiLevelType w:val="hybridMultilevel"/>
    <w:tmpl w:val="660A1088"/>
    <w:lvl w:ilvl="0" w:tplc="13EC8CA0">
      <w:start w:val="1"/>
      <w:numFmt w:val="lowerLetter"/>
      <w:lvlText w:val="%1)"/>
      <w:lvlJc w:val="left"/>
      <w:pPr>
        <w:ind w:left="720" w:hanging="360"/>
      </w:pPr>
      <w:rPr>
        <w:rFonts w:eastAsia="Batang" w:cs="Calibri Light"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EC35B0D"/>
    <w:multiLevelType w:val="hybridMultilevel"/>
    <w:tmpl w:val="BD1ED690"/>
    <w:lvl w:ilvl="0" w:tplc="FFFFFFFF">
      <w:start w:val="1"/>
      <w:numFmt w:val="upp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16cid:durableId="533809320">
    <w:abstractNumId w:val="11"/>
  </w:num>
  <w:num w:numId="2" w16cid:durableId="453600156">
    <w:abstractNumId w:val="28"/>
  </w:num>
  <w:num w:numId="3" w16cid:durableId="897327684">
    <w:abstractNumId w:val="18"/>
  </w:num>
  <w:num w:numId="4" w16cid:durableId="1141650489">
    <w:abstractNumId w:val="27"/>
  </w:num>
  <w:num w:numId="5" w16cid:durableId="746342540">
    <w:abstractNumId w:val="13"/>
  </w:num>
  <w:num w:numId="6" w16cid:durableId="1621692518">
    <w:abstractNumId w:val="6"/>
  </w:num>
  <w:num w:numId="7" w16cid:durableId="971790784">
    <w:abstractNumId w:val="1"/>
  </w:num>
  <w:num w:numId="8" w16cid:durableId="1387029646">
    <w:abstractNumId w:val="34"/>
  </w:num>
  <w:num w:numId="9" w16cid:durableId="1086881292">
    <w:abstractNumId w:val="7"/>
  </w:num>
  <w:num w:numId="10" w16cid:durableId="1292322756">
    <w:abstractNumId w:val="12"/>
  </w:num>
  <w:num w:numId="11" w16cid:durableId="1000500350">
    <w:abstractNumId w:val="2"/>
  </w:num>
  <w:num w:numId="12" w16cid:durableId="1706103099">
    <w:abstractNumId w:val="33"/>
  </w:num>
  <w:num w:numId="13" w16cid:durableId="1756710271">
    <w:abstractNumId w:val="20"/>
  </w:num>
  <w:num w:numId="14" w16cid:durableId="1099252676">
    <w:abstractNumId w:val="37"/>
  </w:num>
  <w:num w:numId="15" w16cid:durableId="1030109151">
    <w:abstractNumId w:val="16"/>
  </w:num>
  <w:num w:numId="16" w16cid:durableId="1722748191">
    <w:abstractNumId w:val="15"/>
  </w:num>
  <w:num w:numId="17" w16cid:durableId="351491452">
    <w:abstractNumId w:val="26"/>
  </w:num>
  <w:num w:numId="18" w16cid:durableId="1027633537">
    <w:abstractNumId w:val="9"/>
  </w:num>
  <w:num w:numId="19" w16cid:durableId="457845413">
    <w:abstractNumId w:val="25"/>
  </w:num>
  <w:num w:numId="20" w16cid:durableId="12115720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98907281">
    <w:abstractNumId w:val="19"/>
  </w:num>
  <w:num w:numId="22" w16cid:durableId="2003926928">
    <w:abstractNumId w:val="10"/>
  </w:num>
  <w:num w:numId="23" w16cid:durableId="1497725357">
    <w:abstractNumId w:val="21"/>
  </w:num>
  <w:num w:numId="24" w16cid:durableId="307248652">
    <w:abstractNumId w:val="23"/>
  </w:num>
  <w:num w:numId="25" w16cid:durableId="1985550389">
    <w:abstractNumId w:val="5"/>
  </w:num>
  <w:num w:numId="26" w16cid:durableId="1478456909">
    <w:abstractNumId w:val="8"/>
  </w:num>
  <w:num w:numId="27" w16cid:durableId="1176925587">
    <w:abstractNumId w:val="3"/>
  </w:num>
  <w:num w:numId="28" w16cid:durableId="1876766616">
    <w:abstractNumId w:val="35"/>
  </w:num>
  <w:num w:numId="29" w16cid:durableId="2142572164">
    <w:abstractNumId w:val="32"/>
  </w:num>
  <w:num w:numId="30" w16cid:durableId="571933528">
    <w:abstractNumId w:val="30"/>
  </w:num>
  <w:num w:numId="31" w16cid:durableId="1861430946">
    <w:abstractNumId w:val="14"/>
  </w:num>
  <w:num w:numId="32" w16cid:durableId="803893092">
    <w:abstractNumId w:val="17"/>
  </w:num>
  <w:num w:numId="33" w16cid:durableId="1739936026">
    <w:abstractNumId w:val="4"/>
  </w:num>
  <w:num w:numId="34" w16cid:durableId="1458915668">
    <w:abstractNumId w:val="29"/>
  </w:num>
  <w:num w:numId="35" w16cid:durableId="1599485303">
    <w:abstractNumId w:val="38"/>
  </w:num>
  <w:num w:numId="36" w16cid:durableId="1664964272">
    <w:abstractNumId w:val="36"/>
  </w:num>
  <w:num w:numId="37" w16cid:durableId="2074966919">
    <w:abstractNumId w:val="31"/>
  </w:num>
  <w:num w:numId="38" w16cid:durableId="20934263">
    <w:abstractNumId w:val="22"/>
  </w:num>
  <w:num w:numId="39" w16cid:durableId="195656616">
    <w:abstractNumId w:val="2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222"/>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2B6"/>
    <w:rsid w:val="000161DA"/>
    <w:rsid w:val="000244BA"/>
    <w:rsid w:val="00047B56"/>
    <w:rsid w:val="00054EA0"/>
    <w:rsid w:val="00062031"/>
    <w:rsid w:val="0006625E"/>
    <w:rsid w:val="000667A7"/>
    <w:rsid w:val="00074D00"/>
    <w:rsid w:val="00096079"/>
    <w:rsid w:val="000B3203"/>
    <w:rsid w:val="000B3318"/>
    <w:rsid w:val="000D32B6"/>
    <w:rsid w:val="000D6F2C"/>
    <w:rsid w:val="001011E0"/>
    <w:rsid w:val="00101E3E"/>
    <w:rsid w:val="00112395"/>
    <w:rsid w:val="0012326D"/>
    <w:rsid w:val="0012586C"/>
    <w:rsid w:val="00127F17"/>
    <w:rsid w:val="001511FD"/>
    <w:rsid w:val="001541D4"/>
    <w:rsid w:val="00162518"/>
    <w:rsid w:val="001834F6"/>
    <w:rsid w:val="001C516B"/>
    <w:rsid w:val="001E3F4C"/>
    <w:rsid w:val="00215215"/>
    <w:rsid w:val="0021669C"/>
    <w:rsid w:val="00226F48"/>
    <w:rsid w:val="00236411"/>
    <w:rsid w:val="00240E8E"/>
    <w:rsid w:val="002547E7"/>
    <w:rsid w:val="00260836"/>
    <w:rsid w:val="00277604"/>
    <w:rsid w:val="002859A9"/>
    <w:rsid w:val="00292B52"/>
    <w:rsid w:val="00294A83"/>
    <w:rsid w:val="00294B17"/>
    <w:rsid w:val="002A39B2"/>
    <w:rsid w:val="002D40CD"/>
    <w:rsid w:val="002E4FBC"/>
    <w:rsid w:val="002F156A"/>
    <w:rsid w:val="00324C1A"/>
    <w:rsid w:val="00335042"/>
    <w:rsid w:val="00336E78"/>
    <w:rsid w:val="003419CC"/>
    <w:rsid w:val="00343CED"/>
    <w:rsid w:val="0036283E"/>
    <w:rsid w:val="00371855"/>
    <w:rsid w:val="00385F0C"/>
    <w:rsid w:val="00393310"/>
    <w:rsid w:val="00394EEF"/>
    <w:rsid w:val="003C4836"/>
    <w:rsid w:val="003E4C2F"/>
    <w:rsid w:val="003E533F"/>
    <w:rsid w:val="003E6F57"/>
    <w:rsid w:val="003F3C6B"/>
    <w:rsid w:val="00402700"/>
    <w:rsid w:val="00417964"/>
    <w:rsid w:val="00420BB1"/>
    <w:rsid w:val="0043583A"/>
    <w:rsid w:val="004545D1"/>
    <w:rsid w:val="00457BAB"/>
    <w:rsid w:val="00470C7B"/>
    <w:rsid w:val="0047146A"/>
    <w:rsid w:val="004722BC"/>
    <w:rsid w:val="00472E04"/>
    <w:rsid w:val="0047567D"/>
    <w:rsid w:val="00477BF2"/>
    <w:rsid w:val="004B3074"/>
    <w:rsid w:val="004B7CA6"/>
    <w:rsid w:val="004C6CCF"/>
    <w:rsid w:val="004C7C99"/>
    <w:rsid w:val="004F5CA9"/>
    <w:rsid w:val="004F5F70"/>
    <w:rsid w:val="00504855"/>
    <w:rsid w:val="005145CC"/>
    <w:rsid w:val="005205B9"/>
    <w:rsid w:val="00534F2B"/>
    <w:rsid w:val="005566F5"/>
    <w:rsid w:val="005829B9"/>
    <w:rsid w:val="00594A1B"/>
    <w:rsid w:val="005A328E"/>
    <w:rsid w:val="005A49FD"/>
    <w:rsid w:val="005A4D20"/>
    <w:rsid w:val="005A5AE8"/>
    <w:rsid w:val="005A5E14"/>
    <w:rsid w:val="005B2E65"/>
    <w:rsid w:val="005C2637"/>
    <w:rsid w:val="005C414D"/>
    <w:rsid w:val="005D7F05"/>
    <w:rsid w:val="005E3720"/>
    <w:rsid w:val="005E4B03"/>
    <w:rsid w:val="005F171A"/>
    <w:rsid w:val="005F4AAA"/>
    <w:rsid w:val="0060081A"/>
    <w:rsid w:val="00604132"/>
    <w:rsid w:val="00634F89"/>
    <w:rsid w:val="00637AFB"/>
    <w:rsid w:val="00655003"/>
    <w:rsid w:val="00660EF3"/>
    <w:rsid w:val="00663A76"/>
    <w:rsid w:val="0067152B"/>
    <w:rsid w:val="00672090"/>
    <w:rsid w:val="006C2941"/>
    <w:rsid w:val="006C2B06"/>
    <w:rsid w:val="006C7308"/>
    <w:rsid w:val="006E2BD8"/>
    <w:rsid w:val="006F0429"/>
    <w:rsid w:val="0070407B"/>
    <w:rsid w:val="00705E57"/>
    <w:rsid w:val="007175E2"/>
    <w:rsid w:val="00727940"/>
    <w:rsid w:val="00730193"/>
    <w:rsid w:val="0073227E"/>
    <w:rsid w:val="00732EA4"/>
    <w:rsid w:val="007377D4"/>
    <w:rsid w:val="007B0327"/>
    <w:rsid w:val="007B3452"/>
    <w:rsid w:val="007B3D07"/>
    <w:rsid w:val="007C2CC3"/>
    <w:rsid w:val="007C351D"/>
    <w:rsid w:val="007D4C18"/>
    <w:rsid w:val="007E463E"/>
    <w:rsid w:val="007F5F4E"/>
    <w:rsid w:val="00801509"/>
    <w:rsid w:val="00802867"/>
    <w:rsid w:val="00806082"/>
    <w:rsid w:val="00807BAA"/>
    <w:rsid w:val="008145AE"/>
    <w:rsid w:val="00817E0C"/>
    <w:rsid w:val="008338E4"/>
    <w:rsid w:val="00833BA8"/>
    <w:rsid w:val="00846397"/>
    <w:rsid w:val="008521E0"/>
    <w:rsid w:val="00854914"/>
    <w:rsid w:val="008550EF"/>
    <w:rsid w:val="00893661"/>
    <w:rsid w:val="008A1CBE"/>
    <w:rsid w:val="008B1EA8"/>
    <w:rsid w:val="008B2A99"/>
    <w:rsid w:val="008B6DA8"/>
    <w:rsid w:val="008E42E1"/>
    <w:rsid w:val="008E751C"/>
    <w:rsid w:val="008F2248"/>
    <w:rsid w:val="009108A4"/>
    <w:rsid w:val="009162E7"/>
    <w:rsid w:val="00941BE5"/>
    <w:rsid w:val="009457D8"/>
    <w:rsid w:val="0096142F"/>
    <w:rsid w:val="0096419E"/>
    <w:rsid w:val="00994458"/>
    <w:rsid w:val="009949ED"/>
    <w:rsid w:val="009B1135"/>
    <w:rsid w:val="009B219C"/>
    <w:rsid w:val="009C227B"/>
    <w:rsid w:val="009C4D87"/>
    <w:rsid w:val="009C5BE9"/>
    <w:rsid w:val="009E73F0"/>
    <w:rsid w:val="009F66EA"/>
    <w:rsid w:val="00A2502C"/>
    <w:rsid w:val="00A25CA7"/>
    <w:rsid w:val="00A343FF"/>
    <w:rsid w:val="00A61B5E"/>
    <w:rsid w:val="00A678C3"/>
    <w:rsid w:val="00A70B4A"/>
    <w:rsid w:val="00A76705"/>
    <w:rsid w:val="00A7781B"/>
    <w:rsid w:val="00A860C7"/>
    <w:rsid w:val="00AA164D"/>
    <w:rsid w:val="00AB0F8C"/>
    <w:rsid w:val="00AB253B"/>
    <w:rsid w:val="00AC2C8E"/>
    <w:rsid w:val="00AE1B0F"/>
    <w:rsid w:val="00AF2D92"/>
    <w:rsid w:val="00B002D8"/>
    <w:rsid w:val="00B056D9"/>
    <w:rsid w:val="00B063D6"/>
    <w:rsid w:val="00B120EB"/>
    <w:rsid w:val="00B205A7"/>
    <w:rsid w:val="00B3732F"/>
    <w:rsid w:val="00B40F77"/>
    <w:rsid w:val="00B4343F"/>
    <w:rsid w:val="00B60889"/>
    <w:rsid w:val="00B674F5"/>
    <w:rsid w:val="00B74EA5"/>
    <w:rsid w:val="00B8008C"/>
    <w:rsid w:val="00B806AC"/>
    <w:rsid w:val="00B93993"/>
    <w:rsid w:val="00BA2B9F"/>
    <w:rsid w:val="00BB0A8F"/>
    <w:rsid w:val="00BC3854"/>
    <w:rsid w:val="00C03B37"/>
    <w:rsid w:val="00C17E67"/>
    <w:rsid w:val="00C17F04"/>
    <w:rsid w:val="00C30658"/>
    <w:rsid w:val="00C3260E"/>
    <w:rsid w:val="00C3445F"/>
    <w:rsid w:val="00C402CB"/>
    <w:rsid w:val="00C55E1C"/>
    <w:rsid w:val="00C56464"/>
    <w:rsid w:val="00C57947"/>
    <w:rsid w:val="00C76780"/>
    <w:rsid w:val="00CB6344"/>
    <w:rsid w:val="00CB7CD5"/>
    <w:rsid w:val="00CB7D17"/>
    <w:rsid w:val="00CC0731"/>
    <w:rsid w:val="00CC6DB2"/>
    <w:rsid w:val="00CD169F"/>
    <w:rsid w:val="00CE024B"/>
    <w:rsid w:val="00CE74B7"/>
    <w:rsid w:val="00CF54E1"/>
    <w:rsid w:val="00D048B2"/>
    <w:rsid w:val="00D05BCC"/>
    <w:rsid w:val="00D23C64"/>
    <w:rsid w:val="00D735C2"/>
    <w:rsid w:val="00D76EDC"/>
    <w:rsid w:val="00D91EBA"/>
    <w:rsid w:val="00D9413D"/>
    <w:rsid w:val="00DA642E"/>
    <w:rsid w:val="00DA7797"/>
    <w:rsid w:val="00DC5A37"/>
    <w:rsid w:val="00DC7C8F"/>
    <w:rsid w:val="00DE4A18"/>
    <w:rsid w:val="00DF0FE5"/>
    <w:rsid w:val="00E12118"/>
    <w:rsid w:val="00E177B0"/>
    <w:rsid w:val="00E24621"/>
    <w:rsid w:val="00E3040C"/>
    <w:rsid w:val="00E31824"/>
    <w:rsid w:val="00E42870"/>
    <w:rsid w:val="00E525B3"/>
    <w:rsid w:val="00E6614F"/>
    <w:rsid w:val="00E737AE"/>
    <w:rsid w:val="00E953CE"/>
    <w:rsid w:val="00EC2A38"/>
    <w:rsid w:val="00ED7332"/>
    <w:rsid w:val="00ED73A5"/>
    <w:rsid w:val="00F14821"/>
    <w:rsid w:val="00F43314"/>
    <w:rsid w:val="00F45256"/>
    <w:rsid w:val="00F53B51"/>
    <w:rsid w:val="00F54F60"/>
    <w:rsid w:val="00F61B1D"/>
    <w:rsid w:val="00F62829"/>
    <w:rsid w:val="00F66FEE"/>
    <w:rsid w:val="00F74974"/>
    <w:rsid w:val="00F7589F"/>
    <w:rsid w:val="00F8575B"/>
    <w:rsid w:val="00F9351A"/>
    <w:rsid w:val="00FC304E"/>
    <w:rsid w:val="00FC62AE"/>
    <w:rsid w:val="00FC66C2"/>
    <w:rsid w:val="00FC76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99C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rmalWeb">
    <w:name w:val="Normal (Web)"/>
    <w:basedOn w:val="Normal"/>
    <w:uiPriority w:val="99"/>
    <w:unhideWhenUsed/>
    <w:rsid w:val="0047146A"/>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aliases w:val="Párrafo de lista1,List Paragraph1,Colorful List - Accent 11,List Paragraph11"/>
    <w:basedOn w:val="Normal"/>
    <w:link w:val="ListParagraphChar"/>
    <w:uiPriority w:val="34"/>
    <w:qFormat/>
    <w:rsid w:val="00470C7B"/>
    <w:pPr>
      <w:ind w:left="720"/>
      <w:contextualSpacing/>
    </w:pPr>
    <w:rPr>
      <w:rFonts w:eastAsia="Times New Roman"/>
    </w:rPr>
  </w:style>
  <w:style w:type="character" w:styleId="Hyperlink">
    <w:name w:val="Hyperlink"/>
    <w:uiPriority w:val="99"/>
    <w:unhideWhenUsed/>
    <w:rsid w:val="00470C7B"/>
    <w:rPr>
      <w:color w:val="0000FF"/>
      <w:u w:val="single"/>
    </w:rPr>
  </w:style>
  <w:style w:type="character" w:customStyle="1" w:styleId="ListParagraphChar">
    <w:name w:val="List Paragraph Char"/>
    <w:aliases w:val="Párrafo de lista1 Char,List Paragraph1 Char,Colorful List - Accent 11 Char,List Paragraph11 Char"/>
    <w:link w:val="ListParagraph"/>
    <w:uiPriority w:val="34"/>
    <w:locked/>
    <w:rsid w:val="00470C7B"/>
    <w:rPr>
      <w:rFonts w:eastAsia="Times New Roman"/>
      <w:sz w:val="22"/>
      <w:szCs w:val="22"/>
      <w:lang w:val="en-US" w:eastAsia="en-US"/>
    </w:rPr>
  </w:style>
  <w:style w:type="character" w:styleId="FootnoteReference">
    <w:name w:val="footnote reference"/>
    <w:aliases w:val="Ref,f1,4,norma"/>
    <w:link w:val="Appelnotedebasde"/>
    <w:uiPriority w:val="99"/>
    <w:unhideWhenUsed/>
    <w:qFormat/>
    <w:rsid w:val="00470C7B"/>
    <w:rPr>
      <w:vertAlign w:val="superscript"/>
    </w:rPr>
  </w:style>
  <w:style w:type="paragraph" w:customStyle="1" w:styleId="Appelnotedebasde">
    <w:name w:val="Appel note de bas de..."/>
    <w:basedOn w:val="Normal"/>
    <w:link w:val="FootnoteReference"/>
    <w:uiPriority w:val="99"/>
    <w:rsid w:val="00470C7B"/>
    <w:pPr>
      <w:spacing w:after="160" w:line="240" w:lineRule="exact"/>
    </w:pPr>
    <w:rPr>
      <w:sz w:val="20"/>
      <w:szCs w:val="20"/>
      <w:vertAlign w:val="superscript"/>
      <w:lang w:val="es-CO" w:eastAsia="es-MX"/>
    </w:rPr>
  </w:style>
  <w:style w:type="character" w:styleId="FollowedHyperlink">
    <w:name w:val="FollowedHyperlink"/>
    <w:basedOn w:val="DefaultParagraphFont"/>
    <w:uiPriority w:val="99"/>
    <w:semiHidden/>
    <w:unhideWhenUsed/>
    <w:rsid w:val="00385F0C"/>
    <w:rPr>
      <w:color w:val="954F72" w:themeColor="followedHyperlink"/>
      <w:u w:val="single"/>
    </w:rPr>
  </w:style>
  <w:style w:type="paragraph" w:styleId="FootnoteText">
    <w:name w:val="footnote text"/>
    <w:aliases w:val="Footnote Reference1,Footnotes refss,Texto de nota al pie,referencia nota al pie,BVI fnr,Appel note de bas de page,Footnote symbol,Footnote number,f,Ref. de nota al pie.,4_G,16 Point,Superscript 6 Point,Texto nota al pie,Ref. de nota al pi"/>
    <w:basedOn w:val="Normal"/>
    <w:link w:val="FootnoteTextChar"/>
    <w:uiPriority w:val="99"/>
    <w:unhideWhenUsed/>
    <w:qFormat/>
    <w:rsid w:val="00672090"/>
    <w:pPr>
      <w:spacing w:after="0" w:line="240" w:lineRule="auto"/>
    </w:pPr>
    <w:rPr>
      <w:rFonts w:ascii="Times New Roman" w:eastAsia="Times New Roman" w:hAnsi="Times New Roman"/>
      <w:sz w:val="20"/>
      <w:szCs w:val="20"/>
    </w:rPr>
  </w:style>
  <w:style w:type="character" w:customStyle="1" w:styleId="FootnoteTextChar">
    <w:name w:val="Footnote Text Char"/>
    <w:aliases w:val="Footnote Reference1 Char,Footnotes refss Char,Texto de nota al pie Char,referencia nota al pie Char,BVI fnr Char,Appel note de bas de page Char,Footnote symbol Char,Footnote number Char,f Char,Ref. de nota al pie. Char,4_G Char"/>
    <w:basedOn w:val="DefaultParagraphFont"/>
    <w:link w:val="FootnoteText"/>
    <w:uiPriority w:val="99"/>
    <w:rsid w:val="00672090"/>
    <w:rPr>
      <w:rFonts w:ascii="Times New Roman" w:eastAsia="Times New Roman" w:hAnsi="Times New Roman"/>
      <w:lang w:val="en-US" w:eastAsia="en-US"/>
    </w:rPr>
  </w:style>
  <w:style w:type="paragraph" w:styleId="NoSpacing">
    <w:name w:val="No Spacing"/>
    <w:uiPriority w:val="1"/>
    <w:qFormat/>
    <w:rsid w:val="008521E0"/>
    <w:rPr>
      <w:sz w:val="22"/>
      <w:szCs w:val="22"/>
      <w:lang w:val="en-US" w:eastAsia="en-US"/>
    </w:rPr>
  </w:style>
  <w:style w:type="paragraph" w:customStyle="1" w:styleId="Default">
    <w:name w:val="Default"/>
    <w:rsid w:val="008521E0"/>
    <w:pPr>
      <w:autoSpaceDE w:val="0"/>
      <w:autoSpaceDN w:val="0"/>
      <w:adjustRightInd w:val="0"/>
    </w:pPr>
    <w:rPr>
      <w:rFonts w:ascii="Cambria" w:hAnsi="Cambria" w:cs="Cambria"/>
      <w:color w:val="000000"/>
      <w:sz w:val="24"/>
      <w:szCs w:val="24"/>
      <w:lang w:val="en-US" w:eastAsia="en-US"/>
    </w:rPr>
  </w:style>
  <w:style w:type="paragraph" w:styleId="Revision">
    <w:name w:val="Revision"/>
    <w:hidden/>
    <w:uiPriority w:val="99"/>
    <w:semiHidden/>
    <w:rsid w:val="00B120EB"/>
    <w:rPr>
      <w:sz w:val="22"/>
      <w:szCs w:val="22"/>
      <w:lang w:val="en-US" w:eastAsia="en-US"/>
    </w:rPr>
  </w:style>
  <w:style w:type="character" w:styleId="UnresolvedMention">
    <w:name w:val="Unresolved Mention"/>
    <w:basedOn w:val="DefaultParagraphFont"/>
    <w:uiPriority w:val="99"/>
    <w:semiHidden/>
    <w:unhideWhenUsed/>
    <w:rsid w:val="00634F89"/>
    <w:rPr>
      <w:color w:val="605E5C"/>
      <w:shd w:val="clear" w:color="auto" w:fill="E1DFDD"/>
    </w:rPr>
  </w:style>
  <w:style w:type="numbering" w:customStyle="1" w:styleId="CurrentList1">
    <w:name w:val="Current List1"/>
    <w:uiPriority w:val="99"/>
    <w:rsid w:val="004C7C99"/>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79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as.org/es/cidh/decisiones/2020/pysa12374es.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idh.org/annualrep/2010eng/PYAD12374EN.DOC"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as.org/es/cidh/decisiones/2020/pysa12374es.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2" Type="http://schemas.openxmlformats.org/officeDocument/2006/relationships/hyperlink" Target="http://www.oas.org/en/iachr/decisions/2020/pysa12374en.pdf" TargetMode="External"/><Relationship Id="rId1" Type="http://schemas.openxmlformats.org/officeDocument/2006/relationships/hyperlink" Target="http://www.oas.org/en/iachr/decisions/2020/pysa12374e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BF31B657-F33D-43CC-9F55-73619C379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8CE3C7-B026-E241-B903-18C1190A9A5F}">
  <ds:schemaRefs>
    <ds:schemaRef ds:uri="http://schemas.openxmlformats.org/officeDocument/2006/bibliography"/>
  </ds:schemaRefs>
</ds:datastoreItem>
</file>

<file path=customXml/itemProps3.xml><?xml version="1.0" encoding="utf-8"?>
<ds:datastoreItem xmlns:ds="http://schemas.openxmlformats.org/officeDocument/2006/customXml" ds:itemID="{490A2D28-5FAE-4C93-A166-435BBB1CA95B}">
  <ds:schemaRefs>
    <ds:schemaRef ds:uri="http://schemas.microsoft.com/sharepoint/v3/contenttype/forms"/>
  </ds:schemaRefs>
</ds:datastoreItem>
</file>

<file path=customXml/itemProps4.xml><?xml version="1.0" encoding="utf-8"?>
<ds:datastoreItem xmlns:ds="http://schemas.openxmlformats.org/officeDocument/2006/customXml" ds:itemID="{2C534A0D-18CE-4362-9E26-A3C7BFDE772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1466</Words>
  <Characters>8360</Characters>
  <Application>Microsoft Office Word</Application>
  <DocSecurity>0</DocSecurity>
  <Lines>69</Lines>
  <Paragraphs>19</Paragraphs>
  <ScaleCrop>false</ScaleCrop>
  <Company/>
  <LinksUpToDate>false</LinksUpToDate>
  <CharactersWithSpaces>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2023-03-07T20:29:00Z</dcterms:created>
  <dcterms:modified xsi:type="dcterms:W3CDTF">2023-03-07T20:29:00Z</dcterms:modified>
</cp:coreProperties>
</file>