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E819" w14:textId="77777777" w:rsidR="00EE2B3B" w:rsidRDefault="00EE2B3B" w:rsidP="00EE2B3B">
      <w:pPr>
        <w:pStyle w:val="NoSpacing"/>
        <w:ind w:left="-270" w:right="-270"/>
        <w:jc w:val="center"/>
        <w:rPr>
          <w:rFonts w:ascii="Cambria" w:hAnsi="Cambria"/>
          <w:b/>
          <w:color w:val="000000"/>
          <w:sz w:val="24"/>
          <w:szCs w:val="24"/>
        </w:rPr>
      </w:pPr>
    </w:p>
    <w:p w14:paraId="036D26F6" w14:textId="77777777" w:rsidR="00EE2B3B" w:rsidRP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TECHNICAL INFORMATION SHEET</w:t>
      </w:r>
    </w:p>
    <w:p w14:paraId="08C11A4F" w14:textId="642FB63B" w:rsidR="00EE2B3B"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CASE 12.159</w:t>
      </w:r>
      <w:r>
        <w:rPr>
          <w:rFonts w:ascii="Cambria" w:hAnsi="Cambria"/>
          <w:b/>
          <w:color w:val="000000"/>
          <w:sz w:val="24"/>
          <w:szCs w:val="24"/>
        </w:rPr>
        <w:t xml:space="preserve"> </w:t>
      </w:r>
      <w:r w:rsidRPr="003F7365">
        <w:rPr>
          <w:rFonts w:ascii="Cambria" w:hAnsi="Cambria"/>
          <w:b/>
          <w:color w:val="000000"/>
          <w:sz w:val="24"/>
          <w:szCs w:val="24"/>
        </w:rPr>
        <w:t xml:space="preserve">GABRIEL EGISTO SANTILLÁN </w:t>
      </w:r>
    </w:p>
    <w:p w14:paraId="589F3041" w14:textId="7A22802A"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 xml:space="preserve">REPORT ON FRIENDLY SETTLEMENT Nº </w:t>
      </w:r>
      <w:hyperlink r:id="rId8" w:history="1">
        <w:r w:rsidRPr="00EE2B3B">
          <w:rPr>
            <w:rStyle w:val="Hyperlink"/>
            <w:rFonts w:ascii="Cambria" w:hAnsi="Cambria"/>
            <w:b/>
            <w:sz w:val="24"/>
            <w:szCs w:val="24"/>
          </w:rPr>
          <w:t>79/09</w:t>
        </w:r>
      </w:hyperlink>
    </w:p>
    <w:p w14:paraId="291D19F8" w14:textId="77777777" w:rsid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TOTAL COMPLIANCE</w:t>
      </w:r>
      <w:r w:rsidRPr="003F7365">
        <w:rPr>
          <w:rFonts w:ascii="Cambria" w:hAnsi="Cambria"/>
          <w:b/>
          <w:color w:val="000000"/>
          <w:sz w:val="24"/>
          <w:szCs w:val="24"/>
        </w:rPr>
        <w:t xml:space="preserve"> </w:t>
      </w:r>
    </w:p>
    <w:p w14:paraId="731B0D08" w14:textId="1C97EE05"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(ARGENTINA)</w:t>
      </w:r>
    </w:p>
    <w:p w14:paraId="6FCFDEEB" w14:textId="77777777" w:rsidR="00EE2B3B" w:rsidRPr="003F7365" w:rsidRDefault="00EE2B3B" w:rsidP="00EE2B3B">
      <w:pPr>
        <w:pStyle w:val="NoSpacing"/>
        <w:ind w:left="-270" w:right="-270"/>
        <w:jc w:val="center"/>
        <w:rPr>
          <w:rFonts w:ascii="Cambria" w:hAnsi="Cambria"/>
          <w:b/>
          <w:color w:val="000000"/>
          <w:sz w:val="20"/>
          <w:szCs w:val="20"/>
        </w:rPr>
      </w:pPr>
    </w:p>
    <w:p w14:paraId="14A7D6AF" w14:textId="77777777" w:rsidR="00EE2B3B" w:rsidRPr="003F7365" w:rsidRDefault="00EE2B3B" w:rsidP="00EE2B3B">
      <w:pPr>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 xml:space="preserve">SUMMARY OF THE CASE </w:t>
      </w:r>
    </w:p>
    <w:p w14:paraId="05E3AE0D" w14:textId="77777777" w:rsidR="00EE2B3B" w:rsidRPr="003F7365" w:rsidRDefault="00EE2B3B" w:rsidP="00EE2B3B">
      <w:pPr>
        <w:ind w:left="72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EE2B3B" w:rsidRPr="003F7365" w14:paraId="0DA6B01E" w14:textId="77777777" w:rsidTr="00D53017">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0A98DE3A" w14:textId="77777777" w:rsidR="00EE2B3B" w:rsidRPr="003F7365" w:rsidRDefault="00EE2B3B" w:rsidP="00D53017">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Victim(s):</w:t>
            </w:r>
            <w:r w:rsidRPr="003F7365">
              <w:rPr>
                <w:rFonts w:ascii="Cambria" w:hAnsi="Cambria"/>
                <w:color w:val="000000"/>
                <w:sz w:val="20"/>
                <w:szCs w:val="20"/>
              </w:rPr>
              <w:t xml:space="preserve"> Gabriel Egisto Santillán</w:t>
            </w:r>
          </w:p>
          <w:p w14:paraId="2591FEB6" w14:textId="77777777" w:rsidR="00EE2B3B" w:rsidRPr="003F7365" w:rsidRDefault="00EE2B3B" w:rsidP="00D53017">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 xml:space="preserve">Petitioner(s): </w:t>
            </w:r>
            <w:r w:rsidRPr="003F7365">
              <w:rPr>
                <w:rFonts w:ascii="Cambria" w:hAnsi="Cambria"/>
                <w:color w:val="000000"/>
                <w:sz w:val="20"/>
                <w:szCs w:val="20"/>
              </w:rPr>
              <w:t>Mirta Liliana Reigas</w:t>
            </w:r>
          </w:p>
          <w:p w14:paraId="6CE542F6" w14:textId="77777777" w:rsidR="00EE2B3B" w:rsidRPr="003F7365" w:rsidRDefault="00EE2B3B" w:rsidP="00D53017">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State:</w:t>
            </w:r>
            <w:r w:rsidRPr="003F7365">
              <w:rPr>
                <w:rFonts w:ascii="Cambria" w:hAnsi="Cambria"/>
                <w:color w:val="000000"/>
                <w:sz w:val="20"/>
                <w:szCs w:val="20"/>
              </w:rPr>
              <w:t xml:space="preserve"> Argentina</w:t>
            </w:r>
          </w:p>
          <w:p w14:paraId="3246D612" w14:textId="77777777" w:rsidR="00EE2B3B" w:rsidRPr="003F7365" w:rsidRDefault="00EE2B3B" w:rsidP="00D53017">
            <w:pPr>
              <w:pStyle w:val="NoSpacing"/>
              <w:tabs>
                <w:tab w:val="left" w:pos="9270"/>
              </w:tabs>
              <w:jc w:val="both"/>
              <w:rPr>
                <w:rFonts w:ascii="Cambria" w:hAnsi="Cambria"/>
                <w:b/>
                <w:bCs/>
                <w:color w:val="000000"/>
                <w:sz w:val="20"/>
                <w:szCs w:val="20"/>
              </w:rPr>
            </w:pPr>
            <w:r w:rsidRPr="003F7365">
              <w:rPr>
                <w:rFonts w:ascii="Cambria" w:hAnsi="Cambria"/>
                <w:b/>
                <w:bCs/>
                <w:color w:val="000000"/>
                <w:sz w:val="20"/>
                <w:szCs w:val="20"/>
              </w:rPr>
              <w:t>Beginning of the negotiation date:</w:t>
            </w:r>
            <w:r w:rsidRPr="003F7365">
              <w:rPr>
                <w:rFonts w:ascii="Cambria" w:hAnsi="Cambria"/>
                <w:bCs/>
                <w:color w:val="000000"/>
                <w:sz w:val="20"/>
                <w:szCs w:val="20"/>
              </w:rPr>
              <w:t xml:space="preserve"> </w:t>
            </w:r>
            <w:r w:rsidRPr="003F7365">
              <w:rPr>
                <w:rFonts w:ascii="Cambria" w:hAnsi="Cambria"/>
                <w:bCs/>
                <w:sz w:val="20"/>
                <w:szCs w:val="20"/>
              </w:rPr>
              <w:t>January 2, 2004</w:t>
            </w:r>
            <w:r w:rsidRPr="003F7365">
              <w:rPr>
                <w:rFonts w:ascii="Cambria" w:hAnsi="Cambria"/>
                <w:bCs/>
                <w:color w:val="FF0000"/>
                <w:sz w:val="20"/>
                <w:szCs w:val="20"/>
              </w:rPr>
              <w:t xml:space="preserve"> </w:t>
            </w:r>
          </w:p>
          <w:p w14:paraId="628F505F" w14:textId="77777777" w:rsidR="00EE2B3B" w:rsidRPr="003F7365" w:rsidRDefault="00EE2B3B" w:rsidP="00D53017">
            <w:pPr>
              <w:pStyle w:val="NoSpacing"/>
              <w:jc w:val="both"/>
              <w:rPr>
                <w:rFonts w:ascii="Cambria" w:hAnsi="Cambria"/>
                <w:color w:val="000000"/>
                <w:sz w:val="20"/>
                <w:szCs w:val="20"/>
              </w:rPr>
            </w:pPr>
            <w:r w:rsidRPr="003F7365">
              <w:rPr>
                <w:rFonts w:ascii="Cambria" w:hAnsi="Cambria"/>
                <w:b/>
                <w:bCs/>
                <w:color w:val="000000"/>
                <w:sz w:val="20"/>
                <w:szCs w:val="20"/>
              </w:rPr>
              <w:t>FSA signature date:</w:t>
            </w:r>
            <w:r w:rsidRPr="003F7365">
              <w:rPr>
                <w:rFonts w:ascii="Cambria" w:hAnsi="Cambria"/>
                <w:color w:val="000000"/>
                <w:sz w:val="20"/>
                <w:szCs w:val="20"/>
              </w:rPr>
              <w:t xml:space="preserve"> May 28, 2008</w:t>
            </w:r>
          </w:p>
          <w:p w14:paraId="2F0B3291" w14:textId="77777777" w:rsidR="00EE2B3B" w:rsidRPr="003F7365" w:rsidRDefault="00EE2B3B" w:rsidP="00D53017">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 xml:space="preserve">Report on Admissibility No. </w:t>
            </w:r>
            <w:hyperlink r:id="rId9" w:history="1">
              <w:r w:rsidRPr="003F7365">
                <w:rPr>
                  <w:rStyle w:val="Hyperlink"/>
                  <w:rFonts w:ascii="Cambria" w:hAnsi="Cambria"/>
                  <w:b/>
                  <w:color w:val="000000"/>
                  <w:sz w:val="20"/>
                  <w:szCs w:val="20"/>
                </w:rPr>
                <w:t>72/</w:t>
              </w:r>
              <w:bookmarkStart w:id="0" w:name="_Hlt528140627"/>
              <w:bookmarkStart w:id="1" w:name="_Hlt528140628"/>
              <w:bookmarkStart w:id="2" w:name="_Hlt528140648"/>
              <w:bookmarkStart w:id="3" w:name="_Hlt528140649"/>
              <w:r w:rsidRPr="003F7365">
                <w:rPr>
                  <w:rStyle w:val="Hyperlink"/>
                  <w:rFonts w:ascii="Cambria" w:hAnsi="Cambria"/>
                  <w:b/>
                  <w:color w:val="000000"/>
                  <w:sz w:val="20"/>
                  <w:szCs w:val="20"/>
                </w:rPr>
                <w:t>0</w:t>
              </w:r>
              <w:bookmarkEnd w:id="0"/>
              <w:bookmarkEnd w:id="1"/>
              <w:bookmarkEnd w:id="2"/>
              <w:bookmarkEnd w:id="3"/>
              <w:r w:rsidRPr="003F7365">
                <w:rPr>
                  <w:rStyle w:val="Hyperlink"/>
                  <w:rFonts w:ascii="Cambria" w:hAnsi="Cambria"/>
                  <w:b/>
                  <w:color w:val="000000"/>
                  <w:sz w:val="20"/>
                  <w:szCs w:val="20"/>
                </w:rPr>
                <w:t>3</w:t>
              </w:r>
            </w:hyperlink>
            <w:r w:rsidRPr="003F7365">
              <w:rPr>
                <w:rFonts w:ascii="Cambria" w:hAnsi="Cambria"/>
                <w:b/>
                <w:color w:val="000000"/>
                <w:sz w:val="20"/>
                <w:szCs w:val="20"/>
              </w:rPr>
              <w:t>,</w:t>
            </w:r>
            <w:r w:rsidRPr="003F7365">
              <w:rPr>
                <w:rFonts w:ascii="Cambria" w:hAnsi="Cambria"/>
                <w:color w:val="000000"/>
                <w:sz w:val="20"/>
                <w:szCs w:val="20"/>
              </w:rPr>
              <w:t xml:space="preserve"> published on October 22, 2003</w:t>
            </w:r>
          </w:p>
          <w:p w14:paraId="5B9FA749" w14:textId="77777777" w:rsidR="00EE2B3B" w:rsidRPr="003F7365" w:rsidRDefault="00EE2B3B" w:rsidP="00D53017">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 xml:space="preserve">Friendly Settlement Agreement Report No. </w:t>
            </w:r>
            <w:hyperlink r:id="rId10" w:history="1">
              <w:r w:rsidRPr="003F7365">
                <w:rPr>
                  <w:rStyle w:val="Hyperlink"/>
                  <w:rFonts w:ascii="Cambria" w:hAnsi="Cambria"/>
                  <w:b/>
                  <w:color w:val="000000"/>
                  <w:sz w:val="20"/>
                  <w:szCs w:val="20"/>
                </w:rPr>
                <w:t>79</w:t>
              </w:r>
              <w:bookmarkStart w:id="4" w:name="_Hlt528140631"/>
              <w:bookmarkStart w:id="5" w:name="_Hlt528140632"/>
              <w:r w:rsidRPr="003F7365">
                <w:rPr>
                  <w:rStyle w:val="Hyperlink"/>
                  <w:rFonts w:ascii="Cambria" w:hAnsi="Cambria"/>
                  <w:b/>
                  <w:color w:val="000000"/>
                  <w:sz w:val="20"/>
                  <w:szCs w:val="20"/>
                </w:rPr>
                <w:t>/</w:t>
              </w:r>
              <w:bookmarkEnd w:id="4"/>
              <w:bookmarkEnd w:id="5"/>
              <w:r w:rsidRPr="003F7365">
                <w:rPr>
                  <w:rStyle w:val="Hyperlink"/>
                  <w:rFonts w:ascii="Cambria" w:hAnsi="Cambria"/>
                  <w:b/>
                  <w:color w:val="000000"/>
                  <w:sz w:val="20"/>
                  <w:szCs w:val="20"/>
                </w:rPr>
                <w:t>09</w:t>
              </w:r>
            </w:hyperlink>
            <w:r w:rsidRPr="003F7365">
              <w:rPr>
                <w:rFonts w:ascii="Cambria" w:hAnsi="Cambria"/>
                <w:b/>
                <w:color w:val="000000"/>
                <w:sz w:val="20"/>
                <w:szCs w:val="20"/>
              </w:rPr>
              <w:t>,</w:t>
            </w:r>
            <w:r w:rsidRPr="003F7365">
              <w:rPr>
                <w:rFonts w:ascii="Cambria" w:hAnsi="Cambria"/>
                <w:color w:val="000000"/>
                <w:sz w:val="20"/>
                <w:szCs w:val="20"/>
              </w:rPr>
              <w:t xml:space="preserve"> published on August 6, 2009</w:t>
            </w:r>
          </w:p>
          <w:p w14:paraId="16E187B8" w14:textId="77777777" w:rsidR="00EE2B3B" w:rsidRPr="003F7365" w:rsidRDefault="00EE2B3B" w:rsidP="00D53017">
            <w:pPr>
              <w:pStyle w:val="NoSpacing"/>
              <w:tabs>
                <w:tab w:val="left" w:pos="9270"/>
              </w:tabs>
              <w:jc w:val="both"/>
              <w:rPr>
                <w:rFonts w:ascii="Cambria" w:hAnsi="Cambria"/>
                <w:bCs/>
                <w:color w:val="FF0000"/>
                <w:sz w:val="20"/>
                <w:szCs w:val="20"/>
              </w:rPr>
            </w:pPr>
            <w:r w:rsidRPr="003F7365">
              <w:rPr>
                <w:rFonts w:ascii="Cambria" w:hAnsi="Cambria"/>
                <w:b/>
                <w:bCs/>
                <w:color w:val="000000"/>
                <w:sz w:val="20"/>
                <w:szCs w:val="20"/>
              </w:rPr>
              <w:t>Estimated length of the negotiation phase:</w:t>
            </w:r>
            <w:r w:rsidRPr="003F7365">
              <w:rPr>
                <w:rFonts w:ascii="Cambria" w:hAnsi="Cambria"/>
                <w:bCs/>
                <w:color w:val="000000"/>
                <w:sz w:val="20"/>
                <w:szCs w:val="20"/>
              </w:rPr>
              <w:t xml:space="preserve"> </w:t>
            </w:r>
            <w:r w:rsidRPr="003F7365">
              <w:rPr>
                <w:rFonts w:ascii="Cambria" w:hAnsi="Cambria"/>
                <w:bCs/>
                <w:sz w:val="20"/>
                <w:szCs w:val="20"/>
              </w:rPr>
              <w:t>5 years</w:t>
            </w:r>
          </w:p>
          <w:p w14:paraId="65205C68" w14:textId="77777777" w:rsidR="00EE2B3B" w:rsidRPr="003F7365" w:rsidRDefault="00EE2B3B" w:rsidP="00D53017">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Related Rapporteurship:</w:t>
            </w:r>
            <w:r w:rsidRPr="003F7365">
              <w:rPr>
                <w:rFonts w:ascii="Cambria" w:hAnsi="Cambria"/>
                <w:color w:val="000000"/>
                <w:sz w:val="20"/>
                <w:szCs w:val="20"/>
              </w:rPr>
              <w:t xml:space="preserve"> Children and adolescents</w:t>
            </w:r>
          </w:p>
          <w:p w14:paraId="2585F553" w14:textId="77777777" w:rsidR="00EE2B3B" w:rsidRPr="003F7365" w:rsidRDefault="00EE2B3B" w:rsidP="00D53017">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Topics:</w:t>
            </w:r>
            <w:r w:rsidRPr="003F7365">
              <w:rPr>
                <w:rFonts w:ascii="Cambria" w:hAnsi="Cambria"/>
                <w:color w:val="000000"/>
                <w:sz w:val="20"/>
                <w:szCs w:val="20"/>
              </w:rPr>
              <w:t xml:space="preserve"> Excessive use of force/investigation/ police violence</w:t>
            </w:r>
          </w:p>
          <w:p w14:paraId="1F212814" w14:textId="77777777" w:rsidR="00EE2B3B" w:rsidRPr="003F7365" w:rsidRDefault="00EE2B3B" w:rsidP="00D53017">
            <w:pPr>
              <w:pStyle w:val="NoSpacing"/>
              <w:tabs>
                <w:tab w:val="left" w:pos="9270"/>
              </w:tabs>
              <w:jc w:val="both"/>
              <w:rPr>
                <w:rFonts w:ascii="Cambria" w:hAnsi="Cambria"/>
                <w:color w:val="000000"/>
                <w:sz w:val="20"/>
                <w:szCs w:val="20"/>
              </w:rPr>
            </w:pPr>
          </w:p>
          <w:p w14:paraId="560B4036" w14:textId="77777777" w:rsidR="00EE2B3B" w:rsidRPr="003F7365" w:rsidRDefault="00EE2B3B" w:rsidP="00D53017">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Facts:</w:t>
            </w:r>
            <w:r w:rsidRPr="003F7365">
              <w:rPr>
                <w:rFonts w:ascii="Cambria" w:hAnsi="Cambria"/>
                <w:color w:val="000000"/>
                <w:sz w:val="20"/>
                <w:szCs w:val="20"/>
              </w:rPr>
              <w:t xml:space="preserve"> The petitioners asserted that the State was responsible for the death of Gabriel E. Santillán, which happened on December 8, 1991, when he was 15 years old. The victim died from a bullet wound he sustained on December 3, 1991, when members of the Buenos Aires Provincial Police were in pursuit of unidentified persons accused of stealing a vehicle.  The complaint also alleges that judicial protection and guarantees were denied by virtue of the lack of due diligence in the investigation into the facts and failure to punish those responsible for the death of Gabriel E. Santillán.</w:t>
            </w:r>
          </w:p>
          <w:p w14:paraId="08AB3342" w14:textId="77777777" w:rsidR="00EE2B3B" w:rsidRPr="003F7365" w:rsidRDefault="00EE2B3B" w:rsidP="00D53017">
            <w:pPr>
              <w:pStyle w:val="NoSpacing"/>
              <w:tabs>
                <w:tab w:val="left" w:pos="9270"/>
              </w:tabs>
              <w:jc w:val="both"/>
              <w:rPr>
                <w:rFonts w:ascii="Cambria" w:hAnsi="Cambria"/>
                <w:color w:val="000000"/>
                <w:sz w:val="20"/>
                <w:szCs w:val="20"/>
              </w:rPr>
            </w:pPr>
          </w:p>
          <w:p w14:paraId="2ADA2413" w14:textId="77777777" w:rsidR="00EE2B3B" w:rsidRPr="003F7365" w:rsidRDefault="00EE2B3B" w:rsidP="00D53017">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Rights declared admissible:</w:t>
            </w:r>
            <w:r w:rsidRPr="003F7365">
              <w:rPr>
                <w:rFonts w:ascii="Cambria" w:hAnsi="Cambria"/>
                <w:color w:val="000000"/>
                <w:sz w:val="20"/>
                <w:szCs w:val="20"/>
              </w:rPr>
              <w:t xml:space="preserve"> The Commission concluded that it was competent to take cognizance of the instant matter and that the petition was admissible, pursuant to Articles 46 and 47 of the American Convention insofar as the alleged violations of the rights of Gabriel Egisto Santillán under Articles 1(1), 4 (right to life), 5 (humane treatment), 8 (due process) and 25 (judicial protection) of the American Convention on Human Right are concerned. </w:t>
            </w:r>
          </w:p>
        </w:tc>
      </w:tr>
    </w:tbl>
    <w:p w14:paraId="4EBF1FC0" w14:textId="77777777" w:rsidR="00EE2B3B" w:rsidRPr="003F7365" w:rsidRDefault="00EE2B3B" w:rsidP="00EE2B3B">
      <w:pPr>
        <w:pStyle w:val="ListParagraph"/>
        <w:rPr>
          <w:rFonts w:ascii="Cambria" w:hAnsi="Cambria" w:cs="Calibri Light"/>
          <w:b/>
          <w:color w:val="000000"/>
          <w:sz w:val="20"/>
          <w:szCs w:val="20"/>
        </w:rPr>
      </w:pPr>
    </w:p>
    <w:p w14:paraId="1531F314" w14:textId="77777777" w:rsidR="00EE2B3B" w:rsidRPr="003F7365" w:rsidRDefault="00EE2B3B" w:rsidP="00F84B42">
      <w:pPr>
        <w:pStyle w:val="ListParagraph"/>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PROCEDURAL ACTIVITY</w:t>
      </w:r>
    </w:p>
    <w:p w14:paraId="3846F014" w14:textId="77777777" w:rsidR="00EE2B3B" w:rsidRPr="003F7365" w:rsidRDefault="00EE2B3B" w:rsidP="00F84B42">
      <w:pPr>
        <w:pStyle w:val="ListParagraph"/>
        <w:ind w:left="0" w:firstLine="720"/>
        <w:rPr>
          <w:rFonts w:ascii="Cambria" w:hAnsi="Cambria" w:cs="Calibri Light"/>
          <w:b/>
          <w:color w:val="000000"/>
          <w:sz w:val="20"/>
          <w:szCs w:val="20"/>
        </w:rPr>
      </w:pPr>
    </w:p>
    <w:p w14:paraId="163579AD" w14:textId="641E6F3D" w:rsidR="00EE2B3B" w:rsidRDefault="00EE2B3B" w:rsidP="00F84B42">
      <w:pPr>
        <w:numPr>
          <w:ilvl w:val="0"/>
          <w:numId w:val="2"/>
        </w:numPr>
        <w:ind w:left="0" w:firstLine="720"/>
        <w:jc w:val="both"/>
        <w:rPr>
          <w:rFonts w:ascii="Cambria" w:hAnsi="Cambria"/>
          <w:color w:val="000000"/>
          <w:sz w:val="20"/>
          <w:szCs w:val="20"/>
        </w:rPr>
      </w:pPr>
      <w:r>
        <w:rPr>
          <w:rFonts w:ascii="Cambria" w:hAnsi="Cambria"/>
          <w:color w:val="000000"/>
          <w:sz w:val="20"/>
          <w:szCs w:val="20"/>
        </w:rPr>
        <w:t xml:space="preserve">On May 28, 2008, </w:t>
      </w:r>
      <w:r w:rsidRPr="00EE2B3B">
        <w:rPr>
          <w:rFonts w:ascii="Cambria" w:hAnsi="Cambria"/>
          <w:color w:val="000000"/>
          <w:sz w:val="20"/>
          <w:szCs w:val="20"/>
        </w:rPr>
        <w:t>the parties signed a friendly settlement agreement.</w:t>
      </w:r>
    </w:p>
    <w:p w14:paraId="7E9E5C89" w14:textId="77777777" w:rsidR="00EE2B3B" w:rsidRPr="00EE2B3B" w:rsidRDefault="00EE2B3B" w:rsidP="00F84B42">
      <w:pPr>
        <w:ind w:firstLine="720"/>
        <w:jc w:val="both"/>
        <w:rPr>
          <w:rFonts w:ascii="Cambria" w:hAnsi="Cambria"/>
          <w:color w:val="000000"/>
          <w:sz w:val="20"/>
          <w:szCs w:val="20"/>
        </w:rPr>
      </w:pPr>
    </w:p>
    <w:p w14:paraId="1474F062" w14:textId="37398B0C" w:rsidR="00EE2B3B" w:rsidRPr="003F7365" w:rsidRDefault="00EE2B3B" w:rsidP="00F84B42">
      <w:pPr>
        <w:numPr>
          <w:ilvl w:val="0"/>
          <w:numId w:val="2"/>
        </w:numPr>
        <w:ind w:left="0" w:firstLine="720"/>
        <w:jc w:val="both"/>
        <w:rPr>
          <w:rFonts w:ascii="Cambria" w:hAnsi="Cambria" w:cs="Calibri Light"/>
          <w:color w:val="000000"/>
          <w:sz w:val="20"/>
          <w:szCs w:val="20"/>
        </w:rPr>
      </w:pPr>
      <w:r w:rsidRPr="00EE2B3B">
        <w:rPr>
          <w:rFonts w:ascii="Cambria" w:hAnsi="Cambria"/>
          <w:color w:val="000000"/>
          <w:sz w:val="20"/>
          <w:szCs w:val="20"/>
        </w:rPr>
        <w:t xml:space="preserve">On </w:t>
      </w:r>
      <w:r>
        <w:rPr>
          <w:rFonts w:ascii="Cambria" w:hAnsi="Cambria"/>
          <w:color w:val="000000"/>
          <w:sz w:val="20"/>
          <w:szCs w:val="20"/>
        </w:rPr>
        <w:t>August 6, 2009</w:t>
      </w:r>
      <w:r w:rsidRPr="00EE2B3B">
        <w:rPr>
          <w:rFonts w:ascii="Cambria" w:hAnsi="Cambria"/>
          <w:color w:val="000000"/>
          <w:sz w:val="20"/>
          <w:szCs w:val="20"/>
        </w:rPr>
        <w:t>, the Commission approved the agreement signed by the parties, by means of Report No.</w:t>
      </w:r>
      <w:r>
        <w:rPr>
          <w:rFonts w:ascii="Cambria" w:hAnsi="Cambria"/>
          <w:color w:val="000000"/>
          <w:sz w:val="20"/>
          <w:szCs w:val="20"/>
        </w:rPr>
        <w:t xml:space="preserve"> 79/09</w:t>
      </w:r>
      <w:r w:rsidRPr="003F7365">
        <w:rPr>
          <w:rFonts w:ascii="Cambria" w:hAnsi="Cambria" w:cs="Calibri Light"/>
          <w:color w:val="000000"/>
          <w:sz w:val="20"/>
          <w:szCs w:val="20"/>
        </w:rPr>
        <w:t>.</w:t>
      </w:r>
    </w:p>
    <w:p w14:paraId="516953C5" w14:textId="77777777" w:rsidR="00EE2B3B" w:rsidRDefault="00EE2B3B" w:rsidP="00EE2B3B">
      <w:pPr>
        <w:ind w:left="720"/>
        <w:rPr>
          <w:rFonts w:ascii="Cambria" w:hAnsi="Cambria" w:cs="Calibri Light"/>
          <w:color w:val="000000"/>
          <w:sz w:val="20"/>
          <w:szCs w:val="20"/>
        </w:rPr>
      </w:pPr>
    </w:p>
    <w:p w14:paraId="7F0C49A7" w14:textId="77777777" w:rsidR="0084287A" w:rsidRDefault="0084287A" w:rsidP="00EE2B3B">
      <w:pPr>
        <w:ind w:left="720"/>
        <w:rPr>
          <w:rFonts w:ascii="Cambria" w:hAnsi="Cambria" w:cs="Calibri Light"/>
          <w:color w:val="000000"/>
          <w:sz w:val="20"/>
          <w:szCs w:val="20"/>
        </w:rPr>
      </w:pPr>
    </w:p>
    <w:p w14:paraId="1FC90BE9" w14:textId="77777777" w:rsidR="0084287A" w:rsidRDefault="0084287A" w:rsidP="00EE2B3B">
      <w:pPr>
        <w:ind w:left="720"/>
        <w:rPr>
          <w:rFonts w:ascii="Cambria" w:hAnsi="Cambria" w:cs="Calibri Light"/>
          <w:color w:val="000000"/>
          <w:sz w:val="20"/>
          <w:szCs w:val="20"/>
        </w:rPr>
      </w:pPr>
    </w:p>
    <w:p w14:paraId="23E17EE7" w14:textId="77777777" w:rsidR="0084287A" w:rsidRDefault="0084287A" w:rsidP="00EE2B3B">
      <w:pPr>
        <w:ind w:left="720"/>
        <w:rPr>
          <w:rFonts w:ascii="Cambria" w:hAnsi="Cambria" w:cs="Calibri Light"/>
          <w:color w:val="000000"/>
          <w:sz w:val="20"/>
          <w:szCs w:val="20"/>
        </w:rPr>
      </w:pPr>
    </w:p>
    <w:p w14:paraId="2A27C692" w14:textId="77777777" w:rsidR="0084287A" w:rsidRDefault="0084287A" w:rsidP="00EE2B3B">
      <w:pPr>
        <w:ind w:left="720"/>
        <w:rPr>
          <w:rFonts w:ascii="Cambria" w:hAnsi="Cambria" w:cs="Calibri Light"/>
          <w:color w:val="000000"/>
          <w:sz w:val="20"/>
          <w:szCs w:val="20"/>
        </w:rPr>
      </w:pPr>
    </w:p>
    <w:p w14:paraId="4CFEE65C" w14:textId="77777777" w:rsidR="0084287A" w:rsidRDefault="0084287A" w:rsidP="00EE2B3B">
      <w:pPr>
        <w:ind w:left="720"/>
        <w:rPr>
          <w:rFonts w:ascii="Cambria" w:hAnsi="Cambria" w:cs="Calibri Light"/>
          <w:color w:val="000000"/>
          <w:sz w:val="20"/>
          <w:szCs w:val="20"/>
        </w:rPr>
      </w:pPr>
    </w:p>
    <w:p w14:paraId="28258F26" w14:textId="77777777" w:rsidR="0084287A" w:rsidRDefault="0084287A" w:rsidP="00EE2B3B">
      <w:pPr>
        <w:ind w:left="720"/>
        <w:rPr>
          <w:rFonts w:ascii="Cambria" w:hAnsi="Cambria" w:cs="Calibri Light"/>
          <w:color w:val="000000"/>
          <w:sz w:val="20"/>
          <w:szCs w:val="20"/>
        </w:rPr>
      </w:pPr>
    </w:p>
    <w:p w14:paraId="1FBA3277" w14:textId="77777777" w:rsidR="0084287A" w:rsidRDefault="0084287A" w:rsidP="00EE2B3B">
      <w:pPr>
        <w:ind w:left="720"/>
        <w:rPr>
          <w:rFonts w:ascii="Cambria" w:hAnsi="Cambria" w:cs="Calibri Light"/>
          <w:color w:val="000000"/>
          <w:sz w:val="20"/>
          <w:szCs w:val="20"/>
        </w:rPr>
      </w:pPr>
    </w:p>
    <w:p w14:paraId="2D1D0952" w14:textId="77777777" w:rsidR="0084287A" w:rsidRDefault="0084287A" w:rsidP="00EE2B3B">
      <w:pPr>
        <w:ind w:left="720"/>
        <w:rPr>
          <w:rFonts w:ascii="Cambria" w:hAnsi="Cambria" w:cs="Calibri Light"/>
          <w:color w:val="000000"/>
          <w:sz w:val="20"/>
          <w:szCs w:val="20"/>
        </w:rPr>
      </w:pPr>
    </w:p>
    <w:p w14:paraId="409EFD86" w14:textId="77777777" w:rsidR="0084287A" w:rsidRDefault="0084287A" w:rsidP="00EE2B3B">
      <w:pPr>
        <w:ind w:left="720"/>
        <w:rPr>
          <w:rFonts w:ascii="Cambria" w:hAnsi="Cambria" w:cs="Calibri Light"/>
          <w:color w:val="000000"/>
          <w:sz w:val="20"/>
          <w:szCs w:val="20"/>
        </w:rPr>
      </w:pPr>
    </w:p>
    <w:p w14:paraId="38C6E979" w14:textId="77777777" w:rsidR="0084287A" w:rsidRPr="003F7365" w:rsidRDefault="0084287A" w:rsidP="00EE2B3B">
      <w:pPr>
        <w:ind w:left="720"/>
        <w:rPr>
          <w:rFonts w:ascii="Cambria" w:hAnsi="Cambria" w:cs="Calibri Light"/>
          <w:color w:val="000000"/>
          <w:sz w:val="20"/>
          <w:szCs w:val="20"/>
        </w:rPr>
      </w:pPr>
    </w:p>
    <w:p w14:paraId="50BF87C1"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bCs/>
          <w:color w:val="000000"/>
          <w:sz w:val="20"/>
          <w:szCs w:val="20"/>
        </w:rPr>
        <w:lastRenderedPageBreak/>
        <w:t xml:space="preserve">ANALYSIS OF COMPLIANCE WITH THE CLAUSES OF THE FRIENDLY SETTLEMENT AGREEMENT </w:t>
      </w:r>
    </w:p>
    <w:p w14:paraId="5EC7D320" w14:textId="77777777" w:rsidR="00EE2B3B" w:rsidRPr="003F7365" w:rsidRDefault="00EE2B3B" w:rsidP="00EE2B3B">
      <w:pPr>
        <w:pStyle w:val="ListParagraph"/>
        <w:jc w:val="both"/>
        <w:rPr>
          <w:rFonts w:ascii="Cambria" w:hAnsi="Cambria" w:cs="Calibri Light"/>
          <w:b/>
          <w:color w:val="000000"/>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2543"/>
      </w:tblGrid>
      <w:tr w:rsidR="00EE2B3B" w:rsidRPr="003F7365" w14:paraId="1F4077AE" w14:textId="77777777" w:rsidTr="0084287A">
        <w:tc>
          <w:tcPr>
            <w:tcW w:w="7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FB4E90" w14:textId="77777777" w:rsidR="00EE2B3B" w:rsidRPr="003F7365" w:rsidRDefault="00EE2B3B" w:rsidP="00D53017">
            <w:pPr>
              <w:tabs>
                <w:tab w:val="center" w:pos="2049"/>
              </w:tabs>
              <w:jc w:val="center"/>
              <w:rPr>
                <w:rFonts w:ascii="Cambria" w:hAnsi="Cambria"/>
                <w:b/>
                <w:color w:val="000000"/>
                <w:sz w:val="20"/>
                <w:szCs w:val="20"/>
              </w:rPr>
            </w:pPr>
            <w:r w:rsidRPr="003F7365">
              <w:rPr>
                <w:rFonts w:ascii="Cambria" w:hAnsi="Cambria"/>
                <w:b/>
                <w:color w:val="000000"/>
                <w:sz w:val="20"/>
                <w:szCs w:val="20"/>
              </w:rPr>
              <w:t>Agreement clauses</w:t>
            </w:r>
          </w:p>
        </w:tc>
        <w:tc>
          <w:tcPr>
            <w:tcW w:w="25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4063F" w14:textId="7B3FB75A" w:rsidR="00EE2B3B" w:rsidRPr="003F7365" w:rsidRDefault="00EE2B3B" w:rsidP="00D53017">
            <w:pPr>
              <w:jc w:val="center"/>
              <w:rPr>
                <w:rFonts w:ascii="Cambria" w:hAnsi="Cambria"/>
                <w:b/>
                <w:color w:val="000000"/>
                <w:sz w:val="20"/>
                <w:szCs w:val="20"/>
              </w:rPr>
            </w:pPr>
            <w:r w:rsidRPr="003F7365">
              <w:rPr>
                <w:rFonts w:ascii="Cambria" w:hAnsi="Cambria"/>
                <w:b/>
                <w:color w:val="000000"/>
                <w:sz w:val="20"/>
                <w:szCs w:val="20"/>
              </w:rPr>
              <w:t>Status of compliance</w:t>
            </w:r>
          </w:p>
        </w:tc>
      </w:tr>
      <w:tr w:rsidR="00EE2B3B" w:rsidRPr="003F7365" w14:paraId="5BE28465" w14:textId="77777777" w:rsidTr="0084287A">
        <w:tc>
          <w:tcPr>
            <w:tcW w:w="7357" w:type="dxa"/>
            <w:tcBorders>
              <w:top w:val="single" w:sz="4" w:space="0" w:color="auto"/>
              <w:left w:val="single" w:sz="4" w:space="0" w:color="auto"/>
              <w:bottom w:val="single" w:sz="4" w:space="0" w:color="auto"/>
              <w:right w:val="single" w:sz="4" w:space="0" w:color="auto"/>
            </w:tcBorders>
            <w:vAlign w:val="center"/>
            <w:hideMark/>
          </w:tcPr>
          <w:p w14:paraId="073C0B0E" w14:textId="77777777" w:rsidR="00EE2B3B" w:rsidRPr="003F7365" w:rsidRDefault="00EE2B3B" w:rsidP="00D53017">
            <w:pPr>
              <w:jc w:val="both"/>
              <w:rPr>
                <w:rFonts w:ascii="Cambria" w:hAnsi="Cambria"/>
                <w:color w:val="000000"/>
                <w:sz w:val="20"/>
                <w:szCs w:val="20"/>
              </w:rPr>
            </w:pPr>
            <w:r w:rsidRPr="003F7365">
              <w:rPr>
                <w:rFonts w:ascii="Cambria" w:hAnsi="Cambria"/>
                <w:color w:val="000000"/>
                <w:sz w:val="20"/>
                <w:szCs w:val="20"/>
              </w:rPr>
              <w:t xml:space="preserve">II. </w:t>
            </w:r>
            <w:r w:rsidRPr="003F7365">
              <w:rPr>
                <w:rFonts w:ascii="Cambria" w:hAnsi="Cambria"/>
                <w:bCs/>
                <w:color w:val="000000"/>
                <w:sz w:val="20"/>
                <w:szCs w:val="20"/>
              </w:rPr>
              <w:t>Primary Responsibility of the Province of Buenos Aires. Attendant International Responsibility of the Argentine State.</w:t>
            </w:r>
          </w:p>
        </w:tc>
        <w:tc>
          <w:tcPr>
            <w:tcW w:w="2543" w:type="dxa"/>
            <w:tcBorders>
              <w:top w:val="single" w:sz="4" w:space="0" w:color="auto"/>
              <w:left w:val="single" w:sz="4" w:space="0" w:color="auto"/>
              <w:bottom w:val="single" w:sz="4" w:space="0" w:color="auto"/>
              <w:right w:val="single" w:sz="4" w:space="0" w:color="auto"/>
            </w:tcBorders>
            <w:vAlign w:val="center"/>
            <w:hideMark/>
          </w:tcPr>
          <w:p w14:paraId="2580DE72" w14:textId="77777777" w:rsidR="00EE2B3B" w:rsidRPr="003F7365" w:rsidRDefault="00EE2B3B" w:rsidP="00D53017">
            <w:pPr>
              <w:jc w:val="center"/>
              <w:rPr>
                <w:rFonts w:ascii="Cambria" w:hAnsi="Cambria"/>
                <w:b/>
                <w:color w:val="000000"/>
                <w:sz w:val="20"/>
                <w:szCs w:val="20"/>
              </w:rPr>
            </w:pPr>
            <w:r w:rsidRPr="003F7365">
              <w:rPr>
                <w:rFonts w:ascii="Cambria" w:hAnsi="Cambria"/>
                <w:b/>
                <w:color w:val="000000"/>
                <w:sz w:val="20"/>
                <w:szCs w:val="20"/>
              </w:rPr>
              <w:t>Declarative clause</w:t>
            </w:r>
          </w:p>
        </w:tc>
      </w:tr>
      <w:tr w:rsidR="00EE2B3B" w:rsidRPr="003F7365" w14:paraId="7788A882" w14:textId="77777777" w:rsidTr="00D53017">
        <w:trPr>
          <w:trHeight w:val="242"/>
        </w:trPr>
        <w:tc>
          <w:tcPr>
            <w:tcW w:w="9900" w:type="dxa"/>
            <w:gridSpan w:val="2"/>
            <w:tcBorders>
              <w:top w:val="single" w:sz="4" w:space="0" w:color="auto"/>
              <w:left w:val="single" w:sz="4" w:space="0" w:color="auto"/>
              <w:bottom w:val="single" w:sz="4" w:space="0" w:color="auto"/>
              <w:right w:val="single" w:sz="4" w:space="0" w:color="auto"/>
            </w:tcBorders>
            <w:vAlign w:val="center"/>
            <w:hideMark/>
          </w:tcPr>
          <w:p w14:paraId="1BFDED63" w14:textId="77777777" w:rsidR="00EE2B3B" w:rsidRPr="003F7365" w:rsidRDefault="00EE2B3B" w:rsidP="00D53017">
            <w:pPr>
              <w:rPr>
                <w:rFonts w:ascii="Cambria" w:hAnsi="Cambria"/>
                <w:b/>
                <w:color w:val="000000"/>
                <w:sz w:val="20"/>
                <w:szCs w:val="20"/>
              </w:rPr>
            </w:pPr>
            <w:r w:rsidRPr="003F7365">
              <w:rPr>
                <w:rFonts w:ascii="Cambria" w:hAnsi="Cambria"/>
                <w:bCs/>
                <w:color w:val="000000"/>
                <w:sz w:val="20"/>
                <w:szCs w:val="20"/>
              </w:rPr>
              <w:t>III. Measures to be Adopted</w:t>
            </w:r>
          </w:p>
        </w:tc>
      </w:tr>
      <w:tr w:rsidR="00EE2B3B" w:rsidRPr="003F7365" w14:paraId="250BF01B" w14:textId="77777777" w:rsidTr="0084287A">
        <w:tc>
          <w:tcPr>
            <w:tcW w:w="7357" w:type="dxa"/>
            <w:tcBorders>
              <w:top w:val="single" w:sz="4" w:space="0" w:color="auto"/>
              <w:left w:val="single" w:sz="4" w:space="0" w:color="auto"/>
              <w:bottom w:val="single" w:sz="4" w:space="0" w:color="auto"/>
              <w:right w:val="single" w:sz="4" w:space="0" w:color="auto"/>
            </w:tcBorders>
            <w:hideMark/>
          </w:tcPr>
          <w:p w14:paraId="50B5703F" w14:textId="77777777" w:rsidR="00EE2B3B" w:rsidRPr="003F7365" w:rsidRDefault="00EE2B3B" w:rsidP="00D53017">
            <w:pPr>
              <w:jc w:val="both"/>
              <w:rPr>
                <w:rFonts w:ascii="Cambria" w:hAnsi="Cambria"/>
                <w:color w:val="000000"/>
                <w:sz w:val="20"/>
                <w:szCs w:val="20"/>
              </w:rPr>
            </w:pPr>
            <w:r w:rsidRPr="003F7365">
              <w:rPr>
                <w:rFonts w:ascii="Cambria" w:hAnsi="Cambria"/>
                <w:color w:val="000000"/>
                <w:sz w:val="20"/>
                <w:szCs w:val="20"/>
              </w:rPr>
              <w:t>A. Monetary Reparation Measures</w:t>
            </w:r>
          </w:p>
        </w:tc>
        <w:tc>
          <w:tcPr>
            <w:tcW w:w="2543" w:type="dxa"/>
            <w:tcBorders>
              <w:top w:val="single" w:sz="4" w:space="0" w:color="auto"/>
              <w:left w:val="single" w:sz="4" w:space="0" w:color="auto"/>
              <w:bottom w:val="single" w:sz="4" w:space="0" w:color="auto"/>
              <w:right w:val="single" w:sz="4" w:space="0" w:color="auto"/>
            </w:tcBorders>
            <w:vAlign w:val="center"/>
            <w:hideMark/>
          </w:tcPr>
          <w:p w14:paraId="5BA005D0" w14:textId="77777777" w:rsidR="00EE2B3B" w:rsidRPr="003F7365" w:rsidRDefault="00EE2B3B" w:rsidP="00D53017">
            <w:pPr>
              <w:jc w:val="center"/>
              <w:rPr>
                <w:rFonts w:ascii="Cambria" w:hAnsi="Cambria"/>
                <w:b/>
                <w:color w:val="000000"/>
                <w:sz w:val="20"/>
                <w:szCs w:val="20"/>
              </w:rPr>
            </w:pPr>
            <w:r w:rsidRPr="003F7365">
              <w:rPr>
                <w:rFonts w:ascii="Cambria" w:hAnsi="Cambria"/>
                <w:b/>
                <w:color w:val="000000"/>
                <w:sz w:val="20"/>
                <w:szCs w:val="20"/>
              </w:rPr>
              <w:t>Total</w:t>
            </w:r>
            <w:r w:rsidRPr="003F7365">
              <w:rPr>
                <w:rStyle w:val="FootnoteReference"/>
                <w:rFonts w:ascii="Cambria" w:hAnsi="Cambria"/>
                <w:b/>
                <w:color w:val="000000"/>
                <w:sz w:val="20"/>
                <w:szCs w:val="20"/>
              </w:rPr>
              <w:footnoteReference w:id="1"/>
            </w:r>
          </w:p>
        </w:tc>
      </w:tr>
      <w:tr w:rsidR="00EE2B3B" w:rsidRPr="003F7365" w14:paraId="639ACF3E" w14:textId="77777777" w:rsidTr="00D53017">
        <w:tc>
          <w:tcPr>
            <w:tcW w:w="9900" w:type="dxa"/>
            <w:gridSpan w:val="2"/>
            <w:tcBorders>
              <w:top w:val="single" w:sz="4" w:space="0" w:color="auto"/>
              <w:left w:val="single" w:sz="4" w:space="0" w:color="auto"/>
              <w:bottom w:val="single" w:sz="4" w:space="0" w:color="auto"/>
              <w:right w:val="single" w:sz="4" w:space="0" w:color="auto"/>
            </w:tcBorders>
            <w:vAlign w:val="center"/>
            <w:hideMark/>
          </w:tcPr>
          <w:p w14:paraId="5606F2BB" w14:textId="77777777" w:rsidR="00EE2B3B" w:rsidRPr="003F7365" w:rsidRDefault="00EE2B3B" w:rsidP="00D53017">
            <w:pPr>
              <w:jc w:val="both"/>
              <w:rPr>
                <w:rFonts w:ascii="Cambria" w:hAnsi="Cambria"/>
                <w:b/>
                <w:color w:val="000000"/>
                <w:sz w:val="20"/>
                <w:szCs w:val="20"/>
              </w:rPr>
            </w:pPr>
            <w:r w:rsidRPr="003F7365">
              <w:rPr>
                <w:rFonts w:ascii="Cambria" w:hAnsi="Cambria"/>
                <w:color w:val="000000"/>
                <w:sz w:val="20"/>
                <w:szCs w:val="20"/>
              </w:rPr>
              <w:t>B. Non-Monetary Reparation Measures</w:t>
            </w:r>
          </w:p>
        </w:tc>
      </w:tr>
      <w:tr w:rsidR="00EE2B3B" w:rsidRPr="003F7365" w14:paraId="3CCABB45" w14:textId="77777777" w:rsidTr="0084287A">
        <w:trPr>
          <w:trHeight w:val="1475"/>
        </w:trPr>
        <w:tc>
          <w:tcPr>
            <w:tcW w:w="7357" w:type="dxa"/>
            <w:tcBorders>
              <w:top w:val="single" w:sz="4" w:space="0" w:color="auto"/>
              <w:left w:val="single" w:sz="4" w:space="0" w:color="auto"/>
              <w:bottom w:val="single" w:sz="4" w:space="0" w:color="auto"/>
              <w:right w:val="single" w:sz="4" w:space="0" w:color="auto"/>
            </w:tcBorders>
            <w:hideMark/>
          </w:tcPr>
          <w:p w14:paraId="450D5929" w14:textId="77777777" w:rsidR="00EE2B3B" w:rsidRPr="003F7365" w:rsidRDefault="00EE2B3B" w:rsidP="00D53017">
            <w:pPr>
              <w:jc w:val="both"/>
              <w:rPr>
                <w:rFonts w:ascii="Cambria" w:hAnsi="Cambria"/>
                <w:color w:val="000000"/>
                <w:sz w:val="20"/>
                <w:szCs w:val="20"/>
              </w:rPr>
            </w:pPr>
            <w:r w:rsidRPr="003F7365">
              <w:rPr>
                <w:rFonts w:ascii="Cambria" w:hAnsi="Cambria"/>
                <w:color w:val="000000"/>
                <w:sz w:val="20"/>
                <w:szCs w:val="20"/>
              </w:rPr>
              <w:t>1. The Government of the Argentine Republic pledges to publish this agreement— once it has been officially approved by the Inter-American Commission on Human Rights, in accordance with the provisions of Article 49 of the American Convention on Human Rights—by means of a notice in the “Official Gazette of the Argentine Republic” and in a nationally distributed newspaper. The text of the notice shall be agreed in advance with the victim’s relatives.</w:t>
            </w:r>
          </w:p>
        </w:tc>
        <w:tc>
          <w:tcPr>
            <w:tcW w:w="2543" w:type="dxa"/>
            <w:tcBorders>
              <w:top w:val="single" w:sz="4" w:space="0" w:color="auto"/>
              <w:left w:val="single" w:sz="4" w:space="0" w:color="auto"/>
              <w:bottom w:val="single" w:sz="4" w:space="0" w:color="auto"/>
              <w:right w:val="single" w:sz="4" w:space="0" w:color="auto"/>
            </w:tcBorders>
            <w:vAlign w:val="center"/>
            <w:hideMark/>
          </w:tcPr>
          <w:p w14:paraId="2C22595B" w14:textId="77777777" w:rsidR="00EE2B3B" w:rsidRPr="003F7365" w:rsidRDefault="00EE2B3B" w:rsidP="00D53017">
            <w:pPr>
              <w:jc w:val="center"/>
              <w:rPr>
                <w:rFonts w:ascii="Cambria" w:hAnsi="Cambria"/>
                <w:b/>
                <w:color w:val="000000"/>
                <w:sz w:val="20"/>
                <w:szCs w:val="20"/>
              </w:rPr>
            </w:pPr>
            <w:r w:rsidRPr="003F7365">
              <w:rPr>
                <w:rFonts w:ascii="Cambria" w:hAnsi="Cambria"/>
                <w:b/>
                <w:color w:val="000000"/>
                <w:sz w:val="20"/>
                <w:szCs w:val="20"/>
              </w:rPr>
              <w:t>Total</w:t>
            </w:r>
            <w:r w:rsidRPr="003F7365">
              <w:rPr>
                <w:rStyle w:val="FootnoteReference"/>
                <w:rFonts w:ascii="Cambria" w:hAnsi="Cambria"/>
                <w:b/>
                <w:color w:val="000000"/>
                <w:sz w:val="20"/>
                <w:szCs w:val="20"/>
              </w:rPr>
              <w:footnoteReference w:id="2"/>
            </w:r>
          </w:p>
        </w:tc>
      </w:tr>
      <w:tr w:rsidR="00EE2B3B" w:rsidRPr="003F7365" w14:paraId="20284312" w14:textId="77777777" w:rsidTr="0084287A">
        <w:trPr>
          <w:trHeight w:val="530"/>
        </w:trPr>
        <w:tc>
          <w:tcPr>
            <w:tcW w:w="7357" w:type="dxa"/>
            <w:tcBorders>
              <w:top w:val="single" w:sz="4" w:space="0" w:color="auto"/>
              <w:left w:val="single" w:sz="4" w:space="0" w:color="auto"/>
              <w:bottom w:val="single" w:sz="4" w:space="0" w:color="auto"/>
              <w:right w:val="single" w:sz="4" w:space="0" w:color="auto"/>
            </w:tcBorders>
            <w:hideMark/>
          </w:tcPr>
          <w:p w14:paraId="487F1D48" w14:textId="77777777" w:rsidR="00EE2B3B" w:rsidRPr="003F7365" w:rsidRDefault="00EE2B3B" w:rsidP="00D53017">
            <w:pPr>
              <w:tabs>
                <w:tab w:val="left" w:pos="301"/>
              </w:tabs>
              <w:jc w:val="both"/>
              <w:rPr>
                <w:rFonts w:ascii="Cambria" w:hAnsi="Cambria"/>
                <w:color w:val="000000"/>
                <w:sz w:val="20"/>
                <w:szCs w:val="20"/>
              </w:rPr>
            </w:pPr>
            <w:r w:rsidRPr="003F7365">
              <w:rPr>
                <w:rFonts w:ascii="Cambria" w:hAnsi="Cambria"/>
                <w:color w:val="000000"/>
                <w:sz w:val="20"/>
                <w:szCs w:val="20"/>
              </w:rPr>
              <w:t>2. The Government of the Argentine Republic undertakes to invite the Government of the Province of Buenos Aires to report on the status of the following cases being heard by courts in the provincial jurisdiction until their final conclusion:</w:t>
            </w:r>
          </w:p>
          <w:p w14:paraId="4F933D7B" w14:textId="77777777" w:rsidR="00EE2B3B" w:rsidRPr="003F7365" w:rsidRDefault="00EE2B3B" w:rsidP="00D53017">
            <w:pPr>
              <w:tabs>
                <w:tab w:val="left" w:pos="342"/>
              </w:tabs>
              <w:jc w:val="both"/>
              <w:rPr>
                <w:rFonts w:ascii="Cambria" w:hAnsi="Cambria"/>
                <w:color w:val="000000"/>
                <w:sz w:val="20"/>
                <w:szCs w:val="20"/>
              </w:rPr>
            </w:pPr>
            <w:r w:rsidRPr="003F7365">
              <w:rPr>
                <w:rFonts w:ascii="Cambria" w:hAnsi="Cambria"/>
                <w:color w:val="000000"/>
                <w:sz w:val="20"/>
                <w:szCs w:val="20"/>
              </w:rPr>
              <w:t>a. Case 5-231148-2, entitled “Perpetration of Crime and Resisting Authority, along with Assault with Weapons, Homicide, and Discovery of Vehicle. Victim: Santillán, Gabriel Egisto,” before the Second Transitional Court of the Court of First Instance for Criminal and Correctional Matters of the Morón Judicial District, Buenos Aires Province.</w:t>
            </w:r>
          </w:p>
          <w:p w14:paraId="5EAA67DB" w14:textId="77777777" w:rsidR="00EE2B3B" w:rsidRPr="003F7365" w:rsidRDefault="00EE2B3B" w:rsidP="00D53017">
            <w:pPr>
              <w:tabs>
                <w:tab w:val="left" w:pos="270"/>
                <w:tab w:val="left" w:pos="342"/>
              </w:tabs>
              <w:jc w:val="both"/>
              <w:rPr>
                <w:rFonts w:ascii="Cambria" w:hAnsi="Cambria"/>
                <w:color w:val="000000"/>
                <w:sz w:val="20"/>
                <w:szCs w:val="20"/>
              </w:rPr>
            </w:pPr>
            <w:r w:rsidRPr="003F7365">
              <w:rPr>
                <w:rFonts w:ascii="Cambria" w:hAnsi="Cambria"/>
                <w:color w:val="000000"/>
                <w:sz w:val="20"/>
                <w:szCs w:val="20"/>
              </w:rPr>
              <w:t>b. Cases 3001-2014/99, entitled “Ministry of Justice. Santillán, Gabriel Egisto. Case report No. 23.148/91,” and 3001-465/05, entitled “Executive Power of Buenos Aires Province – Sub-Secretariat of Justice Remits Case 12.159—Santillán, Gabriel Egisto,” both before the Supreme Court of Justice of Buenos Aires Province.</w:t>
            </w:r>
          </w:p>
        </w:tc>
        <w:tc>
          <w:tcPr>
            <w:tcW w:w="2543" w:type="dxa"/>
            <w:tcBorders>
              <w:top w:val="single" w:sz="4" w:space="0" w:color="auto"/>
              <w:left w:val="single" w:sz="4" w:space="0" w:color="auto"/>
              <w:bottom w:val="single" w:sz="4" w:space="0" w:color="auto"/>
              <w:right w:val="single" w:sz="4" w:space="0" w:color="auto"/>
            </w:tcBorders>
            <w:vAlign w:val="center"/>
            <w:hideMark/>
          </w:tcPr>
          <w:p w14:paraId="50E5EFAB" w14:textId="0CD7C683" w:rsidR="00EE2B3B" w:rsidRPr="003F7365" w:rsidRDefault="00EE2B3B" w:rsidP="00EE2B3B">
            <w:pPr>
              <w:jc w:val="center"/>
              <w:rPr>
                <w:rFonts w:ascii="Cambria" w:hAnsi="Cambria"/>
                <w:color w:val="000000"/>
                <w:sz w:val="20"/>
                <w:szCs w:val="20"/>
              </w:rPr>
            </w:pPr>
            <w:r w:rsidRPr="003F7365">
              <w:rPr>
                <w:rFonts w:ascii="Cambria" w:hAnsi="Cambria"/>
                <w:b/>
                <w:color w:val="000000"/>
                <w:sz w:val="20"/>
                <w:szCs w:val="20"/>
              </w:rPr>
              <w:t>Total</w:t>
            </w:r>
            <w:r>
              <w:rPr>
                <w:rStyle w:val="FootnoteReference"/>
                <w:rFonts w:ascii="Cambria" w:hAnsi="Cambria"/>
                <w:b/>
                <w:color w:val="000000"/>
                <w:sz w:val="20"/>
                <w:szCs w:val="20"/>
              </w:rPr>
              <w:footnoteReference w:id="3"/>
            </w:r>
          </w:p>
        </w:tc>
      </w:tr>
      <w:tr w:rsidR="00EE2B3B" w:rsidRPr="003F7365" w14:paraId="367F91A4" w14:textId="77777777" w:rsidTr="0084287A">
        <w:trPr>
          <w:trHeight w:val="953"/>
        </w:trPr>
        <w:tc>
          <w:tcPr>
            <w:tcW w:w="7357" w:type="dxa"/>
            <w:tcBorders>
              <w:top w:val="single" w:sz="4" w:space="0" w:color="auto"/>
              <w:left w:val="single" w:sz="4" w:space="0" w:color="auto"/>
              <w:bottom w:val="single" w:sz="4" w:space="0" w:color="auto"/>
              <w:right w:val="single" w:sz="4" w:space="0" w:color="auto"/>
            </w:tcBorders>
            <w:hideMark/>
          </w:tcPr>
          <w:p w14:paraId="43A1DC1C" w14:textId="77777777" w:rsidR="00EE2B3B" w:rsidRPr="003F7365" w:rsidRDefault="00EE2B3B" w:rsidP="00D53017">
            <w:pPr>
              <w:tabs>
                <w:tab w:val="left" w:pos="167"/>
              </w:tabs>
              <w:jc w:val="both"/>
              <w:rPr>
                <w:rFonts w:ascii="Cambria" w:hAnsi="Cambria"/>
                <w:color w:val="000000"/>
                <w:sz w:val="20"/>
                <w:szCs w:val="20"/>
              </w:rPr>
            </w:pPr>
            <w:r w:rsidRPr="003F7365">
              <w:rPr>
                <w:rFonts w:ascii="Cambria" w:hAnsi="Cambria"/>
                <w:color w:val="000000"/>
                <w:sz w:val="20"/>
                <w:szCs w:val="20"/>
              </w:rPr>
              <w:t>3. The Government of the Argentine Republic commits to carrying out its best efforts to hold an academic event, as soon as possible, on questions having to do with the interaction and coordination between the Federal State and the Provincial States in the area of compliance with international obligations, in light of the provisions of Article 28 of the American Convention on Human Rights.</w:t>
            </w:r>
          </w:p>
        </w:tc>
        <w:tc>
          <w:tcPr>
            <w:tcW w:w="2543" w:type="dxa"/>
            <w:tcBorders>
              <w:top w:val="single" w:sz="4" w:space="0" w:color="auto"/>
              <w:left w:val="single" w:sz="4" w:space="0" w:color="auto"/>
              <w:bottom w:val="single" w:sz="4" w:space="0" w:color="auto"/>
              <w:right w:val="single" w:sz="4" w:space="0" w:color="auto"/>
            </w:tcBorders>
            <w:vAlign w:val="center"/>
            <w:hideMark/>
          </w:tcPr>
          <w:p w14:paraId="3385FE75" w14:textId="77777777" w:rsidR="00EE2B3B" w:rsidRPr="003F7365" w:rsidRDefault="00EE2B3B" w:rsidP="00D53017">
            <w:pPr>
              <w:autoSpaceDE w:val="0"/>
              <w:autoSpaceDN w:val="0"/>
              <w:adjustRightInd w:val="0"/>
              <w:jc w:val="center"/>
              <w:rPr>
                <w:rFonts w:ascii="Cambria" w:hAnsi="Cambria"/>
                <w:color w:val="000000"/>
                <w:sz w:val="20"/>
                <w:szCs w:val="20"/>
              </w:rPr>
            </w:pPr>
            <w:r w:rsidRPr="003F7365">
              <w:rPr>
                <w:rFonts w:ascii="Cambria" w:hAnsi="Cambria"/>
                <w:b/>
                <w:color w:val="000000"/>
                <w:sz w:val="20"/>
                <w:szCs w:val="20"/>
              </w:rPr>
              <w:t>Total</w:t>
            </w:r>
            <w:r w:rsidRPr="003F7365">
              <w:rPr>
                <w:rFonts w:ascii="Cambria" w:hAnsi="Cambria"/>
                <w:b/>
                <w:color w:val="000000"/>
                <w:sz w:val="20"/>
                <w:szCs w:val="20"/>
                <w:vertAlign w:val="superscript"/>
              </w:rPr>
              <w:t xml:space="preserve"> </w:t>
            </w:r>
            <w:r w:rsidRPr="003F7365">
              <w:rPr>
                <w:rFonts w:ascii="Cambria" w:hAnsi="Cambria"/>
                <w:b/>
                <w:color w:val="000000"/>
                <w:sz w:val="20"/>
                <w:szCs w:val="20"/>
                <w:vertAlign w:val="superscript"/>
              </w:rPr>
              <w:footnoteReference w:id="4"/>
            </w:r>
          </w:p>
        </w:tc>
      </w:tr>
    </w:tbl>
    <w:p w14:paraId="570310D3" w14:textId="77777777" w:rsidR="00EE2B3B" w:rsidRPr="003F7365" w:rsidRDefault="00EE2B3B" w:rsidP="00EE2B3B">
      <w:pPr>
        <w:pStyle w:val="ListParagraph"/>
        <w:jc w:val="both"/>
        <w:rPr>
          <w:rFonts w:ascii="Cambria" w:hAnsi="Cambria" w:cs="Calibri Light"/>
          <w:b/>
          <w:color w:val="000000"/>
          <w:sz w:val="20"/>
          <w:szCs w:val="20"/>
        </w:rPr>
      </w:pPr>
    </w:p>
    <w:p w14:paraId="23CE78ED" w14:textId="77777777" w:rsidR="00EE2B3B" w:rsidRPr="003F7365" w:rsidRDefault="00EE2B3B" w:rsidP="00EE2B3B">
      <w:pPr>
        <w:contextualSpacing/>
        <w:jc w:val="both"/>
        <w:rPr>
          <w:rFonts w:ascii="Cambria" w:hAnsi="Cambria" w:cs="Calibri Light"/>
          <w:color w:val="000000"/>
          <w:sz w:val="20"/>
          <w:szCs w:val="20"/>
        </w:rPr>
      </w:pPr>
    </w:p>
    <w:p w14:paraId="4301E707" w14:textId="77777777" w:rsidR="00EE2B3B" w:rsidRPr="003F7365" w:rsidRDefault="00EE2B3B" w:rsidP="00EE2B3B">
      <w:pPr>
        <w:numPr>
          <w:ilvl w:val="0"/>
          <w:numId w:val="1"/>
        </w:numPr>
        <w:ind w:left="0" w:firstLine="720"/>
        <w:contextualSpacing/>
        <w:jc w:val="both"/>
        <w:rPr>
          <w:rFonts w:ascii="Cambria" w:hAnsi="Cambria" w:cs="Calibri Light"/>
          <w:color w:val="000000"/>
          <w:sz w:val="20"/>
          <w:szCs w:val="20"/>
        </w:rPr>
      </w:pPr>
      <w:r w:rsidRPr="003F7365">
        <w:rPr>
          <w:rFonts w:ascii="Cambria" w:hAnsi="Cambria"/>
          <w:b/>
          <w:color w:val="000000"/>
          <w:sz w:val="20"/>
          <w:szCs w:val="20"/>
        </w:rPr>
        <w:t>LEVEL OF COMPLIANCE OF THE CASE</w:t>
      </w:r>
    </w:p>
    <w:p w14:paraId="3B08C399"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5A448611" w14:textId="654A9BAB" w:rsidR="00EE2B3B" w:rsidRPr="003F7365" w:rsidRDefault="00EE2B3B" w:rsidP="00EE2B3B">
      <w:pPr>
        <w:pStyle w:val="ListParagraph"/>
        <w:numPr>
          <w:ilvl w:val="0"/>
          <w:numId w:val="2"/>
        </w:numPr>
        <w:ind w:left="0" w:firstLine="720"/>
        <w:jc w:val="both"/>
        <w:rPr>
          <w:rFonts w:ascii="Cambria" w:hAnsi="Cambria" w:cs="Calibri Light"/>
          <w:color w:val="000000"/>
          <w:sz w:val="20"/>
          <w:szCs w:val="20"/>
        </w:rPr>
      </w:pPr>
      <w:r w:rsidRPr="003F7365">
        <w:rPr>
          <w:rFonts w:ascii="Cambria" w:hAnsi="Cambria"/>
          <w:color w:val="000000"/>
          <w:sz w:val="20"/>
          <w:szCs w:val="20"/>
        </w:rPr>
        <w:t xml:space="preserve"> </w:t>
      </w:r>
      <w:r w:rsidRPr="00EE2B3B">
        <w:rPr>
          <w:rFonts w:ascii="Cambria" w:hAnsi="Cambria"/>
          <w:color w:val="000000"/>
          <w:sz w:val="20"/>
          <w:szCs w:val="20"/>
        </w:rPr>
        <w:t>The Commission declared full compliance with the case and the ceasing of the follow</w:t>
      </w:r>
      <w:r w:rsidR="00697649">
        <w:rPr>
          <w:rFonts w:ascii="Cambria" w:hAnsi="Cambria"/>
          <w:color w:val="000000"/>
          <w:sz w:val="20"/>
          <w:szCs w:val="20"/>
        </w:rPr>
        <w:t>-</w:t>
      </w:r>
      <w:r w:rsidRPr="00EE2B3B">
        <w:rPr>
          <w:rFonts w:ascii="Cambria" w:hAnsi="Cambria"/>
          <w:color w:val="000000"/>
          <w:sz w:val="20"/>
          <w:szCs w:val="20"/>
        </w:rPr>
        <w:t>up of the friendly settlement agreement in the 202</w:t>
      </w:r>
      <w:r>
        <w:rPr>
          <w:rFonts w:ascii="Cambria" w:hAnsi="Cambria"/>
          <w:color w:val="000000"/>
          <w:sz w:val="20"/>
          <w:szCs w:val="20"/>
        </w:rPr>
        <w:t>2</w:t>
      </w:r>
      <w:r w:rsidRPr="00EE2B3B">
        <w:rPr>
          <w:rFonts w:ascii="Cambria" w:hAnsi="Cambria"/>
          <w:color w:val="000000"/>
          <w:sz w:val="20"/>
          <w:szCs w:val="20"/>
        </w:rPr>
        <w:t xml:space="preserve"> Annual Report.</w:t>
      </w:r>
    </w:p>
    <w:p w14:paraId="286AE1D0" w14:textId="77777777" w:rsidR="00EE2B3B" w:rsidRPr="003F7365" w:rsidRDefault="00EE2B3B" w:rsidP="00EE2B3B">
      <w:pPr>
        <w:autoSpaceDE w:val="0"/>
        <w:autoSpaceDN w:val="0"/>
        <w:adjustRightInd w:val="0"/>
        <w:jc w:val="both"/>
        <w:rPr>
          <w:rFonts w:ascii="Cambria" w:hAnsi="Cambria"/>
          <w:color w:val="000000"/>
          <w:sz w:val="20"/>
          <w:szCs w:val="20"/>
        </w:rPr>
      </w:pPr>
    </w:p>
    <w:p w14:paraId="2765ADF3"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color w:val="000000"/>
          <w:sz w:val="20"/>
          <w:szCs w:val="20"/>
        </w:rPr>
        <w:t xml:space="preserve">INDIVIDUAL AND STRUCTURAL OUTCOMES OF THE CASE </w:t>
      </w:r>
    </w:p>
    <w:p w14:paraId="02CEFE66"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5A024E98" w14:textId="77777777" w:rsidR="00EE2B3B" w:rsidRPr="003F7365" w:rsidRDefault="00EE2B3B" w:rsidP="00EE2B3B">
      <w:pPr>
        <w:pStyle w:val="ListParagraph"/>
        <w:numPr>
          <w:ilvl w:val="0"/>
          <w:numId w:val="3"/>
        </w:numPr>
        <w:ind w:left="0" w:firstLine="720"/>
        <w:jc w:val="both"/>
        <w:rPr>
          <w:rFonts w:ascii="Cambria" w:hAnsi="Cambria" w:cs="Calibri Light"/>
          <w:b/>
          <w:color w:val="000000"/>
          <w:sz w:val="20"/>
          <w:szCs w:val="20"/>
        </w:rPr>
      </w:pPr>
      <w:r w:rsidRPr="003F7365">
        <w:rPr>
          <w:rFonts w:ascii="Cambria" w:hAnsi="Cambria"/>
          <w:b/>
          <w:color w:val="000000"/>
          <w:sz w:val="20"/>
          <w:szCs w:val="20"/>
        </w:rPr>
        <w:t>Individual outcomes of the case</w:t>
      </w:r>
    </w:p>
    <w:p w14:paraId="258DF843"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5279E10E" w14:textId="77777777" w:rsidR="00EE2B3B" w:rsidRPr="003F7365" w:rsidRDefault="00EE2B3B" w:rsidP="00EE2B3B">
      <w:pPr>
        <w:numPr>
          <w:ilvl w:val="0"/>
          <w:numId w:val="4"/>
        </w:numPr>
        <w:ind w:left="0" w:firstLine="720"/>
        <w:jc w:val="both"/>
        <w:rPr>
          <w:rFonts w:ascii="Cambria" w:hAnsi="Cambria"/>
          <w:color w:val="000000"/>
          <w:sz w:val="20"/>
          <w:szCs w:val="20"/>
        </w:rPr>
      </w:pPr>
      <w:r w:rsidRPr="003F7365">
        <w:rPr>
          <w:rFonts w:ascii="Cambria" w:hAnsi="Cambria"/>
          <w:color w:val="000000"/>
          <w:sz w:val="20"/>
          <w:szCs w:val="20"/>
        </w:rPr>
        <w:t>The State made economic reparation, as agreed in the arbitral award;</w:t>
      </w:r>
    </w:p>
    <w:p w14:paraId="28BBB133" w14:textId="77777777" w:rsidR="00EE2B3B" w:rsidRPr="003F7365" w:rsidRDefault="00EE2B3B" w:rsidP="00EE2B3B">
      <w:pPr>
        <w:pStyle w:val="ListParagraph"/>
        <w:numPr>
          <w:ilvl w:val="0"/>
          <w:numId w:val="4"/>
        </w:numPr>
        <w:ind w:left="0" w:firstLine="720"/>
        <w:jc w:val="both"/>
        <w:rPr>
          <w:rFonts w:ascii="Cambria" w:hAnsi="Cambria" w:cs="Calibri Light"/>
          <w:b/>
          <w:color w:val="000000"/>
          <w:sz w:val="20"/>
          <w:szCs w:val="20"/>
        </w:rPr>
      </w:pPr>
      <w:r w:rsidRPr="003F7365">
        <w:rPr>
          <w:rFonts w:ascii="Cambria" w:hAnsi="Cambria"/>
          <w:color w:val="000000"/>
          <w:sz w:val="20"/>
          <w:szCs w:val="20"/>
        </w:rPr>
        <w:t>The State published the friendly settlement agreement, as agreed.</w:t>
      </w:r>
    </w:p>
    <w:p w14:paraId="4389C692" w14:textId="77777777" w:rsidR="00EE2B3B" w:rsidRPr="003F7365" w:rsidRDefault="00EE2B3B" w:rsidP="00EE2B3B">
      <w:pPr>
        <w:pStyle w:val="ListParagraph"/>
        <w:numPr>
          <w:ilvl w:val="0"/>
          <w:numId w:val="4"/>
        </w:numPr>
        <w:ind w:left="1440" w:hanging="720"/>
        <w:jc w:val="both"/>
        <w:rPr>
          <w:rFonts w:ascii="Cambria" w:hAnsi="Cambria" w:cs="Calibri Light"/>
          <w:b/>
          <w:color w:val="000000"/>
          <w:sz w:val="20"/>
          <w:szCs w:val="20"/>
        </w:rPr>
      </w:pPr>
      <w:r w:rsidRPr="003F7365">
        <w:rPr>
          <w:rFonts w:ascii="Cambria" w:hAnsi="Cambria"/>
          <w:color w:val="000000"/>
          <w:sz w:val="20"/>
          <w:szCs w:val="20"/>
          <w:lang w:val="en"/>
        </w:rPr>
        <w:lastRenderedPageBreak/>
        <w:t>The State invited the Government of the Province of Buenos Aires to report on the status of the case files found in public agencies of the provincial jurisdiction until they are definitively closed.</w:t>
      </w:r>
    </w:p>
    <w:p w14:paraId="1793AF1A"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17B126AE" w14:textId="77777777" w:rsidR="00EE2B3B" w:rsidRPr="003F7365" w:rsidRDefault="00EE2B3B" w:rsidP="00EE2B3B">
      <w:pPr>
        <w:pStyle w:val="ListParagraph"/>
        <w:numPr>
          <w:ilvl w:val="0"/>
          <w:numId w:val="3"/>
        </w:numPr>
        <w:ind w:left="0" w:firstLine="720"/>
        <w:jc w:val="both"/>
        <w:rPr>
          <w:rFonts w:ascii="Cambria" w:hAnsi="Cambria" w:cs="Calibri Light"/>
          <w:b/>
          <w:color w:val="000000"/>
          <w:sz w:val="20"/>
          <w:szCs w:val="20"/>
        </w:rPr>
      </w:pPr>
      <w:r w:rsidRPr="003F7365">
        <w:rPr>
          <w:rFonts w:ascii="Cambria" w:hAnsi="Cambria"/>
          <w:b/>
          <w:color w:val="000000"/>
          <w:sz w:val="20"/>
          <w:szCs w:val="20"/>
        </w:rPr>
        <w:t>Structural outcomes of the case</w:t>
      </w:r>
    </w:p>
    <w:p w14:paraId="02259777"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13998905" w14:textId="5B84DB3A" w:rsidR="00551343" w:rsidRDefault="00EE2B3B" w:rsidP="00EE2B3B">
      <w:pPr>
        <w:pStyle w:val="ListParagraph"/>
        <w:numPr>
          <w:ilvl w:val="0"/>
          <w:numId w:val="5"/>
        </w:numPr>
        <w:ind w:left="1440" w:hanging="720"/>
        <w:jc w:val="both"/>
      </w:pPr>
      <w:r w:rsidRPr="00EE2B3B">
        <w:rPr>
          <w:rFonts w:ascii="Cambria" w:hAnsi="Cambria"/>
          <w:color w:val="000000"/>
          <w:sz w:val="20"/>
          <w:szCs w:val="20"/>
        </w:rPr>
        <w:t>The State organized regional meetings on "the relationship between the 2030 sustainable development agenda and international recommendations arising out of the third cycle of the universal periodic review." The idea had been to disseminate the recommendations of the treaty bodies and the UPR and to raise awareness of the need to include a federal perspective in country reports.</w:t>
      </w:r>
    </w:p>
    <w:sectPr w:rsidR="00551343" w:rsidSect="00EE2B3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A381" w14:textId="77777777" w:rsidR="00EE2B3B" w:rsidRDefault="00EE2B3B" w:rsidP="00EE2B3B">
      <w:r>
        <w:separator/>
      </w:r>
    </w:p>
  </w:endnote>
  <w:endnote w:type="continuationSeparator" w:id="0">
    <w:p w14:paraId="5DE23AC5" w14:textId="77777777" w:rsidR="00EE2B3B" w:rsidRDefault="00EE2B3B" w:rsidP="00EE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49D5" w14:textId="1B0D8F23" w:rsidR="00EE2B3B" w:rsidRDefault="00EE2B3B" w:rsidP="00EE2B3B">
    <w:pPr>
      <w:pStyle w:val="Footer"/>
      <w:jc w:val="center"/>
    </w:pPr>
    <w:r>
      <w:rPr>
        <w:noProof/>
      </w:rPr>
      <w:drawing>
        <wp:inline distT="0" distB="0" distL="0" distR="0" wp14:anchorId="716D0634" wp14:editId="040054FF">
          <wp:extent cx="523875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70E" w14:textId="77777777" w:rsidR="00EE2B3B" w:rsidRDefault="00C005D2" w:rsidP="00EE2B3B">
    <w:pPr>
      <w:pStyle w:val="Footer"/>
      <w:spacing w:line="360" w:lineRule="auto"/>
    </w:pPr>
    <w:r>
      <w:pict w14:anchorId="14B294CB">
        <v:rect id="_x0000_i1027" style="width:0;height:1.5pt" o:hralign="center" o:hrstd="t" o:hr="t" fillcolor="#a0a0a0" stroked="f"/>
      </w:pict>
    </w:r>
  </w:p>
  <w:p w14:paraId="33E89147" w14:textId="232012CD" w:rsidR="00EE2B3B" w:rsidRDefault="00EE2B3B" w:rsidP="00EE2B3B">
    <w:pPr>
      <w:pStyle w:val="Footer"/>
      <w:jc w:val="center"/>
    </w:pPr>
    <w:bookmarkStart w:id="8" w:name="_Hlk138256818"/>
    <w:bookmarkStart w:id="9" w:name="_Hlk138256819"/>
    <w:r>
      <w:rPr>
        <w:noProof/>
      </w:rPr>
      <w:drawing>
        <wp:inline distT="0" distB="0" distL="0" distR="0" wp14:anchorId="2202F3A2" wp14:editId="2F018423">
          <wp:extent cx="52387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2CDA" w14:textId="77777777" w:rsidR="00EE2B3B" w:rsidRDefault="00EE2B3B" w:rsidP="00EE2B3B">
      <w:r>
        <w:separator/>
      </w:r>
    </w:p>
  </w:footnote>
  <w:footnote w:type="continuationSeparator" w:id="0">
    <w:p w14:paraId="48D94B4E" w14:textId="77777777" w:rsidR="00EE2B3B" w:rsidRDefault="00EE2B3B" w:rsidP="00EE2B3B">
      <w:r>
        <w:continuationSeparator/>
      </w:r>
    </w:p>
  </w:footnote>
  <w:footnote w:id="1">
    <w:p w14:paraId="15C22C58" w14:textId="77777777" w:rsidR="00EE2B3B" w:rsidRPr="00F84B42" w:rsidRDefault="00EE2B3B" w:rsidP="00F84B42">
      <w:pPr>
        <w:pStyle w:val="FootnoteText"/>
        <w:tabs>
          <w:tab w:val="left" w:pos="180"/>
        </w:tabs>
        <w:ind w:right="-450" w:firstLine="720"/>
        <w:jc w:val="both"/>
        <w:rPr>
          <w:rFonts w:ascii="Cambria" w:hAnsi="Cambria"/>
          <w:color w:val="000000"/>
          <w:sz w:val="16"/>
          <w:szCs w:val="16"/>
        </w:rPr>
      </w:pPr>
      <w:r w:rsidRPr="00F84B42">
        <w:rPr>
          <w:rStyle w:val="FootnoteReference"/>
          <w:rFonts w:ascii="Cambria" w:hAnsi="Cambria"/>
          <w:color w:val="000000"/>
          <w:sz w:val="16"/>
          <w:szCs w:val="16"/>
        </w:rPr>
        <w:footnoteRef/>
      </w:r>
      <w:r w:rsidRPr="00F84B42">
        <w:rPr>
          <w:rFonts w:ascii="Cambria" w:hAnsi="Cambria"/>
          <w:color w:val="000000"/>
          <w:sz w:val="16"/>
          <w:szCs w:val="16"/>
        </w:rPr>
        <w:t xml:space="preserve">  See IACHR, 2012 Annual Report, Chapter II, Section D. Status of Compliance with the Recommendations of the IACHR, paras. 105-117. </w:t>
      </w:r>
    </w:p>
  </w:footnote>
  <w:footnote w:id="2">
    <w:p w14:paraId="552BE9B5" w14:textId="77777777" w:rsidR="00EE2B3B" w:rsidRPr="00F84B42" w:rsidRDefault="00EE2B3B" w:rsidP="00F84B42">
      <w:pPr>
        <w:pStyle w:val="FootnoteText"/>
        <w:ind w:firstLine="720"/>
        <w:jc w:val="both"/>
        <w:rPr>
          <w:rFonts w:ascii="Cambria" w:hAnsi="Cambria"/>
          <w:sz w:val="16"/>
          <w:szCs w:val="16"/>
        </w:rPr>
      </w:pPr>
      <w:r w:rsidRPr="00F84B42">
        <w:rPr>
          <w:rStyle w:val="FootnoteReference"/>
          <w:rFonts w:ascii="Cambria" w:hAnsi="Cambria"/>
          <w:sz w:val="16"/>
          <w:szCs w:val="16"/>
        </w:rPr>
        <w:footnoteRef/>
      </w:r>
      <w:r w:rsidRPr="00F84B42">
        <w:rPr>
          <w:rFonts w:ascii="Cambria" w:hAnsi="Cambria"/>
          <w:sz w:val="16"/>
          <w:szCs w:val="16"/>
        </w:rPr>
        <w:t xml:space="preserve"> </w:t>
      </w:r>
      <w:r w:rsidRPr="00F84B42">
        <w:rPr>
          <w:rFonts w:ascii="Cambria" w:hAnsi="Cambria"/>
          <w:color w:val="000000"/>
          <w:sz w:val="16"/>
          <w:szCs w:val="16"/>
        </w:rPr>
        <w:t xml:space="preserve">See IACHR, 2018 Annual Report, Chapter II, Section G. Status of compliance with the recommendations issued by the IACHR in merits reports and friendly settlement agreements approved by the IACHR, Available at: </w:t>
      </w:r>
      <w:hyperlink r:id="rId1" w:history="1">
        <w:r w:rsidRPr="00F84B42">
          <w:rPr>
            <w:rStyle w:val="Hyperlink"/>
            <w:rFonts w:ascii="Cambria" w:hAnsi="Cambria"/>
            <w:sz w:val="16"/>
            <w:szCs w:val="16"/>
          </w:rPr>
          <w:t>http://www.oas.org/es/cidh/docs/anual/2018/docs/IA2018cap.2-es.pdf</w:t>
        </w:r>
      </w:hyperlink>
    </w:p>
  </w:footnote>
  <w:footnote w:id="3">
    <w:p w14:paraId="30ED9F5D" w14:textId="21D1603A" w:rsidR="00EE2B3B" w:rsidRPr="00F84B42" w:rsidRDefault="00EE2B3B" w:rsidP="00F84B42">
      <w:pPr>
        <w:pStyle w:val="FootnoteText"/>
        <w:ind w:firstLine="720"/>
        <w:jc w:val="both"/>
        <w:rPr>
          <w:rFonts w:ascii="Cambria" w:hAnsi="Cambria"/>
          <w:sz w:val="16"/>
          <w:szCs w:val="16"/>
        </w:rPr>
      </w:pPr>
      <w:r w:rsidRPr="00F84B42">
        <w:rPr>
          <w:rStyle w:val="FootnoteReference"/>
          <w:rFonts w:ascii="Cambria" w:hAnsi="Cambria"/>
          <w:sz w:val="16"/>
          <w:szCs w:val="16"/>
        </w:rPr>
        <w:footnoteRef/>
      </w:r>
      <w:r w:rsidRPr="00F84B42">
        <w:rPr>
          <w:rFonts w:ascii="Cambria" w:hAnsi="Cambria"/>
          <w:sz w:val="16"/>
          <w:szCs w:val="16"/>
        </w:rPr>
        <w:t xml:space="preserve"> </w:t>
      </w:r>
      <w:r w:rsidRPr="00F84B42">
        <w:rPr>
          <w:rFonts w:ascii="Cambria" w:hAnsi="Cambria"/>
          <w:color w:val="000000"/>
          <w:sz w:val="16"/>
          <w:szCs w:val="16"/>
        </w:rPr>
        <w:t xml:space="preserve">See IACHR, 2022 Annual Report, Chapter II, Section C. </w:t>
      </w:r>
      <w:r w:rsidR="00F84B42" w:rsidRPr="00F84B42">
        <w:rPr>
          <w:rFonts w:ascii="Cambria" w:hAnsi="Cambria"/>
          <w:color w:val="000000"/>
          <w:sz w:val="16"/>
          <w:szCs w:val="16"/>
        </w:rPr>
        <w:t>Advances and challenges on negotiation and implementation of friendly settlements</w:t>
      </w:r>
      <w:r w:rsidRPr="00F84B42">
        <w:rPr>
          <w:rFonts w:ascii="Cambria" w:hAnsi="Cambria"/>
          <w:color w:val="000000"/>
          <w:sz w:val="16"/>
          <w:szCs w:val="16"/>
        </w:rPr>
        <w:t>, Available at:</w:t>
      </w:r>
      <w:r w:rsidR="00F84B42" w:rsidRPr="00F84B42">
        <w:rPr>
          <w:rFonts w:ascii="Cambria" w:hAnsi="Cambria"/>
          <w:color w:val="000000"/>
          <w:sz w:val="16"/>
          <w:szCs w:val="16"/>
        </w:rPr>
        <w:t xml:space="preserve"> </w:t>
      </w:r>
      <w:hyperlink r:id="rId2" w:history="1">
        <w:r w:rsidR="00F84B42" w:rsidRPr="00F84B42">
          <w:rPr>
            <w:rStyle w:val="Hyperlink"/>
            <w:rFonts w:ascii="Cambria" w:hAnsi="Cambria"/>
            <w:sz w:val="16"/>
            <w:szCs w:val="16"/>
          </w:rPr>
          <w:t>4-IA2022_Cap_2_EN.pdf (oas.org)</w:t>
        </w:r>
      </w:hyperlink>
    </w:p>
  </w:footnote>
  <w:footnote w:id="4">
    <w:p w14:paraId="10B1B85F" w14:textId="77777777" w:rsidR="00EE2B3B" w:rsidRPr="00F84B42" w:rsidRDefault="00EE2B3B" w:rsidP="00F84B42">
      <w:pPr>
        <w:pStyle w:val="FootnoteText"/>
        <w:ind w:firstLine="720"/>
        <w:jc w:val="both"/>
        <w:rPr>
          <w:rFonts w:ascii="Cambria" w:hAnsi="Cambria"/>
          <w:sz w:val="16"/>
          <w:szCs w:val="16"/>
        </w:rPr>
      </w:pPr>
      <w:r w:rsidRPr="00F84B42">
        <w:rPr>
          <w:rStyle w:val="FootnoteReference"/>
          <w:rFonts w:ascii="Cambria" w:hAnsi="Cambria"/>
          <w:sz w:val="16"/>
          <w:szCs w:val="16"/>
        </w:rPr>
        <w:footnoteRef/>
      </w:r>
      <w:r w:rsidRPr="00F84B42">
        <w:rPr>
          <w:rFonts w:ascii="Cambria" w:hAnsi="Cambria"/>
          <w:sz w:val="16"/>
          <w:szCs w:val="16"/>
        </w:rPr>
        <w:t xml:space="preserve"> </w:t>
      </w:r>
      <w:r w:rsidRPr="00F84B42">
        <w:rPr>
          <w:rFonts w:ascii="Cambria" w:hAnsi="Cambria"/>
          <w:color w:val="000000"/>
          <w:sz w:val="16"/>
          <w:szCs w:val="16"/>
        </w:rPr>
        <w:t xml:space="preserve">See IACHR, 2018 Annual Report, Chapter II, Section G. Status of compliance with the recommendations issued by the IACHR in merits reports and friendly settlement agreements approved by the IACHR, Available at: </w:t>
      </w:r>
      <w:hyperlink r:id="rId3" w:history="1">
        <w:r w:rsidRPr="00F84B42">
          <w:rPr>
            <w:rStyle w:val="Hyperlink"/>
            <w:rFonts w:ascii="Cambria" w:hAnsi="Cambria"/>
            <w:sz w:val="16"/>
            <w:szCs w:val="16"/>
          </w:rPr>
          <w:t>http://www.oas.org/es/cidh/docs/anual/2018/docs/IA2018cap.2-es.pdf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2E5" w14:textId="61BDB6F8" w:rsidR="00EE2B3B" w:rsidRDefault="00EE2B3B" w:rsidP="00EE2B3B">
    <w:pPr>
      <w:pStyle w:val="Header"/>
      <w:jc w:val="center"/>
    </w:pPr>
    <w:r>
      <w:rPr>
        <w:noProof/>
      </w:rPr>
      <w:drawing>
        <wp:inline distT="0" distB="0" distL="0" distR="0" wp14:anchorId="05F89FF3" wp14:editId="35C856FB">
          <wp:extent cx="22764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14:paraId="5C22E6E7" w14:textId="19B082BD" w:rsidR="00EE2B3B" w:rsidRPr="00EE2B3B" w:rsidRDefault="00C005D2" w:rsidP="00EE2B3B">
    <w:pPr>
      <w:pStyle w:val="Header"/>
    </w:pPr>
    <w:r>
      <w:pict w14:anchorId="0432534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A139" w14:textId="1F58B056" w:rsidR="00EE2B3B" w:rsidRDefault="00EE2B3B" w:rsidP="00EE2B3B">
    <w:pPr>
      <w:pStyle w:val="Header"/>
    </w:pPr>
    <w:bookmarkStart w:id="6" w:name="_Hlk138256805"/>
    <w:bookmarkStart w:id="7" w:name="_Hlk138256806"/>
    <w:r>
      <w:rPr>
        <w:noProof/>
      </w:rPr>
      <w:drawing>
        <wp:anchor distT="0" distB="0" distL="114300" distR="114300" simplePos="0" relativeHeight="251659264" behindDoc="1" locked="0" layoutInCell="1" allowOverlap="1" wp14:anchorId="041316FD" wp14:editId="7A155487">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65916B" wp14:editId="2EBBB3D4">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069" y="0"/>
              <wp:lineTo x="0" y="4122"/>
              <wp:lineTo x="0" y="16489"/>
              <wp:lineTo x="1069" y="20611"/>
              <wp:lineTo x="4277" y="20611"/>
              <wp:lineTo x="21386" y="18137"/>
              <wp:lineTo x="21386" y="4122"/>
              <wp:lineTo x="4063" y="0"/>
              <wp:lineTo x="106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084D170" w14:textId="77777777" w:rsidR="00EE2B3B" w:rsidRDefault="00EE2B3B" w:rsidP="00EE2B3B">
    <w:pPr>
      <w:pStyle w:val="Header"/>
    </w:pPr>
  </w:p>
  <w:p w14:paraId="12638557" w14:textId="77777777" w:rsidR="00EE2B3B" w:rsidRDefault="00EE2B3B" w:rsidP="00EE2B3B">
    <w:pPr>
      <w:pStyle w:val="Header"/>
    </w:pPr>
  </w:p>
  <w:p w14:paraId="0EFF114E" w14:textId="77777777" w:rsidR="00EE2B3B" w:rsidRDefault="00C005D2" w:rsidP="00EE2B3B">
    <w:pPr>
      <w:pStyle w:val="Header"/>
    </w:pPr>
    <w:r>
      <w:pict w14:anchorId="3288A7D7">
        <v:rect id="_x0000_i1026" style="width:0;height:1.5pt" o:hralign="center" o:hrstd="t" o:hr="t" fillcolor="#a0a0a0" stroked="f"/>
      </w:pic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FE1"/>
    <w:multiLevelType w:val="hybridMultilevel"/>
    <w:tmpl w:val="EEB433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8A470B"/>
    <w:multiLevelType w:val="hybridMultilevel"/>
    <w:tmpl w:val="2D8E04F4"/>
    <w:lvl w:ilvl="0" w:tplc="FFFFFFFF">
      <w:start w:val="1"/>
      <w:numFmt w:val="upperRoman"/>
      <w:lvlText w:val="%1."/>
      <w:lvlJc w:val="left"/>
      <w:pPr>
        <w:ind w:left="1080" w:hanging="720"/>
      </w:pPr>
      <w:rPr>
        <w:rFonts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E255ED6"/>
    <w:multiLevelType w:val="hybridMultilevel"/>
    <w:tmpl w:val="0E9E49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8C26CC1"/>
    <w:multiLevelType w:val="hybridMultilevel"/>
    <w:tmpl w:val="1DDE1E8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6202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633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2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929156">
    <w:abstractNumId w:val="2"/>
  </w:num>
  <w:num w:numId="5" w16cid:durableId="56173509">
    <w:abstractNumId w:val="3"/>
  </w:num>
  <w:num w:numId="6" w16cid:durableId="5651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B"/>
    <w:rsid w:val="00551343"/>
    <w:rsid w:val="00697649"/>
    <w:rsid w:val="006F6277"/>
    <w:rsid w:val="0084287A"/>
    <w:rsid w:val="00C005D2"/>
    <w:rsid w:val="00EE2B3B"/>
    <w:rsid w:val="00F8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F7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EE2B3B"/>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E2B3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E2B3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EE2B3B"/>
    <w:rPr>
      <w:vertAlign w:val="superscript"/>
    </w:rPr>
  </w:style>
  <w:style w:type="character" w:styleId="Hyperlink">
    <w:name w:val="Hyperlink"/>
    <w:uiPriority w:val="99"/>
    <w:unhideWhenUsed/>
    <w:rsid w:val="00EE2B3B"/>
    <w:rPr>
      <w:color w:val="0000FF"/>
      <w:u w:val="single"/>
      <w:lang w:val="en-US" w:eastAsia="en-US"/>
    </w:rPr>
  </w:style>
  <w:style w:type="paragraph" w:styleId="NoSpacing">
    <w:name w:val="No Spacing"/>
    <w:uiPriority w:val="1"/>
    <w:qFormat/>
    <w:rsid w:val="00EE2B3B"/>
    <w:pPr>
      <w:spacing w:after="0" w:line="240" w:lineRule="auto"/>
    </w:pPr>
    <w:rPr>
      <w:rFonts w:ascii="Calibri" w:eastAsia="Calibri" w:hAnsi="Calibri" w:cs="Times New Roman"/>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EE2B3B"/>
    <w:rPr>
      <w:sz w:val="24"/>
      <w:szCs w:val="24"/>
    </w:rPr>
  </w:style>
  <w:style w:type="paragraph" w:customStyle="1" w:styleId="Appelnotedebasde">
    <w:name w:val="Appel note de bas de..."/>
    <w:basedOn w:val="Normal"/>
    <w:link w:val="FootnoteReference"/>
    <w:rsid w:val="00EE2B3B"/>
    <w:pPr>
      <w:spacing w:after="160" w:line="240" w:lineRule="exact"/>
    </w:pPr>
    <w:rPr>
      <w:sz w:val="22"/>
      <w:szCs w:val="22"/>
      <w:vertAlign w:val="superscript"/>
    </w:rPr>
  </w:style>
  <w:style w:type="paragraph" w:styleId="Header">
    <w:name w:val="header"/>
    <w:basedOn w:val="Normal"/>
    <w:link w:val="HeaderChar"/>
    <w:uiPriority w:val="99"/>
    <w:unhideWhenUsed/>
    <w:rsid w:val="00EE2B3B"/>
    <w:pPr>
      <w:tabs>
        <w:tab w:val="center" w:pos="4680"/>
        <w:tab w:val="right" w:pos="9360"/>
      </w:tabs>
    </w:pPr>
  </w:style>
  <w:style w:type="character" w:customStyle="1" w:styleId="HeaderChar">
    <w:name w:val="Header Char"/>
    <w:basedOn w:val="DefaultParagraphFont"/>
    <w:link w:val="Header"/>
    <w:uiPriority w:val="99"/>
    <w:rsid w:val="00EE2B3B"/>
    <w:rPr>
      <w:sz w:val="24"/>
      <w:szCs w:val="24"/>
    </w:rPr>
  </w:style>
  <w:style w:type="paragraph" w:styleId="Footer">
    <w:name w:val="footer"/>
    <w:basedOn w:val="Normal"/>
    <w:link w:val="FooterChar"/>
    <w:uiPriority w:val="99"/>
    <w:unhideWhenUsed/>
    <w:rsid w:val="00EE2B3B"/>
    <w:pPr>
      <w:tabs>
        <w:tab w:val="center" w:pos="4680"/>
        <w:tab w:val="right" w:pos="9360"/>
      </w:tabs>
    </w:pPr>
  </w:style>
  <w:style w:type="character" w:customStyle="1" w:styleId="FooterChar">
    <w:name w:val="Footer Char"/>
    <w:basedOn w:val="DefaultParagraphFont"/>
    <w:link w:val="Footer"/>
    <w:uiPriority w:val="99"/>
    <w:rsid w:val="00EE2B3B"/>
    <w:rPr>
      <w:sz w:val="24"/>
      <w:szCs w:val="24"/>
    </w:rPr>
  </w:style>
  <w:style w:type="character" w:styleId="FollowedHyperlink">
    <w:name w:val="FollowedHyperlink"/>
    <w:basedOn w:val="DefaultParagraphFont"/>
    <w:uiPriority w:val="99"/>
    <w:semiHidden/>
    <w:unhideWhenUsed/>
    <w:rsid w:val="00EE2B3B"/>
    <w:rPr>
      <w:color w:val="954F72" w:themeColor="followedHyperlink"/>
      <w:u w:val="single"/>
    </w:rPr>
  </w:style>
  <w:style w:type="character" w:styleId="UnresolvedMention">
    <w:name w:val="Unresolved Mention"/>
    <w:basedOn w:val="DefaultParagraphFont"/>
    <w:uiPriority w:val="99"/>
    <w:semiHidden/>
    <w:unhideWhenUsed/>
    <w:rsid w:val="00EE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rg/annualrep/2009eng/Argentina12159eng.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dh.org/annualrep/2009eng/Argentina12159eng.htm" TargetMode="External"/><Relationship Id="rId4" Type="http://schemas.openxmlformats.org/officeDocument/2006/relationships/settings" Target="settings.xml"/><Relationship Id="rId9" Type="http://schemas.openxmlformats.org/officeDocument/2006/relationships/hyperlink" Target="http://www.cidh.oas.org/annualrep/2003eng/Argentina.12159.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18/docs/IA2018cap.2-es.pdf" TargetMode="External"/><Relationship Id="rId2" Type="http://schemas.openxmlformats.org/officeDocument/2006/relationships/hyperlink" Target="https://www.oas.org/en/iachr/docs/annual/2022/Chapters/4-IA2022_Cap_2_EN.pdf" TargetMode="External"/><Relationship Id="rId1" Type="http://schemas.openxmlformats.org/officeDocument/2006/relationships/hyperlink" Target="http://www.oas.org/es/cidh/docs/anual/2018/docs/IA2018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EF23-5EC8-47BB-AEC1-2CD4B91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2023-06-28T14:54:00Z</dcterms:created>
  <dcterms:modified xsi:type="dcterms:W3CDTF">2023-06-28T14:54:00Z</dcterms:modified>
</cp:coreProperties>
</file>