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8E819" w14:textId="77777777" w:rsidR="00EE2B3B" w:rsidRDefault="00EE2B3B" w:rsidP="00EE2B3B">
      <w:pPr>
        <w:pStyle w:val="NoSpacing"/>
        <w:ind w:left="-270" w:right="-270"/>
        <w:jc w:val="center"/>
        <w:rPr>
          <w:rFonts w:ascii="Cambria" w:hAnsi="Cambria"/>
          <w:b/>
          <w:color w:val="000000"/>
          <w:sz w:val="24"/>
          <w:szCs w:val="24"/>
        </w:rPr>
      </w:pPr>
    </w:p>
    <w:p w14:paraId="036D26F6" w14:textId="77777777" w:rsidR="00EE2B3B" w:rsidRPr="00EE2B3B" w:rsidRDefault="00EE2B3B" w:rsidP="00EE2B3B">
      <w:pPr>
        <w:pStyle w:val="NoSpacing"/>
        <w:ind w:left="-270" w:right="-270"/>
        <w:jc w:val="center"/>
        <w:rPr>
          <w:rFonts w:ascii="Cambria" w:hAnsi="Cambria"/>
          <w:b/>
          <w:color w:val="000000"/>
          <w:sz w:val="24"/>
          <w:szCs w:val="24"/>
        </w:rPr>
      </w:pPr>
      <w:r w:rsidRPr="00EE2B3B">
        <w:rPr>
          <w:rFonts w:ascii="Cambria" w:hAnsi="Cambria"/>
          <w:b/>
          <w:color w:val="000000"/>
          <w:sz w:val="24"/>
          <w:szCs w:val="24"/>
        </w:rPr>
        <w:t>TECHNICAL INFORMATION SHEET</w:t>
      </w:r>
    </w:p>
    <w:p w14:paraId="08C11A4F" w14:textId="43B4902E" w:rsidR="00EE2B3B" w:rsidRDefault="00A15312" w:rsidP="00EE2B3B">
      <w:pPr>
        <w:pStyle w:val="NoSpacing"/>
        <w:ind w:left="-270" w:right="-270"/>
        <w:jc w:val="center"/>
        <w:rPr>
          <w:rFonts w:ascii="Cambria" w:hAnsi="Cambria"/>
          <w:b/>
          <w:color w:val="000000"/>
          <w:sz w:val="24"/>
          <w:szCs w:val="24"/>
        </w:rPr>
      </w:pPr>
      <w:r w:rsidRPr="003F7365">
        <w:rPr>
          <w:rFonts w:ascii="Cambria" w:hAnsi="Cambria"/>
          <w:b/>
          <w:color w:val="000000"/>
          <w:sz w:val="24"/>
          <w:szCs w:val="24"/>
        </w:rPr>
        <w:t>CASE 12.182</w:t>
      </w:r>
      <w:r>
        <w:rPr>
          <w:rFonts w:ascii="Cambria" w:hAnsi="Cambria"/>
          <w:b/>
          <w:color w:val="000000"/>
          <w:sz w:val="24"/>
          <w:szCs w:val="24"/>
        </w:rPr>
        <w:t xml:space="preserve"> </w:t>
      </w:r>
      <w:r w:rsidRPr="003F7365">
        <w:rPr>
          <w:rFonts w:ascii="Cambria" w:hAnsi="Cambria"/>
          <w:b/>
          <w:color w:val="000000"/>
          <w:sz w:val="24"/>
          <w:szCs w:val="24"/>
        </w:rPr>
        <w:t xml:space="preserve">FLORENTINO ROJAS </w:t>
      </w:r>
      <w:r w:rsidR="00EE2B3B" w:rsidRPr="003F7365">
        <w:rPr>
          <w:rFonts w:ascii="Cambria" w:hAnsi="Cambria"/>
          <w:b/>
          <w:color w:val="000000"/>
          <w:sz w:val="24"/>
          <w:szCs w:val="24"/>
        </w:rPr>
        <w:t xml:space="preserve"> </w:t>
      </w:r>
    </w:p>
    <w:p w14:paraId="589F3041" w14:textId="7455590D" w:rsidR="00EE2B3B" w:rsidRPr="003F7365" w:rsidRDefault="00EE2B3B" w:rsidP="00EE2B3B">
      <w:pPr>
        <w:pStyle w:val="NoSpacing"/>
        <w:ind w:left="-270" w:right="-270"/>
        <w:jc w:val="center"/>
        <w:rPr>
          <w:rFonts w:ascii="Cambria" w:hAnsi="Cambria"/>
          <w:b/>
          <w:color w:val="000000"/>
          <w:sz w:val="24"/>
          <w:szCs w:val="24"/>
        </w:rPr>
      </w:pPr>
      <w:r w:rsidRPr="003F7365">
        <w:rPr>
          <w:rFonts w:ascii="Cambria" w:hAnsi="Cambria"/>
          <w:b/>
          <w:color w:val="000000"/>
          <w:sz w:val="24"/>
          <w:szCs w:val="24"/>
        </w:rPr>
        <w:t xml:space="preserve">REPORT ON FRIENDLY SETTLEMENT Nº </w:t>
      </w:r>
      <w:hyperlink r:id="rId8" w:history="1">
        <w:r w:rsidR="00A15312" w:rsidRPr="00BB339B">
          <w:rPr>
            <w:rStyle w:val="Hyperlink"/>
            <w:rFonts w:ascii="Cambria" w:hAnsi="Cambria"/>
            <w:b/>
            <w:sz w:val="24"/>
            <w:szCs w:val="24"/>
          </w:rPr>
          <w:t>10</w:t>
        </w:r>
        <w:r w:rsidR="00BB339B" w:rsidRPr="00BB339B">
          <w:rPr>
            <w:rStyle w:val="Hyperlink"/>
            <w:rFonts w:ascii="Cambria" w:hAnsi="Cambria"/>
            <w:b/>
            <w:sz w:val="24"/>
            <w:szCs w:val="24"/>
          </w:rPr>
          <w:t>9</w:t>
        </w:r>
        <w:r w:rsidR="00A15312" w:rsidRPr="00BB339B">
          <w:rPr>
            <w:rStyle w:val="Hyperlink"/>
            <w:rFonts w:ascii="Cambria" w:hAnsi="Cambria"/>
            <w:b/>
            <w:sz w:val="24"/>
            <w:szCs w:val="24"/>
          </w:rPr>
          <w:t>/13</w:t>
        </w:r>
      </w:hyperlink>
    </w:p>
    <w:p w14:paraId="291D19F8" w14:textId="77777777" w:rsidR="00EE2B3B" w:rsidRDefault="00EE2B3B" w:rsidP="00EE2B3B">
      <w:pPr>
        <w:pStyle w:val="NoSpacing"/>
        <w:ind w:left="-270" w:right="-270"/>
        <w:jc w:val="center"/>
        <w:rPr>
          <w:rFonts w:ascii="Cambria" w:hAnsi="Cambria"/>
          <w:b/>
          <w:color w:val="000000"/>
          <w:sz w:val="24"/>
          <w:szCs w:val="24"/>
        </w:rPr>
      </w:pPr>
      <w:r w:rsidRPr="00EE2B3B">
        <w:rPr>
          <w:rFonts w:ascii="Cambria" w:hAnsi="Cambria"/>
          <w:b/>
          <w:color w:val="000000"/>
          <w:sz w:val="24"/>
          <w:szCs w:val="24"/>
        </w:rPr>
        <w:t>TOTAL COMPLIANCE</w:t>
      </w:r>
      <w:r w:rsidRPr="003F7365">
        <w:rPr>
          <w:rFonts w:ascii="Cambria" w:hAnsi="Cambria"/>
          <w:b/>
          <w:color w:val="000000"/>
          <w:sz w:val="24"/>
          <w:szCs w:val="24"/>
        </w:rPr>
        <w:t xml:space="preserve"> </w:t>
      </w:r>
    </w:p>
    <w:p w14:paraId="731B0D08" w14:textId="1C97EE05" w:rsidR="00EE2B3B" w:rsidRPr="003F7365" w:rsidRDefault="00EE2B3B" w:rsidP="00EE2B3B">
      <w:pPr>
        <w:pStyle w:val="NoSpacing"/>
        <w:ind w:left="-270" w:right="-270"/>
        <w:jc w:val="center"/>
        <w:rPr>
          <w:rFonts w:ascii="Cambria" w:hAnsi="Cambria"/>
          <w:b/>
          <w:color w:val="000000"/>
          <w:sz w:val="24"/>
          <w:szCs w:val="24"/>
        </w:rPr>
      </w:pPr>
      <w:r w:rsidRPr="003F7365">
        <w:rPr>
          <w:rFonts w:ascii="Cambria" w:hAnsi="Cambria"/>
          <w:b/>
          <w:color w:val="000000"/>
          <w:sz w:val="24"/>
          <w:szCs w:val="24"/>
        </w:rPr>
        <w:t>(ARGENTINA)</w:t>
      </w:r>
    </w:p>
    <w:p w14:paraId="6FCFDEEB" w14:textId="77777777" w:rsidR="00EE2B3B" w:rsidRPr="003F7365" w:rsidRDefault="00EE2B3B" w:rsidP="00EE2B3B">
      <w:pPr>
        <w:pStyle w:val="NoSpacing"/>
        <w:ind w:left="-270" w:right="-270"/>
        <w:jc w:val="center"/>
        <w:rPr>
          <w:rFonts w:ascii="Cambria" w:hAnsi="Cambria"/>
          <w:b/>
          <w:color w:val="000000"/>
          <w:sz w:val="20"/>
          <w:szCs w:val="20"/>
        </w:rPr>
      </w:pPr>
    </w:p>
    <w:p w14:paraId="14A7D6AF" w14:textId="77777777" w:rsidR="00EE2B3B" w:rsidRPr="003F7365" w:rsidRDefault="00EE2B3B" w:rsidP="00EE2B3B">
      <w:pPr>
        <w:numPr>
          <w:ilvl w:val="0"/>
          <w:numId w:val="1"/>
        </w:numPr>
        <w:ind w:left="0" w:firstLine="720"/>
        <w:rPr>
          <w:rFonts w:ascii="Cambria" w:hAnsi="Cambria" w:cs="Calibri Light"/>
          <w:b/>
          <w:color w:val="000000"/>
          <w:sz w:val="20"/>
          <w:szCs w:val="20"/>
        </w:rPr>
      </w:pPr>
      <w:r w:rsidRPr="003F7365">
        <w:rPr>
          <w:rFonts w:ascii="Cambria" w:hAnsi="Cambria"/>
          <w:b/>
          <w:color w:val="000000"/>
          <w:sz w:val="20"/>
          <w:szCs w:val="20"/>
        </w:rPr>
        <w:t xml:space="preserve">SUMMARY OF THE CASE </w:t>
      </w:r>
    </w:p>
    <w:p w14:paraId="05E3AE0D" w14:textId="77777777" w:rsidR="00EE2B3B" w:rsidRPr="003F7365" w:rsidRDefault="00EE2B3B" w:rsidP="00EE2B3B">
      <w:pPr>
        <w:ind w:left="720"/>
        <w:rPr>
          <w:rFonts w:ascii="Cambria" w:hAnsi="Cambria" w:cs="Calibri Light"/>
          <w:b/>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EE2B3B" w:rsidRPr="003F7365" w14:paraId="0DA6B01E" w14:textId="77777777" w:rsidTr="00D53017">
        <w:trPr>
          <w:jc w:val="center"/>
        </w:trPr>
        <w:tc>
          <w:tcPr>
            <w:tcW w:w="9576" w:type="dxa"/>
            <w:tcBorders>
              <w:top w:val="single" w:sz="4" w:space="0" w:color="auto"/>
              <w:left w:val="single" w:sz="4" w:space="0" w:color="auto"/>
              <w:bottom w:val="single" w:sz="4" w:space="0" w:color="auto"/>
              <w:right w:val="single" w:sz="4" w:space="0" w:color="auto"/>
            </w:tcBorders>
            <w:shd w:val="clear" w:color="auto" w:fill="F2F2F2"/>
          </w:tcPr>
          <w:p w14:paraId="44581C53" w14:textId="77777777" w:rsidR="001D1BFB" w:rsidRPr="003F7365" w:rsidRDefault="001D1BFB" w:rsidP="001D1BFB">
            <w:pPr>
              <w:pStyle w:val="NoSpacing"/>
              <w:tabs>
                <w:tab w:val="left" w:pos="9270"/>
              </w:tabs>
              <w:jc w:val="both"/>
              <w:rPr>
                <w:rFonts w:ascii="Cambria" w:hAnsi="Cambria"/>
                <w:color w:val="000000"/>
                <w:sz w:val="20"/>
                <w:szCs w:val="20"/>
              </w:rPr>
            </w:pPr>
            <w:r w:rsidRPr="003F7365">
              <w:rPr>
                <w:rFonts w:ascii="Cambria" w:hAnsi="Cambria"/>
                <w:b/>
                <w:color w:val="000000"/>
                <w:sz w:val="20"/>
                <w:szCs w:val="20"/>
              </w:rPr>
              <w:t>Victim(s):</w:t>
            </w:r>
            <w:r w:rsidRPr="003F7365">
              <w:rPr>
                <w:rFonts w:ascii="Cambria" w:hAnsi="Cambria"/>
                <w:color w:val="000000"/>
                <w:sz w:val="20"/>
                <w:szCs w:val="20"/>
              </w:rPr>
              <w:t xml:space="preserve"> Florentino Rojas</w:t>
            </w:r>
          </w:p>
          <w:p w14:paraId="03437E2A" w14:textId="77777777" w:rsidR="001D1BFB" w:rsidRPr="003F7365" w:rsidRDefault="001D1BFB" w:rsidP="001D1BFB">
            <w:pPr>
              <w:pStyle w:val="NoSpacing"/>
              <w:tabs>
                <w:tab w:val="left" w:pos="9270"/>
              </w:tabs>
              <w:jc w:val="both"/>
              <w:rPr>
                <w:rFonts w:ascii="Cambria" w:hAnsi="Cambria"/>
                <w:color w:val="000000"/>
                <w:sz w:val="20"/>
                <w:szCs w:val="20"/>
                <w:lang w:val="es-CO"/>
              </w:rPr>
            </w:pPr>
            <w:r w:rsidRPr="003F7365">
              <w:rPr>
                <w:rFonts w:ascii="Cambria" w:hAnsi="Cambria"/>
                <w:b/>
                <w:color w:val="000000"/>
                <w:sz w:val="20"/>
                <w:szCs w:val="20"/>
                <w:lang w:val="es-CO"/>
              </w:rPr>
              <w:t xml:space="preserve">Petitioner(s): </w:t>
            </w:r>
            <w:r w:rsidRPr="003F7365">
              <w:rPr>
                <w:rFonts w:ascii="Cambria" w:hAnsi="Cambria"/>
                <w:color w:val="000000"/>
                <w:sz w:val="20"/>
                <w:szCs w:val="20"/>
                <w:lang w:val="es-CO"/>
              </w:rPr>
              <w:t>Dr. Pablo Ignacio Pita and Dr. José Sergio del Franco</w:t>
            </w:r>
          </w:p>
          <w:p w14:paraId="4F4BB4D9" w14:textId="77777777" w:rsidR="001D1BFB" w:rsidRPr="003F7365" w:rsidRDefault="001D1BFB" w:rsidP="001D1BFB">
            <w:pPr>
              <w:pStyle w:val="NoSpacing"/>
              <w:tabs>
                <w:tab w:val="left" w:pos="9270"/>
              </w:tabs>
              <w:jc w:val="both"/>
              <w:rPr>
                <w:rFonts w:ascii="Cambria" w:hAnsi="Cambria"/>
                <w:color w:val="000000"/>
                <w:sz w:val="20"/>
                <w:szCs w:val="20"/>
              </w:rPr>
            </w:pPr>
            <w:r w:rsidRPr="003F7365">
              <w:rPr>
                <w:rFonts w:ascii="Cambria" w:hAnsi="Cambria"/>
                <w:b/>
                <w:color w:val="000000"/>
                <w:sz w:val="20"/>
                <w:szCs w:val="20"/>
              </w:rPr>
              <w:t>State:</w:t>
            </w:r>
            <w:r w:rsidRPr="003F7365">
              <w:rPr>
                <w:rFonts w:ascii="Cambria" w:hAnsi="Cambria"/>
                <w:color w:val="000000"/>
                <w:sz w:val="20"/>
                <w:szCs w:val="20"/>
              </w:rPr>
              <w:t xml:space="preserve"> Argentina</w:t>
            </w:r>
          </w:p>
          <w:p w14:paraId="2665CD64" w14:textId="77777777" w:rsidR="001D1BFB" w:rsidRPr="003F7365" w:rsidRDefault="001D1BFB" w:rsidP="001D1BFB">
            <w:pPr>
              <w:pStyle w:val="NoSpacing"/>
              <w:tabs>
                <w:tab w:val="left" w:pos="9270"/>
              </w:tabs>
              <w:jc w:val="both"/>
              <w:rPr>
                <w:rFonts w:ascii="Cambria" w:hAnsi="Cambria"/>
                <w:b/>
                <w:bCs/>
                <w:color w:val="000000"/>
                <w:sz w:val="20"/>
                <w:szCs w:val="20"/>
              </w:rPr>
            </w:pPr>
            <w:r w:rsidRPr="003F7365">
              <w:rPr>
                <w:rFonts w:ascii="Cambria" w:hAnsi="Cambria"/>
                <w:b/>
                <w:bCs/>
                <w:color w:val="000000"/>
                <w:sz w:val="20"/>
                <w:szCs w:val="20"/>
              </w:rPr>
              <w:t>Beginning of the negotiation date:</w:t>
            </w:r>
            <w:r w:rsidRPr="003F7365">
              <w:rPr>
                <w:rFonts w:ascii="Cambria" w:hAnsi="Cambria"/>
                <w:bCs/>
                <w:color w:val="000000"/>
                <w:sz w:val="20"/>
                <w:szCs w:val="20"/>
              </w:rPr>
              <w:t xml:space="preserve"> </w:t>
            </w:r>
            <w:r w:rsidRPr="003F7365">
              <w:rPr>
                <w:rFonts w:ascii="Cambria" w:hAnsi="Cambria"/>
                <w:bCs/>
                <w:sz w:val="20"/>
                <w:szCs w:val="20"/>
              </w:rPr>
              <w:t>April 14, 2007</w:t>
            </w:r>
          </w:p>
          <w:p w14:paraId="2A8536AB" w14:textId="77777777" w:rsidR="001D1BFB" w:rsidRPr="003F7365" w:rsidRDefault="001D1BFB" w:rsidP="001D1BFB">
            <w:pPr>
              <w:jc w:val="both"/>
              <w:rPr>
                <w:rFonts w:ascii="Cambria" w:hAnsi="Cambria"/>
                <w:b/>
                <w:bCs/>
                <w:color w:val="000000"/>
                <w:sz w:val="20"/>
                <w:szCs w:val="20"/>
              </w:rPr>
            </w:pPr>
            <w:r w:rsidRPr="003F7365">
              <w:rPr>
                <w:rFonts w:ascii="Cambria" w:hAnsi="Cambria"/>
                <w:b/>
                <w:bCs/>
                <w:color w:val="000000"/>
                <w:sz w:val="20"/>
                <w:szCs w:val="20"/>
              </w:rPr>
              <w:t xml:space="preserve">FSA signature date: </w:t>
            </w:r>
            <w:r w:rsidRPr="003F7365">
              <w:rPr>
                <w:rFonts w:ascii="Cambria" w:hAnsi="Cambria"/>
                <w:bCs/>
                <w:color w:val="000000"/>
                <w:sz w:val="20"/>
                <w:szCs w:val="20"/>
              </w:rPr>
              <w:t>November 23, 2009</w:t>
            </w:r>
          </w:p>
          <w:p w14:paraId="538F0095" w14:textId="77777777" w:rsidR="001D1BFB" w:rsidRPr="003F7365" w:rsidRDefault="001D1BFB" w:rsidP="001D1BFB">
            <w:pPr>
              <w:pStyle w:val="NoSpacing"/>
              <w:tabs>
                <w:tab w:val="left" w:pos="9270"/>
              </w:tabs>
              <w:jc w:val="both"/>
              <w:rPr>
                <w:rFonts w:ascii="Cambria" w:hAnsi="Cambria"/>
                <w:color w:val="000000"/>
                <w:sz w:val="20"/>
                <w:szCs w:val="20"/>
              </w:rPr>
            </w:pPr>
            <w:r w:rsidRPr="003F7365">
              <w:rPr>
                <w:rFonts w:ascii="Cambria" w:hAnsi="Cambria"/>
                <w:b/>
                <w:color w:val="000000"/>
                <w:sz w:val="20"/>
                <w:szCs w:val="20"/>
              </w:rPr>
              <w:t xml:space="preserve">Report on Admissibility No. </w:t>
            </w:r>
            <w:hyperlink r:id="rId9" w:history="1">
              <w:r w:rsidRPr="003F7365">
                <w:rPr>
                  <w:rStyle w:val="Hyperlink"/>
                  <w:rFonts w:ascii="Cambria" w:hAnsi="Cambria"/>
                  <w:b/>
                  <w:color w:val="000000"/>
                  <w:sz w:val="20"/>
                  <w:szCs w:val="20"/>
                </w:rPr>
                <w:t>64/09</w:t>
              </w:r>
            </w:hyperlink>
            <w:r w:rsidRPr="003F7365">
              <w:rPr>
                <w:rFonts w:ascii="Cambria" w:hAnsi="Cambria"/>
                <w:color w:val="000000"/>
                <w:sz w:val="20"/>
                <w:szCs w:val="20"/>
              </w:rPr>
              <w:t>, published on August 4, 2009</w:t>
            </w:r>
          </w:p>
          <w:p w14:paraId="30163264" w14:textId="77777777" w:rsidR="001D1BFB" w:rsidRPr="003F7365" w:rsidRDefault="001D1BFB" w:rsidP="001D1BFB">
            <w:pPr>
              <w:jc w:val="both"/>
              <w:rPr>
                <w:rFonts w:ascii="Cambria" w:hAnsi="Cambria"/>
                <w:color w:val="000000"/>
                <w:sz w:val="20"/>
                <w:szCs w:val="20"/>
              </w:rPr>
            </w:pPr>
            <w:r w:rsidRPr="003F7365">
              <w:rPr>
                <w:rFonts w:ascii="Cambria" w:hAnsi="Cambria"/>
                <w:b/>
                <w:color w:val="000000"/>
                <w:sz w:val="20"/>
                <w:szCs w:val="20"/>
              </w:rPr>
              <w:t xml:space="preserve">Friendly Settlement Agreement Report No. </w:t>
            </w:r>
            <w:hyperlink r:id="rId10" w:history="1">
              <w:r w:rsidRPr="003F7365">
                <w:rPr>
                  <w:rStyle w:val="Hyperlink"/>
                  <w:rFonts w:ascii="Cambria" w:hAnsi="Cambria"/>
                  <w:b/>
                  <w:color w:val="000000"/>
                  <w:sz w:val="20"/>
                  <w:szCs w:val="20"/>
                </w:rPr>
                <w:t>10</w:t>
              </w:r>
              <w:bookmarkStart w:id="0" w:name="_Hlt529195829"/>
              <w:bookmarkStart w:id="1" w:name="_Hlt529195830"/>
              <w:r w:rsidRPr="003F7365">
                <w:rPr>
                  <w:rStyle w:val="Hyperlink"/>
                  <w:rFonts w:ascii="Cambria" w:hAnsi="Cambria"/>
                  <w:b/>
                  <w:color w:val="000000"/>
                  <w:sz w:val="20"/>
                  <w:szCs w:val="20"/>
                </w:rPr>
                <w:t>9</w:t>
              </w:r>
              <w:bookmarkStart w:id="2" w:name="_Hlt529196140"/>
              <w:bookmarkStart w:id="3" w:name="_Hlt529196141"/>
              <w:bookmarkEnd w:id="0"/>
              <w:bookmarkEnd w:id="1"/>
              <w:r w:rsidRPr="003F7365">
                <w:rPr>
                  <w:rStyle w:val="Hyperlink"/>
                  <w:rFonts w:ascii="Cambria" w:hAnsi="Cambria"/>
                  <w:b/>
                  <w:color w:val="000000"/>
                  <w:sz w:val="20"/>
                  <w:szCs w:val="20"/>
                </w:rPr>
                <w:t>/</w:t>
              </w:r>
              <w:bookmarkEnd w:id="2"/>
              <w:bookmarkEnd w:id="3"/>
              <w:r w:rsidRPr="003F7365">
                <w:rPr>
                  <w:rStyle w:val="Hyperlink"/>
                  <w:rFonts w:ascii="Cambria" w:hAnsi="Cambria"/>
                  <w:b/>
                  <w:color w:val="000000"/>
                  <w:sz w:val="20"/>
                  <w:szCs w:val="20"/>
                </w:rPr>
                <w:t>13</w:t>
              </w:r>
            </w:hyperlink>
            <w:r w:rsidRPr="003F7365">
              <w:rPr>
                <w:rFonts w:ascii="Cambria" w:hAnsi="Cambria"/>
                <w:color w:val="000000"/>
                <w:sz w:val="20"/>
                <w:szCs w:val="20"/>
              </w:rPr>
              <w:t>, published on November 5, 2013</w:t>
            </w:r>
          </w:p>
          <w:p w14:paraId="5E97ED22" w14:textId="77777777" w:rsidR="001D1BFB" w:rsidRPr="003F7365" w:rsidRDefault="001D1BFB" w:rsidP="001D1BFB">
            <w:pPr>
              <w:jc w:val="both"/>
              <w:rPr>
                <w:rFonts w:ascii="Cambria" w:hAnsi="Cambria"/>
                <w:b/>
                <w:bCs/>
                <w:color w:val="000000"/>
                <w:sz w:val="20"/>
                <w:szCs w:val="20"/>
              </w:rPr>
            </w:pPr>
            <w:r w:rsidRPr="003F7365">
              <w:rPr>
                <w:rFonts w:ascii="Cambria" w:hAnsi="Cambria"/>
                <w:b/>
                <w:bCs/>
                <w:color w:val="000000"/>
                <w:sz w:val="20"/>
                <w:szCs w:val="20"/>
              </w:rPr>
              <w:t xml:space="preserve">Estimated length of the negotiation phase: </w:t>
            </w:r>
            <w:r w:rsidRPr="003F7365">
              <w:rPr>
                <w:rFonts w:ascii="Cambria" w:hAnsi="Cambria"/>
                <w:bCs/>
                <w:color w:val="000000"/>
                <w:sz w:val="20"/>
                <w:szCs w:val="20"/>
              </w:rPr>
              <w:t>6 years</w:t>
            </w:r>
          </w:p>
          <w:p w14:paraId="05712425" w14:textId="77777777" w:rsidR="001D1BFB" w:rsidRPr="003F7365" w:rsidRDefault="001D1BFB" w:rsidP="001D1BFB">
            <w:pPr>
              <w:jc w:val="both"/>
              <w:rPr>
                <w:rFonts w:ascii="Cambria" w:hAnsi="Cambria"/>
                <w:color w:val="000000"/>
                <w:sz w:val="20"/>
                <w:szCs w:val="20"/>
              </w:rPr>
            </w:pPr>
            <w:r w:rsidRPr="003F7365">
              <w:rPr>
                <w:rFonts w:ascii="Cambria" w:hAnsi="Cambria"/>
                <w:b/>
                <w:color w:val="000000"/>
                <w:sz w:val="20"/>
                <w:szCs w:val="20"/>
              </w:rPr>
              <w:t>Related Rapporteurship:</w:t>
            </w:r>
            <w:r w:rsidRPr="003F7365">
              <w:rPr>
                <w:rFonts w:ascii="Cambria" w:hAnsi="Cambria"/>
                <w:color w:val="000000"/>
                <w:sz w:val="20"/>
                <w:szCs w:val="20"/>
              </w:rPr>
              <w:t xml:space="preserve"> Rapporteurship on the rights of persons with disabilities; Rapporteurship on the rights of older persons </w:t>
            </w:r>
          </w:p>
          <w:p w14:paraId="60845D68" w14:textId="77777777" w:rsidR="001D1BFB" w:rsidRPr="003F7365" w:rsidRDefault="001D1BFB" w:rsidP="001D1BFB">
            <w:pPr>
              <w:pStyle w:val="NoSpacing"/>
              <w:tabs>
                <w:tab w:val="left" w:pos="9270"/>
              </w:tabs>
              <w:jc w:val="both"/>
              <w:rPr>
                <w:rFonts w:ascii="Cambria" w:hAnsi="Cambria"/>
                <w:color w:val="000000"/>
                <w:sz w:val="20"/>
                <w:szCs w:val="20"/>
              </w:rPr>
            </w:pPr>
            <w:r w:rsidRPr="003F7365">
              <w:rPr>
                <w:rFonts w:ascii="Cambria" w:hAnsi="Cambria"/>
                <w:b/>
                <w:color w:val="000000"/>
                <w:sz w:val="20"/>
                <w:szCs w:val="20"/>
              </w:rPr>
              <w:t>Topics:</w:t>
            </w:r>
            <w:r w:rsidRPr="003F7365">
              <w:rPr>
                <w:rFonts w:ascii="Cambria" w:hAnsi="Cambria"/>
                <w:color w:val="000000"/>
                <w:sz w:val="20"/>
                <w:szCs w:val="20"/>
              </w:rPr>
              <w:t xml:space="preserve"> Persons with disabilities/Health</w:t>
            </w:r>
          </w:p>
          <w:p w14:paraId="510040F0" w14:textId="77777777" w:rsidR="001D1BFB" w:rsidRPr="003F7365" w:rsidRDefault="001D1BFB" w:rsidP="001D1BFB">
            <w:pPr>
              <w:pStyle w:val="NoSpacing"/>
              <w:tabs>
                <w:tab w:val="left" w:pos="9270"/>
              </w:tabs>
              <w:jc w:val="both"/>
              <w:rPr>
                <w:rFonts w:ascii="Cambria" w:hAnsi="Cambria"/>
                <w:color w:val="000000"/>
                <w:sz w:val="20"/>
                <w:szCs w:val="20"/>
              </w:rPr>
            </w:pPr>
          </w:p>
          <w:p w14:paraId="11C80F15" w14:textId="77777777" w:rsidR="001D1BFB" w:rsidRPr="003F7365" w:rsidRDefault="001D1BFB" w:rsidP="001D1BFB">
            <w:pPr>
              <w:pStyle w:val="NoSpacing"/>
              <w:tabs>
                <w:tab w:val="left" w:pos="9270"/>
              </w:tabs>
              <w:jc w:val="both"/>
              <w:rPr>
                <w:rFonts w:ascii="Cambria" w:hAnsi="Cambria"/>
                <w:color w:val="000000"/>
                <w:sz w:val="20"/>
                <w:szCs w:val="20"/>
              </w:rPr>
            </w:pPr>
            <w:r w:rsidRPr="003F7365">
              <w:rPr>
                <w:rFonts w:ascii="Cambria" w:hAnsi="Cambria"/>
                <w:b/>
                <w:color w:val="000000"/>
                <w:sz w:val="20"/>
                <w:szCs w:val="20"/>
              </w:rPr>
              <w:t>Facts:</w:t>
            </w:r>
            <w:r w:rsidRPr="003F7365">
              <w:rPr>
                <w:rFonts w:ascii="Cambria" w:hAnsi="Cambria"/>
                <w:color w:val="000000"/>
                <w:sz w:val="20"/>
                <w:szCs w:val="20"/>
              </w:rPr>
              <w:t xml:space="preserve"> The petitioners alleged that, on July 7, 1973, Mr. Florentino Rojas suffered an accident on his way back to his home after finishing his shift in the mandatory military service that caused him a permanent physical disability of 85%. As a result, Mr. Florentino Rojas had filed through the administrative channel for a military pension which was allegedly denied. In April 1980, he brought judicial suit, which culminated in a judgment of the National Court of First Instance for Actions under Federal Administrative Law No. 5, determining that Mr. Florentino Rojas's injuries were related to his service and sentencing the Argentine Army to grant him a military pension. The petitioners pointed out that the National Chamber of Appeals for Actions under Administrative Law revoked the National Court of First Instance ruling, stating that the accident had not occurred during acts of military service, so that he Mr. Rojas was not owed a pension. They indicated that the Supreme Court of Justice of the Nation rejected the extraordinary appeal filed, for merely formal reasons based n Article 280 of the Civil Code of Procedure, without going into the handling of the judicial proceedings.</w:t>
            </w:r>
          </w:p>
          <w:p w14:paraId="42F74E94" w14:textId="77777777" w:rsidR="001D1BFB" w:rsidRPr="003F7365" w:rsidRDefault="001D1BFB" w:rsidP="001D1BFB">
            <w:pPr>
              <w:pStyle w:val="NoSpacing"/>
              <w:tabs>
                <w:tab w:val="left" w:pos="9270"/>
              </w:tabs>
              <w:jc w:val="both"/>
              <w:rPr>
                <w:rFonts w:ascii="Cambria" w:hAnsi="Cambria"/>
                <w:color w:val="000000"/>
                <w:sz w:val="20"/>
                <w:szCs w:val="20"/>
              </w:rPr>
            </w:pPr>
          </w:p>
          <w:p w14:paraId="2ADA2413" w14:textId="3F7410EB" w:rsidR="00EE2B3B" w:rsidRPr="003F7365" w:rsidRDefault="001D1BFB" w:rsidP="001D1BFB">
            <w:pPr>
              <w:pStyle w:val="NoSpacing"/>
              <w:tabs>
                <w:tab w:val="left" w:pos="9270"/>
              </w:tabs>
              <w:jc w:val="both"/>
              <w:rPr>
                <w:rFonts w:ascii="Cambria" w:hAnsi="Cambria"/>
                <w:color w:val="000000"/>
                <w:sz w:val="20"/>
                <w:szCs w:val="20"/>
              </w:rPr>
            </w:pPr>
            <w:r w:rsidRPr="003F7365">
              <w:rPr>
                <w:rFonts w:ascii="Cambria" w:hAnsi="Cambria"/>
                <w:b/>
                <w:color w:val="000000"/>
                <w:sz w:val="20"/>
                <w:szCs w:val="20"/>
              </w:rPr>
              <w:t>Rights declared admissible:</w:t>
            </w:r>
            <w:r w:rsidRPr="003F7365">
              <w:rPr>
                <w:rFonts w:ascii="Cambria" w:hAnsi="Cambria"/>
                <w:color w:val="000000"/>
                <w:sz w:val="20"/>
                <w:szCs w:val="20"/>
              </w:rPr>
              <w:t xml:space="preserve"> The Commission concluded that it was competent to take cognizance of the instant matter and that the petition was admissible, pursuant to Articles 46 and 47 of the American Convention insofar as the alleged violations of the rights recognized in Articles 8 (due process) and 25 (judicial protection), in conjunction with the general obligations set forth in Articles 1 and 2 of the American Convention on Human Rights are concerned.</w:t>
            </w:r>
          </w:p>
        </w:tc>
      </w:tr>
    </w:tbl>
    <w:p w14:paraId="4EBF1FC0" w14:textId="77777777" w:rsidR="00EE2B3B" w:rsidRPr="003F7365" w:rsidRDefault="00EE2B3B" w:rsidP="00EE2B3B">
      <w:pPr>
        <w:pStyle w:val="ListParagraph"/>
        <w:rPr>
          <w:rFonts w:ascii="Cambria" w:hAnsi="Cambria" w:cs="Calibri Light"/>
          <w:b/>
          <w:color w:val="000000"/>
          <w:sz w:val="20"/>
          <w:szCs w:val="20"/>
        </w:rPr>
      </w:pPr>
    </w:p>
    <w:p w14:paraId="1531F314" w14:textId="77777777" w:rsidR="00EE2B3B" w:rsidRPr="003F7365" w:rsidRDefault="00EE2B3B" w:rsidP="00F84B42">
      <w:pPr>
        <w:pStyle w:val="ListParagraph"/>
        <w:numPr>
          <w:ilvl w:val="0"/>
          <w:numId w:val="1"/>
        </w:numPr>
        <w:ind w:left="0" w:firstLine="720"/>
        <w:rPr>
          <w:rFonts w:ascii="Cambria" w:hAnsi="Cambria" w:cs="Calibri Light"/>
          <w:b/>
          <w:color w:val="000000"/>
          <w:sz w:val="20"/>
          <w:szCs w:val="20"/>
        </w:rPr>
      </w:pPr>
      <w:r w:rsidRPr="003F7365">
        <w:rPr>
          <w:rFonts w:ascii="Cambria" w:hAnsi="Cambria"/>
          <w:b/>
          <w:color w:val="000000"/>
          <w:sz w:val="20"/>
          <w:szCs w:val="20"/>
        </w:rPr>
        <w:t>PROCEDURAL ACTIVITY</w:t>
      </w:r>
    </w:p>
    <w:p w14:paraId="3846F014" w14:textId="77777777" w:rsidR="00EE2B3B" w:rsidRPr="003F7365" w:rsidRDefault="00EE2B3B" w:rsidP="00F84B42">
      <w:pPr>
        <w:pStyle w:val="ListParagraph"/>
        <w:ind w:left="0" w:firstLine="720"/>
        <w:rPr>
          <w:rFonts w:ascii="Cambria" w:hAnsi="Cambria" w:cs="Calibri Light"/>
          <w:b/>
          <w:color w:val="000000"/>
          <w:sz w:val="20"/>
          <w:szCs w:val="20"/>
        </w:rPr>
      </w:pPr>
    </w:p>
    <w:p w14:paraId="163579AD" w14:textId="3B3E1361" w:rsidR="00EE2B3B" w:rsidRDefault="00EE2B3B" w:rsidP="00F84B42">
      <w:pPr>
        <w:numPr>
          <w:ilvl w:val="0"/>
          <w:numId w:val="2"/>
        </w:numPr>
        <w:ind w:left="0" w:firstLine="720"/>
        <w:jc w:val="both"/>
        <w:rPr>
          <w:rFonts w:ascii="Cambria" w:hAnsi="Cambria"/>
          <w:color w:val="000000"/>
          <w:sz w:val="20"/>
          <w:szCs w:val="20"/>
        </w:rPr>
      </w:pPr>
      <w:r>
        <w:rPr>
          <w:rFonts w:ascii="Cambria" w:hAnsi="Cambria"/>
          <w:color w:val="000000"/>
          <w:sz w:val="20"/>
          <w:szCs w:val="20"/>
        </w:rPr>
        <w:t xml:space="preserve">On </w:t>
      </w:r>
      <w:r w:rsidR="00DA1784">
        <w:rPr>
          <w:rFonts w:ascii="Cambria" w:hAnsi="Cambria"/>
          <w:color w:val="000000"/>
          <w:sz w:val="20"/>
          <w:szCs w:val="20"/>
        </w:rPr>
        <w:t>November 23, 2009</w:t>
      </w:r>
      <w:r>
        <w:rPr>
          <w:rFonts w:ascii="Cambria" w:hAnsi="Cambria"/>
          <w:color w:val="000000"/>
          <w:sz w:val="20"/>
          <w:szCs w:val="20"/>
        </w:rPr>
        <w:t xml:space="preserve">, </w:t>
      </w:r>
      <w:r w:rsidRPr="00EE2B3B">
        <w:rPr>
          <w:rFonts w:ascii="Cambria" w:hAnsi="Cambria"/>
          <w:color w:val="000000"/>
          <w:sz w:val="20"/>
          <w:szCs w:val="20"/>
        </w:rPr>
        <w:t>the parties signed a friendly settlement agreement.</w:t>
      </w:r>
    </w:p>
    <w:p w14:paraId="7E9E5C89" w14:textId="77777777" w:rsidR="00EE2B3B" w:rsidRPr="00EE2B3B" w:rsidRDefault="00EE2B3B" w:rsidP="00F84B42">
      <w:pPr>
        <w:ind w:firstLine="720"/>
        <w:jc w:val="both"/>
        <w:rPr>
          <w:rFonts w:ascii="Cambria" w:hAnsi="Cambria"/>
          <w:color w:val="000000"/>
          <w:sz w:val="20"/>
          <w:szCs w:val="20"/>
        </w:rPr>
      </w:pPr>
    </w:p>
    <w:p w14:paraId="1474F062" w14:textId="53483FA2" w:rsidR="00EE2B3B" w:rsidRPr="003F7365" w:rsidRDefault="00EE2B3B" w:rsidP="00F84B42">
      <w:pPr>
        <w:numPr>
          <w:ilvl w:val="0"/>
          <w:numId w:val="2"/>
        </w:numPr>
        <w:ind w:left="0" w:firstLine="720"/>
        <w:jc w:val="both"/>
        <w:rPr>
          <w:rFonts w:ascii="Cambria" w:hAnsi="Cambria" w:cs="Calibri Light"/>
          <w:color w:val="000000"/>
          <w:sz w:val="20"/>
          <w:szCs w:val="20"/>
        </w:rPr>
      </w:pPr>
      <w:r w:rsidRPr="00EE2B3B">
        <w:rPr>
          <w:rFonts w:ascii="Cambria" w:hAnsi="Cambria"/>
          <w:color w:val="000000"/>
          <w:sz w:val="20"/>
          <w:szCs w:val="20"/>
        </w:rPr>
        <w:t xml:space="preserve">On </w:t>
      </w:r>
      <w:r w:rsidR="00DA1784">
        <w:rPr>
          <w:rFonts w:ascii="Cambria" w:hAnsi="Cambria"/>
          <w:color w:val="000000"/>
          <w:sz w:val="20"/>
          <w:szCs w:val="20"/>
        </w:rPr>
        <w:t>November 5, 2013</w:t>
      </w:r>
      <w:r w:rsidRPr="00EE2B3B">
        <w:rPr>
          <w:rFonts w:ascii="Cambria" w:hAnsi="Cambria"/>
          <w:color w:val="000000"/>
          <w:sz w:val="20"/>
          <w:szCs w:val="20"/>
        </w:rPr>
        <w:t>, the Commission approved the agreement signed by the parties, by means of Report No.</w:t>
      </w:r>
      <w:r>
        <w:rPr>
          <w:rFonts w:ascii="Cambria" w:hAnsi="Cambria"/>
          <w:color w:val="000000"/>
          <w:sz w:val="20"/>
          <w:szCs w:val="20"/>
        </w:rPr>
        <w:t xml:space="preserve"> </w:t>
      </w:r>
      <w:r w:rsidR="00DA1784">
        <w:rPr>
          <w:rFonts w:ascii="Cambria" w:hAnsi="Cambria"/>
          <w:color w:val="000000"/>
          <w:sz w:val="20"/>
          <w:szCs w:val="20"/>
        </w:rPr>
        <w:t>109/13</w:t>
      </w:r>
      <w:r w:rsidRPr="003F7365">
        <w:rPr>
          <w:rFonts w:ascii="Cambria" w:hAnsi="Cambria" w:cs="Calibri Light"/>
          <w:color w:val="000000"/>
          <w:sz w:val="20"/>
          <w:szCs w:val="20"/>
        </w:rPr>
        <w:t>.</w:t>
      </w:r>
    </w:p>
    <w:p w14:paraId="516953C5" w14:textId="77777777" w:rsidR="00EE2B3B" w:rsidRPr="003F7365" w:rsidRDefault="00EE2B3B" w:rsidP="00EE2B3B">
      <w:pPr>
        <w:ind w:left="720"/>
        <w:rPr>
          <w:rFonts w:ascii="Cambria" w:hAnsi="Cambria" w:cs="Calibri Light"/>
          <w:color w:val="000000"/>
          <w:sz w:val="20"/>
          <w:szCs w:val="20"/>
        </w:rPr>
      </w:pPr>
    </w:p>
    <w:p w14:paraId="50BF87C1" w14:textId="77777777" w:rsidR="00EE2B3B" w:rsidRPr="003F7365" w:rsidRDefault="00EE2B3B" w:rsidP="00EE2B3B">
      <w:pPr>
        <w:pStyle w:val="ListParagraph"/>
        <w:numPr>
          <w:ilvl w:val="0"/>
          <w:numId w:val="1"/>
        </w:numPr>
        <w:ind w:left="0" w:firstLine="720"/>
        <w:jc w:val="both"/>
        <w:rPr>
          <w:rFonts w:ascii="Cambria" w:hAnsi="Cambria" w:cs="Calibri Light"/>
          <w:b/>
          <w:color w:val="000000"/>
          <w:sz w:val="20"/>
          <w:szCs w:val="20"/>
        </w:rPr>
      </w:pPr>
      <w:r w:rsidRPr="003F7365">
        <w:rPr>
          <w:rFonts w:ascii="Cambria" w:hAnsi="Cambria"/>
          <w:b/>
          <w:bCs/>
          <w:color w:val="000000"/>
          <w:sz w:val="20"/>
          <w:szCs w:val="20"/>
        </w:rPr>
        <w:t xml:space="preserve">ANALYSIS OF COMPLIANCE WITH THE CLAUSES OF THE FRIENDLY SETTLEMENT AGREEMENT </w:t>
      </w:r>
    </w:p>
    <w:p w14:paraId="5EC7D320" w14:textId="77777777" w:rsidR="00EE2B3B" w:rsidRPr="003F7365" w:rsidRDefault="00EE2B3B" w:rsidP="00EE2B3B">
      <w:pPr>
        <w:pStyle w:val="ListParagraph"/>
        <w:jc w:val="both"/>
        <w:rPr>
          <w:rFonts w:ascii="Cambria" w:hAnsi="Cambria" w:cs="Calibri Light"/>
          <w:b/>
          <w:color w:val="000000"/>
          <w:sz w:val="20"/>
          <w:szCs w:val="20"/>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7"/>
        <w:gridCol w:w="2093"/>
      </w:tblGrid>
      <w:tr w:rsidR="004F6608" w:rsidRPr="003F7365" w14:paraId="1CD5E888" w14:textId="77777777" w:rsidTr="00D04AF5">
        <w:trPr>
          <w:trHeight w:val="683"/>
        </w:trPr>
        <w:tc>
          <w:tcPr>
            <w:tcW w:w="78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CF0717" w14:textId="77777777" w:rsidR="004F6608" w:rsidRPr="003F7365" w:rsidRDefault="004F6608" w:rsidP="00D53017">
            <w:pPr>
              <w:jc w:val="center"/>
              <w:rPr>
                <w:rFonts w:ascii="Cambria" w:hAnsi="Cambria"/>
                <w:color w:val="000000"/>
                <w:sz w:val="20"/>
                <w:szCs w:val="20"/>
              </w:rPr>
            </w:pPr>
            <w:r w:rsidRPr="003F7365">
              <w:rPr>
                <w:rFonts w:ascii="Cambria" w:hAnsi="Cambria"/>
                <w:b/>
                <w:color w:val="000000"/>
                <w:sz w:val="20"/>
                <w:szCs w:val="20"/>
              </w:rPr>
              <w:lastRenderedPageBreak/>
              <w:t>Agreement clauses</w:t>
            </w:r>
          </w:p>
        </w:tc>
        <w:tc>
          <w:tcPr>
            <w:tcW w:w="20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984682" w14:textId="6FD56BFD" w:rsidR="004F6608" w:rsidRPr="003F7365" w:rsidRDefault="004F6608" w:rsidP="00D53017">
            <w:pPr>
              <w:jc w:val="center"/>
              <w:rPr>
                <w:rFonts w:ascii="Cambria" w:hAnsi="Cambria"/>
                <w:color w:val="000000"/>
                <w:sz w:val="20"/>
                <w:szCs w:val="20"/>
              </w:rPr>
            </w:pPr>
            <w:r w:rsidRPr="003F7365">
              <w:rPr>
                <w:rFonts w:ascii="Cambria" w:hAnsi="Cambria"/>
                <w:b/>
                <w:color w:val="000000"/>
                <w:sz w:val="20"/>
                <w:szCs w:val="20"/>
              </w:rPr>
              <w:t>Status of compliance</w:t>
            </w:r>
          </w:p>
        </w:tc>
      </w:tr>
      <w:tr w:rsidR="00D11C69" w:rsidRPr="003F7365" w14:paraId="59156234" w14:textId="77777777" w:rsidTr="00D04AF5">
        <w:trPr>
          <w:trHeight w:val="665"/>
        </w:trPr>
        <w:tc>
          <w:tcPr>
            <w:tcW w:w="7807" w:type="dxa"/>
            <w:tcBorders>
              <w:top w:val="single" w:sz="4" w:space="0" w:color="auto"/>
              <w:left w:val="single" w:sz="4" w:space="0" w:color="auto"/>
              <w:bottom w:val="single" w:sz="4" w:space="0" w:color="auto"/>
              <w:right w:val="single" w:sz="4" w:space="0" w:color="auto"/>
            </w:tcBorders>
            <w:vAlign w:val="center"/>
            <w:hideMark/>
          </w:tcPr>
          <w:p w14:paraId="55467442" w14:textId="77777777" w:rsidR="00D11C69" w:rsidRPr="003F7365" w:rsidRDefault="00D11C69" w:rsidP="00D53017">
            <w:pPr>
              <w:jc w:val="both"/>
              <w:rPr>
                <w:rFonts w:ascii="Cambria" w:hAnsi="Cambria"/>
                <w:color w:val="000000"/>
                <w:sz w:val="20"/>
                <w:szCs w:val="20"/>
              </w:rPr>
            </w:pPr>
            <w:r w:rsidRPr="003F7365">
              <w:rPr>
                <w:rFonts w:ascii="Cambria" w:hAnsi="Cambria"/>
                <w:color w:val="000000"/>
                <w:sz w:val="20"/>
                <w:szCs w:val="20"/>
              </w:rPr>
              <w:t xml:space="preserve">II. The primary responsibility of the province of Buenos Aires. </w:t>
            </w:r>
          </w:p>
        </w:tc>
        <w:tc>
          <w:tcPr>
            <w:tcW w:w="2093" w:type="dxa"/>
            <w:tcBorders>
              <w:top w:val="single" w:sz="4" w:space="0" w:color="auto"/>
              <w:left w:val="single" w:sz="4" w:space="0" w:color="auto"/>
              <w:bottom w:val="single" w:sz="4" w:space="0" w:color="auto"/>
              <w:right w:val="single" w:sz="4" w:space="0" w:color="auto"/>
            </w:tcBorders>
            <w:vAlign w:val="center"/>
            <w:hideMark/>
          </w:tcPr>
          <w:p w14:paraId="0AE6F36D" w14:textId="77777777" w:rsidR="00D11C69" w:rsidRPr="003F7365" w:rsidRDefault="00D11C69" w:rsidP="00D53017">
            <w:pPr>
              <w:jc w:val="center"/>
              <w:rPr>
                <w:rFonts w:ascii="Cambria" w:hAnsi="Cambria"/>
                <w:color w:val="000000"/>
                <w:sz w:val="20"/>
                <w:szCs w:val="20"/>
              </w:rPr>
            </w:pPr>
            <w:r w:rsidRPr="003F7365">
              <w:rPr>
                <w:rFonts w:ascii="Cambria" w:hAnsi="Cambria"/>
                <w:b/>
                <w:color w:val="000000"/>
                <w:sz w:val="20"/>
                <w:szCs w:val="20"/>
              </w:rPr>
              <w:t>Declarative clause</w:t>
            </w:r>
          </w:p>
        </w:tc>
      </w:tr>
      <w:tr w:rsidR="00D11C69" w:rsidRPr="003F7365" w14:paraId="2D7A49F4" w14:textId="77777777" w:rsidTr="00D04AF5">
        <w:trPr>
          <w:trHeight w:val="1169"/>
        </w:trPr>
        <w:tc>
          <w:tcPr>
            <w:tcW w:w="7807" w:type="dxa"/>
            <w:tcBorders>
              <w:top w:val="single" w:sz="4" w:space="0" w:color="auto"/>
              <w:left w:val="single" w:sz="4" w:space="0" w:color="auto"/>
              <w:bottom w:val="single" w:sz="4" w:space="0" w:color="auto"/>
              <w:right w:val="single" w:sz="4" w:space="0" w:color="auto"/>
            </w:tcBorders>
            <w:hideMark/>
          </w:tcPr>
          <w:p w14:paraId="24655B48" w14:textId="77777777" w:rsidR="00D11C69" w:rsidRPr="003F7365" w:rsidRDefault="00D11C69" w:rsidP="00D53017">
            <w:pPr>
              <w:tabs>
                <w:tab w:val="left" w:pos="185"/>
              </w:tabs>
              <w:jc w:val="both"/>
              <w:rPr>
                <w:rFonts w:ascii="Cambria" w:hAnsi="Cambria"/>
                <w:color w:val="000000"/>
                <w:sz w:val="20"/>
                <w:szCs w:val="20"/>
              </w:rPr>
            </w:pPr>
            <w:r w:rsidRPr="003F7365">
              <w:rPr>
                <w:rFonts w:ascii="Cambria" w:hAnsi="Cambria"/>
                <w:color w:val="000000"/>
                <w:sz w:val="20"/>
                <w:szCs w:val="20"/>
              </w:rPr>
              <w:t>2. The Argentine government understands that Mr. Florentino Rojas should be assisted for humanitarian reasons and to that end regulates a mechanism for determining such exceptional assistance.</w:t>
            </w:r>
          </w:p>
          <w:p w14:paraId="5F6B8C55" w14:textId="77777777" w:rsidR="00D11C69" w:rsidRPr="003F7365" w:rsidRDefault="00D11C69" w:rsidP="00D53017">
            <w:pPr>
              <w:tabs>
                <w:tab w:val="left" w:pos="185"/>
              </w:tabs>
              <w:jc w:val="both"/>
              <w:rPr>
                <w:rFonts w:ascii="Cambria" w:hAnsi="Cambria"/>
                <w:color w:val="000000"/>
                <w:sz w:val="20"/>
                <w:szCs w:val="20"/>
              </w:rPr>
            </w:pPr>
            <w:r w:rsidRPr="003F7365">
              <w:rPr>
                <w:rFonts w:ascii="Cambria" w:hAnsi="Cambria"/>
                <w:color w:val="000000"/>
                <w:sz w:val="20"/>
                <w:szCs w:val="20"/>
              </w:rPr>
              <w:t>3. The parties agree to establish an Arbitration Tribunal "ad-hoc", in order that it may determine the amount of humanitarian assistance to be granted to the petitioner, as established in section III of this document, and in accordance with international standards that are applicable.</w:t>
            </w:r>
          </w:p>
          <w:p w14:paraId="3BF3750B" w14:textId="77777777" w:rsidR="00D11C69" w:rsidRPr="003F7365" w:rsidRDefault="00D11C69" w:rsidP="00D53017">
            <w:pPr>
              <w:tabs>
                <w:tab w:val="left" w:pos="185"/>
              </w:tabs>
              <w:jc w:val="both"/>
              <w:rPr>
                <w:rFonts w:ascii="Cambria" w:hAnsi="Cambria"/>
                <w:color w:val="000000"/>
                <w:sz w:val="20"/>
                <w:szCs w:val="20"/>
              </w:rPr>
            </w:pPr>
            <w:r w:rsidRPr="003F7365">
              <w:rPr>
                <w:rFonts w:ascii="Cambria" w:hAnsi="Cambria"/>
                <w:color w:val="000000"/>
                <w:sz w:val="20"/>
                <w:szCs w:val="20"/>
              </w:rPr>
              <w:t xml:space="preserve"> […]</w:t>
            </w:r>
          </w:p>
        </w:tc>
        <w:tc>
          <w:tcPr>
            <w:tcW w:w="2093" w:type="dxa"/>
            <w:tcBorders>
              <w:top w:val="single" w:sz="4" w:space="0" w:color="auto"/>
              <w:left w:val="single" w:sz="4" w:space="0" w:color="auto"/>
              <w:bottom w:val="single" w:sz="4" w:space="0" w:color="auto"/>
              <w:right w:val="single" w:sz="4" w:space="0" w:color="auto"/>
            </w:tcBorders>
            <w:vAlign w:val="center"/>
            <w:hideMark/>
          </w:tcPr>
          <w:p w14:paraId="05DDEA83" w14:textId="77777777" w:rsidR="00D11C69" w:rsidRPr="003F7365" w:rsidRDefault="00D11C69" w:rsidP="00D53017">
            <w:pPr>
              <w:jc w:val="center"/>
              <w:rPr>
                <w:rFonts w:ascii="Cambria" w:hAnsi="Cambria"/>
                <w:color w:val="000000"/>
                <w:sz w:val="20"/>
                <w:szCs w:val="20"/>
              </w:rPr>
            </w:pPr>
            <w:r w:rsidRPr="003F7365">
              <w:rPr>
                <w:rFonts w:ascii="Cambria" w:hAnsi="Cambria"/>
                <w:b/>
                <w:color w:val="000000"/>
                <w:sz w:val="20"/>
                <w:szCs w:val="20"/>
              </w:rPr>
              <w:t>Total</w:t>
            </w:r>
            <w:r w:rsidRPr="003F7365">
              <w:rPr>
                <w:rFonts w:ascii="Cambria" w:hAnsi="Cambria"/>
                <w:b/>
                <w:color w:val="000000"/>
                <w:sz w:val="20"/>
                <w:szCs w:val="20"/>
                <w:vertAlign w:val="superscript"/>
              </w:rPr>
              <w:footnoteReference w:id="1"/>
            </w:r>
          </w:p>
        </w:tc>
      </w:tr>
      <w:tr w:rsidR="00D11C69" w:rsidRPr="003F7365" w14:paraId="45B7135B" w14:textId="77777777" w:rsidTr="00D53017">
        <w:trPr>
          <w:trHeight w:val="296"/>
        </w:trPr>
        <w:tc>
          <w:tcPr>
            <w:tcW w:w="9900" w:type="dxa"/>
            <w:gridSpan w:val="2"/>
            <w:tcBorders>
              <w:top w:val="single" w:sz="4" w:space="0" w:color="auto"/>
              <w:left w:val="single" w:sz="4" w:space="0" w:color="auto"/>
              <w:bottom w:val="single" w:sz="4" w:space="0" w:color="auto"/>
              <w:right w:val="single" w:sz="4" w:space="0" w:color="auto"/>
            </w:tcBorders>
            <w:hideMark/>
          </w:tcPr>
          <w:p w14:paraId="4773EF7B" w14:textId="77777777" w:rsidR="00D11C69" w:rsidRPr="003F7365" w:rsidRDefault="00D11C69" w:rsidP="00D53017">
            <w:pPr>
              <w:jc w:val="both"/>
              <w:rPr>
                <w:rFonts w:ascii="Cambria" w:hAnsi="Cambria"/>
                <w:color w:val="000000"/>
                <w:sz w:val="20"/>
                <w:szCs w:val="20"/>
              </w:rPr>
            </w:pPr>
            <w:r w:rsidRPr="003F7365">
              <w:rPr>
                <w:rFonts w:ascii="Cambria" w:hAnsi="Cambria"/>
                <w:b/>
                <w:color w:val="000000"/>
                <w:sz w:val="20"/>
                <w:szCs w:val="20"/>
              </w:rPr>
              <w:t>On March 3, 2016, the Ad Hoc Tribunal issued an arbitration award, in which it deemed that the establishment of the State should:</w:t>
            </w:r>
          </w:p>
        </w:tc>
      </w:tr>
      <w:tr w:rsidR="00D11C69" w:rsidRPr="003F7365" w14:paraId="65077B5F" w14:textId="77777777" w:rsidTr="00D04AF5">
        <w:trPr>
          <w:trHeight w:val="269"/>
        </w:trPr>
        <w:tc>
          <w:tcPr>
            <w:tcW w:w="7807" w:type="dxa"/>
            <w:tcBorders>
              <w:top w:val="single" w:sz="4" w:space="0" w:color="auto"/>
              <w:left w:val="single" w:sz="4" w:space="0" w:color="auto"/>
              <w:bottom w:val="single" w:sz="4" w:space="0" w:color="auto"/>
              <w:right w:val="single" w:sz="4" w:space="0" w:color="auto"/>
            </w:tcBorders>
          </w:tcPr>
          <w:p w14:paraId="1B6E6373" w14:textId="77777777" w:rsidR="00D11C69" w:rsidRPr="003F7365" w:rsidRDefault="00D11C69" w:rsidP="00D11C69">
            <w:pPr>
              <w:numPr>
                <w:ilvl w:val="0"/>
                <w:numId w:val="7"/>
              </w:numPr>
              <w:tabs>
                <w:tab w:val="left" w:pos="252"/>
              </w:tabs>
              <w:ind w:left="0" w:firstLine="0"/>
              <w:jc w:val="both"/>
              <w:rPr>
                <w:rFonts w:ascii="Cambria" w:hAnsi="Cambria"/>
                <w:color w:val="000000"/>
                <w:sz w:val="20"/>
                <w:szCs w:val="20"/>
              </w:rPr>
            </w:pPr>
            <w:r w:rsidRPr="003F7365">
              <w:rPr>
                <w:rFonts w:ascii="Cambria" w:hAnsi="Cambria"/>
                <w:color w:val="000000"/>
                <w:sz w:val="20"/>
                <w:szCs w:val="20"/>
              </w:rPr>
              <w:t>Provide appropriate housing in the area in which he currently resides, in keeping with physical and geographic specifications indicated in the operative section of the award;</w:t>
            </w:r>
          </w:p>
          <w:p w14:paraId="74EA0100" w14:textId="77777777" w:rsidR="00D11C69" w:rsidRPr="003F7365" w:rsidRDefault="00D11C69" w:rsidP="00D53017">
            <w:pPr>
              <w:tabs>
                <w:tab w:val="left" w:pos="252"/>
              </w:tabs>
              <w:jc w:val="both"/>
              <w:rPr>
                <w:rFonts w:ascii="Cambria" w:hAnsi="Cambria"/>
                <w:color w:val="000000"/>
                <w:sz w:val="20"/>
                <w:szCs w:val="20"/>
              </w:rPr>
            </w:pPr>
          </w:p>
          <w:p w14:paraId="50354F1D" w14:textId="77777777" w:rsidR="00D11C69" w:rsidRPr="003F7365" w:rsidRDefault="00D11C69" w:rsidP="00D53017">
            <w:pPr>
              <w:tabs>
                <w:tab w:val="left" w:pos="252"/>
              </w:tabs>
              <w:jc w:val="both"/>
              <w:rPr>
                <w:rFonts w:ascii="Cambria" w:hAnsi="Cambria"/>
                <w:color w:val="000000"/>
                <w:sz w:val="20"/>
                <w:szCs w:val="20"/>
                <w:u w:val="single"/>
              </w:rPr>
            </w:pPr>
            <w:r w:rsidRPr="003F7365">
              <w:rPr>
                <w:rFonts w:ascii="Cambria" w:hAnsi="Cambria"/>
                <w:color w:val="000000"/>
                <w:sz w:val="20"/>
                <w:szCs w:val="20"/>
                <w:u w:val="single"/>
              </w:rPr>
              <w:t xml:space="preserve">Explanatory decision of the Ad Hoc Tribunal: </w:t>
            </w:r>
          </w:p>
          <w:p w14:paraId="2828FDF4" w14:textId="77777777" w:rsidR="00D11C69" w:rsidRPr="003F7365" w:rsidRDefault="00D11C69" w:rsidP="00D53017">
            <w:pPr>
              <w:tabs>
                <w:tab w:val="left" w:pos="252"/>
              </w:tabs>
              <w:jc w:val="both"/>
              <w:rPr>
                <w:rFonts w:ascii="Cambria" w:hAnsi="Cambria"/>
                <w:color w:val="000000"/>
                <w:sz w:val="20"/>
                <w:szCs w:val="20"/>
              </w:rPr>
            </w:pPr>
            <w:r w:rsidRPr="003F7365">
              <w:rPr>
                <w:rFonts w:ascii="Cambria" w:hAnsi="Cambria"/>
                <w:color w:val="000000"/>
                <w:sz w:val="20"/>
                <w:szCs w:val="20"/>
              </w:rPr>
              <w:t>a)</w:t>
            </w:r>
            <w:r w:rsidRPr="003F7365">
              <w:rPr>
                <w:rFonts w:ascii="Cambria" w:hAnsi="Cambria"/>
                <w:color w:val="000000"/>
                <w:sz w:val="20"/>
                <w:szCs w:val="20"/>
              </w:rPr>
              <w:tab/>
              <w:t>the duty to “provide Mr. Florentino Rojas appropriate housing” provided for in section 1 of the operative part of the award dated March 3, 2016 does not impose on the Argentine State the obligation to provide him home ownership (absolute ownership of real property), co-ownership (real condominium ownership of real property), or to grant Mr. Rojas ownership of any real property that would lead to a similar result (e.g. usufruct), and that would give rise —in fact—to a benefit whose economic value exceeds the assistance-based role they are called upon to play;</w:t>
            </w:r>
          </w:p>
          <w:p w14:paraId="47A33B21" w14:textId="77777777" w:rsidR="00D11C69" w:rsidRPr="003F7365" w:rsidRDefault="00D11C69" w:rsidP="00D53017">
            <w:pPr>
              <w:tabs>
                <w:tab w:val="left" w:pos="252"/>
              </w:tabs>
              <w:jc w:val="both"/>
              <w:rPr>
                <w:rFonts w:ascii="Cambria" w:hAnsi="Cambria"/>
                <w:color w:val="000000"/>
                <w:sz w:val="20"/>
                <w:szCs w:val="20"/>
              </w:rPr>
            </w:pPr>
          </w:p>
          <w:p w14:paraId="5C203163" w14:textId="77777777" w:rsidR="00D11C69" w:rsidRPr="003F7365" w:rsidRDefault="00D11C69" w:rsidP="00D53017">
            <w:pPr>
              <w:tabs>
                <w:tab w:val="left" w:pos="252"/>
              </w:tabs>
              <w:jc w:val="both"/>
              <w:rPr>
                <w:rFonts w:ascii="Cambria" w:hAnsi="Cambria"/>
                <w:color w:val="000000"/>
                <w:sz w:val="20"/>
                <w:szCs w:val="20"/>
              </w:rPr>
            </w:pPr>
            <w:r w:rsidRPr="003F7365">
              <w:rPr>
                <w:rFonts w:ascii="Cambria" w:hAnsi="Cambria"/>
                <w:color w:val="000000"/>
                <w:sz w:val="20"/>
                <w:szCs w:val="20"/>
              </w:rPr>
              <w:t>b)</w:t>
            </w:r>
            <w:r w:rsidRPr="003F7365">
              <w:rPr>
                <w:rFonts w:ascii="Cambria" w:hAnsi="Cambria"/>
                <w:color w:val="000000"/>
                <w:sz w:val="20"/>
                <w:szCs w:val="20"/>
              </w:rPr>
              <w:tab/>
              <w:t xml:space="preserve">the duty to “provide Mr. Florentino Rojas appropriate housing” provided for in section 1 of the operative part of the award dated March 3, 2016, implies the Argentine State’s obligation to provide Mr. Rojas possession of a dwelling—with the features that the same award lists—under a modality such that it allows him to freely exercise </w:t>
            </w:r>
            <w:r w:rsidRPr="003F7365">
              <w:rPr>
                <w:rFonts w:ascii="Cambria" w:hAnsi="Cambria"/>
                <w:i/>
                <w:color w:val="000000"/>
                <w:sz w:val="20"/>
                <w:szCs w:val="20"/>
              </w:rPr>
              <w:t>de facto</w:t>
            </w:r>
            <w:r w:rsidRPr="003F7365">
              <w:rPr>
                <w:rFonts w:ascii="Cambria" w:hAnsi="Cambria"/>
                <w:color w:val="000000"/>
                <w:sz w:val="20"/>
                <w:szCs w:val="20"/>
              </w:rPr>
              <w:t xml:space="preserve"> power over its inheritance, guaranteeing him the use and enjoyment thereof with the correlative possibility to resist any illegitimate interference or threat. The modality and legal vehicle—contractual, administrative, or of any other kind—that needs to be used in order to ensure this outcome is to be selected by the Argentine State, provided that it complies with the parameters outlined and allows the petitioner’s free and exclusive use thereof;</w:t>
            </w:r>
          </w:p>
        </w:tc>
        <w:tc>
          <w:tcPr>
            <w:tcW w:w="2093" w:type="dxa"/>
            <w:tcBorders>
              <w:top w:val="single" w:sz="4" w:space="0" w:color="auto"/>
              <w:left w:val="single" w:sz="4" w:space="0" w:color="auto"/>
              <w:bottom w:val="single" w:sz="4" w:space="0" w:color="auto"/>
              <w:right w:val="single" w:sz="4" w:space="0" w:color="auto"/>
            </w:tcBorders>
            <w:vAlign w:val="center"/>
            <w:hideMark/>
          </w:tcPr>
          <w:p w14:paraId="7C3D80B6" w14:textId="5DE1E077" w:rsidR="00D11C69" w:rsidRPr="003F7365" w:rsidRDefault="00D11C69" w:rsidP="00D53017">
            <w:pPr>
              <w:jc w:val="center"/>
              <w:rPr>
                <w:rFonts w:ascii="Cambria" w:hAnsi="Cambria"/>
                <w:b/>
                <w:color w:val="000000"/>
                <w:sz w:val="20"/>
                <w:szCs w:val="20"/>
              </w:rPr>
            </w:pPr>
            <w:r w:rsidRPr="003F7365">
              <w:rPr>
                <w:rFonts w:ascii="Cambria" w:hAnsi="Cambria"/>
                <w:b/>
                <w:color w:val="000000"/>
                <w:sz w:val="20"/>
                <w:szCs w:val="20"/>
              </w:rPr>
              <w:t>Total</w:t>
            </w:r>
            <w:r>
              <w:rPr>
                <w:rStyle w:val="FootnoteReference"/>
                <w:rFonts w:ascii="Cambria" w:hAnsi="Cambria"/>
                <w:b/>
                <w:color w:val="000000"/>
                <w:sz w:val="20"/>
                <w:szCs w:val="20"/>
              </w:rPr>
              <w:footnoteReference w:id="2"/>
            </w:r>
          </w:p>
          <w:p w14:paraId="00292D10" w14:textId="29CB6DBC" w:rsidR="00D11C69" w:rsidRPr="003F7365" w:rsidRDefault="00D11C69" w:rsidP="00D53017">
            <w:pPr>
              <w:jc w:val="both"/>
              <w:rPr>
                <w:rFonts w:ascii="Cambria" w:hAnsi="Cambria"/>
                <w:color w:val="000000"/>
                <w:sz w:val="20"/>
                <w:szCs w:val="20"/>
              </w:rPr>
            </w:pPr>
          </w:p>
          <w:p w14:paraId="6E5C4672" w14:textId="5E6F2557" w:rsidR="00D11C69" w:rsidRPr="003F7365" w:rsidRDefault="00D11C69" w:rsidP="00D11C69">
            <w:pPr>
              <w:jc w:val="both"/>
              <w:rPr>
                <w:rFonts w:ascii="Cambria" w:hAnsi="Cambria"/>
                <w:color w:val="000000"/>
                <w:sz w:val="20"/>
                <w:szCs w:val="20"/>
              </w:rPr>
            </w:pPr>
            <w:r w:rsidRPr="003F7365">
              <w:rPr>
                <w:rFonts w:ascii="Cambria" w:hAnsi="Cambria" w:cs="Calibri Light"/>
                <w:color w:val="000000"/>
                <w:sz w:val="20"/>
                <w:szCs w:val="20"/>
              </w:rPr>
              <w:t xml:space="preserve"> </w:t>
            </w:r>
          </w:p>
        </w:tc>
      </w:tr>
      <w:tr w:rsidR="00D11C69" w:rsidRPr="003F7365" w14:paraId="680CEDF0" w14:textId="77777777" w:rsidTr="00D04AF5">
        <w:trPr>
          <w:trHeight w:val="260"/>
        </w:trPr>
        <w:tc>
          <w:tcPr>
            <w:tcW w:w="7807" w:type="dxa"/>
            <w:tcBorders>
              <w:top w:val="single" w:sz="4" w:space="0" w:color="auto"/>
              <w:left w:val="single" w:sz="4" w:space="0" w:color="auto"/>
              <w:bottom w:val="single" w:sz="4" w:space="0" w:color="auto"/>
              <w:right w:val="single" w:sz="4" w:space="0" w:color="auto"/>
            </w:tcBorders>
          </w:tcPr>
          <w:p w14:paraId="6B14E45E" w14:textId="77777777" w:rsidR="00D11C69" w:rsidRPr="003F7365" w:rsidRDefault="00D11C69" w:rsidP="00D11C69">
            <w:pPr>
              <w:numPr>
                <w:ilvl w:val="0"/>
                <w:numId w:val="7"/>
              </w:numPr>
              <w:tabs>
                <w:tab w:val="left" w:pos="252"/>
              </w:tabs>
              <w:ind w:left="0" w:firstLine="0"/>
              <w:jc w:val="both"/>
              <w:rPr>
                <w:rFonts w:ascii="Cambria" w:hAnsi="Cambria"/>
                <w:color w:val="000000"/>
                <w:sz w:val="20"/>
                <w:szCs w:val="20"/>
              </w:rPr>
            </w:pPr>
            <w:r w:rsidRPr="003F7365">
              <w:rPr>
                <w:rFonts w:ascii="Cambria" w:hAnsi="Cambria"/>
                <w:color w:val="000000"/>
                <w:sz w:val="20"/>
                <w:szCs w:val="20"/>
              </w:rPr>
              <w:t>Ensure services to meet his basic physical and psychological needs, including, among others, home care service, therapeutic support, etc.;</w:t>
            </w:r>
          </w:p>
          <w:p w14:paraId="1B89E9D4" w14:textId="77777777" w:rsidR="00D11C69" w:rsidRPr="003F7365" w:rsidRDefault="00D11C69" w:rsidP="00D53017">
            <w:pPr>
              <w:tabs>
                <w:tab w:val="left" w:pos="252"/>
              </w:tabs>
              <w:jc w:val="both"/>
              <w:rPr>
                <w:rFonts w:ascii="Cambria" w:hAnsi="Cambria"/>
                <w:color w:val="000000"/>
                <w:sz w:val="20"/>
                <w:szCs w:val="20"/>
                <w:u w:val="single"/>
              </w:rPr>
            </w:pPr>
            <w:r w:rsidRPr="003F7365">
              <w:rPr>
                <w:rFonts w:ascii="Cambria" w:hAnsi="Cambria"/>
                <w:color w:val="000000"/>
                <w:sz w:val="20"/>
                <w:szCs w:val="20"/>
                <w:u w:val="single"/>
              </w:rPr>
              <w:t xml:space="preserve">Explanatory decision of the Ad Hoc Tribunal: </w:t>
            </w:r>
          </w:p>
          <w:p w14:paraId="14DC3147" w14:textId="77777777" w:rsidR="00D11C69" w:rsidRPr="003F7365" w:rsidRDefault="00D11C69" w:rsidP="00D53017">
            <w:pPr>
              <w:tabs>
                <w:tab w:val="left" w:pos="252"/>
              </w:tabs>
              <w:jc w:val="both"/>
              <w:rPr>
                <w:rFonts w:ascii="Cambria" w:hAnsi="Cambria"/>
                <w:color w:val="000000"/>
                <w:sz w:val="20"/>
                <w:szCs w:val="20"/>
              </w:rPr>
            </w:pPr>
            <w:r w:rsidRPr="003F7365">
              <w:rPr>
                <w:rFonts w:ascii="Cambria" w:hAnsi="Cambria"/>
                <w:color w:val="000000"/>
                <w:sz w:val="20"/>
                <w:szCs w:val="20"/>
              </w:rPr>
              <w:t>c) the humanitarian assistance, the content of which was defined in the arbitration award of March 3, 2016, implies a minimum protection or floor—that does not hinder the State from deciding in the end to provide assistance benefits that are broader or higher than those set by this Tribunal—whatever the reasons may be—this, in keeping with the pro persona tenet (Article 29 of the American Convention on Human Rights).</w:t>
            </w:r>
          </w:p>
        </w:tc>
        <w:tc>
          <w:tcPr>
            <w:tcW w:w="2093" w:type="dxa"/>
            <w:tcBorders>
              <w:top w:val="single" w:sz="4" w:space="0" w:color="auto"/>
              <w:left w:val="single" w:sz="4" w:space="0" w:color="auto"/>
              <w:bottom w:val="single" w:sz="4" w:space="0" w:color="auto"/>
              <w:right w:val="single" w:sz="4" w:space="0" w:color="auto"/>
            </w:tcBorders>
            <w:vAlign w:val="center"/>
            <w:hideMark/>
          </w:tcPr>
          <w:p w14:paraId="5E5B1A4D" w14:textId="77777777" w:rsidR="00D11C69" w:rsidRPr="003F7365" w:rsidRDefault="00D11C69" w:rsidP="00D53017">
            <w:pPr>
              <w:jc w:val="center"/>
              <w:rPr>
                <w:rFonts w:ascii="Cambria" w:hAnsi="Cambria"/>
                <w:color w:val="000000"/>
                <w:sz w:val="20"/>
                <w:szCs w:val="20"/>
                <w:u w:val="single"/>
              </w:rPr>
            </w:pPr>
            <w:r w:rsidRPr="003F7365">
              <w:rPr>
                <w:rFonts w:ascii="Cambria" w:hAnsi="Cambria"/>
                <w:b/>
                <w:color w:val="000000"/>
                <w:sz w:val="20"/>
                <w:szCs w:val="20"/>
              </w:rPr>
              <w:t>Total</w:t>
            </w:r>
            <w:r w:rsidRPr="003F7365">
              <w:rPr>
                <w:rStyle w:val="FootnoteReference"/>
                <w:rFonts w:ascii="Cambria" w:hAnsi="Cambria"/>
                <w:b/>
                <w:color w:val="000000"/>
                <w:sz w:val="20"/>
                <w:szCs w:val="20"/>
              </w:rPr>
              <w:footnoteReference w:id="3"/>
            </w:r>
          </w:p>
        </w:tc>
      </w:tr>
      <w:tr w:rsidR="00D11C69" w:rsidRPr="003F7365" w14:paraId="05E4C9F5" w14:textId="77777777" w:rsidTr="00D04AF5">
        <w:trPr>
          <w:trHeight w:val="620"/>
        </w:trPr>
        <w:tc>
          <w:tcPr>
            <w:tcW w:w="7807" w:type="dxa"/>
            <w:tcBorders>
              <w:top w:val="single" w:sz="4" w:space="0" w:color="auto"/>
              <w:left w:val="single" w:sz="4" w:space="0" w:color="auto"/>
              <w:bottom w:val="single" w:sz="4" w:space="0" w:color="auto"/>
              <w:right w:val="single" w:sz="4" w:space="0" w:color="auto"/>
            </w:tcBorders>
            <w:hideMark/>
          </w:tcPr>
          <w:p w14:paraId="5310F497" w14:textId="77777777" w:rsidR="00D11C69" w:rsidRPr="003F7365" w:rsidRDefault="00D11C69" w:rsidP="00D53017">
            <w:pPr>
              <w:jc w:val="both"/>
              <w:rPr>
                <w:rFonts w:ascii="Cambria" w:hAnsi="Cambria"/>
                <w:color w:val="000000"/>
                <w:sz w:val="20"/>
                <w:szCs w:val="20"/>
              </w:rPr>
            </w:pPr>
            <w:r w:rsidRPr="003F7365">
              <w:rPr>
                <w:rFonts w:ascii="Cambria" w:hAnsi="Cambria"/>
                <w:color w:val="000000"/>
                <w:sz w:val="20"/>
                <w:szCs w:val="20"/>
              </w:rPr>
              <w:lastRenderedPageBreak/>
              <w:t>C. Provide “economic assistance” of two and half minimum wages to live, which the tribunal considered as humanitarian assistance, to be paid periodically as a life-long pension, in addition to the charity pension that he currently receives;</w:t>
            </w:r>
          </w:p>
        </w:tc>
        <w:tc>
          <w:tcPr>
            <w:tcW w:w="2093" w:type="dxa"/>
            <w:tcBorders>
              <w:top w:val="single" w:sz="4" w:space="0" w:color="auto"/>
              <w:left w:val="single" w:sz="4" w:space="0" w:color="auto"/>
              <w:bottom w:val="single" w:sz="4" w:space="0" w:color="auto"/>
              <w:right w:val="single" w:sz="4" w:space="0" w:color="auto"/>
            </w:tcBorders>
            <w:vAlign w:val="center"/>
            <w:hideMark/>
          </w:tcPr>
          <w:p w14:paraId="4C842DFB" w14:textId="77777777" w:rsidR="00D11C69" w:rsidRPr="003F7365" w:rsidRDefault="00D11C69" w:rsidP="00D53017">
            <w:pPr>
              <w:jc w:val="center"/>
              <w:rPr>
                <w:rFonts w:ascii="Cambria" w:hAnsi="Cambria"/>
                <w:color w:val="000000"/>
                <w:sz w:val="20"/>
                <w:szCs w:val="20"/>
                <w:u w:val="single"/>
              </w:rPr>
            </w:pPr>
            <w:r w:rsidRPr="003F7365">
              <w:rPr>
                <w:rFonts w:ascii="Cambria" w:hAnsi="Cambria"/>
                <w:b/>
                <w:color w:val="000000"/>
                <w:sz w:val="20"/>
                <w:szCs w:val="20"/>
              </w:rPr>
              <w:t>Total</w:t>
            </w:r>
            <w:r w:rsidRPr="003F7365">
              <w:rPr>
                <w:rStyle w:val="FootnoteReference"/>
                <w:rFonts w:ascii="Cambria" w:hAnsi="Cambria"/>
                <w:b/>
                <w:color w:val="000000"/>
                <w:sz w:val="20"/>
                <w:szCs w:val="20"/>
              </w:rPr>
              <w:footnoteReference w:id="4"/>
            </w:r>
          </w:p>
        </w:tc>
      </w:tr>
      <w:tr w:rsidR="00D11C69" w:rsidRPr="003F7365" w14:paraId="5CADC723" w14:textId="77777777" w:rsidTr="00D04AF5">
        <w:trPr>
          <w:trHeight w:val="1880"/>
        </w:trPr>
        <w:tc>
          <w:tcPr>
            <w:tcW w:w="7807" w:type="dxa"/>
            <w:tcBorders>
              <w:top w:val="single" w:sz="4" w:space="0" w:color="auto"/>
              <w:left w:val="single" w:sz="4" w:space="0" w:color="auto"/>
              <w:bottom w:val="single" w:sz="4" w:space="0" w:color="auto"/>
              <w:right w:val="single" w:sz="4" w:space="0" w:color="auto"/>
            </w:tcBorders>
          </w:tcPr>
          <w:p w14:paraId="35247254" w14:textId="77777777" w:rsidR="00D11C69" w:rsidRPr="003F7365" w:rsidRDefault="00D11C69" w:rsidP="00D11C69">
            <w:pPr>
              <w:numPr>
                <w:ilvl w:val="0"/>
                <w:numId w:val="7"/>
              </w:numPr>
              <w:tabs>
                <w:tab w:val="left" w:pos="192"/>
              </w:tabs>
              <w:ind w:left="0" w:firstLine="0"/>
              <w:jc w:val="both"/>
              <w:rPr>
                <w:rFonts w:ascii="Cambria" w:hAnsi="Cambria"/>
                <w:color w:val="000000"/>
                <w:sz w:val="20"/>
                <w:szCs w:val="20"/>
              </w:rPr>
            </w:pPr>
            <w:r w:rsidRPr="003F7365">
              <w:rPr>
                <w:rFonts w:ascii="Cambria" w:hAnsi="Cambria"/>
                <w:color w:val="000000"/>
                <w:sz w:val="20"/>
                <w:szCs w:val="20"/>
              </w:rPr>
              <w:t>Pay the honoraria for the arbitration proceedings in the amount of US$2,000 (two thousand dollars) to the attorneys who acted as arbiters, which will be distributed as they deem appropriate;</w:t>
            </w:r>
          </w:p>
          <w:p w14:paraId="5242CE71" w14:textId="77777777" w:rsidR="00D11C69" w:rsidRPr="003F7365" w:rsidRDefault="00D11C69" w:rsidP="00D11C69">
            <w:pPr>
              <w:numPr>
                <w:ilvl w:val="0"/>
                <w:numId w:val="7"/>
              </w:numPr>
              <w:tabs>
                <w:tab w:val="left" w:pos="192"/>
              </w:tabs>
              <w:autoSpaceDE w:val="0"/>
              <w:autoSpaceDN w:val="0"/>
              <w:adjustRightInd w:val="0"/>
              <w:ind w:left="0" w:firstLine="0"/>
              <w:jc w:val="both"/>
              <w:rPr>
                <w:rFonts w:ascii="Cambria" w:hAnsi="Cambria" w:cs="Microsoft Sans Serif"/>
                <w:color w:val="000000"/>
                <w:sz w:val="20"/>
                <w:szCs w:val="20"/>
              </w:rPr>
            </w:pPr>
            <w:r w:rsidRPr="003F7365">
              <w:rPr>
                <w:rFonts w:ascii="Cambria" w:hAnsi="Cambria" w:cs="Microsoft Sans Serif"/>
                <w:color w:val="000000"/>
                <w:sz w:val="20"/>
                <w:szCs w:val="20"/>
              </w:rPr>
              <w:t>Pay the petitioners for the honoraria incurred for international litigation in the amount of US$3,800 (three thousand eight hundred dollars), which are to be distributed as they see fit, and;</w:t>
            </w:r>
          </w:p>
          <w:p w14:paraId="67F69B4B" w14:textId="77777777" w:rsidR="00D11C69" w:rsidRPr="003F7365" w:rsidRDefault="00D11C69" w:rsidP="00D11C69">
            <w:pPr>
              <w:numPr>
                <w:ilvl w:val="0"/>
                <w:numId w:val="7"/>
              </w:numPr>
              <w:tabs>
                <w:tab w:val="left" w:pos="192"/>
              </w:tabs>
              <w:autoSpaceDE w:val="0"/>
              <w:autoSpaceDN w:val="0"/>
              <w:adjustRightInd w:val="0"/>
              <w:ind w:left="0" w:firstLine="0"/>
              <w:jc w:val="both"/>
              <w:rPr>
                <w:rFonts w:ascii="Cambria" w:hAnsi="Cambria"/>
                <w:color w:val="000000"/>
                <w:sz w:val="20"/>
                <w:szCs w:val="20"/>
              </w:rPr>
            </w:pPr>
            <w:r w:rsidRPr="003F7365">
              <w:rPr>
                <w:rFonts w:ascii="Cambria" w:hAnsi="Cambria" w:cs="Microsoft Sans Serif"/>
                <w:color w:val="000000"/>
                <w:sz w:val="20"/>
                <w:szCs w:val="20"/>
              </w:rPr>
              <w:t>Pay Florentino Rojas for the legal fees incurred for the proceedings before the IACHR in the amount of US$2,000 (two thousand dollars).</w:t>
            </w:r>
          </w:p>
        </w:tc>
        <w:tc>
          <w:tcPr>
            <w:tcW w:w="2093" w:type="dxa"/>
            <w:tcBorders>
              <w:top w:val="single" w:sz="4" w:space="0" w:color="auto"/>
              <w:left w:val="single" w:sz="4" w:space="0" w:color="auto"/>
              <w:bottom w:val="single" w:sz="4" w:space="0" w:color="auto"/>
              <w:right w:val="single" w:sz="4" w:space="0" w:color="auto"/>
            </w:tcBorders>
            <w:vAlign w:val="center"/>
            <w:hideMark/>
          </w:tcPr>
          <w:p w14:paraId="7AB068B4" w14:textId="77777777" w:rsidR="00D11C69" w:rsidRPr="003F7365" w:rsidRDefault="00D11C69" w:rsidP="00D53017">
            <w:pPr>
              <w:jc w:val="center"/>
              <w:rPr>
                <w:rFonts w:ascii="Cambria" w:hAnsi="Cambria"/>
                <w:b/>
                <w:color w:val="000000"/>
                <w:sz w:val="20"/>
                <w:szCs w:val="20"/>
              </w:rPr>
            </w:pPr>
            <w:r w:rsidRPr="003F7365">
              <w:rPr>
                <w:rFonts w:ascii="Cambria" w:hAnsi="Cambria"/>
                <w:b/>
                <w:color w:val="000000"/>
                <w:sz w:val="20"/>
                <w:szCs w:val="20"/>
              </w:rPr>
              <w:t>Total</w:t>
            </w:r>
            <w:r w:rsidRPr="003F7365">
              <w:rPr>
                <w:rFonts w:ascii="Cambria" w:hAnsi="Cambria"/>
                <w:b/>
                <w:color w:val="000000"/>
                <w:sz w:val="20"/>
                <w:szCs w:val="20"/>
                <w:vertAlign w:val="superscript"/>
              </w:rPr>
              <w:footnoteReference w:id="5"/>
            </w:r>
          </w:p>
        </w:tc>
      </w:tr>
    </w:tbl>
    <w:p w14:paraId="570310D3" w14:textId="77777777" w:rsidR="00EE2B3B" w:rsidRPr="003F7365" w:rsidRDefault="00EE2B3B" w:rsidP="00EE2B3B">
      <w:pPr>
        <w:pStyle w:val="ListParagraph"/>
        <w:jc w:val="both"/>
        <w:rPr>
          <w:rFonts w:ascii="Cambria" w:hAnsi="Cambria" w:cs="Calibri Light"/>
          <w:b/>
          <w:color w:val="000000"/>
          <w:sz w:val="20"/>
          <w:szCs w:val="20"/>
        </w:rPr>
      </w:pPr>
    </w:p>
    <w:p w14:paraId="23CE78ED" w14:textId="77777777" w:rsidR="00EE2B3B" w:rsidRPr="003F7365" w:rsidRDefault="00EE2B3B" w:rsidP="00EE2B3B">
      <w:pPr>
        <w:contextualSpacing/>
        <w:jc w:val="both"/>
        <w:rPr>
          <w:rFonts w:ascii="Cambria" w:hAnsi="Cambria" w:cs="Calibri Light"/>
          <w:color w:val="000000"/>
          <w:sz w:val="20"/>
          <w:szCs w:val="20"/>
        </w:rPr>
      </w:pPr>
    </w:p>
    <w:p w14:paraId="4301E707" w14:textId="77777777" w:rsidR="00EE2B3B" w:rsidRPr="003F7365" w:rsidRDefault="00EE2B3B" w:rsidP="00EE2B3B">
      <w:pPr>
        <w:numPr>
          <w:ilvl w:val="0"/>
          <w:numId w:val="1"/>
        </w:numPr>
        <w:ind w:left="0" w:firstLine="720"/>
        <w:contextualSpacing/>
        <w:jc w:val="both"/>
        <w:rPr>
          <w:rFonts w:ascii="Cambria" w:hAnsi="Cambria" w:cs="Calibri Light"/>
          <w:color w:val="000000"/>
          <w:sz w:val="20"/>
          <w:szCs w:val="20"/>
        </w:rPr>
      </w:pPr>
      <w:r w:rsidRPr="003F7365">
        <w:rPr>
          <w:rFonts w:ascii="Cambria" w:hAnsi="Cambria"/>
          <w:b/>
          <w:color w:val="000000"/>
          <w:sz w:val="20"/>
          <w:szCs w:val="20"/>
        </w:rPr>
        <w:t>LEVEL OF COMPLIANCE OF THE CASE</w:t>
      </w:r>
    </w:p>
    <w:p w14:paraId="3B08C399" w14:textId="77777777" w:rsidR="00EE2B3B" w:rsidRPr="003F7365" w:rsidRDefault="00EE2B3B" w:rsidP="00EE2B3B">
      <w:pPr>
        <w:pStyle w:val="ListParagraph"/>
        <w:ind w:left="0" w:firstLine="720"/>
        <w:jc w:val="both"/>
        <w:rPr>
          <w:rFonts w:ascii="Cambria" w:hAnsi="Cambria" w:cs="Calibri Light"/>
          <w:b/>
          <w:color w:val="000000"/>
          <w:sz w:val="20"/>
          <w:szCs w:val="20"/>
        </w:rPr>
      </w:pPr>
    </w:p>
    <w:p w14:paraId="5A448611" w14:textId="03D1DBE7" w:rsidR="00EE2B3B" w:rsidRPr="003F7365" w:rsidRDefault="00EE2B3B" w:rsidP="00EE2B3B">
      <w:pPr>
        <w:pStyle w:val="ListParagraph"/>
        <w:numPr>
          <w:ilvl w:val="0"/>
          <w:numId w:val="2"/>
        </w:numPr>
        <w:ind w:left="0" w:firstLine="720"/>
        <w:jc w:val="both"/>
        <w:rPr>
          <w:rFonts w:ascii="Cambria" w:hAnsi="Cambria" w:cs="Calibri Light"/>
          <w:color w:val="000000"/>
          <w:sz w:val="20"/>
          <w:szCs w:val="20"/>
        </w:rPr>
      </w:pPr>
      <w:r w:rsidRPr="003F7365">
        <w:rPr>
          <w:rFonts w:ascii="Cambria" w:hAnsi="Cambria"/>
          <w:color w:val="000000"/>
          <w:sz w:val="20"/>
          <w:szCs w:val="20"/>
        </w:rPr>
        <w:t xml:space="preserve"> </w:t>
      </w:r>
      <w:r w:rsidRPr="00EE2B3B">
        <w:rPr>
          <w:rFonts w:ascii="Cambria" w:hAnsi="Cambria"/>
          <w:color w:val="000000"/>
          <w:sz w:val="20"/>
          <w:szCs w:val="20"/>
        </w:rPr>
        <w:t>The Commission declared full compliance with the case and the ceasing of the follow</w:t>
      </w:r>
      <w:r w:rsidR="001E18D9">
        <w:rPr>
          <w:rFonts w:ascii="Cambria" w:hAnsi="Cambria"/>
          <w:color w:val="000000"/>
          <w:sz w:val="20"/>
          <w:szCs w:val="20"/>
        </w:rPr>
        <w:t>-</w:t>
      </w:r>
      <w:r w:rsidRPr="00EE2B3B">
        <w:rPr>
          <w:rFonts w:ascii="Cambria" w:hAnsi="Cambria"/>
          <w:color w:val="000000"/>
          <w:sz w:val="20"/>
          <w:szCs w:val="20"/>
        </w:rPr>
        <w:t>up of the friendly settlement agreement in the 202</w:t>
      </w:r>
      <w:r>
        <w:rPr>
          <w:rFonts w:ascii="Cambria" w:hAnsi="Cambria"/>
          <w:color w:val="000000"/>
          <w:sz w:val="20"/>
          <w:szCs w:val="20"/>
        </w:rPr>
        <w:t>2</w:t>
      </w:r>
      <w:r w:rsidRPr="00EE2B3B">
        <w:rPr>
          <w:rFonts w:ascii="Cambria" w:hAnsi="Cambria"/>
          <w:color w:val="000000"/>
          <w:sz w:val="20"/>
          <w:szCs w:val="20"/>
        </w:rPr>
        <w:t xml:space="preserve"> Annual Report.</w:t>
      </w:r>
    </w:p>
    <w:p w14:paraId="286AE1D0" w14:textId="77777777" w:rsidR="00EE2B3B" w:rsidRPr="003F7365" w:rsidRDefault="00EE2B3B" w:rsidP="00EE2B3B">
      <w:pPr>
        <w:autoSpaceDE w:val="0"/>
        <w:autoSpaceDN w:val="0"/>
        <w:adjustRightInd w:val="0"/>
        <w:jc w:val="both"/>
        <w:rPr>
          <w:rFonts w:ascii="Cambria" w:hAnsi="Cambria"/>
          <w:color w:val="000000"/>
          <w:sz w:val="20"/>
          <w:szCs w:val="20"/>
        </w:rPr>
      </w:pPr>
    </w:p>
    <w:p w14:paraId="2765ADF3" w14:textId="77777777" w:rsidR="00EE2B3B" w:rsidRPr="003F7365" w:rsidRDefault="00EE2B3B" w:rsidP="00EE2B3B">
      <w:pPr>
        <w:pStyle w:val="ListParagraph"/>
        <w:numPr>
          <w:ilvl w:val="0"/>
          <w:numId w:val="1"/>
        </w:numPr>
        <w:ind w:left="0" w:firstLine="720"/>
        <w:jc w:val="both"/>
        <w:rPr>
          <w:rFonts w:ascii="Cambria" w:hAnsi="Cambria" w:cs="Calibri Light"/>
          <w:b/>
          <w:color w:val="000000"/>
          <w:sz w:val="20"/>
          <w:szCs w:val="20"/>
        </w:rPr>
      </w:pPr>
      <w:r w:rsidRPr="003F7365">
        <w:rPr>
          <w:rFonts w:ascii="Cambria" w:hAnsi="Cambria"/>
          <w:b/>
          <w:color w:val="000000"/>
          <w:sz w:val="20"/>
          <w:szCs w:val="20"/>
        </w:rPr>
        <w:t xml:space="preserve">INDIVIDUAL AND STRUCTURAL OUTCOMES OF THE CASE </w:t>
      </w:r>
    </w:p>
    <w:p w14:paraId="02CEFE66" w14:textId="77777777" w:rsidR="00EE2B3B" w:rsidRPr="003F7365" w:rsidRDefault="00EE2B3B" w:rsidP="00EE2B3B">
      <w:pPr>
        <w:pStyle w:val="ListParagraph"/>
        <w:ind w:left="0" w:firstLine="720"/>
        <w:jc w:val="both"/>
        <w:rPr>
          <w:rFonts w:ascii="Cambria" w:hAnsi="Cambria" w:cs="Calibri Light"/>
          <w:b/>
          <w:color w:val="000000"/>
          <w:sz w:val="20"/>
          <w:szCs w:val="20"/>
        </w:rPr>
      </w:pPr>
    </w:p>
    <w:p w14:paraId="2A6E250B" w14:textId="77777777" w:rsidR="005710FB" w:rsidRPr="003F7365" w:rsidRDefault="005710FB" w:rsidP="005710FB">
      <w:pPr>
        <w:pStyle w:val="ListParagraph"/>
        <w:numPr>
          <w:ilvl w:val="0"/>
          <w:numId w:val="9"/>
        </w:numPr>
        <w:ind w:left="1440" w:hanging="720"/>
        <w:jc w:val="both"/>
        <w:rPr>
          <w:rFonts w:ascii="Cambria" w:hAnsi="Cambria" w:cs="Calibri Light"/>
          <w:b/>
          <w:color w:val="000000"/>
          <w:sz w:val="20"/>
          <w:szCs w:val="20"/>
        </w:rPr>
      </w:pPr>
      <w:r w:rsidRPr="003F7365">
        <w:rPr>
          <w:rFonts w:ascii="Cambria" w:hAnsi="Cambria"/>
          <w:b/>
          <w:color w:val="000000"/>
          <w:sz w:val="20"/>
          <w:szCs w:val="20"/>
        </w:rPr>
        <w:t>Individual outcomes of the case</w:t>
      </w:r>
    </w:p>
    <w:p w14:paraId="5E8FDB41" w14:textId="77777777" w:rsidR="005710FB" w:rsidRPr="003F7365" w:rsidRDefault="005710FB" w:rsidP="005710FB">
      <w:pPr>
        <w:pStyle w:val="ListParagraph"/>
        <w:ind w:left="1440"/>
        <w:jc w:val="both"/>
        <w:rPr>
          <w:rFonts w:ascii="Cambria" w:hAnsi="Cambria" w:cs="Calibri Light"/>
          <w:b/>
          <w:color w:val="000000"/>
          <w:sz w:val="20"/>
          <w:szCs w:val="20"/>
        </w:rPr>
      </w:pPr>
    </w:p>
    <w:p w14:paraId="4FDB38A9" w14:textId="77777777" w:rsidR="005710FB" w:rsidRPr="003F7365" w:rsidRDefault="005710FB" w:rsidP="005710FB">
      <w:pPr>
        <w:pStyle w:val="ListParagraph"/>
        <w:numPr>
          <w:ilvl w:val="0"/>
          <w:numId w:val="8"/>
        </w:numPr>
        <w:ind w:firstLine="0"/>
        <w:jc w:val="both"/>
        <w:rPr>
          <w:rFonts w:ascii="Cambria" w:hAnsi="Cambria" w:cs="Calibri Light"/>
          <w:b/>
          <w:color w:val="000000"/>
          <w:sz w:val="20"/>
          <w:szCs w:val="20"/>
        </w:rPr>
      </w:pPr>
      <w:r w:rsidRPr="003F7365">
        <w:rPr>
          <w:rFonts w:ascii="Cambria" w:hAnsi="Cambria"/>
          <w:color w:val="000000"/>
          <w:sz w:val="20"/>
          <w:szCs w:val="20"/>
        </w:rPr>
        <w:t>The State provided nationwide medical care coverage, a wheelchair, and two walking sticks.</w:t>
      </w:r>
    </w:p>
    <w:p w14:paraId="28198263" w14:textId="77777777" w:rsidR="005710FB" w:rsidRPr="003F7365" w:rsidRDefault="005710FB" w:rsidP="005710FB">
      <w:pPr>
        <w:pStyle w:val="ListParagraph"/>
        <w:numPr>
          <w:ilvl w:val="0"/>
          <w:numId w:val="8"/>
        </w:numPr>
        <w:ind w:firstLine="0"/>
        <w:jc w:val="both"/>
        <w:rPr>
          <w:rFonts w:ascii="Cambria" w:hAnsi="Cambria" w:cs="Calibri Light"/>
          <w:color w:val="000000"/>
          <w:sz w:val="20"/>
          <w:szCs w:val="20"/>
        </w:rPr>
      </w:pPr>
      <w:r w:rsidRPr="003F7365">
        <w:rPr>
          <w:rFonts w:ascii="Cambria" w:hAnsi="Cambria"/>
          <w:color w:val="000000"/>
          <w:sz w:val="20"/>
          <w:szCs w:val="20"/>
        </w:rPr>
        <w:t>The State provided economic assistance in the form of an adjustable living allowance.</w:t>
      </w:r>
    </w:p>
    <w:p w14:paraId="75ABE561" w14:textId="77777777" w:rsidR="005710FB" w:rsidRPr="003F7365" w:rsidRDefault="005710FB" w:rsidP="005710FB">
      <w:pPr>
        <w:pStyle w:val="ListParagraph"/>
        <w:numPr>
          <w:ilvl w:val="0"/>
          <w:numId w:val="8"/>
        </w:numPr>
        <w:ind w:firstLine="0"/>
        <w:jc w:val="both"/>
        <w:rPr>
          <w:rFonts w:ascii="Cambria" w:hAnsi="Cambria" w:cs="Calibri Light"/>
          <w:color w:val="000000"/>
          <w:sz w:val="20"/>
          <w:szCs w:val="20"/>
        </w:rPr>
      </w:pPr>
      <w:r w:rsidRPr="003F7365">
        <w:rPr>
          <w:rFonts w:ascii="Cambria" w:hAnsi="Cambria"/>
          <w:color w:val="000000"/>
          <w:sz w:val="20"/>
          <w:szCs w:val="20"/>
        </w:rPr>
        <w:t xml:space="preserve">The State provided the victim with a monthly pension. </w:t>
      </w:r>
    </w:p>
    <w:p w14:paraId="5E8BBD23" w14:textId="77777777" w:rsidR="005710FB" w:rsidRPr="003F7365" w:rsidRDefault="005710FB" w:rsidP="005710FB">
      <w:pPr>
        <w:pStyle w:val="ListParagraph"/>
        <w:numPr>
          <w:ilvl w:val="0"/>
          <w:numId w:val="8"/>
        </w:numPr>
        <w:ind w:firstLine="0"/>
        <w:jc w:val="both"/>
        <w:rPr>
          <w:rFonts w:ascii="Cambria" w:hAnsi="Cambria" w:cs="Calibri Light"/>
          <w:color w:val="000000"/>
          <w:sz w:val="20"/>
          <w:szCs w:val="20"/>
        </w:rPr>
      </w:pPr>
      <w:r w:rsidRPr="003F7365">
        <w:rPr>
          <w:rFonts w:ascii="Cambria" w:hAnsi="Cambria"/>
          <w:color w:val="000000"/>
          <w:sz w:val="20"/>
          <w:szCs w:val="20"/>
        </w:rPr>
        <w:t>The State paid the international litigation fees incurred by the petitioners.</w:t>
      </w:r>
    </w:p>
    <w:p w14:paraId="596FD91F" w14:textId="77777777" w:rsidR="005710FB" w:rsidRDefault="005710FB" w:rsidP="005710FB">
      <w:pPr>
        <w:pStyle w:val="ListParagraph"/>
        <w:numPr>
          <w:ilvl w:val="0"/>
          <w:numId w:val="8"/>
        </w:numPr>
        <w:ind w:left="1440" w:hanging="720"/>
        <w:jc w:val="both"/>
        <w:rPr>
          <w:rFonts w:ascii="Cambria" w:hAnsi="Cambria" w:cs="Calibri Light"/>
          <w:color w:val="000000"/>
          <w:sz w:val="20"/>
          <w:szCs w:val="20"/>
        </w:rPr>
      </w:pPr>
      <w:r w:rsidRPr="003F7365">
        <w:rPr>
          <w:rFonts w:ascii="Cambria" w:hAnsi="Cambria" w:cs="Calibri Light"/>
          <w:color w:val="000000"/>
          <w:sz w:val="20"/>
          <w:szCs w:val="20"/>
        </w:rPr>
        <w:t>The State deposited the amount of ARS $ 2,400,000 (two million four hundred thousand Argentine pesos) in an account in the name of Mr. Florentino Rojas for the construction of a home.</w:t>
      </w:r>
    </w:p>
    <w:p w14:paraId="13998905" w14:textId="167674E9" w:rsidR="00551343" w:rsidRPr="005710FB" w:rsidRDefault="005710FB" w:rsidP="005710FB">
      <w:pPr>
        <w:pStyle w:val="ListParagraph"/>
        <w:numPr>
          <w:ilvl w:val="0"/>
          <w:numId w:val="8"/>
        </w:numPr>
        <w:ind w:left="1440" w:hanging="720"/>
        <w:jc w:val="both"/>
        <w:rPr>
          <w:rFonts w:ascii="Cambria" w:hAnsi="Cambria" w:cs="Calibri Light"/>
          <w:color w:val="000000"/>
          <w:sz w:val="20"/>
          <w:szCs w:val="20"/>
        </w:rPr>
      </w:pPr>
      <w:r w:rsidRPr="005710FB">
        <w:rPr>
          <w:rFonts w:ascii="Cambria" w:hAnsi="Cambria" w:cs="Calibri Light"/>
          <w:color w:val="000000"/>
          <w:sz w:val="20"/>
          <w:szCs w:val="20"/>
          <w:lang w:val="en"/>
        </w:rPr>
        <w:t>The State granted a monthly subsidy to Mr. Florentino Rojas in the amount of ARS $50,000 (fifty thousand Argentine pesos) to pay for the required home care.</w:t>
      </w:r>
    </w:p>
    <w:sectPr w:rsidR="00551343" w:rsidRPr="005710FB" w:rsidSect="00EE2B3B">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2A381" w14:textId="77777777" w:rsidR="00EE2B3B" w:rsidRDefault="00EE2B3B" w:rsidP="00EE2B3B">
      <w:r>
        <w:separator/>
      </w:r>
    </w:p>
  </w:endnote>
  <w:endnote w:type="continuationSeparator" w:id="0">
    <w:p w14:paraId="5DE23AC5" w14:textId="77777777" w:rsidR="00EE2B3B" w:rsidRDefault="00EE2B3B" w:rsidP="00EE2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149D5" w14:textId="1B0D8F23" w:rsidR="00EE2B3B" w:rsidRDefault="00EE2B3B" w:rsidP="00EE2B3B">
    <w:pPr>
      <w:pStyle w:val="Footer"/>
      <w:jc w:val="center"/>
    </w:pPr>
    <w:r>
      <w:rPr>
        <w:noProof/>
      </w:rPr>
      <w:drawing>
        <wp:inline distT="0" distB="0" distL="0" distR="0" wp14:anchorId="716D0634" wp14:editId="040054FF">
          <wp:extent cx="5238750" cy="314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0" cy="3143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570E" w14:textId="77777777" w:rsidR="00EE2B3B" w:rsidRDefault="00763E6E" w:rsidP="00EE2B3B">
    <w:pPr>
      <w:pStyle w:val="Footer"/>
      <w:spacing w:line="360" w:lineRule="auto"/>
    </w:pPr>
    <w:r>
      <w:pict w14:anchorId="14B294CB">
        <v:rect id="_x0000_i1027" style="width:0;height:1.5pt" o:hralign="center" o:hrstd="t" o:hr="t" fillcolor="#a0a0a0" stroked="f"/>
      </w:pict>
    </w:r>
  </w:p>
  <w:p w14:paraId="33E89147" w14:textId="232012CD" w:rsidR="00EE2B3B" w:rsidRDefault="00EE2B3B" w:rsidP="00EE2B3B">
    <w:pPr>
      <w:pStyle w:val="Footer"/>
      <w:jc w:val="center"/>
    </w:pPr>
    <w:bookmarkStart w:id="6" w:name="_Hlk138256818"/>
    <w:bookmarkStart w:id="7" w:name="_Hlk138256819"/>
    <w:r>
      <w:rPr>
        <w:noProof/>
      </w:rPr>
      <w:drawing>
        <wp:inline distT="0" distB="0" distL="0" distR="0" wp14:anchorId="2202F3A2" wp14:editId="2F018423">
          <wp:extent cx="5238750" cy="314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0" cy="314325"/>
                  </a:xfrm>
                  <a:prstGeom prst="rect">
                    <a:avLst/>
                  </a:prstGeom>
                  <a:noFill/>
                  <a:ln>
                    <a:noFill/>
                  </a:ln>
                </pic:spPr>
              </pic:pic>
            </a:graphicData>
          </a:graphic>
        </wp:inline>
      </w:drawing>
    </w:r>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02CDA" w14:textId="77777777" w:rsidR="00EE2B3B" w:rsidRDefault="00EE2B3B" w:rsidP="00EE2B3B">
      <w:r>
        <w:separator/>
      </w:r>
    </w:p>
  </w:footnote>
  <w:footnote w:type="continuationSeparator" w:id="0">
    <w:p w14:paraId="48D94B4E" w14:textId="77777777" w:rsidR="00EE2B3B" w:rsidRDefault="00EE2B3B" w:rsidP="00EE2B3B">
      <w:r>
        <w:continuationSeparator/>
      </w:r>
    </w:p>
  </w:footnote>
  <w:footnote w:id="1">
    <w:p w14:paraId="11BD6C66" w14:textId="77777777" w:rsidR="00D11C69" w:rsidRPr="00FA1702" w:rsidRDefault="00D11C69" w:rsidP="00FA1702">
      <w:pPr>
        <w:pStyle w:val="FootnoteText"/>
        <w:tabs>
          <w:tab w:val="left" w:pos="180"/>
        </w:tabs>
        <w:ind w:right="-450" w:firstLine="720"/>
        <w:jc w:val="both"/>
        <w:rPr>
          <w:rFonts w:ascii="Cambria" w:hAnsi="Cambria"/>
          <w:color w:val="000000"/>
          <w:sz w:val="16"/>
          <w:szCs w:val="16"/>
        </w:rPr>
      </w:pPr>
      <w:r w:rsidRPr="00FA1702">
        <w:rPr>
          <w:rStyle w:val="FootnoteReference"/>
          <w:rFonts w:ascii="Cambria" w:hAnsi="Cambria"/>
          <w:color w:val="000000"/>
          <w:sz w:val="16"/>
          <w:szCs w:val="16"/>
        </w:rPr>
        <w:footnoteRef/>
      </w:r>
      <w:r w:rsidRPr="00FA1702">
        <w:rPr>
          <w:rFonts w:ascii="Cambria" w:hAnsi="Cambria"/>
          <w:color w:val="000000"/>
          <w:sz w:val="16"/>
          <w:szCs w:val="16"/>
        </w:rPr>
        <w:t xml:space="preserve">  See IACHR, 2017 Annual Report, Chapter II, Section D. Status of compliance with Recommendations and Friendly Settlements in individual cases, paras. 270 - 278. </w:t>
      </w:r>
    </w:p>
  </w:footnote>
  <w:footnote w:id="2">
    <w:p w14:paraId="3D6D23D3" w14:textId="2D84E617" w:rsidR="00D11C69" w:rsidRPr="00FA1702" w:rsidRDefault="00D11C69" w:rsidP="00FA1702">
      <w:pPr>
        <w:ind w:firstLine="720"/>
        <w:jc w:val="both"/>
        <w:rPr>
          <w:rFonts w:ascii="Cambria" w:hAnsi="Cambria"/>
          <w:sz w:val="16"/>
          <w:szCs w:val="16"/>
        </w:rPr>
      </w:pPr>
      <w:r w:rsidRPr="00FA1702">
        <w:rPr>
          <w:rStyle w:val="FootnoteReference"/>
          <w:rFonts w:ascii="Cambria" w:hAnsi="Cambria"/>
          <w:sz w:val="16"/>
          <w:szCs w:val="16"/>
        </w:rPr>
        <w:footnoteRef/>
      </w:r>
      <w:r w:rsidRPr="00FA1702">
        <w:rPr>
          <w:rFonts w:ascii="Cambria" w:hAnsi="Cambria"/>
          <w:sz w:val="16"/>
          <w:szCs w:val="16"/>
        </w:rPr>
        <w:t xml:space="preserve"> </w:t>
      </w:r>
      <w:r w:rsidR="00FA1702" w:rsidRPr="00FA1702">
        <w:rPr>
          <w:rFonts w:ascii="Cambria" w:hAnsi="Cambria"/>
          <w:color w:val="000000"/>
          <w:sz w:val="16"/>
          <w:szCs w:val="16"/>
        </w:rPr>
        <w:t xml:space="preserve">See IACHR, 2022 Annual Report, Chapter II, Section C. Advances and challenges on negotiation and implementation of friendly settlements, Available at: </w:t>
      </w:r>
      <w:hyperlink r:id="rId1" w:history="1">
        <w:r w:rsidR="00FA1702" w:rsidRPr="00FA1702">
          <w:rPr>
            <w:rStyle w:val="Hyperlink"/>
            <w:rFonts w:ascii="Cambria" w:hAnsi="Cambria"/>
            <w:sz w:val="16"/>
            <w:szCs w:val="16"/>
          </w:rPr>
          <w:t>4-IA2022_Cap_2_EN.pdf (oas.org)</w:t>
        </w:r>
      </w:hyperlink>
    </w:p>
  </w:footnote>
  <w:footnote w:id="3">
    <w:p w14:paraId="2AF44100" w14:textId="77777777" w:rsidR="00D11C69" w:rsidRPr="00FA1702" w:rsidRDefault="00D11C69" w:rsidP="00FA1702">
      <w:pPr>
        <w:ind w:firstLine="720"/>
        <w:jc w:val="both"/>
        <w:rPr>
          <w:rFonts w:ascii="Cambria" w:hAnsi="Cambria"/>
          <w:sz w:val="16"/>
          <w:szCs w:val="16"/>
        </w:rPr>
      </w:pPr>
      <w:r w:rsidRPr="00FA1702">
        <w:rPr>
          <w:rStyle w:val="FootnoteReference"/>
          <w:rFonts w:ascii="Cambria" w:hAnsi="Cambria"/>
          <w:sz w:val="16"/>
          <w:szCs w:val="16"/>
        </w:rPr>
        <w:footnoteRef/>
      </w:r>
      <w:r w:rsidRPr="00FA1702">
        <w:rPr>
          <w:rFonts w:ascii="Cambria" w:hAnsi="Cambria"/>
          <w:sz w:val="16"/>
          <w:szCs w:val="16"/>
        </w:rPr>
        <w:t xml:space="preserve"> </w:t>
      </w:r>
      <w:r w:rsidRPr="00FA1702">
        <w:rPr>
          <w:rFonts w:ascii="Cambria" w:hAnsi="Cambria"/>
          <w:color w:val="000000"/>
          <w:sz w:val="16"/>
          <w:szCs w:val="16"/>
        </w:rPr>
        <w:t xml:space="preserve">See IACHR, 2019 Annual Report, Chapter II, Section G. Friendly Settlements, Available at: </w:t>
      </w:r>
      <w:hyperlink r:id="rId2" w:history="1">
        <w:r w:rsidRPr="00FA1702">
          <w:rPr>
            <w:rStyle w:val="Hyperlink"/>
            <w:rFonts w:ascii="Cambria" w:hAnsi="Cambria"/>
            <w:sz w:val="16"/>
            <w:szCs w:val="16"/>
          </w:rPr>
          <w:t>http://www.oas.org/en/iachr/docs/annual/2019/docs/IA2019cap2-en.pdf</w:t>
        </w:r>
      </w:hyperlink>
      <w:r w:rsidRPr="00FA1702">
        <w:rPr>
          <w:rFonts w:ascii="Cambria" w:hAnsi="Cambria"/>
          <w:color w:val="000000"/>
          <w:sz w:val="16"/>
          <w:szCs w:val="16"/>
        </w:rPr>
        <w:t>.</w:t>
      </w:r>
    </w:p>
  </w:footnote>
  <w:footnote w:id="4">
    <w:p w14:paraId="776E5C76" w14:textId="77777777" w:rsidR="00D11C69" w:rsidRPr="00FA1702" w:rsidRDefault="00D11C69" w:rsidP="00FA1702">
      <w:pPr>
        <w:ind w:firstLine="720"/>
        <w:jc w:val="both"/>
        <w:rPr>
          <w:rFonts w:ascii="Cambria" w:hAnsi="Cambria"/>
          <w:color w:val="000000"/>
          <w:sz w:val="16"/>
          <w:szCs w:val="16"/>
        </w:rPr>
      </w:pPr>
      <w:r w:rsidRPr="00FA1702">
        <w:rPr>
          <w:rStyle w:val="FootnoteReference"/>
          <w:rFonts w:ascii="Cambria" w:hAnsi="Cambria"/>
          <w:sz w:val="16"/>
          <w:szCs w:val="16"/>
        </w:rPr>
        <w:footnoteRef/>
      </w:r>
      <w:r w:rsidRPr="00FA1702">
        <w:rPr>
          <w:rFonts w:ascii="Cambria" w:hAnsi="Cambria"/>
          <w:sz w:val="16"/>
          <w:szCs w:val="16"/>
        </w:rPr>
        <w:t xml:space="preserve"> </w:t>
      </w:r>
      <w:r w:rsidRPr="00FA1702">
        <w:rPr>
          <w:rFonts w:ascii="Cambria" w:hAnsi="Cambria"/>
          <w:color w:val="000000"/>
          <w:sz w:val="16"/>
          <w:szCs w:val="16"/>
        </w:rPr>
        <w:t xml:space="preserve">See IACHR, 2018 Annual Report, Chapter II, Section G. Status of compliance with the recommendations issued by the IACHR in merits reports and friendly settlement agreements approved by the IACHR, Available at: </w:t>
      </w:r>
      <w:hyperlink r:id="rId3" w:history="1">
        <w:r w:rsidRPr="00FA1702">
          <w:rPr>
            <w:rStyle w:val="Hyperlink"/>
            <w:rFonts w:ascii="Cambria" w:hAnsi="Cambria"/>
            <w:sz w:val="16"/>
            <w:szCs w:val="16"/>
          </w:rPr>
          <w:t>http://www.oas.org/es/cidh/docs/anual/2018/docs/IA2018cap.2-es.pdf</w:t>
        </w:r>
      </w:hyperlink>
    </w:p>
  </w:footnote>
  <w:footnote w:id="5">
    <w:p w14:paraId="5FDE154C" w14:textId="77777777" w:rsidR="00D11C69" w:rsidRPr="00FA1702" w:rsidRDefault="00D11C69" w:rsidP="00FA1702">
      <w:pPr>
        <w:ind w:firstLine="720"/>
        <w:jc w:val="both"/>
        <w:rPr>
          <w:rFonts w:ascii="Cambria" w:hAnsi="Cambria"/>
          <w:color w:val="000000"/>
          <w:sz w:val="16"/>
          <w:szCs w:val="16"/>
        </w:rPr>
      </w:pPr>
      <w:r w:rsidRPr="00FA1702">
        <w:rPr>
          <w:rStyle w:val="FootnoteReference"/>
          <w:rFonts w:ascii="Cambria" w:hAnsi="Cambria"/>
          <w:sz w:val="16"/>
          <w:szCs w:val="16"/>
        </w:rPr>
        <w:footnoteRef/>
      </w:r>
      <w:r w:rsidRPr="00FA1702">
        <w:rPr>
          <w:rFonts w:ascii="Cambria" w:hAnsi="Cambria"/>
          <w:sz w:val="16"/>
          <w:szCs w:val="16"/>
        </w:rPr>
        <w:t xml:space="preserve"> </w:t>
      </w:r>
      <w:r w:rsidRPr="00FA1702">
        <w:rPr>
          <w:rFonts w:ascii="Cambria" w:hAnsi="Cambria"/>
          <w:color w:val="000000"/>
          <w:sz w:val="16"/>
          <w:szCs w:val="16"/>
        </w:rPr>
        <w:t xml:space="preserve">See IACHR, 2018 Annual Report, Chapter II, Section G. Status of compliance with the recommendations issued by the IACHR in merits reports and friendly settlement agreements approved by the IACHR, Available at: </w:t>
      </w:r>
      <w:hyperlink r:id="rId4" w:history="1">
        <w:r w:rsidRPr="00FA1702">
          <w:rPr>
            <w:rStyle w:val="Hyperlink"/>
            <w:rFonts w:ascii="Cambria" w:hAnsi="Cambria"/>
            <w:sz w:val="16"/>
            <w:szCs w:val="16"/>
          </w:rPr>
          <w:t>http://www.oas.org/es/cidh/docs/anual/2018/docs/IA2018cap.2-es.pdf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CD2E5" w14:textId="61BDB6F8" w:rsidR="00EE2B3B" w:rsidRDefault="00EE2B3B" w:rsidP="00EE2B3B">
    <w:pPr>
      <w:pStyle w:val="Header"/>
      <w:jc w:val="center"/>
    </w:pPr>
    <w:r>
      <w:rPr>
        <w:noProof/>
      </w:rPr>
      <w:drawing>
        <wp:inline distT="0" distB="0" distL="0" distR="0" wp14:anchorId="05F89FF3" wp14:editId="35C856FB">
          <wp:extent cx="2276475" cy="114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114300"/>
                  </a:xfrm>
                  <a:prstGeom prst="rect">
                    <a:avLst/>
                  </a:prstGeom>
                  <a:noFill/>
                  <a:ln>
                    <a:noFill/>
                  </a:ln>
                </pic:spPr>
              </pic:pic>
            </a:graphicData>
          </a:graphic>
        </wp:inline>
      </w:drawing>
    </w:r>
  </w:p>
  <w:p w14:paraId="5C22E6E7" w14:textId="19B082BD" w:rsidR="00EE2B3B" w:rsidRPr="00EE2B3B" w:rsidRDefault="00763E6E" w:rsidP="00EE2B3B">
    <w:pPr>
      <w:pStyle w:val="Header"/>
    </w:pPr>
    <w:r>
      <w:pict w14:anchorId="04325340">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A139" w14:textId="1F58B056" w:rsidR="00EE2B3B" w:rsidRDefault="00EE2B3B" w:rsidP="00EE2B3B">
    <w:pPr>
      <w:pStyle w:val="Header"/>
    </w:pPr>
    <w:bookmarkStart w:id="4" w:name="_Hlk138256805"/>
    <w:bookmarkStart w:id="5" w:name="_Hlk138256806"/>
    <w:r>
      <w:rPr>
        <w:noProof/>
      </w:rPr>
      <w:drawing>
        <wp:anchor distT="0" distB="0" distL="114300" distR="114300" simplePos="0" relativeHeight="251659264" behindDoc="1" locked="0" layoutInCell="1" allowOverlap="1" wp14:anchorId="041316FD" wp14:editId="7A155487">
          <wp:simplePos x="0" y="0"/>
          <wp:positionH relativeFrom="column">
            <wp:posOffset>0</wp:posOffset>
          </wp:positionH>
          <wp:positionV relativeFrom="paragraph">
            <wp:posOffset>-28575</wp:posOffset>
          </wp:positionV>
          <wp:extent cx="2567940" cy="495300"/>
          <wp:effectExtent l="0" t="0" r="3810" b="0"/>
          <wp:wrapThrough wrapText="bothSides">
            <wp:wrapPolygon edited="0">
              <wp:start x="0" y="0"/>
              <wp:lineTo x="0" y="20769"/>
              <wp:lineTo x="21472" y="20769"/>
              <wp:lineTo x="21472"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94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B65916B" wp14:editId="2EBBB3D4">
          <wp:simplePos x="0" y="0"/>
          <wp:positionH relativeFrom="column">
            <wp:posOffset>4019550</wp:posOffset>
          </wp:positionH>
          <wp:positionV relativeFrom="paragraph">
            <wp:posOffset>-34290</wp:posOffset>
          </wp:positionV>
          <wp:extent cx="1924050" cy="499110"/>
          <wp:effectExtent l="0" t="0" r="0" b="0"/>
          <wp:wrapThrough wrapText="bothSides">
            <wp:wrapPolygon edited="0">
              <wp:start x="1069" y="0"/>
              <wp:lineTo x="0" y="4122"/>
              <wp:lineTo x="0" y="16489"/>
              <wp:lineTo x="1069" y="20611"/>
              <wp:lineTo x="4277" y="20611"/>
              <wp:lineTo x="21386" y="18137"/>
              <wp:lineTo x="21386" y="4122"/>
              <wp:lineTo x="4063" y="0"/>
              <wp:lineTo x="1069"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49911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5084D170" w14:textId="77777777" w:rsidR="00EE2B3B" w:rsidRDefault="00EE2B3B" w:rsidP="00EE2B3B">
    <w:pPr>
      <w:pStyle w:val="Header"/>
    </w:pPr>
  </w:p>
  <w:p w14:paraId="12638557" w14:textId="77777777" w:rsidR="00EE2B3B" w:rsidRDefault="00EE2B3B" w:rsidP="00EE2B3B">
    <w:pPr>
      <w:pStyle w:val="Header"/>
    </w:pPr>
  </w:p>
  <w:p w14:paraId="0EFF114E" w14:textId="77777777" w:rsidR="00EE2B3B" w:rsidRDefault="00763E6E" w:rsidP="00EE2B3B">
    <w:pPr>
      <w:pStyle w:val="Header"/>
    </w:pPr>
    <w:r>
      <w:pict w14:anchorId="3288A7D7">
        <v:rect id="_x0000_i1026" style="width:0;height:1.5pt" o:hralign="center" o:hrstd="t" o:hr="t" fillcolor="#a0a0a0" stroked="f"/>
      </w:pic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FE1"/>
    <w:multiLevelType w:val="hybridMultilevel"/>
    <w:tmpl w:val="EEB433B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F8A470B"/>
    <w:multiLevelType w:val="hybridMultilevel"/>
    <w:tmpl w:val="2D8E04F4"/>
    <w:lvl w:ilvl="0" w:tplc="FFFFFFFF">
      <w:start w:val="1"/>
      <w:numFmt w:val="upperRoman"/>
      <w:lvlText w:val="%1."/>
      <w:lvlJc w:val="left"/>
      <w:pPr>
        <w:ind w:left="1080" w:hanging="720"/>
      </w:pPr>
      <w:rPr>
        <w:rFonts w:cs="Times New Roman"/>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3A6C04F9"/>
    <w:multiLevelType w:val="hybridMultilevel"/>
    <w:tmpl w:val="98E0532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3E255ED6"/>
    <w:multiLevelType w:val="hybridMultilevel"/>
    <w:tmpl w:val="0E9E492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441E655F"/>
    <w:multiLevelType w:val="hybridMultilevel"/>
    <w:tmpl w:val="38EAC91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53E961B8"/>
    <w:multiLevelType w:val="hybridMultilevel"/>
    <w:tmpl w:val="6C02FA7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6F83397B"/>
    <w:multiLevelType w:val="hybridMultilevel"/>
    <w:tmpl w:val="905A73D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78C26CC1"/>
    <w:multiLevelType w:val="hybridMultilevel"/>
    <w:tmpl w:val="1DDE1E8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7362023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66332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524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2929156">
    <w:abstractNumId w:val="3"/>
  </w:num>
  <w:num w:numId="5" w16cid:durableId="56173509">
    <w:abstractNumId w:val="5"/>
  </w:num>
  <w:num w:numId="6" w16cid:durableId="56518530">
    <w:abstractNumId w:val="0"/>
  </w:num>
  <w:num w:numId="7" w16cid:durableId="4633522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1972006">
    <w:abstractNumId w:val="2"/>
  </w:num>
  <w:num w:numId="9" w16cid:durableId="15748493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B3B"/>
    <w:rsid w:val="001C78F9"/>
    <w:rsid w:val="001D1BFB"/>
    <w:rsid w:val="001E18D9"/>
    <w:rsid w:val="004F6608"/>
    <w:rsid w:val="00551343"/>
    <w:rsid w:val="005710FB"/>
    <w:rsid w:val="00763E6E"/>
    <w:rsid w:val="00A15312"/>
    <w:rsid w:val="00BB339B"/>
    <w:rsid w:val="00D04AF5"/>
    <w:rsid w:val="00D11C69"/>
    <w:rsid w:val="00DA1784"/>
    <w:rsid w:val="00EB6320"/>
    <w:rsid w:val="00EE2B3B"/>
    <w:rsid w:val="00F45E34"/>
    <w:rsid w:val="00F84B42"/>
    <w:rsid w:val="00FA1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F7A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B3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árrafo de lista1,List Paragraph1,Colorful List - Accent 11,List Paragraph11,Lista vistosa - Énfasis 11,Parragrap,Superíndice,Dot pt,No Spacing1,List Paragraph Char Char Char,Indicator Text,Numbered Para 1,4 Párrafo de lista,Figuras,DH1"/>
    <w:basedOn w:val="Normal"/>
    <w:link w:val="ListParagraphChar"/>
    <w:uiPriority w:val="34"/>
    <w:qFormat/>
    <w:rsid w:val="00EE2B3B"/>
    <w:pPr>
      <w:ind w:left="720"/>
      <w:contextualSpacing/>
    </w:p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EE2B3B"/>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rsid w:val="00EE2B3B"/>
    <w:rPr>
      <w:sz w:val="20"/>
      <w:szCs w:val="20"/>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basedOn w:val="DefaultParagraphFont"/>
    <w:link w:val="Appelnotedebasde"/>
    <w:unhideWhenUsed/>
    <w:qFormat/>
    <w:rsid w:val="00EE2B3B"/>
    <w:rPr>
      <w:vertAlign w:val="superscript"/>
    </w:rPr>
  </w:style>
  <w:style w:type="character" w:styleId="Hyperlink">
    <w:name w:val="Hyperlink"/>
    <w:uiPriority w:val="99"/>
    <w:unhideWhenUsed/>
    <w:rsid w:val="00EE2B3B"/>
    <w:rPr>
      <w:color w:val="0000FF"/>
      <w:u w:val="single"/>
      <w:lang w:val="en-US" w:eastAsia="en-US"/>
    </w:rPr>
  </w:style>
  <w:style w:type="paragraph" w:styleId="NoSpacing">
    <w:name w:val="No Spacing"/>
    <w:uiPriority w:val="1"/>
    <w:qFormat/>
    <w:rsid w:val="00EE2B3B"/>
    <w:pPr>
      <w:spacing w:after="0" w:line="240" w:lineRule="auto"/>
    </w:pPr>
    <w:rPr>
      <w:rFonts w:ascii="Calibri" w:eastAsia="Calibri" w:hAnsi="Calibri" w:cs="Times New Roman"/>
    </w:rPr>
  </w:style>
  <w:style w:type="character" w:customStyle="1" w:styleId="ListParagraphChar">
    <w:name w:val="List Paragraph Char"/>
    <w:aliases w:val="Párrafo de lista1 Char,List Paragraph1 Char,Colorful List - Accent 11 Char,List Paragraph11 Char,Lista vistosa - Énfasis 11 Char,Parragrap Char,Superíndice Char,Dot pt Char,No Spacing1 Char,List Paragraph Char Char Char Char,DH1 Char"/>
    <w:link w:val="ListParagraph"/>
    <w:uiPriority w:val="34"/>
    <w:locked/>
    <w:rsid w:val="00EE2B3B"/>
    <w:rPr>
      <w:sz w:val="24"/>
      <w:szCs w:val="24"/>
    </w:rPr>
  </w:style>
  <w:style w:type="paragraph" w:customStyle="1" w:styleId="Appelnotedebasde">
    <w:name w:val="Appel note de bas de..."/>
    <w:basedOn w:val="Normal"/>
    <w:link w:val="FootnoteReference"/>
    <w:uiPriority w:val="99"/>
    <w:rsid w:val="00EE2B3B"/>
    <w:pPr>
      <w:spacing w:after="160" w:line="240" w:lineRule="exact"/>
    </w:pPr>
    <w:rPr>
      <w:sz w:val="22"/>
      <w:szCs w:val="22"/>
      <w:vertAlign w:val="superscript"/>
    </w:rPr>
  </w:style>
  <w:style w:type="paragraph" w:styleId="Header">
    <w:name w:val="header"/>
    <w:basedOn w:val="Normal"/>
    <w:link w:val="HeaderChar"/>
    <w:uiPriority w:val="99"/>
    <w:unhideWhenUsed/>
    <w:rsid w:val="00EE2B3B"/>
    <w:pPr>
      <w:tabs>
        <w:tab w:val="center" w:pos="4680"/>
        <w:tab w:val="right" w:pos="9360"/>
      </w:tabs>
    </w:pPr>
  </w:style>
  <w:style w:type="character" w:customStyle="1" w:styleId="HeaderChar">
    <w:name w:val="Header Char"/>
    <w:basedOn w:val="DefaultParagraphFont"/>
    <w:link w:val="Header"/>
    <w:uiPriority w:val="99"/>
    <w:rsid w:val="00EE2B3B"/>
    <w:rPr>
      <w:sz w:val="24"/>
      <w:szCs w:val="24"/>
    </w:rPr>
  </w:style>
  <w:style w:type="paragraph" w:styleId="Footer">
    <w:name w:val="footer"/>
    <w:basedOn w:val="Normal"/>
    <w:link w:val="FooterChar"/>
    <w:uiPriority w:val="99"/>
    <w:unhideWhenUsed/>
    <w:rsid w:val="00EE2B3B"/>
    <w:pPr>
      <w:tabs>
        <w:tab w:val="center" w:pos="4680"/>
        <w:tab w:val="right" w:pos="9360"/>
      </w:tabs>
    </w:pPr>
  </w:style>
  <w:style w:type="character" w:customStyle="1" w:styleId="FooterChar">
    <w:name w:val="Footer Char"/>
    <w:basedOn w:val="DefaultParagraphFont"/>
    <w:link w:val="Footer"/>
    <w:uiPriority w:val="99"/>
    <w:rsid w:val="00EE2B3B"/>
    <w:rPr>
      <w:sz w:val="24"/>
      <w:szCs w:val="24"/>
    </w:rPr>
  </w:style>
  <w:style w:type="character" w:styleId="FollowedHyperlink">
    <w:name w:val="FollowedHyperlink"/>
    <w:basedOn w:val="DefaultParagraphFont"/>
    <w:uiPriority w:val="99"/>
    <w:semiHidden/>
    <w:unhideWhenUsed/>
    <w:rsid w:val="00EE2B3B"/>
    <w:rPr>
      <w:color w:val="954F72" w:themeColor="followedHyperlink"/>
      <w:u w:val="single"/>
    </w:rPr>
  </w:style>
  <w:style w:type="character" w:styleId="UnresolvedMention">
    <w:name w:val="Unresolved Mention"/>
    <w:basedOn w:val="DefaultParagraphFont"/>
    <w:uiPriority w:val="99"/>
    <w:semiHidden/>
    <w:unhideWhenUsed/>
    <w:rsid w:val="00EE2B3B"/>
    <w:rPr>
      <w:color w:val="605E5C"/>
      <w:shd w:val="clear" w:color="auto" w:fill="E1DFDD"/>
    </w:rPr>
  </w:style>
  <w:style w:type="paragraph" w:styleId="Title">
    <w:name w:val="Title"/>
    <w:basedOn w:val="Normal"/>
    <w:next w:val="Normal"/>
    <w:link w:val="TitleChar"/>
    <w:uiPriority w:val="10"/>
    <w:qFormat/>
    <w:rsid w:val="001D1BF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BF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s.org/en/iachr/decisions/friendly.asp?Year=201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as.org/en/iachr/decisions/friendly.asp" TargetMode="External"/><Relationship Id="rId4" Type="http://schemas.openxmlformats.org/officeDocument/2006/relationships/settings" Target="settings.xml"/><Relationship Id="rId9" Type="http://schemas.openxmlformats.org/officeDocument/2006/relationships/hyperlink" Target="http://www.cidh.oas.org/annualrep/2009eng/Argentina12182eng.ht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www.oas.org/es/cidh/docs/anual/2018/docs/IA2018cap.2-es.pdf" TargetMode="External"/><Relationship Id="rId2" Type="http://schemas.openxmlformats.org/officeDocument/2006/relationships/hyperlink" Target="http://www.oas.org/en/iachr/docs/annual/2019/docs/IA2019cap2-en.pdf" TargetMode="External"/><Relationship Id="rId1" Type="http://schemas.openxmlformats.org/officeDocument/2006/relationships/hyperlink" Target="https://www.oas.org/en/iachr/docs/annual/2022/Chapters/4-IA2022_Cap_2_EN.pdf" TargetMode="External"/><Relationship Id="rId4" Type="http://schemas.openxmlformats.org/officeDocument/2006/relationships/hyperlink" Target="http://www.oas.org/es/cidh/docs/anual/2018/docs/IA2018cap.2-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EF23-5EC8-47BB-AEC1-2CD4B91D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1127</Words>
  <Characters>6428</Characters>
  <Application>Microsoft Office Word</Application>
  <DocSecurity>0</DocSecurity>
  <Lines>53</Lines>
  <Paragraphs>15</Paragraphs>
  <ScaleCrop>false</ScaleCrop>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2023-06-28T14:54:00Z</dcterms:created>
  <dcterms:modified xsi:type="dcterms:W3CDTF">2023-06-28T14:54:00Z</dcterms:modified>
</cp:coreProperties>
</file>