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8E819" w14:textId="77777777" w:rsidR="00EE2B3B" w:rsidRDefault="00EE2B3B" w:rsidP="00EE2B3B">
      <w:pPr>
        <w:pStyle w:val="NoSpacing"/>
        <w:ind w:left="-270" w:right="-270"/>
        <w:jc w:val="center"/>
        <w:rPr>
          <w:rFonts w:ascii="Cambria" w:hAnsi="Cambria"/>
          <w:b/>
          <w:color w:val="000000"/>
          <w:sz w:val="24"/>
          <w:szCs w:val="24"/>
        </w:rPr>
      </w:pPr>
    </w:p>
    <w:p w14:paraId="036D26F6" w14:textId="77777777" w:rsidR="00EE2B3B" w:rsidRPr="00EE2B3B" w:rsidRDefault="00EE2B3B" w:rsidP="00EE2B3B">
      <w:pPr>
        <w:pStyle w:val="NoSpacing"/>
        <w:ind w:left="-270" w:right="-270"/>
        <w:jc w:val="center"/>
        <w:rPr>
          <w:rFonts w:ascii="Cambria" w:hAnsi="Cambria"/>
          <w:b/>
          <w:color w:val="000000"/>
          <w:sz w:val="24"/>
          <w:szCs w:val="24"/>
        </w:rPr>
      </w:pPr>
      <w:r w:rsidRPr="00EE2B3B">
        <w:rPr>
          <w:rFonts w:ascii="Cambria" w:hAnsi="Cambria"/>
          <w:b/>
          <w:color w:val="000000"/>
          <w:sz w:val="24"/>
          <w:szCs w:val="24"/>
        </w:rPr>
        <w:t>TECHNICAL INFORMATION SHEET</w:t>
      </w:r>
    </w:p>
    <w:p w14:paraId="47A966EF" w14:textId="75E70D74" w:rsidR="00F754AF" w:rsidRPr="00F754AF" w:rsidRDefault="00F754AF" w:rsidP="00F754AF">
      <w:pPr>
        <w:jc w:val="center"/>
        <w:rPr>
          <w:rFonts w:ascii="Cambria" w:eastAsia="Batang" w:hAnsi="Cambria"/>
          <w:b/>
          <w:color w:val="000000"/>
          <w:szCs w:val="20"/>
        </w:rPr>
      </w:pPr>
      <w:r w:rsidRPr="00F754AF">
        <w:rPr>
          <w:rFonts w:ascii="Cambria" w:hAnsi="Cambria"/>
          <w:b/>
          <w:color w:val="000000"/>
        </w:rPr>
        <w:t>CASE 11.538 HERSON JAVIER CARO</w:t>
      </w:r>
    </w:p>
    <w:p w14:paraId="589F3041" w14:textId="6D038B9E" w:rsidR="00EE2B3B" w:rsidRPr="003F7365" w:rsidRDefault="00EE2B3B" w:rsidP="00EE2B3B">
      <w:pPr>
        <w:pStyle w:val="NoSpacing"/>
        <w:ind w:left="-270" w:right="-270"/>
        <w:jc w:val="center"/>
        <w:rPr>
          <w:rFonts w:ascii="Cambria" w:hAnsi="Cambria"/>
          <w:b/>
          <w:color w:val="000000"/>
          <w:sz w:val="24"/>
          <w:szCs w:val="24"/>
        </w:rPr>
      </w:pPr>
      <w:r w:rsidRPr="003F7365">
        <w:rPr>
          <w:rFonts w:ascii="Cambria" w:hAnsi="Cambria"/>
          <w:b/>
          <w:color w:val="000000"/>
          <w:sz w:val="24"/>
          <w:szCs w:val="24"/>
        </w:rPr>
        <w:t>REPORT ON FRIENDLY SETTLEMENT Nº</w:t>
      </w:r>
      <w:r w:rsidR="00F754AF">
        <w:rPr>
          <w:rFonts w:ascii="Cambria" w:hAnsi="Cambria"/>
          <w:b/>
          <w:color w:val="000000"/>
          <w:sz w:val="24"/>
          <w:szCs w:val="24"/>
        </w:rPr>
        <w:t xml:space="preserve"> </w:t>
      </w:r>
      <w:hyperlink r:id="rId8" w:history="1">
        <w:r w:rsidR="00F754AF" w:rsidRPr="00DD3F75">
          <w:rPr>
            <w:rStyle w:val="Hyperlink"/>
            <w:rFonts w:ascii="Cambria" w:hAnsi="Cambria"/>
            <w:b/>
            <w:sz w:val="24"/>
            <w:szCs w:val="24"/>
          </w:rPr>
          <w:t>43/16</w:t>
        </w:r>
      </w:hyperlink>
    </w:p>
    <w:p w14:paraId="291D19F8" w14:textId="77777777" w:rsidR="00EE2B3B" w:rsidRDefault="00EE2B3B" w:rsidP="00EE2B3B">
      <w:pPr>
        <w:pStyle w:val="NoSpacing"/>
        <w:ind w:left="-270" w:right="-270"/>
        <w:jc w:val="center"/>
        <w:rPr>
          <w:rFonts w:ascii="Cambria" w:hAnsi="Cambria"/>
          <w:b/>
          <w:color w:val="000000"/>
          <w:sz w:val="24"/>
          <w:szCs w:val="24"/>
        </w:rPr>
      </w:pPr>
      <w:r w:rsidRPr="00EE2B3B">
        <w:rPr>
          <w:rFonts w:ascii="Cambria" w:hAnsi="Cambria"/>
          <w:b/>
          <w:color w:val="000000"/>
          <w:sz w:val="24"/>
          <w:szCs w:val="24"/>
        </w:rPr>
        <w:t>TOTAL COMPLIANCE</w:t>
      </w:r>
      <w:r w:rsidRPr="003F7365">
        <w:rPr>
          <w:rFonts w:ascii="Cambria" w:hAnsi="Cambria"/>
          <w:b/>
          <w:color w:val="000000"/>
          <w:sz w:val="24"/>
          <w:szCs w:val="24"/>
        </w:rPr>
        <w:t xml:space="preserve"> </w:t>
      </w:r>
    </w:p>
    <w:p w14:paraId="731B0D08" w14:textId="1CB6FB35" w:rsidR="00EE2B3B" w:rsidRPr="003F7365" w:rsidRDefault="00EE2B3B" w:rsidP="00EE2B3B">
      <w:pPr>
        <w:pStyle w:val="NoSpacing"/>
        <w:ind w:left="-270" w:right="-270"/>
        <w:jc w:val="center"/>
        <w:rPr>
          <w:rFonts w:ascii="Cambria" w:hAnsi="Cambria"/>
          <w:b/>
          <w:color w:val="000000"/>
          <w:sz w:val="24"/>
          <w:szCs w:val="24"/>
        </w:rPr>
      </w:pPr>
      <w:r w:rsidRPr="003F7365">
        <w:rPr>
          <w:rFonts w:ascii="Cambria" w:hAnsi="Cambria"/>
          <w:b/>
          <w:color w:val="000000"/>
          <w:sz w:val="24"/>
          <w:szCs w:val="24"/>
        </w:rPr>
        <w:t>(</w:t>
      </w:r>
      <w:r w:rsidR="00F754AF">
        <w:rPr>
          <w:rFonts w:ascii="Cambria" w:hAnsi="Cambria"/>
          <w:b/>
          <w:color w:val="000000"/>
          <w:sz w:val="24"/>
          <w:szCs w:val="24"/>
        </w:rPr>
        <w:t>COLOMBIA</w:t>
      </w:r>
      <w:r w:rsidRPr="003F7365">
        <w:rPr>
          <w:rFonts w:ascii="Cambria" w:hAnsi="Cambria"/>
          <w:b/>
          <w:color w:val="000000"/>
          <w:sz w:val="24"/>
          <w:szCs w:val="24"/>
        </w:rPr>
        <w:t>)</w:t>
      </w:r>
    </w:p>
    <w:p w14:paraId="6FCFDEEB" w14:textId="77777777" w:rsidR="00EE2B3B" w:rsidRPr="003F7365" w:rsidRDefault="00EE2B3B" w:rsidP="00EE2B3B">
      <w:pPr>
        <w:pStyle w:val="NoSpacing"/>
        <w:ind w:left="-270" w:right="-270"/>
        <w:jc w:val="center"/>
        <w:rPr>
          <w:rFonts w:ascii="Cambria" w:hAnsi="Cambria"/>
          <w:b/>
          <w:color w:val="000000"/>
          <w:sz w:val="20"/>
          <w:szCs w:val="20"/>
        </w:rPr>
      </w:pPr>
    </w:p>
    <w:p w14:paraId="14A7D6AF" w14:textId="77777777" w:rsidR="00EE2B3B" w:rsidRPr="003F7365" w:rsidRDefault="00EE2B3B" w:rsidP="00EE2B3B">
      <w:pPr>
        <w:numPr>
          <w:ilvl w:val="0"/>
          <w:numId w:val="1"/>
        </w:numPr>
        <w:ind w:left="0" w:firstLine="720"/>
        <w:rPr>
          <w:rFonts w:ascii="Cambria" w:hAnsi="Cambria" w:cs="Calibri Light"/>
          <w:b/>
          <w:color w:val="000000"/>
          <w:sz w:val="20"/>
          <w:szCs w:val="20"/>
        </w:rPr>
      </w:pPr>
      <w:r w:rsidRPr="003F7365">
        <w:rPr>
          <w:rFonts w:ascii="Cambria" w:hAnsi="Cambria"/>
          <w:b/>
          <w:color w:val="000000"/>
          <w:sz w:val="20"/>
          <w:szCs w:val="20"/>
        </w:rPr>
        <w:t xml:space="preserve">SUMMARY OF THE CASE </w:t>
      </w:r>
    </w:p>
    <w:p w14:paraId="05E3AE0D" w14:textId="77777777" w:rsidR="00EE2B3B" w:rsidRPr="003F7365" w:rsidRDefault="00EE2B3B" w:rsidP="00EE2B3B">
      <w:pPr>
        <w:ind w:left="720"/>
        <w:rPr>
          <w:rFonts w:ascii="Cambria" w:hAnsi="Cambria" w:cs="Calibri Light"/>
          <w:b/>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8B605A" w:rsidRPr="003F7365" w14:paraId="0DA6B01E" w14:textId="77777777" w:rsidTr="008B605A">
        <w:trPr>
          <w:jc w:val="center"/>
        </w:trPr>
        <w:tc>
          <w:tcPr>
            <w:tcW w:w="9350" w:type="dxa"/>
            <w:tcBorders>
              <w:top w:val="single" w:sz="4" w:space="0" w:color="auto"/>
              <w:left w:val="single" w:sz="4" w:space="0" w:color="auto"/>
              <w:bottom w:val="single" w:sz="4" w:space="0" w:color="auto"/>
              <w:right w:val="single" w:sz="4" w:space="0" w:color="auto"/>
            </w:tcBorders>
            <w:shd w:val="clear" w:color="auto" w:fill="F2F2F2"/>
          </w:tcPr>
          <w:p w14:paraId="3FBA4615" w14:textId="77777777" w:rsidR="008B605A" w:rsidRPr="003507A6" w:rsidRDefault="008B605A" w:rsidP="008B605A">
            <w:pPr>
              <w:jc w:val="both"/>
              <w:rPr>
                <w:rFonts w:ascii="Cambria" w:eastAsia="Batang" w:hAnsi="Cambria"/>
                <w:color w:val="000000"/>
                <w:sz w:val="20"/>
                <w:szCs w:val="20"/>
              </w:rPr>
            </w:pPr>
            <w:r w:rsidRPr="003507A6">
              <w:rPr>
                <w:rFonts w:ascii="Cambria" w:hAnsi="Cambria"/>
                <w:b/>
                <w:color w:val="000000"/>
                <w:sz w:val="20"/>
              </w:rPr>
              <w:t>Victim (s):</w:t>
            </w:r>
            <w:r w:rsidRPr="003507A6">
              <w:rPr>
                <w:rFonts w:ascii="Cambria" w:hAnsi="Cambria"/>
                <w:color w:val="000000"/>
                <w:sz w:val="20"/>
              </w:rPr>
              <w:t xml:space="preserve"> Herson Javier Caro</w:t>
            </w:r>
          </w:p>
          <w:p w14:paraId="681F6FA4" w14:textId="77777777" w:rsidR="008B605A" w:rsidRPr="003507A6" w:rsidRDefault="008B605A" w:rsidP="008B605A">
            <w:pPr>
              <w:jc w:val="both"/>
              <w:rPr>
                <w:rFonts w:ascii="Cambria" w:eastAsia="Batang" w:hAnsi="Cambria"/>
                <w:color w:val="000000"/>
                <w:sz w:val="20"/>
                <w:szCs w:val="20"/>
              </w:rPr>
            </w:pPr>
            <w:r w:rsidRPr="003507A6">
              <w:rPr>
                <w:rFonts w:ascii="Cambria" w:hAnsi="Cambria"/>
                <w:b/>
                <w:color w:val="000000"/>
                <w:sz w:val="20"/>
              </w:rPr>
              <w:t xml:space="preserve">Petitioner (s): </w:t>
            </w:r>
            <w:r w:rsidRPr="003507A6">
              <w:rPr>
                <w:rFonts w:ascii="Cambria" w:hAnsi="Cambria"/>
                <w:color w:val="000000"/>
                <w:sz w:val="20"/>
              </w:rPr>
              <w:t>Interdenominational Commission for Justice and Peace, now called the Inter-Church Justice and Peace Commission</w:t>
            </w:r>
          </w:p>
          <w:p w14:paraId="190ACDFB" w14:textId="77777777" w:rsidR="008B605A" w:rsidRPr="003507A6" w:rsidRDefault="008B605A" w:rsidP="008B605A">
            <w:pPr>
              <w:jc w:val="both"/>
              <w:rPr>
                <w:rFonts w:ascii="Cambria" w:eastAsia="Batang" w:hAnsi="Cambria"/>
                <w:color w:val="000000"/>
                <w:sz w:val="20"/>
                <w:szCs w:val="20"/>
              </w:rPr>
            </w:pPr>
            <w:r w:rsidRPr="003507A6">
              <w:rPr>
                <w:rFonts w:ascii="Cambria" w:hAnsi="Cambria"/>
                <w:b/>
                <w:color w:val="000000"/>
                <w:sz w:val="20"/>
              </w:rPr>
              <w:t>State:</w:t>
            </w:r>
            <w:r w:rsidRPr="003507A6">
              <w:rPr>
                <w:rFonts w:ascii="Cambria" w:hAnsi="Cambria"/>
                <w:color w:val="000000"/>
                <w:sz w:val="20"/>
              </w:rPr>
              <w:t xml:space="preserve"> Colombia</w:t>
            </w:r>
          </w:p>
          <w:p w14:paraId="4E8CE322" w14:textId="77777777" w:rsidR="008B605A" w:rsidRPr="003507A6" w:rsidRDefault="008B605A" w:rsidP="008B605A">
            <w:pPr>
              <w:pStyle w:val="NoSpacing"/>
              <w:tabs>
                <w:tab w:val="left" w:pos="9270"/>
              </w:tabs>
              <w:jc w:val="both"/>
              <w:rPr>
                <w:rFonts w:ascii="Cambria" w:hAnsi="Cambria"/>
                <w:b/>
                <w:bCs/>
                <w:color w:val="000000"/>
                <w:sz w:val="20"/>
                <w:szCs w:val="20"/>
              </w:rPr>
            </w:pPr>
            <w:r w:rsidRPr="003507A6">
              <w:rPr>
                <w:rFonts w:ascii="Cambria" w:hAnsi="Cambria"/>
                <w:b/>
                <w:color w:val="000000"/>
                <w:sz w:val="20"/>
              </w:rPr>
              <w:t>Beginning of the negotiation date:</w:t>
            </w:r>
            <w:r w:rsidRPr="003507A6">
              <w:rPr>
                <w:rFonts w:ascii="Cambria" w:hAnsi="Cambria"/>
                <w:color w:val="FF0000"/>
                <w:sz w:val="20"/>
              </w:rPr>
              <w:t xml:space="preserve"> </w:t>
            </w:r>
            <w:r w:rsidRPr="003507A6">
              <w:rPr>
                <w:rFonts w:ascii="Cambria" w:hAnsi="Cambria"/>
                <w:sz w:val="20"/>
              </w:rPr>
              <w:t>May 6, 2015</w:t>
            </w:r>
            <w:r w:rsidRPr="003507A6">
              <w:rPr>
                <w:rFonts w:ascii="Cambria" w:hAnsi="Cambria"/>
                <w:color w:val="000000"/>
                <w:sz w:val="20"/>
              </w:rPr>
              <w:t xml:space="preserve"> </w:t>
            </w:r>
          </w:p>
          <w:p w14:paraId="0DF27E19" w14:textId="77777777" w:rsidR="008B605A" w:rsidRPr="003507A6" w:rsidRDefault="008B605A" w:rsidP="008B605A">
            <w:pPr>
              <w:rPr>
                <w:rFonts w:ascii="Cambria" w:hAnsi="Cambria"/>
                <w:b/>
                <w:bCs/>
                <w:color w:val="000000"/>
                <w:sz w:val="20"/>
                <w:szCs w:val="20"/>
              </w:rPr>
            </w:pPr>
            <w:r w:rsidRPr="003507A6">
              <w:rPr>
                <w:rFonts w:ascii="Cambria" w:hAnsi="Cambria"/>
                <w:b/>
                <w:color w:val="000000"/>
                <w:sz w:val="20"/>
              </w:rPr>
              <w:t xml:space="preserve">FSA signature date: </w:t>
            </w:r>
            <w:r w:rsidRPr="003507A6">
              <w:rPr>
                <w:rFonts w:ascii="Cambria" w:hAnsi="Cambria"/>
                <w:color w:val="000000"/>
                <w:sz w:val="20"/>
              </w:rPr>
              <w:t>March 2, 2016</w:t>
            </w:r>
          </w:p>
          <w:p w14:paraId="2ADC4A64" w14:textId="77777777" w:rsidR="008B605A" w:rsidRPr="003507A6" w:rsidRDefault="008B605A" w:rsidP="008B605A">
            <w:pPr>
              <w:jc w:val="both"/>
              <w:rPr>
                <w:rFonts w:ascii="Cambria" w:eastAsia="Batang" w:hAnsi="Cambria"/>
                <w:color w:val="000000"/>
                <w:sz w:val="20"/>
                <w:szCs w:val="20"/>
              </w:rPr>
            </w:pPr>
            <w:r w:rsidRPr="003507A6">
              <w:rPr>
                <w:rFonts w:ascii="Cambria" w:hAnsi="Cambria"/>
                <w:b/>
                <w:color w:val="000000"/>
                <w:sz w:val="20"/>
              </w:rPr>
              <w:t xml:space="preserve">Admissibility Report No.: </w:t>
            </w:r>
            <w:hyperlink r:id="rId9">
              <w:r w:rsidRPr="003507A6">
                <w:rPr>
                  <w:rFonts w:ascii="Cambria" w:hAnsi="Cambria"/>
                  <w:b/>
                  <w:color w:val="000000"/>
                  <w:sz w:val="20"/>
                  <w:u w:val="single"/>
                </w:rPr>
                <w:t>72/09</w:t>
              </w:r>
            </w:hyperlink>
            <w:r w:rsidRPr="003507A6">
              <w:rPr>
                <w:rFonts w:ascii="Cambria" w:hAnsi="Cambria"/>
                <w:color w:val="000000"/>
                <w:sz w:val="20"/>
              </w:rPr>
              <w:t>, published on August 5, 2009</w:t>
            </w:r>
          </w:p>
          <w:p w14:paraId="601EB8D7" w14:textId="77777777" w:rsidR="008B605A" w:rsidRPr="003507A6" w:rsidRDefault="008B605A" w:rsidP="008B605A">
            <w:pPr>
              <w:jc w:val="both"/>
              <w:rPr>
                <w:rFonts w:ascii="Cambria" w:eastAsia="Batang" w:hAnsi="Cambria"/>
                <w:color w:val="000000"/>
                <w:sz w:val="20"/>
                <w:szCs w:val="20"/>
              </w:rPr>
            </w:pPr>
            <w:r w:rsidRPr="003507A6">
              <w:rPr>
                <w:rFonts w:ascii="Cambria" w:hAnsi="Cambria"/>
                <w:b/>
                <w:color w:val="000000"/>
                <w:sz w:val="20"/>
              </w:rPr>
              <w:t xml:space="preserve">Friendly Settlement Agreement Report No.: </w:t>
            </w:r>
            <w:hyperlink r:id="rId10">
              <w:r w:rsidRPr="003507A6">
                <w:rPr>
                  <w:rFonts w:ascii="Cambria" w:hAnsi="Cambria"/>
                  <w:b/>
                  <w:color w:val="000000"/>
                  <w:sz w:val="20"/>
                  <w:u w:val="single"/>
                </w:rPr>
                <w:t>43/16</w:t>
              </w:r>
            </w:hyperlink>
            <w:r w:rsidRPr="003507A6">
              <w:rPr>
                <w:rFonts w:ascii="Cambria" w:hAnsi="Cambria"/>
                <w:color w:val="000000"/>
                <w:sz w:val="20"/>
              </w:rPr>
              <w:t>, published on October 7, 2016</w:t>
            </w:r>
          </w:p>
          <w:p w14:paraId="15A5FA22" w14:textId="77777777" w:rsidR="008B605A" w:rsidRPr="003507A6" w:rsidRDefault="008B605A" w:rsidP="008B605A">
            <w:pPr>
              <w:rPr>
                <w:rFonts w:ascii="Cambria" w:hAnsi="Cambria"/>
                <w:b/>
                <w:bCs/>
                <w:color w:val="000000"/>
                <w:sz w:val="20"/>
                <w:szCs w:val="20"/>
              </w:rPr>
            </w:pPr>
            <w:r w:rsidRPr="003507A6">
              <w:rPr>
                <w:rFonts w:ascii="Cambria" w:hAnsi="Cambria"/>
                <w:b/>
                <w:color w:val="000000"/>
                <w:sz w:val="20"/>
              </w:rPr>
              <w:t xml:space="preserve">Estimated length of the negotiation phase: </w:t>
            </w:r>
            <w:r w:rsidRPr="003507A6">
              <w:rPr>
                <w:rFonts w:ascii="Cambria" w:hAnsi="Cambria"/>
                <w:color w:val="000000"/>
                <w:sz w:val="20"/>
              </w:rPr>
              <w:t>1 year and 5 months</w:t>
            </w:r>
          </w:p>
          <w:p w14:paraId="1B799EA7" w14:textId="77777777" w:rsidR="008B605A" w:rsidRPr="003507A6" w:rsidRDefault="008B605A" w:rsidP="008B605A">
            <w:pPr>
              <w:jc w:val="both"/>
              <w:rPr>
                <w:rFonts w:ascii="Cambria" w:eastAsia="Batang" w:hAnsi="Cambria"/>
                <w:color w:val="000000"/>
                <w:sz w:val="20"/>
                <w:szCs w:val="20"/>
              </w:rPr>
            </w:pPr>
            <w:r w:rsidRPr="003507A6">
              <w:rPr>
                <w:rFonts w:ascii="Cambria" w:hAnsi="Cambria"/>
                <w:b/>
                <w:color w:val="000000"/>
                <w:sz w:val="20"/>
              </w:rPr>
              <w:t>Related Rapporteurship (s):</w:t>
            </w:r>
            <w:r w:rsidRPr="003507A6">
              <w:rPr>
                <w:rFonts w:ascii="Cambria" w:hAnsi="Cambria"/>
                <w:color w:val="000000"/>
                <w:sz w:val="20"/>
              </w:rPr>
              <w:t xml:space="preserve"> Children and Adolescents</w:t>
            </w:r>
          </w:p>
          <w:p w14:paraId="23C83E44" w14:textId="77777777" w:rsidR="008B605A" w:rsidRPr="003507A6" w:rsidRDefault="008B605A" w:rsidP="008B605A">
            <w:pPr>
              <w:jc w:val="both"/>
              <w:rPr>
                <w:rFonts w:ascii="Cambria" w:eastAsia="Batang" w:hAnsi="Cambria"/>
                <w:b/>
                <w:color w:val="000000"/>
                <w:sz w:val="20"/>
                <w:szCs w:val="20"/>
              </w:rPr>
            </w:pPr>
            <w:r w:rsidRPr="003507A6">
              <w:rPr>
                <w:rFonts w:ascii="Cambria" w:hAnsi="Cambria"/>
                <w:b/>
                <w:color w:val="000000"/>
                <w:sz w:val="20"/>
              </w:rPr>
              <w:t xml:space="preserve">Topics: </w:t>
            </w:r>
            <w:r w:rsidRPr="003507A6">
              <w:rPr>
                <w:rFonts w:ascii="Cambria" w:hAnsi="Cambria"/>
                <w:color w:val="000000"/>
                <w:sz w:val="20"/>
              </w:rPr>
              <w:t xml:space="preserve">Peasants </w:t>
            </w:r>
            <w:r w:rsidRPr="003507A6">
              <w:rPr>
                <w:rFonts w:ascii="Cambria" w:hAnsi="Cambria"/>
                <w:b/>
                <w:color w:val="000000"/>
                <w:sz w:val="20"/>
              </w:rPr>
              <w:t>/</w:t>
            </w:r>
            <w:r w:rsidRPr="003507A6">
              <w:rPr>
                <w:rFonts w:ascii="Cambria" w:hAnsi="Cambria"/>
                <w:color w:val="000000"/>
                <w:sz w:val="20"/>
              </w:rPr>
              <w:t xml:space="preserve"> Use of force / Summary, extrajudicial, or arbitrary executions / Investigation</w:t>
            </w:r>
          </w:p>
          <w:p w14:paraId="54098920" w14:textId="77777777" w:rsidR="008B605A" w:rsidRPr="003507A6" w:rsidRDefault="008B605A" w:rsidP="008B605A">
            <w:pPr>
              <w:jc w:val="both"/>
              <w:rPr>
                <w:rFonts w:ascii="Cambria" w:eastAsia="Batang" w:hAnsi="Cambria"/>
                <w:color w:val="000000"/>
                <w:sz w:val="20"/>
                <w:szCs w:val="20"/>
              </w:rPr>
            </w:pPr>
          </w:p>
          <w:p w14:paraId="0CDE62FA" w14:textId="77777777" w:rsidR="008B605A" w:rsidRPr="003507A6" w:rsidRDefault="008B605A" w:rsidP="008B605A">
            <w:pPr>
              <w:jc w:val="both"/>
              <w:rPr>
                <w:rFonts w:ascii="Cambria" w:eastAsia="MS Mincho" w:hAnsi="Cambria"/>
                <w:color w:val="000000"/>
                <w:sz w:val="20"/>
                <w:szCs w:val="20"/>
              </w:rPr>
            </w:pPr>
            <w:r w:rsidRPr="003507A6">
              <w:rPr>
                <w:rFonts w:ascii="Cambria" w:hAnsi="Cambria"/>
                <w:b/>
                <w:color w:val="000000"/>
                <w:sz w:val="20"/>
              </w:rPr>
              <w:t>Facts:</w:t>
            </w:r>
            <w:r w:rsidRPr="003507A6">
              <w:rPr>
                <w:rFonts w:ascii="Cambria" w:hAnsi="Cambria"/>
                <w:color w:val="000000"/>
                <w:sz w:val="20"/>
              </w:rPr>
              <w:t xml:space="preserve"> The case refers to the extrajudicial execution of Herson Javier Caro, in the municipality of El Castillo, jurisdiction of Medellín del Ariari, Colombia, on November 15, 1992, who at the time was 15 years old and had died from injuries inflicted upon him by members of a military patrol of the National Army of Colombia. The petitioners alleged that, on the morning of November 15, 1992, 15-year-old Herson Javier had headed to the hamlet of Puerto Unión to sell a few kilos of coffee. That same day, a patrol from the National Army of Colombia, attached to the Vargas Infantry Battalion No. 21 had been carrying out roadblocks and searches in the hamlet of Puerto Unión. This patrol had installed a roadblock at the entry and exit points of the place and had treated many of dwellers badly. When Herson Javier realized what was happening, he ran away. When the military patrol servicemen saw Herson Javier running, they shot him, and he died a few hours later from his injuries.</w:t>
            </w:r>
          </w:p>
          <w:p w14:paraId="4A87B5D6" w14:textId="77777777" w:rsidR="008B605A" w:rsidRPr="003507A6" w:rsidRDefault="008B605A" w:rsidP="008B605A">
            <w:pPr>
              <w:jc w:val="both"/>
              <w:rPr>
                <w:rFonts w:ascii="Cambria" w:eastAsia="Batang" w:hAnsi="Cambria"/>
                <w:color w:val="000000"/>
                <w:sz w:val="20"/>
                <w:szCs w:val="20"/>
              </w:rPr>
            </w:pPr>
          </w:p>
          <w:p w14:paraId="2ADA2413" w14:textId="5357A23E" w:rsidR="008B605A" w:rsidRPr="003F7365" w:rsidRDefault="008B605A" w:rsidP="008B605A">
            <w:pPr>
              <w:pStyle w:val="NoSpacing"/>
              <w:tabs>
                <w:tab w:val="left" w:pos="9270"/>
              </w:tabs>
              <w:jc w:val="both"/>
              <w:rPr>
                <w:rFonts w:ascii="Cambria" w:hAnsi="Cambria"/>
                <w:color w:val="000000"/>
                <w:sz w:val="20"/>
                <w:szCs w:val="20"/>
              </w:rPr>
            </w:pPr>
            <w:r w:rsidRPr="003507A6">
              <w:rPr>
                <w:rFonts w:ascii="Cambria" w:hAnsi="Cambria"/>
                <w:b/>
                <w:color w:val="000000"/>
                <w:sz w:val="20"/>
              </w:rPr>
              <w:t>Rights alleged:</w:t>
            </w:r>
            <w:r w:rsidRPr="003507A6">
              <w:rPr>
                <w:rFonts w:ascii="Cambria" w:hAnsi="Cambria"/>
                <w:color w:val="000000"/>
                <w:sz w:val="20"/>
              </w:rPr>
              <w:t xml:space="preserve"> The Commission concluded that it was competent to hear the present case and declared that the petition was admissible with respect to Articles 4(1), 5(1), 8(1), 19, and 25, in connection with Article 1(1) of the American Convention. It also decided to declare the case inadmissible with respect to examining the alleged violations of Articles 7, 10, and 11 of the American Convention, to notify the parties, and to order its publication in its Annual Report. </w:t>
            </w:r>
          </w:p>
        </w:tc>
      </w:tr>
    </w:tbl>
    <w:p w14:paraId="4EBF1FC0" w14:textId="77777777" w:rsidR="00EE2B3B" w:rsidRPr="003F7365" w:rsidRDefault="00EE2B3B" w:rsidP="00EE2B3B">
      <w:pPr>
        <w:pStyle w:val="ListParagraph"/>
        <w:rPr>
          <w:rFonts w:ascii="Cambria" w:hAnsi="Cambria" w:cs="Calibri Light"/>
          <w:b/>
          <w:color w:val="000000"/>
          <w:sz w:val="20"/>
          <w:szCs w:val="20"/>
        </w:rPr>
      </w:pPr>
    </w:p>
    <w:p w14:paraId="1531F314" w14:textId="77777777" w:rsidR="00EE2B3B" w:rsidRPr="003F7365" w:rsidRDefault="00EE2B3B" w:rsidP="00F84B42">
      <w:pPr>
        <w:pStyle w:val="ListParagraph"/>
        <w:numPr>
          <w:ilvl w:val="0"/>
          <w:numId w:val="1"/>
        </w:numPr>
        <w:ind w:left="0" w:firstLine="720"/>
        <w:rPr>
          <w:rFonts w:ascii="Cambria" w:hAnsi="Cambria" w:cs="Calibri Light"/>
          <w:b/>
          <w:color w:val="000000"/>
          <w:sz w:val="20"/>
          <w:szCs w:val="20"/>
        </w:rPr>
      </w:pPr>
      <w:r w:rsidRPr="003F7365">
        <w:rPr>
          <w:rFonts w:ascii="Cambria" w:hAnsi="Cambria"/>
          <w:b/>
          <w:color w:val="000000"/>
          <w:sz w:val="20"/>
          <w:szCs w:val="20"/>
        </w:rPr>
        <w:t>PROCEDURAL ACTIVITY</w:t>
      </w:r>
    </w:p>
    <w:p w14:paraId="3846F014" w14:textId="77777777" w:rsidR="00EE2B3B" w:rsidRPr="003F7365" w:rsidRDefault="00EE2B3B" w:rsidP="00F84B42">
      <w:pPr>
        <w:pStyle w:val="ListParagraph"/>
        <w:ind w:left="0" w:firstLine="720"/>
        <w:rPr>
          <w:rFonts w:ascii="Cambria" w:hAnsi="Cambria" w:cs="Calibri Light"/>
          <w:b/>
          <w:color w:val="000000"/>
          <w:sz w:val="20"/>
          <w:szCs w:val="20"/>
        </w:rPr>
      </w:pPr>
    </w:p>
    <w:p w14:paraId="163579AD" w14:textId="7C03AE7A" w:rsidR="00EE2B3B" w:rsidRDefault="00EE2B3B" w:rsidP="00F84B42">
      <w:pPr>
        <w:numPr>
          <w:ilvl w:val="0"/>
          <w:numId w:val="2"/>
        </w:numPr>
        <w:ind w:left="0" w:firstLine="720"/>
        <w:jc w:val="both"/>
        <w:rPr>
          <w:rFonts w:ascii="Cambria" w:hAnsi="Cambria"/>
          <w:color w:val="000000"/>
          <w:sz w:val="20"/>
          <w:szCs w:val="20"/>
        </w:rPr>
      </w:pPr>
      <w:r>
        <w:rPr>
          <w:rFonts w:ascii="Cambria" w:hAnsi="Cambria"/>
          <w:color w:val="000000"/>
          <w:sz w:val="20"/>
          <w:szCs w:val="20"/>
        </w:rPr>
        <w:t xml:space="preserve">On </w:t>
      </w:r>
      <w:r w:rsidR="008B605A" w:rsidRPr="003507A6">
        <w:rPr>
          <w:rFonts w:ascii="Cambria" w:hAnsi="Cambria"/>
          <w:color w:val="000000"/>
          <w:sz w:val="20"/>
        </w:rPr>
        <w:t>March 2, 2016</w:t>
      </w:r>
      <w:r>
        <w:rPr>
          <w:rFonts w:ascii="Cambria" w:hAnsi="Cambria"/>
          <w:color w:val="000000"/>
          <w:sz w:val="20"/>
          <w:szCs w:val="20"/>
        </w:rPr>
        <w:t xml:space="preserve">, </w:t>
      </w:r>
      <w:r w:rsidRPr="00EE2B3B">
        <w:rPr>
          <w:rFonts w:ascii="Cambria" w:hAnsi="Cambria"/>
          <w:color w:val="000000"/>
          <w:sz w:val="20"/>
          <w:szCs w:val="20"/>
        </w:rPr>
        <w:t>the parties signed a friendly settlement agreement.</w:t>
      </w:r>
    </w:p>
    <w:p w14:paraId="7E9E5C89" w14:textId="77777777" w:rsidR="00EE2B3B" w:rsidRPr="00EE2B3B" w:rsidRDefault="00EE2B3B" w:rsidP="00F84B42">
      <w:pPr>
        <w:ind w:firstLine="720"/>
        <w:jc w:val="both"/>
        <w:rPr>
          <w:rFonts w:ascii="Cambria" w:hAnsi="Cambria"/>
          <w:color w:val="000000"/>
          <w:sz w:val="20"/>
          <w:szCs w:val="20"/>
        </w:rPr>
      </w:pPr>
    </w:p>
    <w:p w14:paraId="1474F062" w14:textId="6E70E0F2" w:rsidR="00EE2B3B" w:rsidRPr="003F7365" w:rsidRDefault="00EE2B3B" w:rsidP="00F84B42">
      <w:pPr>
        <w:numPr>
          <w:ilvl w:val="0"/>
          <w:numId w:val="2"/>
        </w:numPr>
        <w:ind w:left="0" w:firstLine="720"/>
        <w:jc w:val="both"/>
        <w:rPr>
          <w:rFonts w:ascii="Cambria" w:hAnsi="Cambria" w:cs="Calibri Light"/>
          <w:color w:val="000000"/>
          <w:sz w:val="20"/>
          <w:szCs w:val="20"/>
        </w:rPr>
      </w:pPr>
      <w:r w:rsidRPr="00EE2B3B">
        <w:rPr>
          <w:rFonts w:ascii="Cambria" w:hAnsi="Cambria"/>
          <w:color w:val="000000"/>
          <w:sz w:val="20"/>
          <w:szCs w:val="20"/>
        </w:rPr>
        <w:t xml:space="preserve">On </w:t>
      </w:r>
      <w:r w:rsidR="008B605A" w:rsidRPr="003507A6">
        <w:rPr>
          <w:rFonts w:ascii="Cambria" w:hAnsi="Cambria"/>
          <w:color w:val="000000"/>
          <w:sz w:val="20"/>
        </w:rPr>
        <w:t>October 7, 2016</w:t>
      </w:r>
      <w:r w:rsidRPr="00EE2B3B">
        <w:rPr>
          <w:rFonts w:ascii="Cambria" w:hAnsi="Cambria"/>
          <w:color w:val="000000"/>
          <w:sz w:val="20"/>
          <w:szCs w:val="20"/>
        </w:rPr>
        <w:t>, the Commission approved the agreement signed by the parties, by means of Report No.</w:t>
      </w:r>
      <w:r>
        <w:rPr>
          <w:rFonts w:ascii="Cambria" w:hAnsi="Cambria"/>
          <w:color w:val="000000"/>
          <w:sz w:val="20"/>
          <w:szCs w:val="20"/>
        </w:rPr>
        <w:t xml:space="preserve"> </w:t>
      </w:r>
      <w:r w:rsidR="008B605A">
        <w:rPr>
          <w:rFonts w:ascii="Cambria" w:hAnsi="Cambria"/>
          <w:color w:val="000000"/>
          <w:sz w:val="20"/>
          <w:szCs w:val="20"/>
        </w:rPr>
        <w:t>43/16</w:t>
      </w:r>
      <w:r w:rsidRPr="003F7365">
        <w:rPr>
          <w:rFonts w:ascii="Cambria" w:hAnsi="Cambria" w:cs="Calibri Light"/>
          <w:color w:val="000000"/>
          <w:sz w:val="20"/>
          <w:szCs w:val="20"/>
        </w:rPr>
        <w:t>.</w:t>
      </w:r>
    </w:p>
    <w:p w14:paraId="516953C5" w14:textId="77777777" w:rsidR="00EE2B3B" w:rsidRDefault="00EE2B3B" w:rsidP="00EE2B3B">
      <w:pPr>
        <w:ind w:left="720"/>
        <w:rPr>
          <w:rFonts w:ascii="Cambria" w:hAnsi="Cambria" w:cs="Calibri Light"/>
          <w:color w:val="000000"/>
          <w:sz w:val="20"/>
          <w:szCs w:val="20"/>
        </w:rPr>
      </w:pPr>
    </w:p>
    <w:p w14:paraId="78CA0864" w14:textId="77777777" w:rsidR="007C3A86" w:rsidRDefault="007C3A86" w:rsidP="00EE2B3B">
      <w:pPr>
        <w:ind w:left="720"/>
        <w:rPr>
          <w:rFonts w:ascii="Cambria" w:hAnsi="Cambria" w:cs="Calibri Light"/>
          <w:color w:val="000000"/>
          <w:sz w:val="20"/>
          <w:szCs w:val="20"/>
        </w:rPr>
      </w:pPr>
    </w:p>
    <w:p w14:paraId="12A0A2B4" w14:textId="77777777" w:rsidR="007C3A86" w:rsidRDefault="007C3A86" w:rsidP="00EE2B3B">
      <w:pPr>
        <w:ind w:left="720"/>
        <w:rPr>
          <w:rFonts w:ascii="Cambria" w:hAnsi="Cambria" w:cs="Calibri Light"/>
          <w:color w:val="000000"/>
          <w:sz w:val="20"/>
          <w:szCs w:val="20"/>
        </w:rPr>
      </w:pPr>
    </w:p>
    <w:p w14:paraId="75429D01" w14:textId="77777777" w:rsidR="007C3A86" w:rsidRDefault="007C3A86" w:rsidP="00EE2B3B">
      <w:pPr>
        <w:ind w:left="720"/>
        <w:rPr>
          <w:rFonts w:ascii="Cambria" w:hAnsi="Cambria" w:cs="Calibri Light"/>
          <w:color w:val="000000"/>
          <w:sz w:val="20"/>
          <w:szCs w:val="20"/>
        </w:rPr>
      </w:pPr>
    </w:p>
    <w:p w14:paraId="40EC8BA7" w14:textId="77777777" w:rsidR="007C3A86" w:rsidRDefault="007C3A86" w:rsidP="00EE2B3B">
      <w:pPr>
        <w:ind w:left="720"/>
        <w:rPr>
          <w:rFonts w:ascii="Cambria" w:hAnsi="Cambria" w:cs="Calibri Light"/>
          <w:color w:val="000000"/>
          <w:sz w:val="20"/>
          <w:szCs w:val="20"/>
        </w:rPr>
      </w:pPr>
    </w:p>
    <w:p w14:paraId="67F3B5F9" w14:textId="77777777" w:rsidR="007C3A86" w:rsidRPr="003F7365" w:rsidRDefault="007C3A86" w:rsidP="00EE2B3B">
      <w:pPr>
        <w:ind w:left="720"/>
        <w:rPr>
          <w:rFonts w:ascii="Cambria" w:hAnsi="Cambria" w:cs="Calibri Light"/>
          <w:color w:val="000000"/>
          <w:sz w:val="20"/>
          <w:szCs w:val="20"/>
        </w:rPr>
      </w:pPr>
    </w:p>
    <w:p w14:paraId="50BF87C1" w14:textId="77777777" w:rsidR="00EE2B3B" w:rsidRPr="003F7365" w:rsidRDefault="00EE2B3B" w:rsidP="00EE2B3B">
      <w:pPr>
        <w:pStyle w:val="ListParagraph"/>
        <w:numPr>
          <w:ilvl w:val="0"/>
          <w:numId w:val="1"/>
        </w:numPr>
        <w:ind w:left="0" w:firstLine="720"/>
        <w:jc w:val="both"/>
        <w:rPr>
          <w:rFonts w:ascii="Cambria" w:hAnsi="Cambria" w:cs="Calibri Light"/>
          <w:b/>
          <w:color w:val="000000"/>
          <w:sz w:val="20"/>
          <w:szCs w:val="20"/>
        </w:rPr>
      </w:pPr>
      <w:r w:rsidRPr="003F7365">
        <w:rPr>
          <w:rFonts w:ascii="Cambria" w:hAnsi="Cambria"/>
          <w:b/>
          <w:bCs/>
          <w:color w:val="000000"/>
          <w:sz w:val="20"/>
          <w:szCs w:val="20"/>
        </w:rPr>
        <w:lastRenderedPageBreak/>
        <w:t xml:space="preserve">ANALYSIS OF COMPLIANCE WITH THE CLAUSES OF THE FRIENDLY SETTLEMENT AGREEMENT </w:t>
      </w:r>
    </w:p>
    <w:p w14:paraId="5EC7D320" w14:textId="77777777" w:rsidR="00EE2B3B" w:rsidRPr="003F7365" w:rsidRDefault="00EE2B3B" w:rsidP="00EE2B3B">
      <w:pPr>
        <w:pStyle w:val="ListParagraph"/>
        <w:jc w:val="both"/>
        <w:rPr>
          <w:rFonts w:ascii="Cambria" w:hAnsi="Cambria" w:cs="Calibri Light"/>
          <w:b/>
          <w:color w:val="000000"/>
          <w:sz w:val="20"/>
          <w:szCs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7"/>
        <w:gridCol w:w="1643"/>
      </w:tblGrid>
      <w:tr w:rsidR="007C3A86" w:rsidRPr="003507A6" w14:paraId="08A4963C" w14:textId="77777777" w:rsidTr="00731599">
        <w:tc>
          <w:tcPr>
            <w:tcW w:w="77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676A15" w14:textId="77777777" w:rsidR="007C3A86" w:rsidRPr="003507A6" w:rsidRDefault="007C3A86" w:rsidP="00D53017">
            <w:pPr>
              <w:jc w:val="center"/>
              <w:rPr>
                <w:rFonts w:ascii="Cambria" w:eastAsia="Batang" w:hAnsi="Cambria"/>
                <w:b/>
                <w:color w:val="000000"/>
                <w:sz w:val="20"/>
                <w:szCs w:val="20"/>
              </w:rPr>
            </w:pPr>
            <w:r w:rsidRPr="003507A6">
              <w:rPr>
                <w:rFonts w:ascii="Cambria" w:hAnsi="Cambria"/>
                <w:b/>
                <w:color w:val="000000"/>
                <w:sz w:val="20"/>
              </w:rPr>
              <w:t>Agreement clause</w:t>
            </w:r>
          </w:p>
        </w:tc>
        <w:tc>
          <w:tcPr>
            <w:tcW w:w="16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2FFA5C" w14:textId="5C4AFB9D" w:rsidR="007C3A86" w:rsidRPr="003507A6" w:rsidRDefault="007C3A86" w:rsidP="00D53017">
            <w:pPr>
              <w:jc w:val="center"/>
              <w:rPr>
                <w:rFonts w:ascii="Cambria" w:eastAsia="Batang" w:hAnsi="Cambria"/>
                <w:b/>
                <w:color w:val="000000"/>
                <w:sz w:val="20"/>
                <w:szCs w:val="20"/>
              </w:rPr>
            </w:pPr>
            <w:r w:rsidRPr="003507A6">
              <w:rPr>
                <w:rFonts w:ascii="Cambria" w:hAnsi="Cambria"/>
                <w:b/>
                <w:color w:val="000000"/>
                <w:sz w:val="20"/>
              </w:rPr>
              <w:t xml:space="preserve">State of compliance </w:t>
            </w:r>
          </w:p>
        </w:tc>
      </w:tr>
      <w:tr w:rsidR="007C3A86" w:rsidRPr="003507A6" w14:paraId="501829C1" w14:textId="77777777" w:rsidTr="00731599">
        <w:tc>
          <w:tcPr>
            <w:tcW w:w="7717" w:type="dxa"/>
            <w:tcBorders>
              <w:top w:val="single" w:sz="4" w:space="0" w:color="auto"/>
              <w:left w:val="single" w:sz="4" w:space="0" w:color="auto"/>
              <w:bottom w:val="single" w:sz="4" w:space="0" w:color="auto"/>
              <w:right w:val="single" w:sz="4" w:space="0" w:color="auto"/>
            </w:tcBorders>
            <w:vAlign w:val="center"/>
          </w:tcPr>
          <w:p w14:paraId="2D24241C" w14:textId="77777777" w:rsidR="007C3A86" w:rsidRPr="003507A6" w:rsidRDefault="007C3A86" w:rsidP="00D53017">
            <w:pPr>
              <w:ind w:right="69"/>
              <w:jc w:val="both"/>
              <w:rPr>
                <w:rFonts w:ascii="Cambria" w:eastAsia="Times New Roman" w:hAnsi="Cambria"/>
                <w:b/>
                <w:bCs/>
                <w:color w:val="000000"/>
                <w:kern w:val="36"/>
                <w:sz w:val="20"/>
                <w:szCs w:val="20"/>
              </w:rPr>
            </w:pPr>
            <w:r w:rsidRPr="003507A6">
              <w:rPr>
                <w:rFonts w:ascii="Cambria" w:hAnsi="Cambria"/>
                <w:b/>
                <w:color w:val="000000"/>
                <w:kern w:val="36"/>
                <w:sz w:val="20"/>
              </w:rPr>
              <w:t xml:space="preserve">FIRST: RECOGNITION OF RESPONSIBILITY </w:t>
            </w:r>
          </w:p>
          <w:p w14:paraId="5E8A155F" w14:textId="77777777" w:rsidR="007C3A86" w:rsidRPr="003507A6" w:rsidRDefault="007C3A86" w:rsidP="00D53017">
            <w:pPr>
              <w:ind w:right="69"/>
              <w:jc w:val="both"/>
              <w:rPr>
                <w:rFonts w:ascii="Cambria" w:eastAsia="Times New Roman" w:hAnsi="Cambria"/>
                <w:color w:val="000000"/>
                <w:sz w:val="20"/>
                <w:szCs w:val="20"/>
              </w:rPr>
            </w:pPr>
            <w:r w:rsidRPr="003507A6">
              <w:rPr>
                <w:rFonts w:ascii="Cambria" w:hAnsi="Cambria"/>
                <w:color w:val="000000"/>
                <w:kern w:val="36"/>
                <w:sz w:val="20"/>
              </w:rPr>
              <w:t>The Colombian state recognizes its international responsibility for the violation of the rights enshrined in Articles 4 (right to life), 14 (right to privacy), 19 (right of the child) (sic) of the child Herson Javier Caro (Javier Apache), as well as Articles 5 (right to humane treatment), 8 (right to a fair trial), and 25 (right to judicial protection) of the American Convention on Human Rights (hereinafter ACHR), to the detriment of the victim and his family, for the events occurred on November 15, 1992 in the village of Puerto Unión, located in the jurisdiction of Medellin de Ariari, Department of Meta, during which the child Herson Javier Caro died as a result of being shot at the checkpoint set up in the area by the National Army.</w:t>
            </w:r>
          </w:p>
        </w:tc>
        <w:tc>
          <w:tcPr>
            <w:tcW w:w="1643" w:type="dxa"/>
            <w:tcBorders>
              <w:top w:val="single" w:sz="4" w:space="0" w:color="auto"/>
              <w:left w:val="single" w:sz="4" w:space="0" w:color="auto"/>
              <w:bottom w:val="single" w:sz="4" w:space="0" w:color="auto"/>
              <w:right w:val="single" w:sz="4" w:space="0" w:color="auto"/>
            </w:tcBorders>
            <w:vAlign w:val="center"/>
            <w:hideMark/>
          </w:tcPr>
          <w:p w14:paraId="7262B720" w14:textId="77777777" w:rsidR="007C3A86" w:rsidRPr="003507A6" w:rsidRDefault="007C3A86" w:rsidP="00D53017">
            <w:pPr>
              <w:jc w:val="center"/>
              <w:rPr>
                <w:rFonts w:ascii="Cambria" w:eastAsia="Batang" w:hAnsi="Cambria"/>
                <w:color w:val="000000"/>
                <w:sz w:val="20"/>
                <w:szCs w:val="20"/>
              </w:rPr>
            </w:pPr>
            <w:r w:rsidRPr="003507A6">
              <w:rPr>
                <w:rFonts w:ascii="Cambria" w:hAnsi="Cambria"/>
                <w:b/>
                <w:color w:val="000000"/>
                <w:sz w:val="20"/>
              </w:rPr>
              <w:t>Declarative clause</w:t>
            </w:r>
          </w:p>
        </w:tc>
      </w:tr>
      <w:tr w:rsidR="007C3A86" w:rsidRPr="003507A6" w14:paraId="1F1BA3D2" w14:textId="77777777" w:rsidTr="00731599">
        <w:trPr>
          <w:trHeight w:val="1133"/>
        </w:trPr>
        <w:tc>
          <w:tcPr>
            <w:tcW w:w="7717" w:type="dxa"/>
            <w:tcBorders>
              <w:top w:val="single" w:sz="4" w:space="0" w:color="auto"/>
              <w:left w:val="single" w:sz="4" w:space="0" w:color="auto"/>
              <w:bottom w:val="single" w:sz="4" w:space="0" w:color="auto"/>
              <w:right w:val="single" w:sz="4" w:space="0" w:color="auto"/>
            </w:tcBorders>
            <w:hideMark/>
          </w:tcPr>
          <w:p w14:paraId="4A06B6F1" w14:textId="77777777" w:rsidR="007C3A86" w:rsidRPr="003507A6" w:rsidRDefault="007C3A86" w:rsidP="00D53017">
            <w:pPr>
              <w:ind w:right="72"/>
              <w:jc w:val="both"/>
              <w:rPr>
                <w:rFonts w:ascii="Cambria" w:eastAsia="Times New Roman" w:hAnsi="Cambria"/>
                <w:b/>
                <w:bCs/>
                <w:color w:val="000000"/>
                <w:kern w:val="36"/>
                <w:sz w:val="20"/>
                <w:szCs w:val="20"/>
              </w:rPr>
            </w:pPr>
            <w:r w:rsidRPr="003507A6">
              <w:rPr>
                <w:rFonts w:ascii="Cambria" w:hAnsi="Cambria"/>
                <w:b/>
                <w:color w:val="000000"/>
                <w:kern w:val="36"/>
                <w:sz w:val="20"/>
              </w:rPr>
              <w:t xml:space="preserve">SECOND: JUSTICE </w:t>
            </w:r>
          </w:p>
          <w:p w14:paraId="7EA50F9E" w14:textId="77777777" w:rsidR="007C3A86" w:rsidRPr="003507A6" w:rsidRDefault="007C3A86" w:rsidP="00D53017">
            <w:pPr>
              <w:ind w:right="72"/>
              <w:jc w:val="both"/>
              <w:rPr>
                <w:rFonts w:ascii="Cambria" w:eastAsia="Times New Roman" w:hAnsi="Cambria"/>
                <w:bCs/>
                <w:color w:val="000000"/>
                <w:kern w:val="36"/>
                <w:sz w:val="20"/>
                <w:szCs w:val="20"/>
              </w:rPr>
            </w:pPr>
            <w:r w:rsidRPr="003507A6">
              <w:rPr>
                <w:rFonts w:ascii="Cambria" w:hAnsi="Cambria"/>
                <w:color w:val="000000"/>
                <w:kern w:val="36"/>
                <w:sz w:val="20"/>
              </w:rPr>
              <w:t>The Office of the Prosecutor General of the Nation, in the framework of its competencies, shall file the action for review of the ruling of May 29, 2003, handed down by the Fourth Military Criminal Brigade Court of Villavicencio Meta and upheld by the Superior Military Court on September 3, 2003, once the report called for in Article 49 of the ACHR is issued.</w:t>
            </w:r>
          </w:p>
        </w:tc>
        <w:tc>
          <w:tcPr>
            <w:tcW w:w="1643" w:type="dxa"/>
            <w:tcBorders>
              <w:top w:val="single" w:sz="4" w:space="0" w:color="auto"/>
              <w:left w:val="single" w:sz="4" w:space="0" w:color="auto"/>
              <w:bottom w:val="single" w:sz="4" w:space="0" w:color="auto"/>
              <w:right w:val="single" w:sz="4" w:space="0" w:color="auto"/>
            </w:tcBorders>
            <w:vAlign w:val="center"/>
            <w:hideMark/>
          </w:tcPr>
          <w:p w14:paraId="1D5518F6" w14:textId="77777777" w:rsidR="007C3A86" w:rsidRPr="003507A6" w:rsidRDefault="007C3A86" w:rsidP="00D53017">
            <w:pPr>
              <w:jc w:val="center"/>
              <w:rPr>
                <w:rFonts w:ascii="Cambria" w:eastAsia="Batang" w:hAnsi="Cambria"/>
                <w:b/>
                <w:color w:val="000000"/>
                <w:sz w:val="20"/>
                <w:szCs w:val="20"/>
              </w:rPr>
            </w:pPr>
            <w:r w:rsidRPr="003507A6">
              <w:rPr>
                <w:rFonts w:ascii="Cambria" w:hAnsi="Cambria"/>
                <w:b/>
                <w:color w:val="000000"/>
                <w:sz w:val="20"/>
              </w:rPr>
              <w:t>Total</w:t>
            </w:r>
            <w:r w:rsidRPr="003507A6">
              <w:rPr>
                <w:rStyle w:val="FootnoteReference"/>
                <w:rFonts w:ascii="Cambria" w:hAnsi="Cambria"/>
                <w:b/>
                <w:color w:val="000000"/>
                <w:sz w:val="20"/>
              </w:rPr>
              <w:footnoteReference w:id="1"/>
            </w:r>
          </w:p>
          <w:p w14:paraId="64AB52E2" w14:textId="77777777" w:rsidR="007C3A86" w:rsidRPr="003507A6" w:rsidRDefault="007C3A86" w:rsidP="00D53017">
            <w:pPr>
              <w:jc w:val="both"/>
              <w:rPr>
                <w:rFonts w:ascii="Cambria" w:eastAsia="Batang" w:hAnsi="Cambria"/>
                <w:color w:val="000000"/>
                <w:sz w:val="20"/>
                <w:szCs w:val="20"/>
              </w:rPr>
            </w:pPr>
          </w:p>
          <w:p w14:paraId="1B9786D0" w14:textId="77777777" w:rsidR="007C3A86" w:rsidRPr="003507A6" w:rsidRDefault="007C3A86" w:rsidP="00D53017">
            <w:pPr>
              <w:jc w:val="both"/>
              <w:rPr>
                <w:rFonts w:ascii="Cambria" w:eastAsia="Batang" w:hAnsi="Cambria"/>
                <w:color w:val="000000"/>
                <w:sz w:val="20"/>
                <w:szCs w:val="20"/>
              </w:rPr>
            </w:pPr>
          </w:p>
        </w:tc>
      </w:tr>
      <w:tr w:rsidR="007C3A86" w:rsidRPr="003507A6" w14:paraId="79AA6A7C" w14:textId="77777777" w:rsidTr="00D53017">
        <w:trPr>
          <w:trHeight w:val="395"/>
        </w:trPr>
        <w:tc>
          <w:tcPr>
            <w:tcW w:w="9360" w:type="dxa"/>
            <w:gridSpan w:val="2"/>
            <w:tcBorders>
              <w:top w:val="single" w:sz="4" w:space="0" w:color="auto"/>
              <w:left w:val="single" w:sz="4" w:space="0" w:color="auto"/>
              <w:bottom w:val="single" w:sz="4" w:space="0" w:color="auto"/>
              <w:right w:val="single" w:sz="4" w:space="0" w:color="auto"/>
            </w:tcBorders>
            <w:vAlign w:val="center"/>
          </w:tcPr>
          <w:p w14:paraId="026862FE" w14:textId="77777777" w:rsidR="007C3A86" w:rsidRPr="003507A6" w:rsidRDefault="007C3A86" w:rsidP="00D53017">
            <w:pPr>
              <w:jc w:val="both"/>
              <w:rPr>
                <w:rFonts w:ascii="Cambria" w:eastAsia="Times New Roman" w:hAnsi="Cambria"/>
                <w:b/>
                <w:bCs/>
                <w:color w:val="000000"/>
                <w:kern w:val="36"/>
                <w:sz w:val="20"/>
                <w:szCs w:val="20"/>
              </w:rPr>
            </w:pPr>
            <w:r w:rsidRPr="003507A6">
              <w:rPr>
                <w:rFonts w:ascii="Cambria" w:hAnsi="Cambria"/>
                <w:b/>
                <w:color w:val="000000"/>
                <w:kern w:val="36"/>
                <w:sz w:val="20"/>
              </w:rPr>
              <w:t>THIRD: SATISFACTION AND REHABILITATION MEASURES</w:t>
            </w:r>
          </w:p>
        </w:tc>
      </w:tr>
      <w:tr w:rsidR="007C3A86" w:rsidRPr="003507A6" w14:paraId="4921AAFD" w14:textId="77777777" w:rsidTr="00731599">
        <w:trPr>
          <w:trHeight w:val="1205"/>
        </w:trPr>
        <w:tc>
          <w:tcPr>
            <w:tcW w:w="7717" w:type="dxa"/>
            <w:tcBorders>
              <w:top w:val="single" w:sz="4" w:space="0" w:color="auto"/>
              <w:left w:val="single" w:sz="4" w:space="0" w:color="auto"/>
              <w:bottom w:val="single" w:sz="4" w:space="0" w:color="auto"/>
              <w:right w:val="single" w:sz="4" w:space="0" w:color="auto"/>
            </w:tcBorders>
          </w:tcPr>
          <w:p w14:paraId="19C40A71" w14:textId="77777777" w:rsidR="007C3A86" w:rsidRPr="003507A6" w:rsidRDefault="007C3A86" w:rsidP="007C3A86">
            <w:pPr>
              <w:numPr>
                <w:ilvl w:val="0"/>
                <w:numId w:val="10"/>
              </w:numPr>
              <w:ind w:left="0" w:firstLine="0"/>
              <w:jc w:val="both"/>
              <w:rPr>
                <w:rFonts w:ascii="Cambria" w:eastAsia="Times New Roman" w:hAnsi="Cambria"/>
                <w:bCs/>
                <w:color w:val="000000"/>
                <w:kern w:val="36"/>
                <w:sz w:val="20"/>
                <w:szCs w:val="20"/>
              </w:rPr>
            </w:pPr>
            <w:r w:rsidRPr="003507A6">
              <w:rPr>
                <w:rFonts w:ascii="Cambria" w:hAnsi="Cambria"/>
                <w:color w:val="000000"/>
                <w:kern w:val="36"/>
                <w:sz w:val="20"/>
              </w:rPr>
              <w:t>An act to recognize responsibility and present public apologies carried out by high-level state officials, with the participation of public authorities, the families of the victims and their representatives, broadcast across mass media. The logistical and technical support for this measure will be provided by the Comprehensive Reparation and Assistance for Victims Unit [Unidad para la Atención and Reparación Integral a las Víctimas].</w:t>
            </w:r>
          </w:p>
        </w:tc>
        <w:tc>
          <w:tcPr>
            <w:tcW w:w="1643" w:type="dxa"/>
            <w:tcBorders>
              <w:top w:val="single" w:sz="4" w:space="0" w:color="auto"/>
              <w:left w:val="single" w:sz="4" w:space="0" w:color="auto"/>
              <w:bottom w:val="single" w:sz="4" w:space="0" w:color="auto"/>
              <w:right w:val="single" w:sz="4" w:space="0" w:color="auto"/>
            </w:tcBorders>
            <w:vAlign w:val="center"/>
          </w:tcPr>
          <w:p w14:paraId="10D1511E" w14:textId="77777777" w:rsidR="007C3A86" w:rsidRPr="003507A6" w:rsidRDefault="007C3A86" w:rsidP="00D53017">
            <w:pPr>
              <w:jc w:val="center"/>
              <w:rPr>
                <w:rFonts w:ascii="Cambria" w:eastAsia="Batang" w:hAnsi="Cambria"/>
                <w:color w:val="000000"/>
                <w:sz w:val="20"/>
                <w:szCs w:val="20"/>
              </w:rPr>
            </w:pPr>
            <w:r w:rsidRPr="003507A6">
              <w:rPr>
                <w:rFonts w:ascii="Cambria" w:hAnsi="Cambria"/>
                <w:b/>
                <w:color w:val="000000"/>
                <w:sz w:val="20"/>
              </w:rPr>
              <w:t>Total</w:t>
            </w:r>
            <w:r w:rsidRPr="003507A6">
              <w:rPr>
                <w:rFonts w:ascii="Cambria" w:hAnsi="Cambria"/>
                <w:b/>
                <w:color w:val="000000"/>
                <w:sz w:val="20"/>
                <w:vertAlign w:val="superscript"/>
              </w:rPr>
              <w:footnoteReference w:id="2"/>
            </w:r>
          </w:p>
        </w:tc>
      </w:tr>
      <w:tr w:rsidR="007C3A86" w:rsidRPr="003507A6" w14:paraId="30433EE7" w14:textId="77777777" w:rsidTr="00731599">
        <w:trPr>
          <w:trHeight w:val="1853"/>
        </w:trPr>
        <w:tc>
          <w:tcPr>
            <w:tcW w:w="7717" w:type="dxa"/>
            <w:tcBorders>
              <w:top w:val="single" w:sz="4" w:space="0" w:color="auto"/>
              <w:left w:val="single" w:sz="4" w:space="0" w:color="auto"/>
              <w:bottom w:val="single" w:sz="4" w:space="0" w:color="auto"/>
              <w:right w:val="single" w:sz="4" w:space="0" w:color="auto"/>
            </w:tcBorders>
          </w:tcPr>
          <w:p w14:paraId="63ACE7E7" w14:textId="75181BB5" w:rsidR="007C3A86" w:rsidRPr="003507A6" w:rsidRDefault="007C3A86" w:rsidP="007C3A86">
            <w:pPr>
              <w:numPr>
                <w:ilvl w:val="0"/>
                <w:numId w:val="10"/>
              </w:numPr>
              <w:ind w:left="0" w:firstLine="0"/>
              <w:jc w:val="both"/>
              <w:rPr>
                <w:rFonts w:ascii="Cambria" w:eastAsia="Times New Roman" w:hAnsi="Cambria"/>
                <w:bCs/>
                <w:color w:val="000000"/>
                <w:kern w:val="36"/>
                <w:sz w:val="20"/>
                <w:szCs w:val="20"/>
              </w:rPr>
            </w:pPr>
            <w:r w:rsidRPr="007C3A86">
              <w:rPr>
                <w:rFonts w:ascii="Cambria" w:hAnsi="Cambria"/>
                <w:color w:val="000000"/>
                <w:kern w:val="36"/>
                <w:sz w:val="20"/>
              </w:rPr>
              <w:t>Provide a grant for $50,000,000 pesos (FIFTY MILLION PESOS, local currency) for Cielo Yamile Apache Caro and another of the same amount for William Alfonso Apache Caro, siblings of the victim, in order to finance the technical, technological, or professional education of their choosing and pay living expenses. The beneficiaries of this measure must go through the relevant formalities to be admitted to the respective educational institution and shall complete the programs offered by the university institution that would ensure adequate academic performance.</w:t>
            </w:r>
            <w:r>
              <w:rPr>
                <w:rFonts w:ascii="Cambria" w:hAnsi="Cambria"/>
                <w:color w:val="000000"/>
                <w:kern w:val="36"/>
                <w:sz w:val="20"/>
              </w:rPr>
              <w:t xml:space="preserve"> </w:t>
            </w:r>
            <w:r w:rsidRPr="007C3A86">
              <w:rPr>
                <w:rFonts w:ascii="Cambria" w:hAnsi="Cambria"/>
                <w:color w:val="000000"/>
                <w:sz w:val="20"/>
              </w:rPr>
              <w:t>(…)</w:t>
            </w:r>
          </w:p>
        </w:tc>
        <w:tc>
          <w:tcPr>
            <w:tcW w:w="1643" w:type="dxa"/>
            <w:tcBorders>
              <w:top w:val="single" w:sz="4" w:space="0" w:color="auto"/>
              <w:left w:val="single" w:sz="4" w:space="0" w:color="auto"/>
              <w:bottom w:val="single" w:sz="4" w:space="0" w:color="auto"/>
              <w:right w:val="single" w:sz="4" w:space="0" w:color="auto"/>
            </w:tcBorders>
            <w:vAlign w:val="center"/>
          </w:tcPr>
          <w:p w14:paraId="7D974BC8" w14:textId="67A7B789" w:rsidR="007C3A86" w:rsidRPr="007C3A86" w:rsidRDefault="007C3A86" w:rsidP="007C3A86">
            <w:pPr>
              <w:jc w:val="center"/>
              <w:rPr>
                <w:rFonts w:ascii="Cambria" w:eastAsia="Batang" w:hAnsi="Cambria"/>
                <w:b/>
                <w:color w:val="000000"/>
                <w:sz w:val="20"/>
                <w:szCs w:val="20"/>
              </w:rPr>
            </w:pPr>
            <w:r w:rsidRPr="003507A6">
              <w:rPr>
                <w:rFonts w:ascii="Cambria" w:eastAsia="Batang" w:hAnsi="Cambria"/>
                <w:b/>
                <w:color w:val="000000"/>
                <w:sz w:val="20"/>
                <w:szCs w:val="20"/>
              </w:rPr>
              <w:t>Total</w:t>
            </w:r>
            <w:r>
              <w:rPr>
                <w:rStyle w:val="FootnoteReference"/>
                <w:rFonts w:ascii="Cambria" w:eastAsia="Batang" w:hAnsi="Cambria"/>
                <w:b/>
                <w:color w:val="000000"/>
                <w:sz w:val="20"/>
                <w:szCs w:val="20"/>
              </w:rPr>
              <w:footnoteReference w:id="3"/>
            </w:r>
          </w:p>
        </w:tc>
      </w:tr>
      <w:tr w:rsidR="007C3A86" w:rsidRPr="003507A6" w14:paraId="5851A440" w14:textId="77777777" w:rsidTr="00731599">
        <w:trPr>
          <w:trHeight w:val="980"/>
        </w:trPr>
        <w:tc>
          <w:tcPr>
            <w:tcW w:w="7717" w:type="dxa"/>
            <w:tcBorders>
              <w:top w:val="single" w:sz="4" w:space="0" w:color="auto"/>
              <w:left w:val="single" w:sz="4" w:space="0" w:color="auto"/>
              <w:bottom w:val="single" w:sz="4" w:space="0" w:color="auto"/>
              <w:right w:val="single" w:sz="4" w:space="0" w:color="auto"/>
            </w:tcBorders>
          </w:tcPr>
          <w:p w14:paraId="1ED0F884" w14:textId="77777777" w:rsidR="007C3A86" w:rsidRPr="003507A6" w:rsidRDefault="007C3A86" w:rsidP="007C3A86">
            <w:pPr>
              <w:pStyle w:val="ListParagraph"/>
              <w:numPr>
                <w:ilvl w:val="0"/>
                <w:numId w:val="10"/>
              </w:numPr>
              <w:pBdr>
                <w:top w:val="nil"/>
                <w:left w:val="nil"/>
                <w:bottom w:val="nil"/>
                <w:right w:val="nil"/>
                <w:between w:val="nil"/>
                <w:bar w:val="nil"/>
              </w:pBdr>
              <w:ind w:left="0" w:firstLine="0"/>
              <w:contextualSpacing w:val="0"/>
              <w:jc w:val="both"/>
              <w:rPr>
                <w:rFonts w:ascii="Cambria" w:hAnsi="Cambria" w:cs="Calibri"/>
                <w:color w:val="000000"/>
                <w:sz w:val="20"/>
                <w:szCs w:val="20"/>
              </w:rPr>
            </w:pPr>
            <w:r w:rsidRPr="003507A6">
              <w:rPr>
                <w:rFonts w:ascii="Cambria" w:hAnsi="Cambria"/>
                <w:color w:val="000000"/>
                <w:sz w:val="20"/>
              </w:rPr>
              <w:t xml:space="preserve">William Alfonso Apache (the victim’s brother) will be exempted from compulsory military service upon turning 18 years of age and his military passbook will be issued free of charge. This measure shall be carried out by the Comprehensive Reparation and Assistance for Victims Unit and the Ministry of National Defense. </w:t>
            </w:r>
          </w:p>
        </w:tc>
        <w:tc>
          <w:tcPr>
            <w:tcW w:w="1643" w:type="dxa"/>
            <w:tcBorders>
              <w:top w:val="single" w:sz="4" w:space="0" w:color="auto"/>
              <w:left w:val="single" w:sz="4" w:space="0" w:color="auto"/>
              <w:bottom w:val="single" w:sz="4" w:space="0" w:color="auto"/>
              <w:right w:val="single" w:sz="4" w:space="0" w:color="auto"/>
            </w:tcBorders>
            <w:vAlign w:val="center"/>
          </w:tcPr>
          <w:p w14:paraId="51DA9633" w14:textId="77777777" w:rsidR="007C3A86" w:rsidRPr="003507A6" w:rsidRDefault="007C3A86" w:rsidP="00D53017">
            <w:pPr>
              <w:jc w:val="center"/>
              <w:rPr>
                <w:rFonts w:ascii="Cambria" w:eastAsia="Batang" w:hAnsi="Cambria"/>
                <w:b/>
                <w:color w:val="000000"/>
                <w:sz w:val="20"/>
                <w:szCs w:val="20"/>
              </w:rPr>
            </w:pPr>
            <w:r w:rsidRPr="003507A6">
              <w:rPr>
                <w:rFonts w:ascii="Cambria" w:hAnsi="Cambria"/>
                <w:b/>
                <w:color w:val="000000"/>
                <w:sz w:val="20"/>
              </w:rPr>
              <w:t>Total</w:t>
            </w:r>
            <w:r w:rsidRPr="003507A6">
              <w:rPr>
                <w:rStyle w:val="FootnoteReference"/>
                <w:rFonts w:ascii="Cambria" w:hAnsi="Cambria"/>
                <w:b/>
                <w:color w:val="000000"/>
                <w:sz w:val="20"/>
              </w:rPr>
              <w:footnoteReference w:id="4"/>
            </w:r>
          </w:p>
          <w:p w14:paraId="49C10FD9" w14:textId="77777777" w:rsidR="007C3A86" w:rsidRPr="003507A6" w:rsidRDefault="007C3A86" w:rsidP="00D53017">
            <w:pPr>
              <w:jc w:val="both"/>
              <w:rPr>
                <w:rFonts w:ascii="Cambria" w:eastAsia="Times New Roman" w:hAnsi="Cambria"/>
                <w:bCs/>
                <w:color w:val="000000"/>
                <w:kern w:val="36"/>
                <w:sz w:val="20"/>
                <w:szCs w:val="20"/>
              </w:rPr>
            </w:pPr>
          </w:p>
          <w:p w14:paraId="0E89D233" w14:textId="77777777" w:rsidR="007C3A86" w:rsidRPr="003507A6" w:rsidRDefault="007C3A86" w:rsidP="00D53017">
            <w:pPr>
              <w:jc w:val="both"/>
              <w:rPr>
                <w:rFonts w:ascii="Cambria" w:eastAsia="Times New Roman" w:hAnsi="Cambria"/>
                <w:bCs/>
                <w:color w:val="000000"/>
                <w:kern w:val="36"/>
                <w:sz w:val="20"/>
                <w:szCs w:val="20"/>
              </w:rPr>
            </w:pPr>
          </w:p>
        </w:tc>
      </w:tr>
      <w:tr w:rsidR="007C3A86" w:rsidRPr="003507A6" w14:paraId="4C1A93B4" w14:textId="77777777" w:rsidTr="00731599">
        <w:trPr>
          <w:trHeight w:val="1340"/>
        </w:trPr>
        <w:tc>
          <w:tcPr>
            <w:tcW w:w="7717" w:type="dxa"/>
            <w:tcBorders>
              <w:top w:val="single" w:sz="4" w:space="0" w:color="auto"/>
              <w:left w:val="single" w:sz="4" w:space="0" w:color="auto"/>
              <w:bottom w:val="single" w:sz="4" w:space="0" w:color="auto"/>
              <w:right w:val="single" w:sz="4" w:space="0" w:color="auto"/>
            </w:tcBorders>
          </w:tcPr>
          <w:p w14:paraId="4F170E28" w14:textId="77777777" w:rsidR="007C3A86" w:rsidRPr="003507A6" w:rsidRDefault="007C3A86" w:rsidP="007C3A86">
            <w:pPr>
              <w:pStyle w:val="ListParagraph"/>
              <w:numPr>
                <w:ilvl w:val="0"/>
                <w:numId w:val="10"/>
              </w:numPr>
              <w:pBdr>
                <w:top w:val="nil"/>
                <w:left w:val="nil"/>
                <w:bottom w:val="nil"/>
                <w:right w:val="nil"/>
                <w:between w:val="nil"/>
                <w:bar w:val="nil"/>
              </w:pBdr>
              <w:ind w:left="0" w:firstLine="0"/>
              <w:contextualSpacing w:val="0"/>
              <w:jc w:val="both"/>
              <w:rPr>
                <w:rFonts w:ascii="Cambria" w:hAnsi="Cambria" w:cs="Calibri"/>
                <w:color w:val="000000"/>
                <w:sz w:val="20"/>
                <w:szCs w:val="20"/>
              </w:rPr>
            </w:pPr>
            <w:r w:rsidRPr="003507A6">
              <w:rPr>
                <w:rFonts w:ascii="Cambria" w:hAnsi="Cambria"/>
                <w:color w:val="000000"/>
                <w:sz w:val="20"/>
              </w:rPr>
              <w:lastRenderedPageBreak/>
              <w:t>Through its model for comprehensive care, assistance, and reparation for victims implemented by the Unit, the State undertakes to provide support for the victims in this case, so that they may gain access to the reparation plans, programs, and projects offered by the Colombian state. A differentiated approach shall be given to the mother of Herson Javier Caro, bearing in mind that she is an older adult.</w:t>
            </w:r>
          </w:p>
        </w:tc>
        <w:tc>
          <w:tcPr>
            <w:tcW w:w="1643" w:type="dxa"/>
            <w:tcBorders>
              <w:top w:val="single" w:sz="4" w:space="0" w:color="auto"/>
              <w:left w:val="single" w:sz="4" w:space="0" w:color="auto"/>
              <w:bottom w:val="single" w:sz="4" w:space="0" w:color="auto"/>
              <w:right w:val="single" w:sz="4" w:space="0" w:color="auto"/>
            </w:tcBorders>
            <w:vAlign w:val="center"/>
          </w:tcPr>
          <w:p w14:paraId="4286E561" w14:textId="77777777" w:rsidR="007C3A86" w:rsidRPr="003507A6" w:rsidRDefault="007C3A86" w:rsidP="00D53017">
            <w:pPr>
              <w:jc w:val="center"/>
              <w:rPr>
                <w:rFonts w:ascii="Cambria" w:eastAsia="Batang" w:hAnsi="Cambria"/>
                <w:color w:val="000000"/>
                <w:sz w:val="20"/>
                <w:szCs w:val="20"/>
                <w:u w:val="single"/>
              </w:rPr>
            </w:pPr>
            <w:r w:rsidRPr="003507A6">
              <w:rPr>
                <w:rFonts w:ascii="Cambria" w:hAnsi="Cambria"/>
                <w:b/>
                <w:color w:val="000000"/>
                <w:sz w:val="20"/>
              </w:rPr>
              <w:t>Total</w:t>
            </w:r>
            <w:r w:rsidRPr="003507A6">
              <w:rPr>
                <w:rStyle w:val="FootnoteReference"/>
                <w:rFonts w:ascii="Cambria" w:hAnsi="Cambria"/>
                <w:b/>
                <w:color w:val="000000"/>
                <w:sz w:val="20"/>
              </w:rPr>
              <w:footnoteReference w:id="5"/>
            </w:r>
          </w:p>
        </w:tc>
      </w:tr>
      <w:tr w:rsidR="007C3A86" w:rsidRPr="003507A6" w14:paraId="3EF70A42" w14:textId="77777777" w:rsidTr="00731599">
        <w:trPr>
          <w:trHeight w:val="674"/>
        </w:trPr>
        <w:tc>
          <w:tcPr>
            <w:tcW w:w="7717" w:type="dxa"/>
            <w:tcBorders>
              <w:top w:val="single" w:sz="4" w:space="0" w:color="auto"/>
              <w:left w:val="single" w:sz="4" w:space="0" w:color="auto"/>
              <w:bottom w:val="single" w:sz="4" w:space="0" w:color="auto"/>
              <w:right w:val="single" w:sz="4" w:space="0" w:color="auto"/>
            </w:tcBorders>
          </w:tcPr>
          <w:p w14:paraId="32A13596" w14:textId="77777777" w:rsidR="007C3A86" w:rsidRPr="003507A6" w:rsidRDefault="007C3A86" w:rsidP="007C3A86">
            <w:pPr>
              <w:pStyle w:val="ListParagraph"/>
              <w:numPr>
                <w:ilvl w:val="0"/>
                <w:numId w:val="10"/>
              </w:numPr>
              <w:pBdr>
                <w:top w:val="nil"/>
                <w:left w:val="nil"/>
                <w:bottom w:val="nil"/>
                <w:right w:val="nil"/>
                <w:between w:val="nil"/>
                <w:bar w:val="nil"/>
              </w:pBdr>
              <w:ind w:left="0" w:firstLine="0"/>
              <w:contextualSpacing w:val="0"/>
              <w:jc w:val="both"/>
              <w:rPr>
                <w:rFonts w:ascii="Cambria" w:hAnsi="Cambria" w:cs="Calibri"/>
                <w:color w:val="000000"/>
                <w:sz w:val="20"/>
                <w:szCs w:val="20"/>
              </w:rPr>
            </w:pPr>
            <w:r w:rsidRPr="003507A6">
              <w:rPr>
                <w:rFonts w:ascii="Cambria" w:hAnsi="Cambria"/>
                <w:color w:val="000000"/>
                <w:sz w:val="20"/>
              </w:rPr>
              <w:t>The Ministry of Health and Social Protection shall implement the health rehabilitation measures consisting of medical, psychological, and psychosocial care through the General Health Social Security System [</w:t>
            </w:r>
            <w:r w:rsidRPr="003507A6">
              <w:rPr>
                <w:rFonts w:ascii="Cambria" w:hAnsi="Cambria"/>
                <w:i/>
                <w:color w:val="000000"/>
                <w:sz w:val="20"/>
              </w:rPr>
              <w:t>Sistema General de Seguridad Social en Salud</w:t>
            </w:r>
            <w:r w:rsidRPr="003507A6">
              <w:rPr>
                <w:rFonts w:ascii="Cambria" w:hAnsi="Cambria"/>
                <w:color w:val="000000"/>
                <w:sz w:val="20"/>
              </w:rPr>
              <w:t>] and the Psychosocial Care and Comprehensive Health Program for Victims [</w:t>
            </w:r>
            <w:r w:rsidRPr="003507A6">
              <w:rPr>
                <w:rFonts w:ascii="Cambria" w:hAnsi="Cambria"/>
                <w:i/>
                <w:color w:val="000000"/>
                <w:sz w:val="20"/>
              </w:rPr>
              <w:t>Programa de Atención Psicosocial and Salud Integral para las Victimas</w:t>
            </w:r>
            <w:r w:rsidRPr="003507A6">
              <w:rPr>
                <w:rFonts w:ascii="Cambria" w:hAnsi="Cambria"/>
                <w:color w:val="000000"/>
                <w:sz w:val="20"/>
              </w:rPr>
              <w:t>] (PAPSIVI). Adequate, timely, and priority treatment shall be guaranteed for those who so require, per their request, for as long as necessary. By providing psychological and psychosocial treatment, the circumstances and needs specific to each person must be considered, such that group, family, and individual treatment is provided, as agreed to with each of them, following an individual evaluation.</w:t>
            </w:r>
          </w:p>
        </w:tc>
        <w:tc>
          <w:tcPr>
            <w:tcW w:w="1643" w:type="dxa"/>
            <w:tcBorders>
              <w:top w:val="single" w:sz="4" w:space="0" w:color="auto"/>
              <w:left w:val="single" w:sz="4" w:space="0" w:color="auto"/>
              <w:bottom w:val="single" w:sz="4" w:space="0" w:color="auto"/>
              <w:right w:val="single" w:sz="4" w:space="0" w:color="auto"/>
            </w:tcBorders>
            <w:vAlign w:val="center"/>
          </w:tcPr>
          <w:p w14:paraId="6D91831F" w14:textId="77777777" w:rsidR="007C3A86" w:rsidRPr="003507A6" w:rsidRDefault="007C3A86" w:rsidP="00D53017">
            <w:pPr>
              <w:jc w:val="center"/>
              <w:rPr>
                <w:rFonts w:ascii="Cambria" w:eastAsia="Batang" w:hAnsi="Cambria"/>
                <w:b/>
                <w:color w:val="000000"/>
                <w:sz w:val="20"/>
                <w:szCs w:val="20"/>
              </w:rPr>
            </w:pPr>
            <w:r w:rsidRPr="003507A6">
              <w:rPr>
                <w:rFonts w:ascii="Cambria" w:hAnsi="Cambria"/>
                <w:b/>
                <w:color w:val="000000"/>
                <w:sz w:val="20"/>
              </w:rPr>
              <w:t>Total</w:t>
            </w:r>
            <w:r w:rsidRPr="003507A6">
              <w:rPr>
                <w:rStyle w:val="FootnoteReference"/>
                <w:rFonts w:ascii="Cambria" w:hAnsi="Cambria"/>
                <w:b/>
                <w:color w:val="000000"/>
                <w:sz w:val="20"/>
              </w:rPr>
              <w:footnoteReference w:id="6"/>
            </w:r>
          </w:p>
          <w:p w14:paraId="02602EFB" w14:textId="77777777" w:rsidR="007C3A86" w:rsidRPr="003507A6" w:rsidRDefault="007C3A86" w:rsidP="00D53017">
            <w:pPr>
              <w:jc w:val="both"/>
              <w:rPr>
                <w:rFonts w:ascii="Cambria" w:eastAsia="Batang" w:hAnsi="Cambria"/>
                <w:color w:val="000000"/>
                <w:sz w:val="20"/>
                <w:szCs w:val="20"/>
              </w:rPr>
            </w:pPr>
            <w:r w:rsidRPr="003507A6">
              <w:rPr>
                <w:rFonts w:ascii="Cambria" w:hAnsi="Cambria"/>
                <w:color w:val="000000"/>
                <w:sz w:val="20"/>
                <w:u w:color="FF0000"/>
              </w:rPr>
              <w:t>.</w:t>
            </w:r>
          </w:p>
        </w:tc>
      </w:tr>
      <w:tr w:rsidR="007C3A86" w:rsidRPr="003507A6" w14:paraId="2FEF4C72" w14:textId="77777777" w:rsidTr="00731599">
        <w:trPr>
          <w:trHeight w:val="755"/>
        </w:trPr>
        <w:tc>
          <w:tcPr>
            <w:tcW w:w="7717" w:type="dxa"/>
            <w:tcBorders>
              <w:top w:val="single" w:sz="4" w:space="0" w:color="auto"/>
              <w:left w:val="single" w:sz="4" w:space="0" w:color="auto"/>
              <w:bottom w:val="single" w:sz="4" w:space="0" w:color="auto"/>
              <w:right w:val="single" w:sz="4" w:space="0" w:color="auto"/>
            </w:tcBorders>
          </w:tcPr>
          <w:p w14:paraId="17FE7E53" w14:textId="293215A0" w:rsidR="007C3A86" w:rsidRPr="003507A6" w:rsidRDefault="007C3A86" w:rsidP="007C3A86">
            <w:pPr>
              <w:pStyle w:val="ListParagraph"/>
              <w:numPr>
                <w:ilvl w:val="0"/>
                <w:numId w:val="10"/>
              </w:numPr>
              <w:pBdr>
                <w:top w:val="nil"/>
                <w:left w:val="nil"/>
                <w:bottom w:val="nil"/>
                <w:right w:val="nil"/>
                <w:between w:val="nil"/>
                <w:bar w:val="nil"/>
              </w:pBdr>
              <w:ind w:left="0" w:firstLine="0"/>
              <w:contextualSpacing w:val="0"/>
              <w:jc w:val="both"/>
              <w:rPr>
                <w:rFonts w:ascii="Cambria" w:eastAsia="Times New Roman" w:hAnsi="Cambria"/>
                <w:bCs/>
                <w:color w:val="000000"/>
                <w:kern w:val="36"/>
                <w:sz w:val="20"/>
                <w:szCs w:val="20"/>
              </w:rPr>
            </w:pPr>
            <w:r w:rsidRPr="003507A6">
              <w:rPr>
                <w:rFonts w:ascii="Cambria" w:hAnsi="Cambria"/>
                <w:color w:val="000000"/>
                <w:sz w:val="20"/>
              </w:rPr>
              <w:t>For access to comprehensive health care, the beneficiaries of these measures shall be guaranteed any type of medication and treatment they may need (including physical, mental, and psychological health). They shall receive preferential and differentiated care based on their status as victims.</w:t>
            </w:r>
          </w:p>
        </w:tc>
        <w:tc>
          <w:tcPr>
            <w:tcW w:w="1643" w:type="dxa"/>
            <w:tcBorders>
              <w:top w:val="single" w:sz="4" w:space="0" w:color="auto"/>
              <w:left w:val="single" w:sz="4" w:space="0" w:color="auto"/>
              <w:bottom w:val="single" w:sz="4" w:space="0" w:color="auto"/>
              <w:right w:val="single" w:sz="4" w:space="0" w:color="auto"/>
            </w:tcBorders>
            <w:vAlign w:val="center"/>
          </w:tcPr>
          <w:p w14:paraId="1940E6EF" w14:textId="77777777" w:rsidR="007C3A86" w:rsidRPr="003507A6" w:rsidRDefault="007C3A86" w:rsidP="00D53017">
            <w:pPr>
              <w:jc w:val="center"/>
              <w:rPr>
                <w:rFonts w:ascii="Cambria" w:eastAsia="Batang" w:hAnsi="Cambria"/>
                <w:b/>
                <w:color w:val="000000"/>
                <w:sz w:val="20"/>
                <w:szCs w:val="20"/>
              </w:rPr>
            </w:pPr>
            <w:r w:rsidRPr="003507A6">
              <w:rPr>
                <w:rFonts w:ascii="Cambria" w:hAnsi="Cambria"/>
                <w:b/>
                <w:color w:val="000000"/>
                <w:sz w:val="20"/>
              </w:rPr>
              <w:t>Total</w:t>
            </w:r>
            <w:r w:rsidRPr="003507A6">
              <w:rPr>
                <w:rStyle w:val="FootnoteReference"/>
                <w:rFonts w:ascii="Cambria" w:hAnsi="Cambria"/>
                <w:b/>
                <w:color w:val="000000"/>
                <w:sz w:val="20"/>
              </w:rPr>
              <w:footnoteReference w:id="7"/>
            </w:r>
          </w:p>
          <w:p w14:paraId="69E81BD0" w14:textId="77777777" w:rsidR="007C3A86" w:rsidRPr="003507A6" w:rsidRDefault="007C3A86" w:rsidP="00D53017">
            <w:pPr>
              <w:jc w:val="both"/>
              <w:rPr>
                <w:rFonts w:ascii="Cambria" w:eastAsia="Batang" w:hAnsi="Cambria"/>
                <w:color w:val="000000"/>
                <w:sz w:val="20"/>
                <w:szCs w:val="20"/>
              </w:rPr>
            </w:pPr>
          </w:p>
          <w:p w14:paraId="087FF539" w14:textId="77777777" w:rsidR="007C3A86" w:rsidRPr="003507A6" w:rsidRDefault="007C3A86" w:rsidP="00D53017">
            <w:pPr>
              <w:jc w:val="both"/>
              <w:rPr>
                <w:rFonts w:ascii="Cambria" w:eastAsia="Batang" w:hAnsi="Cambria"/>
                <w:color w:val="000000"/>
                <w:sz w:val="20"/>
                <w:szCs w:val="20"/>
              </w:rPr>
            </w:pPr>
          </w:p>
        </w:tc>
      </w:tr>
      <w:tr w:rsidR="007C3A86" w:rsidRPr="003507A6" w14:paraId="7FA7B561" w14:textId="77777777" w:rsidTr="00731599">
        <w:trPr>
          <w:trHeight w:val="1637"/>
        </w:trPr>
        <w:tc>
          <w:tcPr>
            <w:tcW w:w="7717" w:type="dxa"/>
            <w:tcBorders>
              <w:top w:val="single" w:sz="4" w:space="0" w:color="auto"/>
              <w:left w:val="single" w:sz="4" w:space="0" w:color="auto"/>
              <w:bottom w:val="single" w:sz="4" w:space="0" w:color="auto"/>
              <w:right w:val="single" w:sz="4" w:space="0" w:color="auto"/>
            </w:tcBorders>
          </w:tcPr>
          <w:p w14:paraId="0A5488DC" w14:textId="77777777" w:rsidR="007C3A86" w:rsidRPr="003507A6" w:rsidRDefault="007C3A86" w:rsidP="00D53017">
            <w:pPr>
              <w:ind w:right="72"/>
              <w:jc w:val="both"/>
              <w:rPr>
                <w:rFonts w:ascii="Cambria" w:eastAsia="Times New Roman" w:hAnsi="Cambria"/>
                <w:b/>
                <w:bCs/>
                <w:color w:val="000000"/>
                <w:kern w:val="36"/>
                <w:sz w:val="20"/>
                <w:szCs w:val="20"/>
              </w:rPr>
            </w:pPr>
            <w:r w:rsidRPr="003507A6">
              <w:rPr>
                <w:rFonts w:ascii="Cambria" w:hAnsi="Cambria"/>
                <w:b/>
                <w:color w:val="000000"/>
                <w:kern w:val="36"/>
                <w:sz w:val="20"/>
              </w:rPr>
              <w:t>FOURTH: PECUNIARY REPARATION</w:t>
            </w:r>
          </w:p>
          <w:p w14:paraId="6813126C" w14:textId="77777777" w:rsidR="007C3A86" w:rsidRPr="003507A6" w:rsidRDefault="007C3A86" w:rsidP="00D53017">
            <w:pPr>
              <w:ind w:right="72"/>
              <w:jc w:val="both"/>
              <w:rPr>
                <w:rFonts w:ascii="Cambria" w:eastAsia="Times New Roman" w:hAnsi="Cambria"/>
                <w:bCs/>
                <w:color w:val="000000"/>
                <w:kern w:val="36"/>
                <w:sz w:val="20"/>
                <w:szCs w:val="20"/>
              </w:rPr>
            </w:pPr>
            <w:r w:rsidRPr="003507A6">
              <w:rPr>
                <w:rFonts w:ascii="Cambria" w:hAnsi="Cambria"/>
                <w:color w:val="000000"/>
                <w:kern w:val="36"/>
                <w:sz w:val="20"/>
              </w:rPr>
              <w:t>The State undertakes to enforce Law 288 of 1996, once this friendly settlement agreement has been approved upon issuance of the report pertaining to Article 49 of the ACHR, for purposes of redressing the pecuniary and non-pecuniary damages that may be proven in favor of the direct family members of Herson Javier Caro that have not been compensated in the contentious-administrative jurisdiction. The Ministry of National Defense shall be responsible for this measure.</w:t>
            </w:r>
          </w:p>
        </w:tc>
        <w:tc>
          <w:tcPr>
            <w:tcW w:w="1643" w:type="dxa"/>
            <w:tcBorders>
              <w:top w:val="single" w:sz="4" w:space="0" w:color="auto"/>
              <w:left w:val="single" w:sz="4" w:space="0" w:color="auto"/>
              <w:bottom w:val="single" w:sz="4" w:space="0" w:color="auto"/>
              <w:right w:val="single" w:sz="4" w:space="0" w:color="auto"/>
            </w:tcBorders>
            <w:vAlign w:val="center"/>
          </w:tcPr>
          <w:p w14:paraId="3EB6A368" w14:textId="77777777" w:rsidR="007C3A86" w:rsidRPr="003507A6" w:rsidRDefault="007C3A86" w:rsidP="00D53017">
            <w:pPr>
              <w:jc w:val="center"/>
              <w:rPr>
                <w:rFonts w:ascii="Cambria" w:eastAsia="Batang" w:hAnsi="Cambria"/>
                <w:color w:val="000000"/>
                <w:sz w:val="20"/>
                <w:szCs w:val="20"/>
              </w:rPr>
            </w:pPr>
            <w:r w:rsidRPr="003507A6">
              <w:rPr>
                <w:rFonts w:ascii="Cambria" w:hAnsi="Cambria"/>
                <w:b/>
                <w:color w:val="000000"/>
                <w:sz w:val="20"/>
              </w:rPr>
              <w:t>Total</w:t>
            </w:r>
            <w:r w:rsidRPr="003507A6">
              <w:rPr>
                <w:rStyle w:val="FootnoteReference"/>
                <w:rFonts w:ascii="Cambria" w:hAnsi="Cambria"/>
                <w:b/>
                <w:color w:val="000000"/>
                <w:sz w:val="20"/>
              </w:rPr>
              <w:footnoteReference w:id="8"/>
            </w:r>
          </w:p>
        </w:tc>
      </w:tr>
    </w:tbl>
    <w:p w14:paraId="570310D3" w14:textId="77777777" w:rsidR="00EE2B3B" w:rsidRPr="003F7365" w:rsidRDefault="00EE2B3B" w:rsidP="00EE2B3B">
      <w:pPr>
        <w:pStyle w:val="ListParagraph"/>
        <w:jc w:val="both"/>
        <w:rPr>
          <w:rFonts w:ascii="Cambria" w:hAnsi="Cambria" w:cs="Calibri Light"/>
          <w:b/>
          <w:color w:val="000000"/>
          <w:sz w:val="20"/>
          <w:szCs w:val="20"/>
        </w:rPr>
      </w:pPr>
    </w:p>
    <w:p w14:paraId="23CE78ED" w14:textId="77777777" w:rsidR="00EE2B3B" w:rsidRPr="003F7365" w:rsidRDefault="00EE2B3B" w:rsidP="00EE2B3B">
      <w:pPr>
        <w:contextualSpacing/>
        <w:jc w:val="both"/>
        <w:rPr>
          <w:rFonts w:ascii="Cambria" w:hAnsi="Cambria" w:cs="Calibri Light"/>
          <w:color w:val="000000"/>
          <w:sz w:val="20"/>
          <w:szCs w:val="20"/>
        </w:rPr>
      </w:pPr>
    </w:p>
    <w:p w14:paraId="4301E707" w14:textId="77777777" w:rsidR="00EE2B3B" w:rsidRPr="003F7365" w:rsidRDefault="00EE2B3B" w:rsidP="00EE2B3B">
      <w:pPr>
        <w:numPr>
          <w:ilvl w:val="0"/>
          <w:numId w:val="1"/>
        </w:numPr>
        <w:ind w:left="0" w:firstLine="720"/>
        <w:contextualSpacing/>
        <w:jc w:val="both"/>
        <w:rPr>
          <w:rFonts w:ascii="Cambria" w:hAnsi="Cambria" w:cs="Calibri Light"/>
          <w:color w:val="000000"/>
          <w:sz w:val="20"/>
          <w:szCs w:val="20"/>
        </w:rPr>
      </w:pPr>
      <w:r w:rsidRPr="003F7365">
        <w:rPr>
          <w:rFonts w:ascii="Cambria" w:hAnsi="Cambria"/>
          <w:b/>
          <w:color w:val="000000"/>
          <w:sz w:val="20"/>
          <w:szCs w:val="20"/>
        </w:rPr>
        <w:t>LEVEL OF COMPLIANCE OF THE CASE</w:t>
      </w:r>
    </w:p>
    <w:p w14:paraId="3B08C399" w14:textId="77777777" w:rsidR="00EE2B3B" w:rsidRPr="003F7365" w:rsidRDefault="00EE2B3B" w:rsidP="00EE2B3B">
      <w:pPr>
        <w:pStyle w:val="ListParagraph"/>
        <w:ind w:left="0" w:firstLine="720"/>
        <w:jc w:val="both"/>
        <w:rPr>
          <w:rFonts w:ascii="Cambria" w:hAnsi="Cambria" w:cs="Calibri Light"/>
          <w:b/>
          <w:color w:val="000000"/>
          <w:sz w:val="20"/>
          <w:szCs w:val="20"/>
        </w:rPr>
      </w:pPr>
    </w:p>
    <w:p w14:paraId="5A448611" w14:textId="7215E13F" w:rsidR="00EE2B3B" w:rsidRPr="003F7365" w:rsidRDefault="00EE2B3B" w:rsidP="00EE2B3B">
      <w:pPr>
        <w:pStyle w:val="ListParagraph"/>
        <w:numPr>
          <w:ilvl w:val="0"/>
          <w:numId w:val="2"/>
        </w:numPr>
        <w:ind w:left="0" w:firstLine="720"/>
        <w:jc w:val="both"/>
        <w:rPr>
          <w:rFonts w:ascii="Cambria" w:hAnsi="Cambria" w:cs="Calibri Light"/>
          <w:color w:val="000000"/>
          <w:sz w:val="20"/>
          <w:szCs w:val="20"/>
        </w:rPr>
      </w:pPr>
      <w:r w:rsidRPr="003F7365">
        <w:rPr>
          <w:rFonts w:ascii="Cambria" w:hAnsi="Cambria"/>
          <w:color w:val="000000"/>
          <w:sz w:val="20"/>
          <w:szCs w:val="20"/>
        </w:rPr>
        <w:t xml:space="preserve"> </w:t>
      </w:r>
      <w:r w:rsidRPr="00EE2B3B">
        <w:rPr>
          <w:rFonts w:ascii="Cambria" w:hAnsi="Cambria"/>
          <w:color w:val="000000"/>
          <w:sz w:val="20"/>
          <w:szCs w:val="20"/>
        </w:rPr>
        <w:t xml:space="preserve">The Commission declared full compliance with the case and the ceasing of the </w:t>
      </w:r>
      <w:r w:rsidR="00A56059" w:rsidRPr="00EE2B3B">
        <w:rPr>
          <w:rFonts w:ascii="Cambria" w:hAnsi="Cambria"/>
          <w:color w:val="000000"/>
          <w:sz w:val="20"/>
          <w:szCs w:val="20"/>
        </w:rPr>
        <w:t>follow</w:t>
      </w:r>
      <w:r w:rsidR="00071C51">
        <w:rPr>
          <w:rFonts w:ascii="Cambria" w:hAnsi="Cambria"/>
          <w:color w:val="000000"/>
          <w:sz w:val="20"/>
          <w:szCs w:val="20"/>
        </w:rPr>
        <w:t>-</w:t>
      </w:r>
      <w:r w:rsidR="00A56059" w:rsidRPr="00EE2B3B">
        <w:rPr>
          <w:rFonts w:ascii="Cambria" w:hAnsi="Cambria"/>
          <w:color w:val="000000"/>
          <w:sz w:val="20"/>
          <w:szCs w:val="20"/>
        </w:rPr>
        <w:t>up</w:t>
      </w:r>
      <w:r w:rsidRPr="00EE2B3B">
        <w:rPr>
          <w:rFonts w:ascii="Cambria" w:hAnsi="Cambria"/>
          <w:color w:val="000000"/>
          <w:sz w:val="20"/>
          <w:szCs w:val="20"/>
        </w:rPr>
        <w:t xml:space="preserve"> of the friendly settlement agreement in the 202</w:t>
      </w:r>
      <w:r>
        <w:rPr>
          <w:rFonts w:ascii="Cambria" w:hAnsi="Cambria"/>
          <w:color w:val="000000"/>
          <w:sz w:val="20"/>
          <w:szCs w:val="20"/>
        </w:rPr>
        <w:t>2</w:t>
      </w:r>
      <w:r w:rsidRPr="00EE2B3B">
        <w:rPr>
          <w:rFonts w:ascii="Cambria" w:hAnsi="Cambria"/>
          <w:color w:val="000000"/>
          <w:sz w:val="20"/>
          <w:szCs w:val="20"/>
        </w:rPr>
        <w:t xml:space="preserve"> Annual Report.</w:t>
      </w:r>
    </w:p>
    <w:p w14:paraId="286AE1D0" w14:textId="77777777" w:rsidR="00EE2B3B" w:rsidRPr="003F7365" w:rsidRDefault="00EE2B3B" w:rsidP="00EE2B3B">
      <w:pPr>
        <w:autoSpaceDE w:val="0"/>
        <w:autoSpaceDN w:val="0"/>
        <w:adjustRightInd w:val="0"/>
        <w:jc w:val="both"/>
        <w:rPr>
          <w:rFonts w:ascii="Cambria" w:hAnsi="Cambria"/>
          <w:color w:val="000000"/>
          <w:sz w:val="20"/>
          <w:szCs w:val="20"/>
        </w:rPr>
      </w:pPr>
    </w:p>
    <w:p w14:paraId="2765ADF3" w14:textId="77777777" w:rsidR="00EE2B3B" w:rsidRPr="003F7365" w:rsidRDefault="00EE2B3B" w:rsidP="00EE2B3B">
      <w:pPr>
        <w:pStyle w:val="ListParagraph"/>
        <w:numPr>
          <w:ilvl w:val="0"/>
          <w:numId w:val="1"/>
        </w:numPr>
        <w:ind w:left="0" w:firstLine="720"/>
        <w:jc w:val="both"/>
        <w:rPr>
          <w:rFonts w:ascii="Cambria" w:hAnsi="Cambria" w:cs="Calibri Light"/>
          <w:b/>
          <w:color w:val="000000"/>
          <w:sz w:val="20"/>
          <w:szCs w:val="20"/>
        </w:rPr>
      </w:pPr>
      <w:r w:rsidRPr="003F7365">
        <w:rPr>
          <w:rFonts w:ascii="Cambria" w:hAnsi="Cambria"/>
          <w:b/>
          <w:color w:val="000000"/>
          <w:sz w:val="20"/>
          <w:szCs w:val="20"/>
        </w:rPr>
        <w:t xml:space="preserve">INDIVIDUAL AND STRUCTURAL OUTCOMES OF THE CASE </w:t>
      </w:r>
    </w:p>
    <w:p w14:paraId="02CEFE66" w14:textId="77777777" w:rsidR="00EE2B3B" w:rsidRPr="003F7365" w:rsidRDefault="00EE2B3B" w:rsidP="00EE2B3B">
      <w:pPr>
        <w:pStyle w:val="ListParagraph"/>
        <w:ind w:left="0" w:firstLine="720"/>
        <w:jc w:val="both"/>
        <w:rPr>
          <w:rFonts w:ascii="Cambria" w:hAnsi="Cambria" w:cs="Calibri Light"/>
          <w:b/>
          <w:color w:val="000000"/>
          <w:sz w:val="20"/>
          <w:szCs w:val="20"/>
        </w:rPr>
      </w:pPr>
    </w:p>
    <w:p w14:paraId="405F2438" w14:textId="77777777" w:rsidR="007F5F10" w:rsidRPr="003507A6" w:rsidRDefault="007F5F10" w:rsidP="007F5F10">
      <w:pPr>
        <w:numPr>
          <w:ilvl w:val="0"/>
          <w:numId w:val="13"/>
        </w:numPr>
        <w:ind w:left="0" w:firstLine="720"/>
        <w:contextualSpacing/>
        <w:jc w:val="both"/>
        <w:rPr>
          <w:rFonts w:ascii="Cambria" w:eastAsia="Batang" w:hAnsi="Cambria" w:cs="Calibri Light"/>
          <w:b/>
          <w:color w:val="000000"/>
          <w:sz w:val="20"/>
          <w:szCs w:val="20"/>
        </w:rPr>
      </w:pPr>
      <w:r w:rsidRPr="003507A6">
        <w:rPr>
          <w:rFonts w:ascii="Cambria" w:hAnsi="Cambria"/>
          <w:b/>
          <w:color w:val="000000"/>
          <w:sz w:val="20"/>
        </w:rPr>
        <w:t>Individual outcomes of the case</w:t>
      </w:r>
    </w:p>
    <w:p w14:paraId="1CFD4B71" w14:textId="77777777" w:rsidR="007F5F10" w:rsidRPr="003507A6" w:rsidRDefault="007F5F10" w:rsidP="007F5F10">
      <w:pPr>
        <w:contextualSpacing/>
        <w:jc w:val="both"/>
        <w:rPr>
          <w:rFonts w:ascii="Cambria" w:eastAsia="Batang" w:hAnsi="Cambria" w:cs="Calibri Light"/>
          <w:b/>
          <w:color w:val="000000"/>
          <w:sz w:val="20"/>
          <w:szCs w:val="20"/>
        </w:rPr>
      </w:pPr>
    </w:p>
    <w:p w14:paraId="3C43F263" w14:textId="77777777" w:rsidR="007F5F10" w:rsidRPr="003507A6" w:rsidRDefault="007F5F10" w:rsidP="007F5F10">
      <w:pPr>
        <w:numPr>
          <w:ilvl w:val="0"/>
          <w:numId w:val="11"/>
        </w:numPr>
        <w:ind w:left="1440" w:hanging="720"/>
        <w:contextualSpacing/>
        <w:jc w:val="both"/>
        <w:rPr>
          <w:rFonts w:ascii="Cambria" w:eastAsia="Batang" w:hAnsi="Cambria"/>
          <w:color w:val="000000"/>
          <w:sz w:val="20"/>
          <w:szCs w:val="20"/>
        </w:rPr>
      </w:pPr>
      <w:r w:rsidRPr="003507A6">
        <w:rPr>
          <w:rFonts w:ascii="Cambria" w:hAnsi="Cambria"/>
          <w:color w:val="000000"/>
          <w:sz w:val="20"/>
        </w:rPr>
        <w:t>The State acknowledged its international responsibility for the violations that occurred in the case.</w:t>
      </w:r>
    </w:p>
    <w:p w14:paraId="15B68C9F" w14:textId="77777777" w:rsidR="007F5F10" w:rsidRPr="003507A6" w:rsidRDefault="007F5F10" w:rsidP="007F5F10">
      <w:pPr>
        <w:numPr>
          <w:ilvl w:val="0"/>
          <w:numId w:val="11"/>
        </w:numPr>
        <w:ind w:left="1440" w:hanging="720"/>
        <w:contextualSpacing/>
        <w:jc w:val="both"/>
        <w:rPr>
          <w:rFonts w:ascii="Cambria" w:eastAsia="Batang" w:hAnsi="Cambria"/>
          <w:color w:val="000000"/>
          <w:sz w:val="20"/>
          <w:szCs w:val="20"/>
        </w:rPr>
      </w:pPr>
      <w:r w:rsidRPr="003507A6">
        <w:rPr>
          <w:rFonts w:ascii="Cambria" w:hAnsi="Cambria"/>
          <w:color w:val="000000"/>
          <w:sz w:val="20"/>
        </w:rPr>
        <w:t>The educational measure is being implemented for the victim’s siblings.</w:t>
      </w:r>
    </w:p>
    <w:p w14:paraId="173D5C46" w14:textId="77777777" w:rsidR="007F5F10" w:rsidRPr="003507A6" w:rsidRDefault="007F5F10" w:rsidP="007F5F10">
      <w:pPr>
        <w:numPr>
          <w:ilvl w:val="0"/>
          <w:numId w:val="11"/>
        </w:numPr>
        <w:ind w:left="1440" w:hanging="720"/>
        <w:contextualSpacing/>
        <w:jc w:val="both"/>
        <w:rPr>
          <w:rFonts w:ascii="Cambria" w:eastAsia="Batang" w:hAnsi="Cambria" w:cs="Calibri Light"/>
          <w:b/>
          <w:color w:val="000000"/>
          <w:sz w:val="20"/>
          <w:szCs w:val="20"/>
        </w:rPr>
      </w:pPr>
      <w:r w:rsidRPr="003507A6">
        <w:rPr>
          <w:rFonts w:ascii="Cambria" w:hAnsi="Cambria"/>
          <w:color w:val="000000"/>
          <w:kern w:val="36"/>
          <w:sz w:val="20"/>
        </w:rPr>
        <w:t>William Alfonso Apache (victim’s brother) was exempted from fulfilling his military service obligations and his military passbook was issued at no cost whatsoever.</w:t>
      </w:r>
    </w:p>
    <w:p w14:paraId="280998DC" w14:textId="77777777" w:rsidR="007F5F10" w:rsidRPr="003507A6" w:rsidRDefault="007F5F10" w:rsidP="007F5F10">
      <w:pPr>
        <w:numPr>
          <w:ilvl w:val="0"/>
          <w:numId w:val="11"/>
        </w:numPr>
        <w:ind w:left="1440" w:hanging="720"/>
        <w:contextualSpacing/>
        <w:jc w:val="both"/>
        <w:rPr>
          <w:rFonts w:ascii="Cambria" w:eastAsia="Batang" w:hAnsi="Cambria" w:cs="Calibri Light"/>
          <w:b/>
          <w:color w:val="000000"/>
          <w:sz w:val="20"/>
          <w:szCs w:val="20"/>
        </w:rPr>
      </w:pPr>
      <w:r w:rsidRPr="003507A6">
        <w:rPr>
          <w:rFonts w:ascii="Cambria" w:hAnsi="Cambria"/>
          <w:color w:val="000000"/>
          <w:kern w:val="36"/>
          <w:sz w:val="20"/>
        </w:rPr>
        <w:t>The beneficiaries of the friendly settlement agreement were registered in the Consolidated Registry of Victims.</w:t>
      </w:r>
    </w:p>
    <w:p w14:paraId="133A08F1" w14:textId="77777777" w:rsidR="007F5F10" w:rsidRPr="003507A6" w:rsidRDefault="007F5F10" w:rsidP="007F5F10">
      <w:pPr>
        <w:numPr>
          <w:ilvl w:val="0"/>
          <w:numId w:val="11"/>
        </w:numPr>
        <w:ind w:left="1440" w:hanging="720"/>
        <w:contextualSpacing/>
        <w:jc w:val="both"/>
        <w:rPr>
          <w:rFonts w:ascii="Cambria" w:eastAsia="Batang" w:hAnsi="Cambria" w:cs="Calibri Light"/>
          <w:b/>
          <w:color w:val="000000"/>
          <w:sz w:val="20"/>
          <w:szCs w:val="20"/>
        </w:rPr>
      </w:pPr>
      <w:r w:rsidRPr="003507A6">
        <w:rPr>
          <w:rFonts w:ascii="Cambria" w:hAnsi="Cambria"/>
          <w:color w:val="000000"/>
          <w:kern w:val="36"/>
          <w:sz w:val="20"/>
        </w:rPr>
        <w:lastRenderedPageBreak/>
        <w:t>The beneficiaries of the friendly settlement agreement were provided with health coverage through the EPS.</w:t>
      </w:r>
    </w:p>
    <w:p w14:paraId="3475B0EF" w14:textId="77777777" w:rsidR="007F5F10" w:rsidRPr="003507A6" w:rsidRDefault="007F5F10" w:rsidP="007F5F10">
      <w:pPr>
        <w:numPr>
          <w:ilvl w:val="0"/>
          <w:numId w:val="11"/>
        </w:numPr>
        <w:ind w:left="1440" w:hanging="720"/>
        <w:contextualSpacing/>
        <w:jc w:val="both"/>
        <w:rPr>
          <w:rFonts w:ascii="Cambria" w:eastAsia="Batang" w:hAnsi="Cambria" w:cs="Calibri Light"/>
          <w:b/>
          <w:color w:val="000000"/>
          <w:sz w:val="20"/>
          <w:szCs w:val="20"/>
        </w:rPr>
      </w:pPr>
      <w:r w:rsidRPr="003507A6">
        <w:rPr>
          <w:rFonts w:ascii="Cambria" w:hAnsi="Cambria"/>
          <w:color w:val="000000"/>
          <w:kern w:val="36"/>
          <w:sz w:val="20"/>
        </w:rPr>
        <w:t>The beneficiaries of the friendly settlement agreement were provided with psycho-social treatment services through the PAPSIVI.</w:t>
      </w:r>
    </w:p>
    <w:p w14:paraId="2211A12F" w14:textId="77777777" w:rsidR="007F5F10" w:rsidRPr="003507A6" w:rsidRDefault="007F5F10" w:rsidP="007F5F10">
      <w:pPr>
        <w:numPr>
          <w:ilvl w:val="0"/>
          <w:numId w:val="11"/>
        </w:numPr>
        <w:ind w:left="1440" w:hanging="720"/>
        <w:contextualSpacing/>
        <w:jc w:val="both"/>
        <w:rPr>
          <w:rFonts w:ascii="Cambria" w:eastAsia="Batang" w:hAnsi="Cambria" w:cs="Calibri Light"/>
          <w:b/>
          <w:color w:val="000000"/>
          <w:sz w:val="20"/>
          <w:szCs w:val="20"/>
        </w:rPr>
      </w:pPr>
      <w:r w:rsidRPr="003507A6">
        <w:rPr>
          <w:rFonts w:ascii="Cambria" w:hAnsi="Cambria"/>
          <w:color w:val="000000"/>
          <w:sz w:val="20"/>
        </w:rPr>
        <w:t>The State paid financial reparation for 234,372, 600.00 pesos to the beneficiaries of the FSA.</w:t>
      </w:r>
    </w:p>
    <w:p w14:paraId="1961522E" w14:textId="77777777" w:rsidR="007F5F10" w:rsidRPr="007F5F10" w:rsidRDefault="007F5F10" w:rsidP="007F5F10">
      <w:pPr>
        <w:numPr>
          <w:ilvl w:val="0"/>
          <w:numId w:val="11"/>
        </w:numPr>
        <w:ind w:left="1440" w:hanging="720"/>
        <w:contextualSpacing/>
        <w:jc w:val="both"/>
        <w:rPr>
          <w:rFonts w:ascii="Cambria" w:hAnsi="Cambria"/>
          <w:b/>
          <w:color w:val="000000"/>
          <w:sz w:val="20"/>
        </w:rPr>
      </w:pPr>
      <w:r w:rsidRPr="003507A6">
        <w:rPr>
          <w:rFonts w:ascii="Cambria" w:eastAsia="Batang" w:hAnsi="Cambria"/>
          <w:color w:val="000000"/>
          <w:sz w:val="20"/>
          <w:szCs w:val="20"/>
        </w:rPr>
        <w:t xml:space="preserve">The State provided education grants in the amount of $29,794,253 pesos to Cielo Yamile Apache Caro, and $38,744,975 pesos to William Alfonso Apache Caro for matriculation fees and living expenses. </w:t>
      </w:r>
    </w:p>
    <w:p w14:paraId="6C9BF671" w14:textId="77777777" w:rsidR="007F5F10" w:rsidRPr="003507A6" w:rsidRDefault="007F5F10" w:rsidP="007F5F10">
      <w:pPr>
        <w:ind w:left="1440"/>
        <w:contextualSpacing/>
        <w:jc w:val="both"/>
        <w:rPr>
          <w:rFonts w:ascii="Cambria" w:hAnsi="Cambria"/>
          <w:b/>
          <w:color w:val="000000"/>
          <w:sz w:val="20"/>
        </w:rPr>
      </w:pPr>
    </w:p>
    <w:p w14:paraId="459A7AD7" w14:textId="77777777" w:rsidR="007F5F10" w:rsidRPr="003507A6" w:rsidRDefault="007F5F10" w:rsidP="007F5F10">
      <w:pPr>
        <w:numPr>
          <w:ilvl w:val="0"/>
          <w:numId w:val="13"/>
        </w:numPr>
        <w:ind w:left="0" w:firstLine="720"/>
        <w:contextualSpacing/>
        <w:jc w:val="both"/>
        <w:rPr>
          <w:rFonts w:ascii="Cambria" w:eastAsia="Batang" w:hAnsi="Cambria" w:cs="Calibri Light"/>
          <w:b/>
          <w:color w:val="000000"/>
          <w:sz w:val="20"/>
          <w:szCs w:val="20"/>
        </w:rPr>
      </w:pPr>
      <w:r w:rsidRPr="003507A6">
        <w:rPr>
          <w:rFonts w:ascii="Cambria" w:hAnsi="Cambria"/>
          <w:b/>
          <w:color w:val="000000"/>
          <w:sz w:val="20"/>
        </w:rPr>
        <w:t>Structural outcomes of the case</w:t>
      </w:r>
    </w:p>
    <w:p w14:paraId="5267528F" w14:textId="77777777" w:rsidR="007F5F10" w:rsidRPr="003507A6" w:rsidRDefault="007F5F10" w:rsidP="007F5F10">
      <w:pPr>
        <w:contextualSpacing/>
        <w:jc w:val="both"/>
        <w:rPr>
          <w:rFonts w:ascii="Cambria" w:eastAsia="Batang" w:hAnsi="Cambria" w:cs="Calibri Light"/>
          <w:b/>
          <w:color w:val="000000"/>
          <w:sz w:val="20"/>
          <w:szCs w:val="20"/>
        </w:rPr>
      </w:pPr>
    </w:p>
    <w:p w14:paraId="13998905" w14:textId="509BB44C" w:rsidR="00551343" w:rsidRPr="007F5F10" w:rsidRDefault="007F5F10" w:rsidP="007F5F10">
      <w:pPr>
        <w:pStyle w:val="ListParagraph"/>
        <w:numPr>
          <w:ilvl w:val="0"/>
          <w:numId w:val="14"/>
        </w:numPr>
        <w:ind w:left="1440" w:right="-270" w:hanging="720"/>
        <w:jc w:val="both"/>
        <w:rPr>
          <w:rFonts w:ascii="Cambria" w:hAnsi="Cambria" w:cs="Calibri Light"/>
          <w:color w:val="000000"/>
          <w:sz w:val="20"/>
          <w:szCs w:val="20"/>
        </w:rPr>
      </w:pPr>
      <w:r w:rsidRPr="007F5F10">
        <w:rPr>
          <w:rFonts w:ascii="Cambria" w:hAnsi="Cambria"/>
          <w:color w:val="000000"/>
          <w:sz w:val="20"/>
        </w:rPr>
        <w:t>Criminal procedures were revised. On May 2, 2018, the Criminal Chamber of the Supreme Court of Justice overturned the judgments of May 29 and September 3, 2003, on the basis of which Pedro José Guarnizo was acquitted for the crime of aggravated homicide.</w:t>
      </w:r>
    </w:p>
    <w:sectPr w:rsidR="00551343" w:rsidRPr="007F5F10" w:rsidSect="00EE2B3B">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FEAE4" w14:textId="77777777" w:rsidR="00BD58C2" w:rsidRDefault="00BD58C2" w:rsidP="00EE2B3B">
      <w:r>
        <w:separator/>
      </w:r>
    </w:p>
  </w:endnote>
  <w:endnote w:type="continuationSeparator" w:id="0">
    <w:p w14:paraId="4AE7A842" w14:textId="77777777" w:rsidR="00BD58C2" w:rsidRDefault="00BD58C2" w:rsidP="00EE2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149D5" w14:textId="1B0D8F23" w:rsidR="00EE2B3B" w:rsidRDefault="00EE2B3B" w:rsidP="00EE2B3B">
    <w:pPr>
      <w:pStyle w:val="Footer"/>
      <w:jc w:val="center"/>
    </w:pPr>
    <w:r>
      <w:rPr>
        <w:noProof/>
      </w:rPr>
      <w:drawing>
        <wp:inline distT="0" distB="0" distL="0" distR="0" wp14:anchorId="716D0634" wp14:editId="040054FF">
          <wp:extent cx="5238750" cy="314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0" cy="3143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570E" w14:textId="77777777" w:rsidR="00EE2B3B" w:rsidRDefault="003F74E7" w:rsidP="00EE2B3B">
    <w:pPr>
      <w:pStyle w:val="Footer"/>
      <w:spacing w:line="360" w:lineRule="auto"/>
    </w:pPr>
    <w:r>
      <w:pict w14:anchorId="14B294CB">
        <v:rect id="_x0000_i1027" style="width:0;height:1.5pt" o:hralign="center" o:hrstd="t" o:hr="t" fillcolor="#a0a0a0" stroked="f"/>
      </w:pict>
    </w:r>
  </w:p>
  <w:p w14:paraId="33E89147" w14:textId="232012CD" w:rsidR="00EE2B3B" w:rsidRDefault="00EE2B3B" w:rsidP="00EE2B3B">
    <w:pPr>
      <w:pStyle w:val="Footer"/>
      <w:jc w:val="center"/>
    </w:pPr>
    <w:bookmarkStart w:id="2" w:name="_Hlk138256818"/>
    <w:bookmarkStart w:id="3" w:name="_Hlk138256819"/>
    <w:r>
      <w:rPr>
        <w:noProof/>
      </w:rPr>
      <w:drawing>
        <wp:inline distT="0" distB="0" distL="0" distR="0" wp14:anchorId="2202F3A2" wp14:editId="2F018423">
          <wp:extent cx="5238750" cy="314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0" cy="314325"/>
                  </a:xfrm>
                  <a:prstGeom prst="rect">
                    <a:avLst/>
                  </a:prstGeom>
                  <a:noFill/>
                  <a:ln>
                    <a:noFill/>
                  </a:ln>
                </pic:spPr>
              </pic:pic>
            </a:graphicData>
          </a:graphic>
        </wp:inline>
      </w:drawing>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B54F0" w14:textId="77777777" w:rsidR="00BD58C2" w:rsidRDefault="00BD58C2" w:rsidP="00EE2B3B">
      <w:r>
        <w:separator/>
      </w:r>
    </w:p>
  </w:footnote>
  <w:footnote w:type="continuationSeparator" w:id="0">
    <w:p w14:paraId="22A16315" w14:textId="77777777" w:rsidR="00BD58C2" w:rsidRDefault="00BD58C2" w:rsidP="00EE2B3B">
      <w:r>
        <w:continuationSeparator/>
      </w:r>
    </w:p>
  </w:footnote>
  <w:footnote w:id="1">
    <w:p w14:paraId="5FE639F4" w14:textId="77777777" w:rsidR="007C3A86" w:rsidRPr="007D12DD" w:rsidRDefault="007C3A86" w:rsidP="007D12DD">
      <w:pPr>
        <w:tabs>
          <w:tab w:val="left" w:pos="180"/>
          <w:tab w:val="left" w:pos="270"/>
          <w:tab w:val="left" w:pos="360"/>
        </w:tabs>
        <w:ind w:firstLine="720"/>
        <w:jc w:val="both"/>
        <w:rPr>
          <w:rFonts w:ascii="Cambria" w:hAnsi="Cambria"/>
          <w:sz w:val="16"/>
          <w:szCs w:val="16"/>
        </w:rPr>
      </w:pPr>
      <w:r w:rsidRPr="007D12DD">
        <w:rPr>
          <w:rStyle w:val="FootnoteReference"/>
          <w:rFonts w:ascii="Cambria" w:hAnsi="Cambria"/>
          <w:sz w:val="16"/>
          <w:szCs w:val="16"/>
        </w:rPr>
        <w:footnoteRef/>
      </w:r>
      <w:r w:rsidRPr="007D12DD">
        <w:rPr>
          <w:rFonts w:ascii="Cambria" w:hAnsi="Cambria"/>
          <w:sz w:val="16"/>
          <w:szCs w:val="16"/>
        </w:rPr>
        <w:t xml:space="preserve"> </w:t>
      </w:r>
      <w:r w:rsidRPr="007D12DD">
        <w:rPr>
          <w:rFonts w:ascii="Cambria" w:hAnsi="Cambria"/>
          <w:color w:val="000000"/>
          <w:sz w:val="16"/>
          <w:szCs w:val="16"/>
        </w:rPr>
        <w:t xml:space="preserve">See IACHR, 2018 Annual Report, Chapter II, Section G. Status of Compliance with the Recommendations Issued by the IACHR in Merits Reports and Friendly Settlement Agreements Approved by the IACHR, Available at: </w:t>
      </w:r>
      <w:hyperlink r:id="rId1">
        <w:r w:rsidRPr="007D12DD">
          <w:rPr>
            <w:rStyle w:val="Hyperlink"/>
            <w:rFonts w:ascii="Cambria" w:hAnsi="Cambria"/>
            <w:sz w:val="16"/>
            <w:szCs w:val="16"/>
          </w:rPr>
          <w:t>http://www.oas.org/en/iachr/docs/annual/2018/docs/IA2018cap.2-en.doc</w:t>
        </w:r>
      </w:hyperlink>
    </w:p>
  </w:footnote>
  <w:footnote w:id="2">
    <w:p w14:paraId="1E4A3F40" w14:textId="77777777" w:rsidR="007C3A86" w:rsidRPr="007D12DD" w:rsidRDefault="007C3A86" w:rsidP="007D12DD">
      <w:pPr>
        <w:pStyle w:val="FootnoteText"/>
        <w:tabs>
          <w:tab w:val="left" w:pos="180"/>
          <w:tab w:val="left" w:pos="270"/>
          <w:tab w:val="left" w:pos="360"/>
        </w:tabs>
        <w:ind w:firstLine="720"/>
        <w:jc w:val="both"/>
        <w:rPr>
          <w:rFonts w:ascii="Cambria" w:hAnsi="Cambria"/>
          <w:color w:val="000000"/>
          <w:sz w:val="16"/>
          <w:szCs w:val="16"/>
        </w:rPr>
      </w:pPr>
      <w:r w:rsidRPr="007D12DD">
        <w:rPr>
          <w:rStyle w:val="FootnoteReference"/>
          <w:rFonts w:ascii="Cambria" w:hAnsi="Cambria"/>
          <w:color w:val="000000"/>
          <w:sz w:val="16"/>
          <w:szCs w:val="16"/>
        </w:rPr>
        <w:footnoteRef/>
      </w:r>
      <w:r w:rsidRPr="007D12DD">
        <w:rPr>
          <w:rFonts w:ascii="Cambria" w:hAnsi="Cambria"/>
          <w:color w:val="000000"/>
          <w:sz w:val="16"/>
          <w:szCs w:val="16"/>
        </w:rPr>
        <w:t xml:space="preserve"> IACHR, Report No. 43/16, Case 11.538. Friendly Settlement. </w:t>
      </w:r>
      <w:r w:rsidRPr="007D12DD">
        <w:rPr>
          <w:rFonts w:ascii="Cambria" w:hAnsi="Cambria"/>
          <w:color w:val="000000"/>
          <w:sz w:val="16"/>
          <w:szCs w:val="16"/>
          <w:lang w:val="es-VE"/>
        </w:rPr>
        <w:t xml:space="preserve">Herson Javier Caro (Javier Apache). </w:t>
      </w:r>
      <w:r w:rsidRPr="007D12DD">
        <w:rPr>
          <w:rFonts w:ascii="Cambria" w:hAnsi="Cambria"/>
          <w:color w:val="000000"/>
          <w:sz w:val="16"/>
          <w:szCs w:val="16"/>
          <w:lang w:val="es-US"/>
        </w:rPr>
        <w:t xml:space="preserve">Colombia. </w:t>
      </w:r>
      <w:r w:rsidRPr="007D12DD">
        <w:rPr>
          <w:rFonts w:ascii="Cambria" w:hAnsi="Cambria"/>
          <w:color w:val="000000"/>
          <w:sz w:val="16"/>
          <w:szCs w:val="16"/>
        </w:rPr>
        <w:t>October 7, 2016</w:t>
      </w:r>
    </w:p>
  </w:footnote>
  <w:footnote w:id="3">
    <w:p w14:paraId="2838F75C" w14:textId="652FA483" w:rsidR="007C3A86" w:rsidRPr="007D12DD" w:rsidRDefault="007C3A86" w:rsidP="007D12DD">
      <w:pPr>
        <w:ind w:firstLine="720"/>
        <w:jc w:val="both"/>
        <w:rPr>
          <w:rFonts w:ascii="Cambria" w:hAnsi="Cambria"/>
          <w:sz w:val="16"/>
          <w:szCs w:val="16"/>
        </w:rPr>
      </w:pPr>
      <w:r w:rsidRPr="007D12DD">
        <w:rPr>
          <w:rStyle w:val="FootnoteReference"/>
          <w:rFonts w:ascii="Cambria" w:hAnsi="Cambria"/>
          <w:sz w:val="16"/>
          <w:szCs w:val="16"/>
        </w:rPr>
        <w:footnoteRef/>
      </w:r>
      <w:r w:rsidRPr="007D12DD">
        <w:rPr>
          <w:rFonts w:ascii="Cambria" w:hAnsi="Cambria"/>
          <w:sz w:val="16"/>
          <w:szCs w:val="16"/>
        </w:rPr>
        <w:t xml:space="preserve"> </w:t>
      </w:r>
      <w:r w:rsidR="007D12DD" w:rsidRPr="007D12DD">
        <w:rPr>
          <w:rFonts w:ascii="Cambria" w:hAnsi="Cambria"/>
          <w:color w:val="000000"/>
          <w:sz w:val="16"/>
          <w:szCs w:val="16"/>
        </w:rPr>
        <w:t xml:space="preserve">See IACHR, 2022 Annual Report, Chapter II, Section C. Advances and challenges on negotiation and implementation of friendly settlements, Available at: </w:t>
      </w:r>
      <w:hyperlink r:id="rId2" w:history="1">
        <w:r w:rsidR="007D12DD" w:rsidRPr="007D12DD">
          <w:rPr>
            <w:rStyle w:val="Hyperlink"/>
            <w:rFonts w:ascii="Cambria" w:hAnsi="Cambria"/>
            <w:sz w:val="16"/>
            <w:szCs w:val="16"/>
          </w:rPr>
          <w:t>4-IA2022_Cap_2_EN.pdf (oas.org)</w:t>
        </w:r>
      </w:hyperlink>
    </w:p>
  </w:footnote>
  <w:footnote w:id="4">
    <w:p w14:paraId="21694C86" w14:textId="77777777" w:rsidR="007C3A86" w:rsidRPr="007D12DD" w:rsidRDefault="007C3A86" w:rsidP="007D12DD">
      <w:pPr>
        <w:tabs>
          <w:tab w:val="left" w:pos="180"/>
          <w:tab w:val="left" w:pos="270"/>
          <w:tab w:val="left" w:pos="360"/>
        </w:tabs>
        <w:ind w:firstLine="720"/>
        <w:jc w:val="both"/>
        <w:rPr>
          <w:rFonts w:ascii="Cambria" w:hAnsi="Cambria"/>
          <w:sz w:val="16"/>
          <w:szCs w:val="16"/>
        </w:rPr>
      </w:pPr>
      <w:r w:rsidRPr="007D12DD">
        <w:rPr>
          <w:rStyle w:val="FootnoteReference"/>
          <w:rFonts w:ascii="Cambria" w:hAnsi="Cambria"/>
          <w:sz w:val="16"/>
          <w:szCs w:val="16"/>
        </w:rPr>
        <w:footnoteRef/>
      </w:r>
      <w:r w:rsidRPr="007D12DD">
        <w:rPr>
          <w:rFonts w:ascii="Cambria" w:hAnsi="Cambria"/>
          <w:sz w:val="16"/>
          <w:szCs w:val="16"/>
        </w:rPr>
        <w:t xml:space="preserve"> </w:t>
      </w:r>
      <w:r w:rsidRPr="007D12DD">
        <w:rPr>
          <w:rFonts w:ascii="Cambria" w:hAnsi="Cambria"/>
          <w:color w:val="000000"/>
          <w:sz w:val="16"/>
          <w:szCs w:val="16"/>
        </w:rPr>
        <w:t xml:space="preserve">See IACHR, 2018 Annual Report, Chapter II, Section G. Status of Compliance with the Recommendations Issued by the IACHR in Merits Reports and Friendly Settlement Agreements Approved by the IACHR, Available at: </w:t>
      </w:r>
      <w:hyperlink r:id="rId3">
        <w:r w:rsidRPr="007D12DD">
          <w:rPr>
            <w:rStyle w:val="Hyperlink"/>
            <w:rFonts w:ascii="Cambria" w:hAnsi="Cambria"/>
            <w:sz w:val="16"/>
            <w:szCs w:val="16"/>
          </w:rPr>
          <w:t>http://www.oas.org/es/IACHR/docs/anual/2018/docs/IA2018cap.2-es.pdf</w:t>
        </w:r>
      </w:hyperlink>
    </w:p>
  </w:footnote>
  <w:footnote w:id="5">
    <w:p w14:paraId="5FA97516" w14:textId="77777777" w:rsidR="007C3A86" w:rsidRPr="007D12DD" w:rsidRDefault="007C3A86" w:rsidP="007D12DD">
      <w:pPr>
        <w:ind w:firstLine="720"/>
        <w:jc w:val="both"/>
        <w:rPr>
          <w:rFonts w:ascii="Cambria" w:hAnsi="Cambria"/>
          <w:sz w:val="16"/>
          <w:szCs w:val="16"/>
        </w:rPr>
      </w:pPr>
      <w:r w:rsidRPr="007D12DD">
        <w:rPr>
          <w:rStyle w:val="FootnoteReference"/>
          <w:rFonts w:ascii="Cambria" w:hAnsi="Cambria"/>
          <w:sz w:val="16"/>
          <w:szCs w:val="16"/>
        </w:rPr>
        <w:footnoteRef/>
      </w:r>
      <w:r w:rsidRPr="007D12DD">
        <w:rPr>
          <w:rFonts w:ascii="Cambria" w:hAnsi="Cambria"/>
          <w:sz w:val="16"/>
          <w:szCs w:val="16"/>
        </w:rPr>
        <w:t xml:space="preserve"> See IACHR, </w:t>
      </w:r>
      <w:r w:rsidRPr="007D12DD">
        <w:rPr>
          <w:rFonts w:ascii="Cambria" w:hAnsi="Cambria"/>
          <w:i/>
          <w:iCs/>
          <w:sz w:val="16"/>
          <w:szCs w:val="16"/>
        </w:rPr>
        <w:t>Annual Report 2021</w:t>
      </w:r>
      <w:r w:rsidRPr="007D12DD">
        <w:rPr>
          <w:rFonts w:ascii="Cambria" w:hAnsi="Cambria"/>
          <w:sz w:val="16"/>
          <w:szCs w:val="16"/>
        </w:rPr>
        <w:t xml:space="preserve">, Chapter II, Section F. Negotiation, and implementation of friendly settlement agreements. Available in: </w:t>
      </w:r>
      <w:hyperlink r:id="rId4" w:history="1">
        <w:r w:rsidRPr="007D12DD">
          <w:rPr>
            <w:rStyle w:val="Hyperlink"/>
            <w:rFonts w:ascii="Cambria" w:hAnsi="Cambria"/>
            <w:sz w:val="16"/>
            <w:szCs w:val="16"/>
          </w:rPr>
          <w:t>http://www.oas.org/en/iachr/docs/annual/2021/Chapters/IA2021cap2-en.pdf</w:t>
        </w:r>
      </w:hyperlink>
    </w:p>
  </w:footnote>
  <w:footnote w:id="6">
    <w:p w14:paraId="02FDC6FB" w14:textId="77777777" w:rsidR="007C3A86" w:rsidRPr="007D12DD" w:rsidRDefault="007C3A86" w:rsidP="007D12DD">
      <w:pPr>
        <w:tabs>
          <w:tab w:val="left" w:pos="180"/>
          <w:tab w:val="left" w:pos="270"/>
          <w:tab w:val="left" w:pos="360"/>
        </w:tabs>
        <w:ind w:firstLine="720"/>
        <w:jc w:val="both"/>
        <w:rPr>
          <w:rFonts w:ascii="Cambria" w:hAnsi="Cambria"/>
          <w:sz w:val="16"/>
          <w:szCs w:val="16"/>
        </w:rPr>
      </w:pPr>
      <w:r w:rsidRPr="007D12DD">
        <w:rPr>
          <w:rStyle w:val="FootnoteReference"/>
          <w:rFonts w:ascii="Cambria" w:hAnsi="Cambria"/>
          <w:sz w:val="16"/>
          <w:szCs w:val="16"/>
        </w:rPr>
        <w:footnoteRef/>
      </w:r>
      <w:r w:rsidRPr="007D12DD">
        <w:rPr>
          <w:rFonts w:ascii="Cambria" w:hAnsi="Cambria"/>
          <w:sz w:val="16"/>
          <w:szCs w:val="16"/>
        </w:rPr>
        <w:t xml:space="preserve"> </w:t>
      </w:r>
      <w:r w:rsidRPr="007D12DD">
        <w:rPr>
          <w:rFonts w:ascii="Cambria" w:hAnsi="Cambria"/>
          <w:color w:val="000000"/>
          <w:sz w:val="16"/>
          <w:szCs w:val="16"/>
        </w:rPr>
        <w:t xml:space="preserve">See IACHR, 2018 Annual Report, Chapter II, Section G. Status of Compliance with the Recommendations Issued by the IACHR in Merits Reports and Friendly Settlement Agreements Approved by the IACHR, Available at: </w:t>
      </w:r>
      <w:hyperlink r:id="rId5">
        <w:r w:rsidRPr="007D12DD">
          <w:rPr>
            <w:rStyle w:val="Hyperlink"/>
            <w:rFonts w:ascii="Cambria" w:hAnsi="Cambria"/>
            <w:sz w:val="16"/>
            <w:szCs w:val="16"/>
          </w:rPr>
          <w:t>http://www.oas.org/en/iachr/docs/annual/2018/docs/IA2018cap.2-en.doc</w:t>
        </w:r>
      </w:hyperlink>
    </w:p>
  </w:footnote>
  <w:footnote w:id="7">
    <w:p w14:paraId="5CC73392" w14:textId="77777777" w:rsidR="007C3A86" w:rsidRPr="007D12DD" w:rsidRDefault="007C3A86" w:rsidP="007D12DD">
      <w:pPr>
        <w:tabs>
          <w:tab w:val="left" w:pos="180"/>
          <w:tab w:val="left" w:pos="270"/>
          <w:tab w:val="left" w:pos="360"/>
        </w:tabs>
        <w:ind w:firstLine="720"/>
        <w:jc w:val="both"/>
        <w:rPr>
          <w:rFonts w:ascii="Cambria" w:hAnsi="Cambria"/>
          <w:sz w:val="16"/>
          <w:szCs w:val="16"/>
        </w:rPr>
      </w:pPr>
      <w:r w:rsidRPr="007D12DD">
        <w:rPr>
          <w:rStyle w:val="FootnoteReference"/>
          <w:rFonts w:ascii="Cambria" w:hAnsi="Cambria"/>
          <w:sz w:val="16"/>
          <w:szCs w:val="16"/>
        </w:rPr>
        <w:footnoteRef/>
      </w:r>
      <w:r w:rsidRPr="007D12DD">
        <w:rPr>
          <w:rFonts w:ascii="Cambria" w:hAnsi="Cambria"/>
          <w:sz w:val="16"/>
          <w:szCs w:val="16"/>
        </w:rPr>
        <w:t xml:space="preserve"> </w:t>
      </w:r>
      <w:r w:rsidRPr="007D12DD">
        <w:rPr>
          <w:rFonts w:ascii="Cambria" w:hAnsi="Cambria"/>
          <w:color w:val="000000"/>
          <w:sz w:val="16"/>
          <w:szCs w:val="16"/>
        </w:rPr>
        <w:t xml:space="preserve">See IACHR, 2018 Annual Report, Chapter II, Section G. Status of Compliance with the Recommendations Issued by the IACHR in Merits Reports and Friendly Settlement Agreements Approved by the IACHR, Available at: </w:t>
      </w:r>
      <w:hyperlink r:id="rId6">
        <w:r w:rsidRPr="007D12DD">
          <w:rPr>
            <w:rStyle w:val="Hyperlink"/>
            <w:rFonts w:ascii="Cambria" w:hAnsi="Cambria"/>
            <w:sz w:val="16"/>
            <w:szCs w:val="16"/>
          </w:rPr>
          <w:t>http://www.oas.org/es/IACHR/docs/anual/2018/docs/IA2018cap.2-es.pdf</w:t>
        </w:r>
      </w:hyperlink>
    </w:p>
  </w:footnote>
  <w:footnote w:id="8">
    <w:p w14:paraId="61123E35" w14:textId="77777777" w:rsidR="007C3A86" w:rsidRPr="007D12DD" w:rsidRDefault="007C3A86" w:rsidP="007D12DD">
      <w:pPr>
        <w:ind w:firstLine="720"/>
        <w:jc w:val="both"/>
        <w:rPr>
          <w:rFonts w:ascii="Cambria" w:hAnsi="Cambria"/>
          <w:sz w:val="16"/>
          <w:szCs w:val="16"/>
        </w:rPr>
      </w:pPr>
      <w:r w:rsidRPr="007D12DD">
        <w:rPr>
          <w:rStyle w:val="FootnoteReference"/>
          <w:rFonts w:ascii="Cambria" w:hAnsi="Cambria"/>
          <w:sz w:val="16"/>
          <w:szCs w:val="16"/>
        </w:rPr>
        <w:footnoteRef/>
      </w:r>
      <w:r w:rsidRPr="007D12DD">
        <w:rPr>
          <w:rFonts w:ascii="Cambria" w:hAnsi="Cambria"/>
          <w:sz w:val="16"/>
          <w:szCs w:val="16"/>
        </w:rPr>
        <w:t xml:space="preserve"> See IACHR, Annual Report 2020, Chapter II, Section F. Negotiation, and implementation of friendly settlement agreements. Available in: </w:t>
      </w:r>
      <w:hyperlink r:id="rId7" w:anchor="p=87" w:history="1">
        <w:r w:rsidRPr="007D12DD">
          <w:rPr>
            <w:rStyle w:val="Hyperlink"/>
            <w:rFonts w:ascii="Cambria" w:hAnsi="Cambria"/>
            <w:sz w:val="16"/>
            <w:szCs w:val="16"/>
          </w:rPr>
          <w:t>http://www.oas.org/en/iachr/docs/annual/2020/FB/Default.html#p=87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CD2E5" w14:textId="61BDB6F8" w:rsidR="00EE2B3B" w:rsidRDefault="00EE2B3B" w:rsidP="00EE2B3B">
    <w:pPr>
      <w:pStyle w:val="Header"/>
      <w:jc w:val="center"/>
    </w:pPr>
    <w:r>
      <w:rPr>
        <w:noProof/>
      </w:rPr>
      <w:drawing>
        <wp:inline distT="0" distB="0" distL="0" distR="0" wp14:anchorId="05F89FF3" wp14:editId="35C856FB">
          <wp:extent cx="2276475" cy="114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114300"/>
                  </a:xfrm>
                  <a:prstGeom prst="rect">
                    <a:avLst/>
                  </a:prstGeom>
                  <a:noFill/>
                  <a:ln>
                    <a:noFill/>
                  </a:ln>
                </pic:spPr>
              </pic:pic>
            </a:graphicData>
          </a:graphic>
        </wp:inline>
      </w:drawing>
    </w:r>
  </w:p>
  <w:p w14:paraId="5C22E6E7" w14:textId="19B082BD" w:rsidR="00EE2B3B" w:rsidRPr="00EE2B3B" w:rsidRDefault="003F74E7" w:rsidP="00EE2B3B">
    <w:pPr>
      <w:pStyle w:val="Header"/>
    </w:pPr>
    <w:r>
      <w:pict w14:anchorId="04325340">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A139" w14:textId="1F58B056" w:rsidR="00EE2B3B" w:rsidRDefault="00EE2B3B" w:rsidP="00EE2B3B">
    <w:pPr>
      <w:pStyle w:val="Header"/>
    </w:pPr>
    <w:bookmarkStart w:id="0" w:name="_Hlk138256805"/>
    <w:bookmarkStart w:id="1" w:name="_Hlk138256806"/>
    <w:r>
      <w:rPr>
        <w:noProof/>
      </w:rPr>
      <w:drawing>
        <wp:anchor distT="0" distB="0" distL="114300" distR="114300" simplePos="0" relativeHeight="251659264" behindDoc="1" locked="0" layoutInCell="1" allowOverlap="1" wp14:anchorId="041316FD" wp14:editId="7A155487">
          <wp:simplePos x="0" y="0"/>
          <wp:positionH relativeFrom="column">
            <wp:posOffset>0</wp:posOffset>
          </wp:positionH>
          <wp:positionV relativeFrom="paragraph">
            <wp:posOffset>-28575</wp:posOffset>
          </wp:positionV>
          <wp:extent cx="2567940" cy="495300"/>
          <wp:effectExtent l="0" t="0" r="3810" b="0"/>
          <wp:wrapThrough wrapText="bothSides">
            <wp:wrapPolygon edited="0">
              <wp:start x="0" y="0"/>
              <wp:lineTo x="0" y="20769"/>
              <wp:lineTo x="21472" y="20769"/>
              <wp:lineTo x="21472"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B65916B" wp14:editId="2EBBB3D4">
          <wp:simplePos x="0" y="0"/>
          <wp:positionH relativeFrom="column">
            <wp:posOffset>4019550</wp:posOffset>
          </wp:positionH>
          <wp:positionV relativeFrom="paragraph">
            <wp:posOffset>-34290</wp:posOffset>
          </wp:positionV>
          <wp:extent cx="1924050" cy="499110"/>
          <wp:effectExtent l="0" t="0" r="0" b="0"/>
          <wp:wrapThrough wrapText="bothSides">
            <wp:wrapPolygon edited="0">
              <wp:start x="1069" y="0"/>
              <wp:lineTo x="0" y="4122"/>
              <wp:lineTo x="0" y="16489"/>
              <wp:lineTo x="1069" y="20611"/>
              <wp:lineTo x="4277" y="20611"/>
              <wp:lineTo x="21386" y="18137"/>
              <wp:lineTo x="21386" y="4122"/>
              <wp:lineTo x="4063" y="0"/>
              <wp:lineTo x="1069"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5084D170" w14:textId="77777777" w:rsidR="00EE2B3B" w:rsidRDefault="00EE2B3B" w:rsidP="00EE2B3B">
    <w:pPr>
      <w:pStyle w:val="Header"/>
    </w:pPr>
  </w:p>
  <w:p w14:paraId="12638557" w14:textId="77777777" w:rsidR="00EE2B3B" w:rsidRDefault="00EE2B3B" w:rsidP="00EE2B3B">
    <w:pPr>
      <w:pStyle w:val="Header"/>
    </w:pPr>
  </w:p>
  <w:p w14:paraId="0EFF114E" w14:textId="77777777" w:rsidR="00EE2B3B" w:rsidRDefault="003F74E7" w:rsidP="00EE2B3B">
    <w:pPr>
      <w:pStyle w:val="Header"/>
    </w:pPr>
    <w:r>
      <w:pict w14:anchorId="3288A7D7">
        <v:rect id="_x0000_i1026" style="width:0;height:1.5pt" o:hralign="center" o:hrstd="t" o:hr="t" fillcolor="#a0a0a0" stroked="f"/>
      </w:pic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FE1"/>
    <w:multiLevelType w:val="hybridMultilevel"/>
    <w:tmpl w:val="EEB433B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F8A470B"/>
    <w:multiLevelType w:val="hybridMultilevel"/>
    <w:tmpl w:val="2D8E04F4"/>
    <w:lvl w:ilvl="0" w:tplc="FFFFFFFF">
      <w:start w:val="1"/>
      <w:numFmt w:val="upperRoman"/>
      <w:lvlText w:val="%1."/>
      <w:lvlJc w:val="left"/>
      <w:pPr>
        <w:ind w:left="1080" w:hanging="720"/>
      </w:pPr>
      <w:rPr>
        <w:rFonts w:cs="Times New Roman"/>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C0D445F"/>
    <w:multiLevelType w:val="hybridMultilevel"/>
    <w:tmpl w:val="FFFFFFFF"/>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F65D8"/>
    <w:multiLevelType w:val="hybridMultilevel"/>
    <w:tmpl w:val="92680D8A"/>
    <w:lvl w:ilvl="0" w:tplc="BE984632">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78816C6"/>
    <w:multiLevelType w:val="hybridMultilevel"/>
    <w:tmpl w:val="4B7C5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6C04F9"/>
    <w:multiLevelType w:val="hybridMultilevel"/>
    <w:tmpl w:val="98E0532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E255ED6"/>
    <w:multiLevelType w:val="hybridMultilevel"/>
    <w:tmpl w:val="0E9E492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441E655F"/>
    <w:multiLevelType w:val="hybridMultilevel"/>
    <w:tmpl w:val="38EAC91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52B11CCB"/>
    <w:multiLevelType w:val="hybridMultilevel"/>
    <w:tmpl w:val="7CA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E961B8"/>
    <w:multiLevelType w:val="hybridMultilevel"/>
    <w:tmpl w:val="6C02FA7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59606FA7"/>
    <w:multiLevelType w:val="hybridMultilevel"/>
    <w:tmpl w:val="8294FB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F83397B"/>
    <w:multiLevelType w:val="hybridMultilevel"/>
    <w:tmpl w:val="905A73D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78C26CC1"/>
    <w:multiLevelType w:val="hybridMultilevel"/>
    <w:tmpl w:val="1DDE1E8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7362023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66332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524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2929156">
    <w:abstractNumId w:val="6"/>
  </w:num>
  <w:num w:numId="5" w16cid:durableId="56173509">
    <w:abstractNumId w:val="9"/>
  </w:num>
  <w:num w:numId="6" w16cid:durableId="56518530">
    <w:abstractNumId w:val="0"/>
  </w:num>
  <w:num w:numId="7" w16cid:durableId="4633522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1972006">
    <w:abstractNumId w:val="5"/>
  </w:num>
  <w:num w:numId="9" w16cid:durableId="15748493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8028746">
    <w:abstractNumId w:val="3"/>
  </w:num>
  <w:num w:numId="11" w16cid:durableId="1081565246">
    <w:abstractNumId w:val="2"/>
  </w:num>
  <w:num w:numId="12" w16cid:durableId="68968216">
    <w:abstractNumId w:val="10"/>
  </w:num>
  <w:num w:numId="13" w16cid:durableId="1681351178">
    <w:abstractNumId w:val="4"/>
  </w:num>
  <w:num w:numId="14" w16cid:durableId="17503481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B3B"/>
    <w:rsid w:val="00071C51"/>
    <w:rsid w:val="001C78F9"/>
    <w:rsid w:val="001D1BFB"/>
    <w:rsid w:val="003F74E7"/>
    <w:rsid w:val="004F6608"/>
    <w:rsid w:val="00551343"/>
    <w:rsid w:val="005710FB"/>
    <w:rsid w:val="005B4AF5"/>
    <w:rsid w:val="00731599"/>
    <w:rsid w:val="007C3A86"/>
    <w:rsid w:val="007D12DD"/>
    <w:rsid w:val="007F5F10"/>
    <w:rsid w:val="008B605A"/>
    <w:rsid w:val="00A15312"/>
    <w:rsid w:val="00A56059"/>
    <w:rsid w:val="00BB339B"/>
    <w:rsid w:val="00BD58C2"/>
    <w:rsid w:val="00D11C69"/>
    <w:rsid w:val="00DA1784"/>
    <w:rsid w:val="00DD3F75"/>
    <w:rsid w:val="00EB6320"/>
    <w:rsid w:val="00EE2B3B"/>
    <w:rsid w:val="00F754AF"/>
    <w:rsid w:val="00F84B42"/>
    <w:rsid w:val="00FA1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F7A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B3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árrafo de lista1,List Paragraph1,Colorful List - Accent 11,List Paragraph11,Lista vistosa - Énfasis 11,Parragrap,Superíndice,Dot pt,No Spacing1,List Paragraph Char Char Char,Indicator Text,Numbered Para 1,4 Párrafo de lista,Figuras,DH1"/>
    <w:basedOn w:val="Normal"/>
    <w:link w:val="ListParagraphChar"/>
    <w:uiPriority w:val="34"/>
    <w:qFormat/>
    <w:rsid w:val="00EE2B3B"/>
    <w:pPr>
      <w:ind w:left="720"/>
      <w:contextualSpacing/>
    </w:p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EE2B3B"/>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EE2B3B"/>
    <w:rPr>
      <w:sz w:val="20"/>
      <w:szCs w:val="20"/>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basedOn w:val="DefaultParagraphFont"/>
    <w:link w:val="Appelnotedebasde"/>
    <w:uiPriority w:val="99"/>
    <w:unhideWhenUsed/>
    <w:qFormat/>
    <w:rsid w:val="00EE2B3B"/>
    <w:rPr>
      <w:vertAlign w:val="superscript"/>
    </w:rPr>
  </w:style>
  <w:style w:type="character" w:styleId="Hyperlink">
    <w:name w:val="Hyperlink"/>
    <w:uiPriority w:val="99"/>
    <w:unhideWhenUsed/>
    <w:rsid w:val="00EE2B3B"/>
    <w:rPr>
      <w:color w:val="0000FF"/>
      <w:u w:val="single"/>
      <w:lang w:val="en-US" w:eastAsia="en-US"/>
    </w:rPr>
  </w:style>
  <w:style w:type="paragraph" w:styleId="NoSpacing">
    <w:name w:val="No Spacing"/>
    <w:uiPriority w:val="1"/>
    <w:qFormat/>
    <w:rsid w:val="00EE2B3B"/>
    <w:pPr>
      <w:spacing w:after="0" w:line="240" w:lineRule="auto"/>
    </w:pPr>
    <w:rPr>
      <w:rFonts w:ascii="Calibri" w:eastAsia="Calibri" w:hAnsi="Calibri" w:cs="Times New Roman"/>
    </w:rPr>
  </w:style>
  <w:style w:type="character" w:customStyle="1" w:styleId="ListParagraphChar">
    <w:name w:val="List Paragraph Char"/>
    <w:aliases w:val="Párrafo de lista1 Char,List Paragraph1 Char,Colorful List - Accent 11 Char,List Paragraph11 Char,Lista vistosa - Énfasis 11 Char,Parragrap Char,Superíndice Char,Dot pt Char,No Spacing1 Char,List Paragraph Char Char Char Char,DH1 Char"/>
    <w:link w:val="ListParagraph"/>
    <w:uiPriority w:val="34"/>
    <w:locked/>
    <w:rsid w:val="00EE2B3B"/>
    <w:rPr>
      <w:sz w:val="24"/>
      <w:szCs w:val="24"/>
    </w:rPr>
  </w:style>
  <w:style w:type="paragraph" w:customStyle="1" w:styleId="Appelnotedebasde">
    <w:name w:val="Appel note de bas de..."/>
    <w:basedOn w:val="Normal"/>
    <w:link w:val="FootnoteReference"/>
    <w:uiPriority w:val="99"/>
    <w:rsid w:val="00EE2B3B"/>
    <w:pPr>
      <w:spacing w:after="160" w:line="240" w:lineRule="exact"/>
    </w:pPr>
    <w:rPr>
      <w:sz w:val="22"/>
      <w:szCs w:val="22"/>
      <w:vertAlign w:val="superscript"/>
    </w:rPr>
  </w:style>
  <w:style w:type="paragraph" w:styleId="Header">
    <w:name w:val="header"/>
    <w:basedOn w:val="Normal"/>
    <w:link w:val="HeaderChar"/>
    <w:uiPriority w:val="99"/>
    <w:unhideWhenUsed/>
    <w:rsid w:val="00EE2B3B"/>
    <w:pPr>
      <w:tabs>
        <w:tab w:val="center" w:pos="4680"/>
        <w:tab w:val="right" w:pos="9360"/>
      </w:tabs>
    </w:pPr>
  </w:style>
  <w:style w:type="character" w:customStyle="1" w:styleId="HeaderChar">
    <w:name w:val="Header Char"/>
    <w:basedOn w:val="DefaultParagraphFont"/>
    <w:link w:val="Header"/>
    <w:uiPriority w:val="99"/>
    <w:rsid w:val="00EE2B3B"/>
    <w:rPr>
      <w:sz w:val="24"/>
      <w:szCs w:val="24"/>
    </w:rPr>
  </w:style>
  <w:style w:type="paragraph" w:styleId="Footer">
    <w:name w:val="footer"/>
    <w:basedOn w:val="Normal"/>
    <w:link w:val="FooterChar"/>
    <w:uiPriority w:val="99"/>
    <w:unhideWhenUsed/>
    <w:rsid w:val="00EE2B3B"/>
    <w:pPr>
      <w:tabs>
        <w:tab w:val="center" w:pos="4680"/>
        <w:tab w:val="right" w:pos="9360"/>
      </w:tabs>
    </w:pPr>
  </w:style>
  <w:style w:type="character" w:customStyle="1" w:styleId="FooterChar">
    <w:name w:val="Footer Char"/>
    <w:basedOn w:val="DefaultParagraphFont"/>
    <w:link w:val="Footer"/>
    <w:uiPriority w:val="99"/>
    <w:rsid w:val="00EE2B3B"/>
    <w:rPr>
      <w:sz w:val="24"/>
      <w:szCs w:val="24"/>
    </w:rPr>
  </w:style>
  <w:style w:type="character" w:styleId="FollowedHyperlink">
    <w:name w:val="FollowedHyperlink"/>
    <w:basedOn w:val="DefaultParagraphFont"/>
    <w:uiPriority w:val="99"/>
    <w:semiHidden/>
    <w:unhideWhenUsed/>
    <w:rsid w:val="00EE2B3B"/>
    <w:rPr>
      <w:color w:val="954F72" w:themeColor="followedHyperlink"/>
      <w:u w:val="single"/>
    </w:rPr>
  </w:style>
  <w:style w:type="character" w:styleId="UnresolvedMention">
    <w:name w:val="Unresolved Mention"/>
    <w:basedOn w:val="DefaultParagraphFont"/>
    <w:uiPriority w:val="99"/>
    <w:semiHidden/>
    <w:unhideWhenUsed/>
    <w:rsid w:val="00EE2B3B"/>
    <w:rPr>
      <w:color w:val="605E5C"/>
      <w:shd w:val="clear" w:color="auto" w:fill="E1DFDD"/>
    </w:rPr>
  </w:style>
  <w:style w:type="paragraph" w:styleId="Title">
    <w:name w:val="Title"/>
    <w:basedOn w:val="Normal"/>
    <w:next w:val="Normal"/>
    <w:link w:val="TitleChar"/>
    <w:uiPriority w:val="10"/>
    <w:qFormat/>
    <w:rsid w:val="001D1BF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BFB"/>
    <w:rPr>
      <w:rFonts w:asciiTheme="majorHAnsi" w:eastAsiaTheme="majorEastAsia" w:hAnsiTheme="majorHAnsi" w:cstheme="majorBidi"/>
      <w:spacing w:val="-10"/>
      <w:kern w:val="28"/>
      <w:sz w:val="56"/>
      <w:szCs w:val="56"/>
    </w:rPr>
  </w:style>
  <w:style w:type="paragraph" w:customStyle="1" w:styleId="Default">
    <w:name w:val="Default"/>
    <w:rsid w:val="007C3A86"/>
    <w:pPr>
      <w:autoSpaceDE w:val="0"/>
      <w:autoSpaceDN w:val="0"/>
      <w:adjustRightInd w:val="0"/>
      <w:spacing w:after="0" w:line="240" w:lineRule="auto"/>
    </w:pPr>
    <w:rPr>
      <w:rFonts w:ascii="Cambria" w:eastAsia="Calibri" w:hAnsi="Cambria" w:cs="Cambria"/>
      <w:color w:val="000000"/>
      <w:sz w:val="24"/>
      <w:szCs w:val="24"/>
      <w:lang w:bidi="en-US"/>
    </w:rPr>
  </w:style>
  <w:style w:type="paragraph" w:styleId="EndnoteText">
    <w:name w:val="endnote text"/>
    <w:basedOn w:val="Normal"/>
    <w:link w:val="EndnoteTextChar"/>
    <w:uiPriority w:val="99"/>
    <w:semiHidden/>
    <w:unhideWhenUsed/>
    <w:rsid w:val="007C3A86"/>
    <w:rPr>
      <w:sz w:val="20"/>
      <w:szCs w:val="20"/>
    </w:rPr>
  </w:style>
  <w:style w:type="character" w:customStyle="1" w:styleId="EndnoteTextChar">
    <w:name w:val="Endnote Text Char"/>
    <w:basedOn w:val="DefaultParagraphFont"/>
    <w:link w:val="EndnoteText"/>
    <w:uiPriority w:val="99"/>
    <w:semiHidden/>
    <w:rsid w:val="007C3A86"/>
    <w:rPr>
      <w:sz w:val="20"/>
      <w:szCs w:val="20"/>
    </w:rPr>
  </w:style>
  <w:style w:type="character" w:styleId="EndnoteReference">
    <w:name w:val="endnote reference"/>
    <w:basedOn w:val="DefaultParagraphFont"/>
    <w:uiPriority w:val="99"/>
    <w:semiHidden/>
    <w:unhideWhenUsed/>
    <w:rsid w:val="007C3A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s.org/en/iachr/decisions/2016/COSA11538EN.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as.org/en/iachr/decisions/2016/COSA11538EN.pdf" TargetMode="External"/><Relationship Id="rId4" Type="http://schemas.openxmlformats.org/officeDocument/2006/relationships/settings" Target="settings.xml"/><Relationship Id="rId9" Type="http://schemas.openxmlformats.org/officeDocument/2006/relationships/hyperlink" Target="http://www.cidh.oas.org/annualrep/2009eng/Colombia11538eng.ht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www.oas.org/es/cidh/docs/anual/2018/docs/IA2018cap.2-es.pdf" TargetMode="External"/><Relationship Id="rId7" Type="http://schemas.openxmlformats.org/officeDocument/2006/relationships/hyperlink" Target="http://www.oas.org/en/iachr/docs/annual/2020/FB/Default.html" TargetMode="External"/><Relationship Id="rId2" Type="http://schemas.openxmlformats.org/officeDocument/2006/relationships/hyperlink" Target="https://www.oas.org/en/iachr/docs/annual/2022/Chapters/4-IA2022_Cap_2_EN.pdf" TargetMode="External"/><Relationship Id="rId1" Type="http://schemas.openxmlformats.org/officeDocument/2006/relationships/hyperlink" Target="http://www.oas.org/en/iachr/docs/annual/2018/docs/IA2018cap.2-en.doc" TargetMode="External"/><Relationship Id="rId6" Type="http://schemas.openxmlformats.org/officeDocument/2006/relationships/hyperlink" Target="http://www.oas.org/es/cidh/docs/anual/2018/docs/IA2018cap.2-es.pdf" TargetMode="External"/><Relationship Id="rId5" Type="http://schemas.openxmlformats.org/officeDocument/2006/relationships/hyperlink" Target="http://www.oas.org/es/cidh/docs/anual/2018/docs/IA2018cap.2-es.pdf" TargetMode="External"/><Relationship Id="rId4" Type="http://schemas.openxmlformats.org/officeDocument/2006/relationships/hyperlink" Target="http://www.oas.org/en/iachr/docs/annual/2021/Chapters/IA2021cap2-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EF23-5EC8-47BB-AEC1-2CD4B91D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1335</Words>
  <Characters>7614</Characters>
  <Application>Microsoft Office Word</Application>
  <DocSecurity>0</DocSecurity>
  <Lines>63</Lines>
  <Paragraphs>17</Paragraphs>
  <ScaleCrop>false</ScaleCrop>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2023-06-28T14:54:00Z</dcterms:created>
  <dcterms:modified xsi:type="dcterms:W3CDTF">2023-06-28T14:54:00Z</dcterms:modified>
</cp:coreProperties>
</file>