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E819" w14:textId="77777777" w:rsidR="00EE2B3B" w:rsidRDefault="00EE2B3B" w:rsidP="00EE2B3B">
      <w:pPr>
        <w:pStyle w:val="NoSpacing"/>
        <w:ind w:left="-270" w:right="-270"/>
        <w:jc w:val="center"/>
        <w:rPr>
          <w:rFonts w:ascii="Cambria" w:hAnsi="Cambria"/>
          <w:b/>
          <w:color w:val="000000"/>
          <w:sz w:val="24"/>
          <w:szCs w:val="24"/>
        </w:rPr>
      </w:pPr>
    </w:p>
    <w:p w14:paraId="036D26F6" w14:textId="77777777" w:rsidR="00EE2B3B" w:rsidRP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TECHNICAL INFORMATION SHEET</w:t>
      </w:r>
    </w:p>
    <w:p w14:paraId="48646EF6" w14:textId="7CA9BA6F" w:rsidR="00EF0164" w:rsidRPr="00EF0164" w:rsidRDefault="00EF0164" w:rsidP="00EF0164">
      <w:pPr>
        <w:pStyle w:val="MediumGrid21"/>
        <w:jc w:val="center"/>
        <w:rPr>
          <w:rFonts w:ascii="Cambria" w:hAnsi="Cambria" w:cs="Cambria"/>
          <w:b/>
          <w:bCs/>
          <w:color w:val="000000"/>
          <w:sz w:val="24"/>
          <w:szCs w:val="24"/>
          <w:lang w:val="en-US"/>
        </w:rPr>
      </w:pPr>
      <w:r w:rsidRPr="00EF0164">
        <w:rPr>
          <w:rFonts w:ascii="Cambria" w:hAnsi="Cambria" w:cs="Cambria"/>
          <w:b/>
          <w:bCs/>
          <w:color w:val="000000"/>
          <w:sz w:val="24"/>
          <w:szCs w:val="24"/>
          <w:lang w:val="en-US"/>
        </w:rPr>
        <w:t>CASE 11.422</w:t>
      </w:r>
      <w:r>
        <w:rPr>
          <w:rFonts w:ascii="Cambria" w:hAnsi="Cambria" w:cs="Cambria"/>
          <w:b/>
          <w:bCs/>
          <w:color w:val="000000"/>
          <w:sz w:val="24"/>
          <w:szCs w:val="24"/>
          <w:lang w:val="en-US"/>
        </w:rPr>
        <w:t xml:space="preserve"> </w:t>
      </w:r>
      <w:r w:rsidRPr="00EF0164">
        <w:rPr>
          <w:rFonts w:ascii="Cambria" w:hAnsi="Cambria" w:cs="Cambria"/>
          <w:b/>
          <w:bCs/>
          <w:color w:val="000000"/>
          <w:sz w:val="24"/>
          <w:szCs w:val="24"/>
          <w:lang w:val="en-US"/>
        </w:rPr>
        <w:t>MARIO ALIOTO LÓPEZ SÁNCHEZ</w:t>
      </w:r>
    </w:p>
    <w:p w14:paraId="589F3041" w14:textId="2CD5C054"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REPORT ON FRIENDLY SETTLEMENT Nº</w:t>
      </w:r>
      <w:r w:rsidR="00F64E08">
        <w:rPr>
          <w:rFonts w:ascii="Cambria" w:hAnsi="Cambria"/>
          <w:b/>
          <w:color w:val="000000"/>
          <w:sz w:val="24"/>
          <w:szCs w:val="24"/>
        </w:rPr>
        <w:t xml:space="preserve"> </w:t>
      </w:r>
      <w:hyperlink r:id="rId8" w:history="1">
        <w:r w:rsidR="00EF0164" w:rsidRPr="00710123">
          <w:rPr>
            <w:rStyle w:val="Hyperlink"/>
            <w:rFonts w:ascii="Cambria" w:hAnsi="Cambria" w:cs="Cambria"/>
            <w:b/>
            <w:bCs/>
            <w:sz w:val="24"/>
            <w:szCs w:val="24"/>
          </w:rPr>
          <w:t>1/12</w:t>
        </w:r>
      </w:hyperlink>
    </w:p>
    <w:p w14:paraId="291D19F8" w14:textId="77777777" w:rsid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TOTAL COMPLIANCE</w:t>
      </w:r>
      <w:r w:rsidRPr="003F7365">
        <w:rPr>
          <w:rFonts w:ascii="Cambria" w:hAnsi="Cambria"/>
          <w:b/>
          <w:color w:val="000000"/>
          <w:sz w:val="24"/>
          <w:szCs w:val="24"/>
        </w:rPr>
        <w:t xml:space="preserve"> </w:t>
      </w:r>
    </w:p>
    <w:p w14:paraId="731B0D08" w14:textId="31D8114B"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w:t>
      </w:r>
      <w:r w:rsidR="008C5FE2">
        <w:rPr>
          <w:rFonts w:ascii="Cambria" w:hAnsi="Cambria"/>
          <w:b/>
          <w:color w:val="000000"/>
          <w:sz w:val="24"/>
          <w:szCs w:val="24"/>
        </w:rPr>
        <w:t>GUATEMALA</w:t>
      </w:r>
      <w:r w:rsidRPr="003F7365">
        <w:rPr>
          <w:rFonts w:ascii="Cambria" w:hAnsi="Cambria"/>
          <w:b/>
          <w:color w:val="000000"/>
          <w:sz w:val="24"/>
          <w:szCs w:val="24"/>
        </w:rPr>
        <w:t>)</w:t>
      </w:r>
    </w:p>
    <w:p w14:paraId="6FCFDEEB" w14:textId="77777777" w:rsidR="00EE2B3B" w:rsidRPr="003F7365" w:rsidRDefault="00EE2B3B" w:rsidP="00EE2B3B">
      <w:pPr>
        <w:pStyle w:val="NoSpacing"/>
        <w:ind w:left="-270" w:right="-270"/>
        <w:jc w:val="center"/>
        <w:rPr>
          <w:rFonts w:ascii="Cambria" w:hAnsi="Cambria"/>
          <w:b/>
          <w:color w:val="000000"/>
          <w:sz w:val="20"/>
          <w:szCs w:val="20"/>
        </w:rPr>
      </w:pPr>
    </w:p>
    <w:p w14:paraId="14A7D6AF" w14:textId="77777777" w:rsidR="00EE2B3B" w:rsidRPr="003F7365" w:rsidRDefault="00EE2B3B" w:rsidP="00EE2B3B">
      <w:pPr>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 xml:space="preserve">SUMMARY OF THE CASE </w:t>
      </w:r>
    </w:p>
    <w:p w14:paraId="05E3AE0D" w14:textId="77777777" w:rsidR="00EE2B3B" w:rsidRPr="003F7365" w:rsidRDefault="00EE2B3B" w:rsidP="00EE2B3B">
      <w:pPr>
        <w:ind w:left="72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EE2B3B" w:rsidRPr="003F7365" w14:paraId="0DA6B01E" w14:textId="77777777" w:rsidTr="00D53017">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7181DEFD" w14:textId="77777777" w:rsidR="006E24C9" w:rsidRPr="00C46473" w:rsidRDefault="006E24C9" w:rsidP="006E24C9">
            <w:pPr>
              <w:pStyle w:val="MediumGrid21"/>
              <w:jc w:val="both"/>
              <w:rPr>
                <w:rFonts w:ascii="Cambria" w:hAnsi="Cambria" w:cs="Cambria"/>
                <w:color w:val="000000"/>
                <w:sz w:val="20"/>
                <w:szCs w:val="20"/>
              </w:rPr>
            </w:pPr>
            <w:r w:rsidRPr="00C46473">
              <w:rPr>
                <w:rFonts w:ascii="Cambria" w:hAnsi="Cambria" w:cs="Cambria"/>
                <w:b/>
                <w:bCs/>
                <w:color w:val="000000"/>
                <w:sz w:val="20"/>
                <w:szCs w:val="20"/>
              </w:rPr>
              <w:t xml:space="preserve">Victim (s): </w:t>
            </w:r>
            <w:r w:rsidRPr="00C46473">
              <w:rPr>
                <w:rFonts w:ascii="Cambria" w:hAnsi="Cambria" w:cs="Cambria"/>
                <w:color w:val="000000"/>
                <w:sz w:val="20"/>
                <w:szCs w:val="20"/>
              </w:rPr>
              <w:t xml:space="preserve">Mario Alioto López Sánchez </w:t>
            </w:r>
          </w:p>
          <w:p w14:paraId="1E5488CF" w14:textId="77777777" w:rsidR="006E24C9" w:rsidRPr="00C46473" w:rsidRDefault="006E24C9" w:rsidP="006E24C9">
            <w:pPr>
              <w:pStyle w:val="MediumGrid21"/>
              <w:jc w:val="both"/>
              <w:rPr>
                <w:rFonts w:ascii="Cambria" w:hAnsi="Cambria" w:cs="Cambria"/>
                <w:color w:val="000000"/>
                <w:sz w:val="20"/>
                <w:szCs w:val="20"/>
                <w:lang w:val="en-US"/>
              </w:rPr>
            </w:pPr>
            <w:r w:rsidRPr="00C46473">
              <w:rPr>
                <w:rFonts w:ascii="Cambria" w:hAnsi="Cambria" w:cs="Cambria"/>
                <w:b/>
                <w:bCs/>
                <w:color w:val="000000"/>
                <w:sz w:val="20"/>
                <w:szCs w:val="20"/>
                <w:lang w:val="en-US"/>
              </w:rPr>
              <w:t xml:space="preserve">Petitioner (s): </w:t>
            </w:r>
            <w:r w:rsidRPr="00C46473">
              <w:rPr>
                <w:rFonts w:ascii="Cambria" w:hAnsi="Cambria" w:cs="Cambria"/>
                <w:color w:val="000000"/>
                <w:sz w:val="20"/>
                <w:szCs w:val="20"/>
                <w:lang w:val="en-US"/>
              </w:rPr>
              <w:t>Centro de Acción Legal de Derechos Humanos (CALDH)</w:t>
            </w:r>
          </w:p>
          <w:p w14:paraId="2C1136DB" w14:textId="77777777" w:rsidR="006E24C9" w:rsidRPr="00C46473" w:rsidRDefault="006E24C9" w:rsidP="006E24C9">
            <w:pPr>
              <w:pStyle w:val="MediumGrid21"/>
              <w:jc w:val="both"/>
              <w:rPr>
                <w:rFonts w:ascii="Cambria" w:hAnsi="Cambria" w:cs="Cambria"/>
                <w:color w:val="000000"/>
                <w:sz w:val="20"/>
                <w:szCs w:val="20"/>
                <w:lang w:val="en-US"/>
              </w:rPr>
            </w:pPr>
            <w:r w:rsidRPr="00C46473">
              <w:rPr>
                <w:rFonts w:ascii="Cambria" w:hAnsi="Cambria" w:cs="Cambria"/>
                <w:b/>
                <w:bCs/>
                <w:color w:val="000000"/>
                <w:sz w:val="20"/>
                <w:szCs w:val="20"/>
                <w:lang w:val="en-US"/>
              </w:rPr>
              <w:t xml:space="preserve">State: </w:t>
            </w:r>
            <w:r w:rsidRPr="00C46473">
              <w:rPr>
                <w:rFonts w:ascii="Cambria" w:hAnsi="Cambria" w:cs="Cambria"/>
                <w:color w:val="000000"/>
                <w:sz w:val="20"/>
                <w:szCs w:val="20"/>
                <w:lang w:val="en-US"/>
              </w:rPr>
              <w:t>Guatemala.</w:t>
            </w:r>
          </w:p>
          <w:p w14:paraId="2B72383E" w14:textId="77777777" w:rsidR="006E24C9" w:rsidRPr="00C46473" w:rsidRDefault="006E24C9" w:rsidP="006E24C9">
            <w:pPr>
              <w:pStyle w:val="MediumGrid21"/>
              <w:tabs>
                <w:tab w:val="left" w:pos="9270"/>
              </w:tabs>
              <w:jc w:val="both"/>
              <w:rPr>
                <w:rFonts w:ascii="Cambria" w:hAnsi="Cambria" w:cs="Cambria"/>
                <w:b/>
                <w:bCs/>
                <w:color w:val="000000"/>
                <w:sz w:val="20"/>
                <w:szCs w:val="20"/>
                <w:lang w:val="en-US"/>
              </w:rPr>
            </w:pPr>
            <w:r w:rsidRPr="00C46473">
              <w:rPr>
                <w:rFonts w:ascii="Cambria" w:hAnsi="Cambria" w:cs="Cambria"/>
                <w:b/>
                <w:bCs/>
                <w:color w:val="000000"/>
                <w:sz w:val="20"/>
                <w:szCs w:val="20"/>
                <w:lang w:val="en-US"/>
              </w:rPr>
              <w:t xml:space="preserve">Beginning of the negotiation date: </w:t>
            </w:r>
            <w:r w:rsidRPr="00C46473">
              <w:rPr>
                <w:rFonts w:ascii="Cambria" w:hAnsi="Cambria" w:cs="Cambria"/>
                <w:color w:val="000000"/>
                <w:sz w:val="20"/>
                <w:szCs w:val="20"/>
                <w:lang w:val="en-US"/>
              </w:rPr>
              <w:t>June 4, 2004</w:t>
            </w:r>
          </w:p>
          <w:p w14:paraId="57E45D57" w14:textId="77777777" w:rsidR="006E24C9" w:rsidRPr="00C46473" w:rsidRDefault="006E24C9" w:rsidP="006E24C9">
            <w:pPr>
              <w:jc w:val="both"/>
              <w:rPr>
                <w:rFonts w:ascii="Cambria" w:hAnsi="Cambria" w:cs="Cambria"/>
                <w:b/>
                <w:bCs/>
                <w:color w:val="000000"/>
                <w:sz w:val="20"/>
                <w:szCs w:val="20"/>
              </w:rPr>
            </w:pPr>
            <w:r w:rsidRPr="00C46473">
              <w:rPr>
                <w:rFonts w:ascii="Cambria" w:hAnsi="Cambria" w:cs="Cambria"/>
                <w:b/>
                <w:bCs/>
                <w:color w:val="000000"/>
                <w:sz w:val="20"/>
                <w:szCs w:val="20"/>
              </w:rPr>
              <w:t xml:space="preserve">FSA signature date: </w:t>
            </w:r>
            <w:r w:rsidRPr="00C46473">
              <w:rPr>
                <w:rFonts w:ascii="Cambria" w:hAnsi="Cambria" w:cs="Cambria"/>
                <w:color w:val="000000"/>
                <w:sz w:val="20"/>
                <w:szCs w:val="20"/>
              </w:rPr>
              <w:t>January 19, 2011.</w:t>
            </w:r>
          </w:p>
          <w:p w14:paraId="6EDDC2FF" w14:textId="77777777" w:rsidR="006E24C9" w:rsidRPr="00C46473" w:rsidRDefault="006E24C9" w:rsidP="006E24C9">
            <w:pPr>
              <w:pStyle w:val="MediumGrid21"/>
              <w:jc w:val="both"/>
              <w:rPr>
                <w:rFonts w:ascii="Cambria" w:hAnsi="Cambria" w:cs="Cambria"/>
                <w:color w:val="000000"/>
                <w:sz w:val="20"/>
                <w:szCs w:val="20"/>
                <w:lang w:val="en-US"/>
              </w:rPr>
            </w:pPr>
            <w:r w:rsidRPr="00C46473">
              <w:rPr>
                <w:rFonts w:ascii="Cambria" w:hAnsi="Cambria" w:cs="Cambria"/>
                <w:b/>
                <w:bCs/>
                <w:color w:val="000000"/>
                <w:sz w:val="20"/>
                <w:szCs w:val="20"/>
                <w:lang w:val="en-US"/>
              </w:rPr>
              <w:t xml:space="preserve">Report on Friendly Settlement Agreement: </w:t>
            </w:r>
            <w:hyperlink r:id="rId9" w:history="1">
              <w:r w:rsidRPr="006B01CD">
                <w:rPr>
                  <w:rStyle w:val="Hyperlink"/>
                  <w:rFonts w:ascii="Cambria" w:hAnsi="Cambria" w:cs="Cambria"/>
                  <w:b/>
                  <w:bCs/>
                  <w:sz w:val="20"/>
                  <w:szCs w:val="20"/>
                </w:rPr>
                <w:t>1/12</w:t>
              </w:r>
            </w:hyperlink>
            <w:r w:rsidRPr="00C46473">
              <w:rPr>
                <w:rFonts w:ascii="Cambria" w:hAnsi="Cambria" w:cs="Cambria"/>
                <w:color w:val="000000"/>
                <w:sz w:val="20"/>
                <w:szCs w:val="20"/>
                <w:lang w:val="en-US"/>
              </w:rPr>
              <w:t>, published on January 26, 2012</w:t>
            </w:r>
          </w:p>
          <w:p w14:paraId="4C8E9C29" w14:textId="77777777" w:rsidR="006E24C9" w:rsidRPr="00C46473" w:rsidRDefault="006E24C9" w:rsidP="006E24C9">
            <w:pPr>
              <w:jc w:val="both"/>
              <w:rPr>
                <w:rFonts w:ascii="Cambria" w:hAnsi="Cambria" w:cs="Cambria"/>
                <w:b/>
                <w:bCs/>
                <w:color w:val="000000"/>
                <w:sz w:val="20"/>
                <w:szCs w:val="20"/>
              </w:rPr>
            </w:pPr>
            <w:r w:rsidRPr="00C46473">
              <w:rPr>
                <w:rFonts w:ascii="Cambria" w:hAnsi="Cambria" w:cs="Cambria"/>
                <w:b/>
                <w:bCs/>
                <w:color w:val="000000"/>
                <w:sz w:val="20"/>
                <w:szCs w:val="20"/>
              </w:rPr>
              <w:t xml:space="preserve">Estimated length of the negotiation phase: </w:t>
            </w:r>
            <w:r w:rsidRPr="00C46473">
              <w:rPr>
                <w:rFonts w:ascii="Cambria" w:hAnsi="Cambria" w:cs="Cambria"/>
                <w:color w:val="000000"/>
                <w:sz w:val="20"/>
                <w:szCs w:val="20"/>
              </w:rPr>
              <w:t>8 years</w:t>
            </w:r>
          </w:p>
          <w:p w14:paraId="16099D8D" w14:textId="77777777" w:rsidR="006E24C9" w:rsidRPr="00C46473" w:rsidRDefault="006E24C9" w:rsidP="006E24C9">
            <w:pPr>
              <w:pStyle w:val="MediumGrid21"/>
              <w:jc w:val="both"/>
              <w:rPr>
                <w:rFonts w:ascii="Cambria" w:hAnsi="Cambria" w:cs="Cambria"/>
                <w:color w:val="000000"/>
                <w:sz w:val="20"/>
                <w:szCs w:val="20"/>
                <w:lang w:val="en-US"/>
              </w:rPr>
            </w:pPr>
            <w:r w:rsidRPr="00C46473">
              <w:rPr>
                <w:rFonts w:ascii="Cambria" w:hAnsi="Cambria" w:cs="Cambria"/>
                <w:b/>
                <w:bCs/>
                <w:color w:val="000000"/>
                <w:sz w:val="20"/>
                <w:szCs w:val="20"/>
                <w:lang w:val="en-US"/>
              </w:rPr>
              <w:t xml:space="preserve">Associated Rapporteurship: </w:t>
            </w:r>
            <w:r w:rsidRPr="00C46473">
              <w:rPr>
                <w:rFonts w:ascii="Cambria" w:hAnsi="Cambria" w:cs="Cambria"/>
                <w:color w:val="000000"/>
                <w:sz w:val="20"/>
                <w:szCs w:val="20"/>
                <w:lang w:val="en-US"/>
              </w:rPr>
              <w:t>Memory, Truth, and Justice</w:t>
            </w:r>
          </w:p>
          <w:p w14:paraId="09EDD6BC" w14:textId="77777777" w:rsidR="006E24C9" w:rsidRPr="00C46473" w:rsidRDefault="006E24C9" w:rsidP="006E24C9">
            <w:pPr>
              <w:pStyle w:val="MediumGrid21"/>
              <w:jc w:val="both"/>
              <w:rPr>
                <w:rFonts w:ascii="Cambria" w:hAnsi="Cambria" w:cs="Cambria"/>
                <w:color w:val="000000"/>
                <w:sz w:val="20"/>
                <w:szCs w:val="20"/>
                <w:lang w:val="en-US"/>
              </w:rPr>
            </w:pPr>
            <w:r w:rsidRPr="00C46473">
              <w:rPr>
                <w:rFonts w:ascii="Cambria" w:hAnsi="Cambria" w:cs="Cambria"/>
                <w:b/>
                <w:bCs/>
                <w:color w:val="000000"/>
                <w:sz w:val="20"/>
                <w:szCs w:val="20"/>
                <w:lang w:val="en-US"/>
              </w:rPr>
              <w:t xml:space="preserve">Topics: </w:t>
            </w:r>
            <w:r w:rsidRPr="00C46473">
              <w:rPr>
                <w:rFonts w:ascii="Cambria" w:hAnsi="Cambria" w:cs="Cambria"/>
                <w:color w:val="000000"/>
                <w:sz w:val="20"/>
                <w:szCs w:val="20"/>
                <w:lang w:val="en-US"/>
              </w:rPr>
              <w:t xml:space="preserve">Freedom of expression/Use of force/Investigation/Protest/Police violence </w:t>
            </w:r>
          </w:p>
          <w:p w14:paraId="045399BB" w14:textId="77777777" w:rsidR="006E24C9" w:rsidRPr="00C46473" w:rsidRDefault="006E24C9" w:rsidP="006E24C9">
            <w:pPr>
              <w:pStyle w:val="MediumGrid21"/>
              <w:jc w:val="both"/>
              <w:rPr>
                <w:rFonts w:ascii="Cambria" w:hAnsi="Cambria" w:cs="Cambria"/>
                <w:color w:val="000000"/>
                <w:sz w:val="20"/>
                <w:szCs w:val="20"/>
                <w:lang w:val="en-US"/>
              </w:rPr>
            </w:pPr>
          </w:p>
          <w:p w14:paraId="163D4D97" w14:textId="77777777" w:rsidR="006E24C9" w:rsidRPr="00C46473" w:rsidRDefault="006E24C9" w:rsidP="006E24C9">
            <w:pPr>
              <w:pStyle w:val="MediumGrid21"/>
              <w:jc w:val="both"/>
              <w:rPr>
                <w:rFonts w:ascii="Cambria" w:eastAsia="MS Mincho" w:hAnsi="Cambria"/>
                <w:color w:val="000000"/>
                <w:sz w:val="20"/>
                <w:szCs w:val="20"/>
                <w:lang w:val="en-US"/>
              </w:rPr>
            </w:pPr>
            <w:r w:rsidRPr="00C46473">
              <w:rPr>
                <w:rFonts w:ascii="Cambria" w:hAnsi="Cambria" w:cs="Cambria"/>
                <w:b/>
                <w:bCs/>
                <w:color w:val="000000"/>
                <w:sz w:val="20"/>
                <w:szCs w:val="20"/>
                <w:lang w:val="en-US"/>
              </w:rPr>
              <w:t xml:space="preserve">Facts: </w:t>
            </w:r>
            <w:r w:rsidRPr="00C46473">
              <w:rPr>
                <w:rFonts w:ascii="Cambria" w:hAnsi="Cambria" w:cs="Cambria"/>
                <w:color w:val="000000"/>
                <w:sz w:val="20"/>
                <w:szCs w:val="20"/>
                <w:lang w:val="en-US"/>
              </w:rPr>
              <w:t>On November 11, 1994, Mario Alioto López Sánchez, a law student at the University of San Carlos de Guatemala, was with a group of students protesting the increase in urban transit fares, blocking the Avenida Petapa. The petitioners noted that approximately 100 National Police agents attempted to disperse the students by throwing tear gas canisters, shooting firearms, and beating them. A number of the students tried to flee, and approximately 23 of them were detained. Included in this group was Mario Alioto López Sánchez, who was beaten by security officials at the time of his arrest. Even though he was hemorrhaging from a gunshot wound in his left thigh, he did not receive immediate medical attention; approximately two hours after his arrest, he was taken to Hospital Nacional, where he died the day after being admitted. As for the domestic judicial proceedings, the Third Court for Criminal and Drug Trafficking Matters handed down its judgment on July 30, 1997. Danilo Parinello Blanco, Mario Alfredo Mérida Escobar, Salvador Estuardo Figueroa, and Carlos Enrique Sánchez Gómez were convicted and sentenced to 10 years, as perpetrators of the crime of premeditated homicide against Mario Alioto López Sánchez and for the crime of minor injuries against students Julio Alberto Vásquez Méndez and Hugo Leonel Cabrera. Carlos Venancio Escobar Fernández was convicted and sentenced to 30 years in prison as the direct perpetrator of the murder of Mario Alioto López Sánchez and the crime of minor injuries to the other two students. The judgment was partially overturned on appeal, with the first four cleared and the prison sentence for Escobar Fernández reduced to 10 years.</w:t>
            </w:r>
          </w:p>
          <w:p w14:paraId="48D6453D" w14:textId="77777777" w:rsidR="006E24C9" w:rsidRPr="00C46473" w:rsidRDefault="006E24C9" w:rsidP="006E24C9">
            <w:pPr>
              <w:pStyle w:val="MediumGrid21"/>
              <w:jc w:val="both"/>
              <w:rPr>
                <w:rFonts w:ascii="Cambria" w:eastAsia="MS Mincho" w:hAnsi="Cambria"/>
                <w:color w:val="000000"/>
                <w:sz w:val="20"/>
                <w:szCs w:val="20"/>
                <w:lang w:val="en-US"/>
              </w:rPr>
            </w:pPr>
          </w:p>
          <w:p w14:paraId="2ADA2413" w14:textId="51ABC83D" w:rsidR="00EE2B3B" w:rsidRPr="003F7365" w:rsidRDefault="006E24C9" w:rsidP="006E24C9">
            <w:pPr>
              <w:pStyle w:val="NoSpacing"/>
              <w:tabs>
                <w:tab w:val="left" w:pos="9270"/>
              </w:tabs>
              <w:jc w:val="both"/>
              <w:rPr>
                <w:rFonts w:ascii="Cambria" w:hAnsi="Cambria"/>
                <w:color w:val="000000"/>
                <w:sz w:val="20"/>
                <w:szCs w:val="20"/>
              </w:rPr>
            </w:pPr>
            <w:r w:rsidRPr="00C46473">
              <w:rPr>
                <w:rFonts w:ascii="Cambria" w:hAnsi="Cambria" w:cs="Cambria"/>
                <w:b/>
                <w:bCs/>
                <w:color w:val="000000"/>
                <w:sz w:val="20"/>
                <w:szCs w:val="20"/>
              </w:rPr>
              <w:t>Rights asserted:</w:t>
            </w:r>
            <w:r w:rsidRPr="00C46473">
              <w:rPr>
                <w:rFonts w:ascii="Cambria" w:hAnsi="Cambria" w:cs="Cambria"/>
                <w:color w:val="000000"/>
                <w:sz w:val="20"/>
                <w:szCs w:val="20"/>
              </w:rPr>
              <w:t xml:space="preserve"> The State recognized its responsibility for violating Articles 4 (right to life), 5 (right to humane treatment), 16 (right to freedom of association), and 25 (right to judicial protection) of the American Convention in connection with the events.</w:t>
            </w:r>
          </w:p>
        </w:tc>
      </w:tr>
    </w:tbl>
    <w:p w14:paraId="4EBF1FC0" w14:textId="77777777" w:rsidR="00EE2B3B" w:rsidRPr="003F7365" w:rsidRDefault="00EE2B3B" w:rsidP="00EE2B3B">
      <w:pPr>
        <w:pStyle w:val="ListParagraph"/>
        <w:rPr>
          <w:rFonts w:ascii="Cambria" w:hAnsi="Cambria" w:cs="Calibri Light"/>
          <w:b/>
          <w:color w:val="000000"/>
          <w:sz w:val="20"/>
          <w:szCs w:val="20"/>
        </w:rPr>
      </w:pPr>
    </w:p>
    <w:p w14:paraId="1531F314" w14:textId="77777777" w:rsidR="00EE2B3B" w:rsidRPr="003F7365" w:rsidRDefault="00EE2B3B" w:rsidP="00F84B42">
      <w:pPr>
        <w:pStyle w:val="ListParagraph"/>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PROCEDURAL ACTIVITY</w:t>
      </w:r>
    </w:p>
    <w:p w14:paraId="3846F014" w14:textId="77777777" w:rsidR="00EE2B3B" w:rsidRPr="003F7365" w:rsidRDefault="00EE2B3B" w:rsidP="00F84B42">
      <w:pPr>
        <w:pStyle w:val="ListParagraph"/>
        <w:ind w:left="0" w:firstLine="720"/>
        <w:rPr>
          <w:rFonts w:ascii="Cambria" w:hAnsi="Cambria" w:cs="Calibri Light"/>
          <w:b/>
          <w:color w:val="000000"/>
          <w:sz w:val="20"/>
          <w:szCs w:val="20"/>
        </w:rPr>
      </w:pPr>
    </w:p>
    <w:p w14:paraId="163579AD" w14:textId="16BCEC30" w:rsidR="00EE2B3B" w:rsidRDefault="00EE2B3B" w:rsidP="00F84B42">
      <w:pPr>
        <w:numPr>
          <w:ilvl w:val="0"/>
          <w:numId w:val="2"/>
        </w:numPr>
        <w:ind w:left="0" w:firstLine="720"/>
        <w:jc w:val="both"/>
        <w:rPr>
          <w:rFonts w:ascii="Cambria" w:hAnsi="Cambria"/>
          <w:color w:val="000000"/>
          <w:sz w:val="20"/>
          <w:szCs w:val="20"/>
        </w:rPr>
      </w:pPr>
      <w:r>
        <w:rPr>
          <w:rFonts w:ascii="Cambria" w:hAnsi="Cambria"/>
          <w:color w:val="000000"/>
          <w:sz w:val="20"/>
          <w:szCs w:val="20"/>
        </w:rPr>
        <w:t xml:space="preserve">On </w:t>
      </w:r>
      <w:r w:rsidR="006E24C9">
        <w:rPr>
          <w:rFonts w:ascii="Cambria" w:hAnsi="Cambria"/>
          <w:color w:val="000000"/>
          <w:sz w:val="20"/>
        </w:rPr>
        <w:t>January 19, 2011</w:t>
      </w:r>
      <w:r>
        <w:rPr>
          <w:rFonts w:ascii="Cambria" w:hAnsi="Cambria"/>
          <w:color w:val="000000"/>
          <w:sz w:val="20"/>
          <w:szCs w:val="20"/>
        </w:rPr>
        <w:t xml:space="preserve">, </w:t>
      </w:r>
      <w:r w:rsidRPr="00EE2B3B">
        <w:rPr>
          <w:rFonts w:ascii="Cambria" w:hAnsi="Cambria"/>
          <w:color w:val="000000"/>
          <w:sz w:val="20"/>
          <w:szCs w:val="20"/>
        </w:rPr>
        <w:t>the parties signed a friendly settlement agreement.</w:t>
      </w:r>
    </w:p>
    <w:p w14:paraId="7E9E5C89" w14:textId="77777777" w:rsidR="00EE2B3B" w:rsidRPr="00EE2B3B" w:rsidRDefault="00EE2B3B" w:rsidP="00F84B42">
      <w:pPr>
        <w:ind w:firstLine="720"/>
        <w:jc w:val="both"/>
        <w:rPr>
          <w:rFonts w:ascii="Cambria" w:hAnsi="Cambria"/>
          <w:color w:val="000000"/>
          <w:sz w:val="20"/>
          <w:szCs w:val="20"/>
        </w:rPr>
      </w:pPr>
    </w:p>
    <w:p w14:paraId="1474F062" w14:textId="5E65AAE2" w:rsidR="00EE2B3B" w:rsidRPr="003F7365" w:rsidRDefault="00EE2B3B" w:rsidP="00F84B42">
      <w:pPr>
        <w:numPr>
          <w:ilvl w:val="0"/>
          <w:numId w:val="2"/>
        </w:numPr>
        <w:ind w:left="0" w:firstLine="720"/>
        <w:jc w:val="both"/>
        <w:rPr>
          <w:rFonts w:ascii="Cambria" w:hAnsi="Cambria" w:cs="Calibri Light"/>
          <w:color w:val="000000"/>
          <w:sz w:val="20"/>
          <w:szCs w:val="20"/>
        </w:rPr>
      </w:pPr>
      <w:r w:rsidRPr="00EE2B3B">
        <w:rPr>
          <w:rFonts w:ascii="Cambria" w:hAnsi="Cambria"/>
          <w:color w:val="000000"/>
          <w:sz w:val="20"/>
          <w:szCs w:val="20"/>
        </w:rPr>
        <w:t xml:space="preserve">On </w:t>
      </w:r>
      <w:r w:rsidR="006E24C9">
        <w:rPr>
          <w:rFonts w:ascii="Cambria" w:hAnsi="Cambria"/>
          <w:color w:val="000000"/>
          <w:sz w:val="20"/>
        </w:rPr>
        <w:t>January 26, 2012</w:t>
      </w:r>
      <w:r w:rsidRPr="00EE2B3B">
        <w:rPr>
          <w:rFonts w:ascii="Cambria" w:hAnsi="Cambria"/>
          <w:color w:val="000000"/>
          <w:sz w:val="20"/>
          <w:szCs w:val="20"/>
        </w:rPr>
        <w:t>, the Commission approved the agreement signed by the parties, by means of Report No.</w:t>
      </w:r>
      <w:r>
        <w:rPr>
          <w:rFonts w:ascii="Cambria" w:hAnsi="Cambria"/>
          <w:color w:val="000000"/>
          <w:sz w:val="20"/>
          <w:szCs w:val="20"/>
        </w:rPr>
        <w:t xml:space="preserve"> </w:t>
      </w:r>
      <w:r w:rsidR="006E24C9">
        <w:rPr>
          <w:rFonts w:ascii="Cambria" w:hAnsi="Cambria"/>
          <w:color w:val="000000"/>
          <w:sz w:val="20"/>
          <w:szCs w:val="20"/>
        </w:rPr>
        <w:t>1/12</w:t>
      </w:r>
      <w:r w:rsidRPr="003F7365">
        <w:rPr>
          <w:rFonts w:ascii="Cambria" w:hAnsi="Cambria" w:cs="Calibri Light"/>
          <w:color w:val="000000"/>
          <w:sz w:val="20"/>
          <w:szCs w:val="20"/>
        </w:rPr>
        <w:t>.</w:t>
      </w:r>
    </w:p>
    <w:p w14:paraId="516953C5" w14:textId="77777777" w:rsidR="00EE2B3B" w:rsidRDefault="00EE2B3B" w:rsidP="00EE2B3B">
      <w:pPr>
        <w:ind w:left="720"/>
        <w:rPr>
          <w:rFonts w:ascii="Cambria" w:hAnsi="Cambria" w:cs="Calibri Light"/>
          <w:color w:val="000000"/>
          <w:sz w:val="20"/>
          <w:szCs w:val="20"/>
        </w:rPr>
      </w:pPr>
    </w:p>
    <w:p w14:paraId="4ECCCCB4" w14:textId="77777777" w:rsidR="00DB4AA6" w:rsidRDefault="00DB4AA6" w:rsidP="00EE2B3B">
      <w:pPr>
        <w:ind w:left="720"/>
        <w:rPr>
          <w:rFonts w:ascii="Cambria" w:hAnsi="Cambria" w:cs="Calibri Light"/>
          <w:color w:val="000000"/>
          <w:sz w:val="20"/>
          <w:szCs w:val="20"/>
        </w:rPr>
      </w:pPr>
    </w:p>
    <w:p w14:paraId="27027F36" w14:textId="77777777" w:rsidR="00DB4AA6" w:rsidRDefault="00DB4AA6" w:rsidP="00EE2B3B">
      <w:pPr>
        <w:ind w:left="720"/>
        <w:rPr>
          <w:rFonts w:ascii="Cambria" w:hAnsi="Cambria" w:cs="Calibri Light"/>
          <w:color w:val="000000"/>
          <w:sz w:val="20"/>
          <w:szCs w:val="20"/>
        </w:rPr>
      </w:pPr>
    </w:p>
    <w:p w14:paraId="44BA7AE3" w14:textId="77777777" w:rsidR="00DB4AA6" w:rsidRPr="003F7365" w:rsidRDefault="00DB4AA6" w:rsidP="00EE2B3B">
      <w:pPr>
        <w:ind w:left="720"/>
        <w:rPr>
          <w:rFonts w:ascii="Cambria" w:hAnsi="Cambria" w:cs="Calibri Light"/>
          <w:color w:val="000000"/>
          <w:sz w:val="20"/>
          <w:szCs w:val="20"/>
        </w:rPr>
      </w:pPr>
    </w:p>
    <w:p w14:paraId="50BF87C1"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bCs/>
          <w:color w:val="000000"/>
          <w:sz w:val="20"/>
          <w:szCs w:val="20"/>
        </w:rPr>
        <w:lastRenderedPageBreak/>
        <w:t xml:space="preserve">ANALYSIS OF COMPLIANCE WITH THE CLAUSES OF THE FRIENDLY SETTLEMENT AGREEMENT </w:t>
      </w:r>
    </w:p>
    <w:p w14:paraId="5EC7D320" w14:textId="77777777" w:rsidR="00EE2B3B" w:rsidRPr="003F7365" w:rsidRDefault="00EE2B3B" w:rsidP="00EE2B3B">
      <w:pPr>
        <w:pStyle w:val="ListParagraph"/>
        <w:jc w:val="both"/>
        <w:rPr>
          <w:rFonts w:ascii="Cambria" w:hAnsi="Cambria" w:cs="Calibri Light"/>
          <w:b/>
          <w:color w:val="000000"/>
          <w:sz w:val="20"/>
          <w:szCs w:val="20"/>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3"/>
        <w:gridCol w:w="1987"/>
      </w:tblGrid>
      <w:tr w:rsidR="004C3C70" w:rsidRPr="00C46473" w14:paraId="1E6B053D" w14:textId="77777777" w:rsidTr="00534A0C">
        <w:tc>
          <w:tcPr>
            <w:tcW w:w="7373" w:type="dxa"/>
            <w:shd w:val="clear" w:color="auto" w:fill="D9D9D9"/>
            <w:vAlign w:val="center"/>
          </w:tcPr>
          <w:p w14:paraId="79337003" w14:textId="77777777" w:rsidR="004C3C70" w:rsidRPr="00C46473" w:rsidRDefault="004C3C70" w:rsidP="00534A0C">
            <w:pPr>
              <w:tabs>
                <w:tab w:val="center" w:pos="2049"/>
              </w:tabs>
              <w:jc w:val="center"/>
              <w:rPr>
                <w:rFonts w:ascii="Cambria" w:hAnsi="Cambria" w:cs="Cambria"/>
                <w:b/>
                <w:bCs/>
                <w:color w:val="000000"/>
                <w:sz w:val="20"/>
                <w:szCs w:val="20"/>
              </w:rPr>
            </w:pPr>
            <w:r w:rsidRPr="00C46473">
              <w:rPr>
                <w:rFonts w:ascii="Cambria" w:hAnsi="Cambria" w:cs="Cambria"/>
                <w:b/>
                <w:bCs/>
                <w:color w:val="000000"/>
                <w:sz w:val="20"/>
                <w:szCs w:val="20"/>
              </w:rPr>
              <w:t>Agreement Clause</w:t>
            </w:r>
          </w:p>
        </w:tc>
        <w:tc>
          <w:tcPr>
            <w:tcW w:w="1987" w:type="dxa"/>
            <w:shd w:val="clear" w:color="auto" w:fill="D9D9D9"/>
            <w:vAlign w:val="center"/>
          </w:tcPr>
          <w:p w14:paraId="455D113C" w14:textId="77777777" w:rsidR="004C3C70" w:rsidRPr="00C46473" w:rsidRDefault="004C3C70" w:rsidP="00534A0C">
            <w:pPr>
              <w:jc w:val="center"/>
              <w:rPr>
                <w:rFonts w:ascii="Cambria" w:hAnsi="Cambria" w:cs="Cambria"/>
                <w:b/>
                <w:bCs/>
                <w:color w:val="000000"/>
                <w:sz w:val="20"/>
                <w:szCs w:val="20"/>
              </w:rPr>
            </w:pPr>
            <w:r w:rsidRPr="00C46473">
              <w:rPr>
                <w:rFonts w:ascii="Cambria" w:hAnsi="Cambria" w:cs="Cambria"/>
                <w:b/>
                <w:bCs/>
                <w:color w:val="000000"/>
                <w:sz w:val="20"/>
                <w:szCs w:val="20"/>
              </w:rPr>
              <w:t>Compliance Status</w:t>
            </w:r>
          </w:p>
        </w:tc>
      </w:tr>
      <w:tr w:rsidR="004C3C70" w:rsidRPr="00C46473" w14:paraId="677767B9" w14:textId="77777777" w:rsidTr="00534A0C">
        <w:tc>
          <w:tcPr>
            <w:tcW w:w="7373" w:type="dxa"/>
            <w:vAlign w:val="center"/>
          </w:tcPr>
          <w:p w14:paraId="0AB4B1DB" w14:textId="77777777" w:rsidR="004C3C70" w:rsidRPr="00C46473" w:rsidRDefault="004C3C70" w:rsidP="00534A0C">
            <w:pPr>
              <w:ind w:left="72"/>
              <w:jc w:val="both"/>
              <w:rPr>
                <w:rFonts w:ascii="Cambria" w:hAnsi="Cambria" w:cs="Cambria"/>
                <w:b/>
                <w:bCs/>
                <w:color w:val="000000"/>
                <w:sz w:val="20"/>
                <w:szCs w:val="20"/>
              </w:rPr>
            </w:pPr>
            <w:r w:rsidRPr="00C46473">
              <w:rPr>
                <w:rFonts w:ascii="Cambria" w:hAnsi="Cambria" w:cs="Cambria"/>
                <w:b/>
                <w:bCs/>
                <w:color w:val="000000"/>
                <w:sz w:val="20"/>
                <w:szCs w:val="20"/>
              </w:rPr>
              <w:t>1. The State’s Acknowledgement of Its International Responsibility and Admission of the Facts</w:t>
            </w:r>
          </w:p>
          <w:p w14:paraId="5117D6FB" w14:textId="77777777" w:rsidR="004C3C70" w:rsidRPr="00C46473" w:rsidRDefault="004C3C70" w:rsidP="00534A0C">
            <w:pPr>
              <w:ind w:left="72"/>
              <w:jc w:val="both"/>
              <w:rPr>
                <w:rFonts w:ascii="Cambria" w:hAnsi="Cambria" w:cs="Cambria"/>
                <w:color w:val="000000"/>
                <w:sz w:val="20"/>
                <w:szCs w:val="20"/>
              </w:rPr>
            </w:pPr>
            <w:r w:rsidRPr="00C46473">
              <w:rPr>
                <w:rFonts w:ascii="Cambria" w:hAnsi="Cambria" w:cs="Cambria"/>
                <w:color w:val="000000"/>
                <w:sz w:val="20"/>
                <w:szCs w:val="20"/>
              </w:rPr>
              <w:t>The Guatemalan State acknowledges the international responsibility it has incurred by virtue of the direct involvement of State agents in the perpetration of acts committed against Mario Alioto López Sánchez and violations of his human rights, as set forth in the provisions of the American Convention on Human Rights, specifically the right to life (Article 4), the right to humane treatment (Article 5), freedom of association (Article 16), the right to judicial protection (Article 25), and the obligation to respect the rights recognized in the American Convention on Human Rights (Article 1(1)).[…]</w:t>
            </w:r>
          </w:p>
        </w:tc>
        <w:tc>
          <w:tcPr>
            <w:tcW w:w="1987" w:type="dxa"/>
            <w:vAlign w:val="center"/>
          </w:tcPr>
          <w:p w14:paraId="1A9F2C69" w14:textId="77777777" w:rsidR="004C3C70" w:rsidRPr="00C46473" w:rsidRDefault="004C3C70" w:rsidP="00534A0C">
            <w:pPr>
              <w:pStyle w:val="Default"/>
              <w:jc w:val="center"/>
              <w:rPr>
                <w:rFonts w:ascii="Cambria" w:hAnsi="Cambria" w:cs="Cambria"/>
                <w:b/>
                <w:bCs/>
                <w:sz w:val="20"/>
                <w:szCs w:val="20"/>
              </w:rPr>
            </w:pPr>
            <w:r w:rsidRPr="00C46473">
              <w:rPr>
                <w:rFonts w:ascii="Cambria" w:hAnsi="Cambria" w:cs="Cambria"/>
                <w:b/>
                <w:bCs/>
                <w:sz w:val="20"/>
                <w:szCs w:val="20"/>
              </w:rPr>
              <w:t>Declarative clause</w:t>
            </w:r>
          </w:p>
        </w:tc>
      </w:tr>
      <w:tr w:rsidR="004C3C70" w:rsidRPr="00C46473" w14:paraId="3EE6A9B0" w14:textId="77777777" w:rsidTr="00534A0C">
        <w:trPr>
          <w:trHeight w:val="350"/>
        </w:trPr>
        <w:tc>
          <w:tcPr>
            <w:tcW w:w="7373" w:type="dxa"/>
            <w:vAlign w:val="center"/>
          </w:tcPr>
          <w:p w14:paraId="6AD30B28" w14:textId="77777777" w:rsidR="004C3C70" w:rsidRPr="00C46473" w:rsidRDefault="004C3C70" w:rsidP="00534A0C">
            <w:pPr>
              <w:ind w:hanging="18"/>
              <w:jc w:val="both"/>
              <w:rPr>
                <w:rFonts w:ascii="Cambria" w:hAnsi="Cambria" w:cs="Cambria"/>
                <w:b/>
                <w:bCs/>
                <w:color w:val="000000"/>
                <w:sz w:val="20"/>
                <w:szCs w:val="20"/>
              </w:rPr>
            </w:pPr>
            <w:r w:rsidRPr="00C46473">
              <w:rPr>
                <w:rFonts w:ascii="Cambria" w:hAnsi="Cambria" w:cs="Cambria"/>
                <w:b/>
                <w:bCs/>
                <w:color w:val="000000"/>
                <w:sz w:val="20"/>
                <w:szCs w:val="20"/>
              </w:rPr>
              <w:t>2. Private Apology</w:t>
            </w:r>
          </w:p>
          <w:p w14:paraId="3D5FED66" w14:textId="77777777" w:rsidR="004C3C70" w:rsidRPr="00C46473" w:rsidRDefault="004C3C70" w:rsidP="00534A0C">
            <w:pPr>
              <w:ind w:hanging="18"/>
              <w:jc w:val="both"/>
              <w:rPr>
                <w:rFonts w:ascii="Cambria" w:hAnsi="Cambria" w:cs="Cambria"/>
                <w:color w:val="000000"/>
                <w:sz w:val="20"/>
                <w:szCs w:val="20"/>
              </w:rPr>
            </w:pPr>
            <w:r w:rsidRPr="00C46473">
              <w:rPr>
                <w:rFonts w:ascii="Cambria" w:hAnsi="Cambria" w:cs="Cambria"/>
                <w:color w:val="000000"/>
                <w:sz w:val="20"/>
                <w:szCs w:val="20"/>
              </w:rPr>
              <w:t>a) The Guatemalan State pledges to hold a private ceremony, with high-ranking officials from the Ministry of the Interior and the Chair of the Presidential Steering Committee for Executive Branch Policy on Human Rights (COPREDEH) in attendance.  At that ceremony it will acknowledge its international responsibility for the human rights violations committed against Mario Alioto López Sánchez and will deliver a letter signed by the President of the Republic of Guatemala in which he asks pardon of the victim’s family for the harm done.</w:t>
            </w:r>
          </w:p>
          <w:p w14:paraId="2423433D" w14:textId="77777777" w:rsidR="004C3C70" w:rsidRPr="00C46473" w:rsidRDefault="004C3C70" w:rsidP="00534A0C">
            <w:pPr>
              <w:ind w:hanging="18"/>
              <w:jc w:val="both"/>
              <w:rPr>
                <w:rFonts w:ascii="Cambria" w:hAnsi="Cambria" w:cs="Cambria"/>
                <w:color w:val="000000"/>
                <w:sz w:val="20"/>
                <w:szCs w:val="20"/>
              </w:rPr>
            </w:pPr>
            <w:r w:rsidRPr="00C46473">
              <w:rPr>
                <w:rFonts w:ascii="Cambria" w:hAnsi="Cambria" w:cs="Cambria"/>
                <w:color w:val="000000"/>
                <w:sz w:val="20"/>
                <w:szCs w:val="20"/>
              </w:rPr>
              <w:t>The parties hereby agree that the ceremony will be held within the three months following the date on which the present agreement is signed.</w:t>
            </w:r>
          </w:p>
          <w:p w14:paraId="77D74530" w14:textId="77777777" w:rsidR="004C3C70" w:rsidRPr="00C46473" w:rsidRDefault="004C3C70" w:rsidP="00534A0C">
            <w:pPr>
              <w:ind w:hanging="18"/>
              <w:jc w:val="both"/>
              <w:rPr>
                <w:rFonts w:ascii="Cambria" w:hAnsi="Cambria" w:cs="Cambria"/>
                <w:color w:val="000000"/>
                <w:sz w:val="20"/>
                <w:szCs w:val="20"/>
              </w:rPr>
            </w:pPr>
            <w:r w:rsidRPr="00C46473">
              <w:rPr>
                <w:rFonts w:ascii="Cambria" w:hAnsi="Cambria" w:cs="Cambria"/>
                <w:color w:val="000000"/>
                <w:sz w:val="20"/>
                <w:szCs w:val="20"/>
              </w:rPr>
              <w:t xml:space="preserve">b) The parties agree that the private ceremony will take place at the premises now home to the Ministry of the Interior; the precise date, program and time of the ceremony shall be determined in due course. </w:t>
            </w:r>
          </w:p>
          <w:p w14:paraId="18862DF6" w14:textId="77777777" w:rsidR="004C3C70" w:rsidRPr="00C46473" w:rsidRDefault="004C3C70" w:rsidP="00534A0C">
            <w:pPr>
              <w:tabs>
                <w:tab w:val="left" w:pos="372"/>
              </w:tabs>
              <w:ind w:hanging="18"/>
              <w:jc w:val="both"/>
              <w:rPr>
                <w:rFonts w:ascii="Cambria" w:hAnsi="Cambria" w:cs="Cambria"/>
                <w:color w:val="000000"/>
                <w:sz w:val="20"/>
                <w:szCs w:val="20"/>
              </w:rPr>
            </w:pPr>
            <w:r w:rsidRPr="00C46473">
              <w:rPr>
                <w:rFonts w:ascii="Cambria" w:hAnsi="Cambria" w:cs="Cambria"/>
                <w:color w:val="000000"/>
                <w:sz w:val="20"/>
                <w:szCs w:val="20"/>
              </w:rPr>
              <w:t>c) At the specific request of the victim’s relatives, the State pledges not to disclose the information contained in the present Agreement; accordingly, the parties shall also ask the Honorable Inter-American Commission on Human Rights that at the appropriate time, it acknowledge the State’s compliance with the commitments undertaken in the present case, without disclosing the details</w:t>
            </w:r>
          </w:p>
        </w:tc>
        <w:tc>
          <w:tcPr>
            <w:tcW w:w="1987" w:type="dxa"/>
            <w:vAlign w:val="center"/>
          </w:tcPr>
          <w:p w14:paraId="6E9E0304" w14:textId="77777777" w:rsidR="004C3C70" w:rsidRPr="00C46473" w:rsidRDefault="004C3C70" w:rsidP="00534A0C">
            <w:pPr>
              <w:pStyle w:val="Default"/>
              <w:jc w:val="center"/>
              <w:rPr>
                <w:rFonts w:ascii="Cambria" w:eastAsia="MS Mincho" w:hAnsi="Cambria" w:cs="Calibri"/>
                <w:sz w:val="20"/>
                <w:szCs w:val="20"/>
              </w:rPr>
            </w:pPr>
            <w:r w:rsidRPr="00C46473">
              <w:rPr>
                <w:rFonts w:ascii="Cambria" w:hAnsi="Cambria" w:cs="Cambria"/>
                <w:b/>
                <w:bCs/>
                <w:sz w:val="20"/>
                <w:szCs w:val="20"/>
              </w:rPr>
              <w:t>Total</w:t>
            </w:r>
            <w:r w:rsidRPr="00C46473">
              <w:rPr>
                <w:rStyle w:val="FootnoteReference"/>
                <w:rFonts w:ascii="Cambria" w:hAnsi="Cambria" w:cs="Cambria"/>
                <w:b/>
                <w:bCs/>
                <w:sz w:val="20"/>
                <w:szCs w:val="20"/>
              </w:rPr>
              <w:footnoteReference w:id="1"/>
            </w:r>
          </w:p>
        </w:tc>
      </w:tr>
      <w:tr w:rsidR="004C3C70" w:rsidRPr="00C46473" w14:paraId="12E882F2" w14:textId="77777777" w:rsidTr="00534A0C">
        <w:trPr>
          <w:trHeight w:val="350"/>
        </w:trPr>
        <w:tc>
          <w:tcPr>
            <w:tcW w:w="7373" w:type="dxa"/>
            <w:vAlign w:val="center"/>
          </w:tcPr>
          <w:p w14:paraId="32089AE2" w14:textId="77777777" w:rsidR="004C3C70" w:rsidRPr="00C46473" w:rsidRDefault="004C3C70" w:rsidP="00534A0C">
            <w:pPr>
              <w:ind w:hanging="18"/>
              <w:jc w:val="both"/>
              <w:rPr>
                <w:rFonts w:ascii="Cambria" w:hAnsi="Cambria" w:cs="Cambria"/>
                <w:b/>
                <w:bCs/>
                <w:color w:val="000000"/>
                <w:sz w:val="20"/>
                <w:szCs w:val="20"/>
              </w:rPr>
            </w:pPr>
            <w:r w:rsidRPr="00C46473">
              <w:rPr>
                <w:rFonts w:ascii="Cambria" w:hAnsi="Cambria" w:cs="Cambria"/>
                <w:b/>
                <w:bCs/>
                <w:color w:val="000000"/>
                <w:sz w:val="20"/>
                <w:szCs w:val="20"/>
              </w:rPr>
              <w:t>3. Measures to pay tribute to the memory of the victim</w:t>
            </w:r>
          </w:p>
          <w:p w14:paraId="0F2A90B1" w14:textId="77777777" w:rsidR="004C3C70" w:rsidRPr="00C46473" w:rsidRDefault="004C3C70" w:rsidP="00534A0C">
            <w:pPr>
              <w:ind w:hanging="18"/>
              <w:jc w:val="both"/>
              <w:rPr>
                <w:rFonts w:ascii="Cambria" w:hAnsi="Cambria" w:cs="Cambria"/>
                <w:color w:val="000000"/>
                <w:sz w:val="20"/>
                <w:szCs w:val="20"/>
              </w:rPr>
            </w:pPr>
            <w:r w:rsidRPr="00C46473">
              <w:rPr>
                <w:rFonts w:ascii="Cambria" w:hAnsi="Cambria" w:cs="Cambria"/>
                <w:color w:val="000000"/>
                <w:sz w:val="20"/>
                <w:szCs w:val="20"/>
              </w:rPr>
              <w:t>d) The State pledges to place and unveil a commemorative plaque in memory of the victim at the residence […]; the material for and content of the plaque shall be determined by agreement with his relatives.</w:t>
            </w:r>
          </w:p>
        </w:tc>
        <w:tc>
          <w:tcPr>
            <w:tcW w:w="1987" w:type="dxa"/>
            <w:vAlign w:val="center"/>
          </w:tcPr>
          <w:p w14:paraId="6EFD9FCE" w14:textId="77777777" w:rsidR="004C3C70" w:rsidRPr="00C46473" w:rsidRDefault="004C3C70" w:rsidP="00534A0C">
            <w:pPr>
              <w:jc w:val="center"/>
              <w:rPr>
                <w:rFonts w:ascii="Cambria" w:hAnsi="Cambria" w:cs="Cambria"/>
                <w:b/>
                <w:bCs/>
                <w:color w:val="000000"/>
                <w:sz w:val="20"/>
                <w:szCs w:val="20"/>
              </w:rPr>
            </w:pPr>
            <w:r w:rsidRPr="00C46473">
              <w:rPr>
                <w:rFonts w:ascii="Cambria" w:hAnsi="Cambria" w:cs="Cambria"/>
                <w:b/>
                <w:bCs/>
                <w:color w:val="000000"/>
                <w:sz w:val="20"/>
                <w:szCs w:val="20"/>
              </w:rPr>
              <w:t>Total</w:t>
            </w:r>
            <w:r w:rsidRPr="00C46473">
              <w:rPr>
                <w:rStyle w:val="FootnoteReference"/>
                <w:rFonts w:ascii="Cambria" w:hAnsi="Cambria" w:cs="Cambria"/>
                <w:b/>
                <w:bCs/>
                <w:color w:val="000000"/>
                <w:sz w:val="20"/>
                <w:szCs w:val="20"/>
              </w:rPr>
              <w:footnoteReference w:id="2"/>
            </w:r>
          </w:p>
        </w:tc>
      </w:tr>
      <w:tr w:rsidR="004C3C70" w:rsidRPr="00C46473" w14:paraId="20D831CD" w14:textId="77777777" w:rsidTr="00534A0C">
        <w:trPr>
          <w:trHeight w:val="350"/>
        </w:trPr>
        <w:tc>
          <w:tcPr>
            <w:tcW w:w="7373" w:type="dxa"/>
          </w:tcPr>
          <w:p w14:paraId="7CF440F9" w14:textId="77777777" w:rsidR="004C3C70" w:rsidRPr="00C46473" w:rsidRDefault="004C3C70" w:rsidP="00534A0C">
            <w:pPr>
              <w:ind w:hanging="18"/>
              <w:jc w:val="both"/>
              <w:rPr>
                <w:rFonts w:ascii="Cambria" w:hAnsi="Cambria" w:cs="Cambria"/>
                <w:color w:val="000000"/>
                <w:sz w:val="20"/>
                <w:szCs w:val="20"/>
              </w:rPr>
            </w:pPr>
            <w:r w:rsidRPr="00C46473">
              <w:rPr>
                <w:rFonts w:ascii="Cambria" w:hAnsi="Cambria" w:cs="Cambria"/>
                <w:color w:val="000000"/>
                <w:sz w:val="20"/>
                <w:szCs w:val="20"/>
              </w:rPr>
              <w:t xml:space="preserve">e) The State pledges to make arrangements with the University of San Carlos de Guatemala, to obtain books and videos documenting the history of Mario Alioto López Sánchez’ struggle, which will be turned over to the victim’s relatives for preservation. </w:t>
            </w:r>
          </w:p>
        </w:tc>
        <w:tc>
          <w:tcPr>
            <w:tcW w:w="1987" w:type="dxa"/>
            <w:vAlign w:val="center"/>
          </w:tcPr>
          <w:p w14:paraId="416D801A" w14:textId="77777777" w:rsidR="004C3C70" w:rsidRPr="00C46473" w:rsidRDefault="004C3C70" w:rsidP="00534A0C">
            <w:pPr>
              <w:spacing w:before="120"/>
              <w:jc w:val="center"/>
              <w:rPr>
                <w:rFonts w:ascii="Cambria" w:hAnsi="Cambria" w:cs="Cambria"/>
                <w:color w:val="000000"/>
                <w:sz w:val="20"/>
                <w:szCs w:val="20"/>
              </w:rPr>
            </w:pPr>
            <w:r w:rsidRPr="00C46473">
              <w:rPr>
                <w:rFonts w:ascii="Cambria" w:hAnsi="Cambria" w:cs="Cambria"/>
                <w:b/>
                <w:bCs/>
                <w:color w:val="000000"/>
                <w:sz w:val="20"/>
                <w:szCs w:val="20"/>
              </w:rPr>
              <w:t>Total</w:t>
            </w:r>
            <w:r w:rsidRPr="00C46473">
              <w:rPr>
                <w:rStyle w:val="FootnoteReference"/>
                <w:rFonts w:ascii="Cambria" w:hAnsi="Cambria" w:cs="Cambria"/>
                <w:b/>
                <w:bCs/>
                <w:color w:val="000000"/>
                <w:sz w:val="20"/>
                <w:szCs w:val="20"/>
              </w:rPr>
              <w:footnoteReference w:id="3"/>
            </w:r>
          </w:p>
        </w:tc>
      </w:tr>
      <w:tr w:rsidR="004C3C70" w:rsidRPr="00C46473" w14:paraId="16B26A93" w14:textId="77777777" w:rsidTr="00534A0C">
        <w:trPr>
          <w:trHeight w:val="350"/>
        </w:trPr>
        <w:tc>
          <w:tcPr>
            <w:tcW w:w="7373" w:type="dxa"/>
            <w:vAlign w:val="center"/>
          </w:tcPr>
          <w:p w14:paraId="20FB3C79" w14:textId="77777777" w:rsidR="004C3C70" w:rsidRPr="00C46473" w:rsidRDefault="004C3C70" w:rsidP="00534A0C">
            <w:pPr>
              <w:ind w:hanging="18"/>
              <w:jc w:val="both"/>
              <w:rPr>
                <w:rFonts w:ascii="Cambria" w:hAnsi="Cambria" w:cs="Cambria"/>
                <w:b/>
                <w:bCs/>
                <w:color w:val="000000"/>
                <w:sz w:val="20"/>
                <w:szCs w:val="20"/>
              </w:rPr>
            </w:pPr>
            <w:r w:rsidRPr="00C46473">
              <w:rPr>
                <w:rFonts w:ascii="Cambria" w:hAnsi="Cambria" w:cs="Cambria"/>
                <w:b/>
                <w:bCs/>
                <w:color w:val="000000"/>
                <w:sz w:val="20"/>
                <w:szCs w:val="20"/>
              </w:rPr>
              <w:t>4. Economic Reparations</w:t>
            </w:r>
          </w:p>
          <w:p w14:paraId="614BADDF" w14:textId="77777777" w:rsidR="004C3C70" w:rsidRPr="00C46473" w:rsidRDefault="004C3C70" w:rsidP="00534A0C">
            <w:pPr>
              <w:ind w:hanging="18"/>
              <w:jc w:val="both"/>
              <w:rPr>
                <w:rFonts w:ascii="Cambria" w:hAnsi="Cambria" w:cs="Cambria"/>
                <w:color w:val="000000"/>
                <w:sz w:val="20"/>
                <w:szCs w:val="20"/>
              </w:rPr>
            </w:pPr>
            <w:r w:rsidRPr="00C46473">
              <w:rPr>
                <w:rFonts w:ascii="Cambria" w:hAnsi="Cambria" w:cs="Cambria"/>
                <w:color w:val="000000"/>
                <w:sz w:val="20"/>
                <w:szCs w:val="20"/>
              </w:rPr>
              <w:t>a) The State recognizes that acknowledging international responsibility for violation of the victim’s human rights protected under the American Convention on Human Rights, implies a responsibility to pay just compensation to the petitioners according to the criteria that the parties mutually agree upon and the parameters established by domestic and international law.</w:t>
            </w:r>
          </w:p>
          <w:p w14:paraId="2F5A1B88" w14:textId="77777777" w:rsidR="004C3C70" w:rsidRPr="00C46473" w:rsidRDefault="004C3C70" w:rsidP="00534A0C">
            <w:pPr>
              <w:ind w:hanging="18"/>
              <w:jc w:val="both"/>
              <w:rPr>
                <w:rFonts w:ascii="Cambria" w:hAnsi="Cambria" w:cs="Cambria"/>
                <w:color w:val="000000"/>
                <w:sz w:val="20"/>
                <w:szCs w:val="20"/>
              </w:rPr>
            </w:pPr>
            <w:r w:rsidRPr="00C46473">
              <w:rPr>
                <w:rFonts w:ascii="Cambria" w:hAnsi="Cambria" w:cs="Cambria"/>
                <w:color w:val="000000"/>
                <w:sz w:val="20"/>
                <w:szCs w:val="20"/>
              </w:rPr>
              <w:lastRenderedPageBreak/>
              <w:t>The State, through COPREDEH and in accordance with the actuarial study prepared by an expert on April 27, 2011, pledges to pay monetary compensation for a […] which breaks down as follows:</w:t>
            </w:r>
          </w:p>
          <w:p w14:paraId="2EDEE9E1" w14:textId="77777777" w:rsidR="004C3C70" w:rsidRPr="00C46473" w:rsidRDefault="004C3C70" w:rsidP="00534A0C">
            <w:pPr>
              <w:ind w:hanging="18"/>
              <w:jc w:val="both"/>
              <w:rPr>
                <w:rFonts w:ascii="Cambria" w:hAnsi="Cambria" w:cs="Cambria"/>
                <w:b/>
                <w:bCs/>
                <w:color w:val="000000"/>
                <w:sz w:val="20"/>
                <w:szCs w:val="20"/>
              </w:rPr>
            </w:pPr>
            <w:r w:rsidRPr="00C46473">
              <w:rPr>
                <w:rFonts w:ascii="Cambria" w:hAnsi="Cambria" w:cs="Cambria"/>
                <w:color w:val="000000"/>
                <w:sz w:val="20"/>
                <w:szCs w:val="20"/>
              </w:rPr>
              <w:t xml:space="preserve"> […]</w:t>
            </w:r>
            <w:r w:rsidRPr="00C46473">
              <w:rPr>
                <w:rStyle w:val="FootnoteReference"/>
                <w:rFonts w:ascii="Cambria" w:hAnsi="Cambria" w:cs="Cambria"/>
                <w:color w:val="000000"/>
                <w:sz w:val="20"/>
                <w:szCs w:val="20"/>
              </w:rPr>
              <w:footnoteReference w:id="4"/>
            </w:r>
          </w:p>
        </w:tc>
        <w:tc>
          <w:tcPr>
            <w:tcW w:w="1987" w:type="dxa"/>
            <w:vAlign w:val="center"/>
          </w:tcPr>
          <w:p w14:paraId="38BF1C6E" w14:textId="77777777" w:rsidR="004C3C70" w:rsidRPr="00C46473" w:rsidRDefault="004C3C70" w:rsidP="00534A0C">
            <w:pPr>
              <w:pStyle w:val="Default"/>
              <w:jc w:val="center"/>
              <w:rPr>
                <w:rFonts w:ascii="Cambria" w:eastAsia="MS Mincho" w:hAnsi="Cambria" w:cs="Calibri"/>
                <w:sz w:val="20"/>
                <w:szCs w:val="20"/>
              </w:rPr>
            </w:pPr>
            <w:r w:rsidRPr="00C46473">
              <w:rPr>
                <w:rFonts w:ascii="Cambria" w:hAnsi="Cambria" w:cs="Cambria"/>
                <w:b/>
                <w:bCs/>
                <w:sz w:val="20"/>
                <w:szCs w:val="20"/>
              </w:rPr>
              <w:lastRenderedPageBreak/>
              <w:t>Total</w:t>
            </w:r>
            <w:r w:rsidRPr="00C46473">
              <w:rPr>
                <w:rStyle w:val="FootnoteReference"/>
                <w:rFonts w:ascii="Cambria" w:eastAsia="MS Mincho" w:hAnsi="Cambria" w:cs="Calibri"/>
                <w:b/>
                <w:bCs/>
                <w:sz w:val="20"/>
                <w:szCs w:val="20"/>
              </w:rPr>
              <w:footnoteReference w:id="5"/>
            </w:r>
          </w:p>
        </w:tc>
      </w:tr>
      <w:tr w:rsidR="004C3C70" w:rsidRPr="00C46473" w14:paraId="449A1906" w14:textId="77777777" w:rsidTr="00534A0C">
        <w:trPr>
          <w:trHeight w:val="350"/>
        </w:trPr>
        <w:tc>
          <w:tcPr>
            <w:tcW w:w="7373" w:type="dxa"/>
          </w:tcPr>
          <w:p w14:paraId="55AF4F3C" w14:textId="77777777" w:rsidR="004C3C70" w:rsidRPr="00C46473" w:rsidRDefault="004C3C70" w:rsidP="00534A0C">
            <w:pPr>
              <w:ind w:hanging="18"/>
              <w:jc w:val="both"/>
              <w:rPr>
                <w:rFonts w:ascii="Cambria" w:hAnsi="Cambria" w:cs="Cambria"/>
                <w:b/>
                <w:bCs/>
                <w:color w:val="000000"/>
                <w:sz w:val="20"/>
                <w:szCs w:val="20"/>
              </w:rPr>
            </w:pPr>
            <w:r w:rsidRPr="00C46473">
              <w:rPr>
                <w:rFonts w:ascii="Cambria" w:hAnsi="Cambria" w:cs="Cambria"/>
                <w:b/>
                <w:bCs/>
                <w:color w:val="000000"/>
                <w:sz w:val="20"/>
                <w:szCs w:val="20"/>
              </w:rPr>
              <w:t>5 Investigation, trial and punishment of the guilty parties</w:t>
            </w:r>
          </w:p>
          <w:p w14:paraId="417F95BA" w14:textId="77777777" w:rsidR="004C3C70" w:rsidRPr="00C46473" w:rsidRDefault="004C3C70" w:rsidP="00534A0C">
            <w:pPr>
              <w:ind w:hanging="18"/>
              <w:jc w:val="both"/>
              <w:rPr>
                <w:rFonts w:ascii="Cambria" w:hAnsi="Cambria" w:cs="Cambria"/>
                <w:b/>
                <w:bCs/>
                <w:color w:val="000000"/>
                <w:sz w:val="20"/>
                <w:szCs w:val="20"/>
              </w:rPr>
            </w:pPr>
          </w:p>
          <w:p w14:paraId="569FCDBF" w14:textId="77777777" w:rsidR="004C3C70" w:rsidRPr="00C46473" w:rsidRDefault="004C3C70" w:rsidP="00534A0C">
            <w:pPr>
              <w:ind w:hanging="18"/>
              <w:jc w:val="both"/>
              <w:rPr>
                <w:rFonts w:ascii="Cambria" w:hAnsi="Cambria" w:cs="Cambria"/>
                <w:color w:val="000000"/>
                <w:sz w:val="20"/>
                <w:szCs w:val="20"/>
              </w:rPr>
            </w:pPr>
            <w:r w:rsidRPr="00C46473">
              <w:rPr>
                <w:rFonts w:ascii="Cambria" w:hAnsi="Cambria" w:cs="Cambria"/>
                <w:color w:val="000000"/>
                <w:sz w:val="20"/>
                <w:szCs w:val="20"/>
              </w:rPr>
              <w:t xml:space="preserve">The Guatemalan State pledges to pursue, through the appropriate institutions, the investigation, prosecution and punishment of those persons against whom criminal proceedings have been instituted and who stand accused in the death of Mario Alioto López Sánchez; it also pledges to pursue the present case in the Justice Promotion Committee </w:t>
            </w:r>
            <w:r w:rsidRPr="00C46473">
              <w:rPr>
                <w:rFonts w:ascii="Cambria" w:hAnsi="Cambria" w:cs="Cambria"/>
                <w:i/>
                <w:iCs/>
                <w:color w:val="000000"/>
                <w:sz w:val="20"/>
                <w:szCs w:val="20"/>
              </w:rPr>
              <w:t>[Comité de Impulso].</w:t>
            </w:r>
          </w:p>
          <w:p w14:paraId="4BA4F5AC" w14:textId="77777777" w:rsidR="004C3C70" w:rsidRPr="00C46473" w:rsidRDefault="004C3C70" w:rsidP="00534A0C">
            <w:pPr>
              <w:ind w:hanging="18"/>
              <w:jc w:val="both"/>
              <w:rPr>
                <w:rFonts w:ascii="Cambria" w:hAnsi="Cambria" w:cs="Cambria"/>
                <w:color w:val="000000"/>
                <w:sz w:val="20"/>
                <w:szCs w:val="20"/>
              </w:rPr>
            </w:pPr>
          </w:p>
          <w:p w14:paraId="1271A6CC" w14:textId="77777777" w:rsidR="004C3C70" w:rsidRPr="00C46473" w:rsidRDefault="004C3C70" w:rsidP="00534A0C">
            <w:pPr>
              <w:ind w:hanging="18"/>
              <w:jc w:val="both"/>
              <w:rPr>
                <w:rFonts w:ascii="Cambria" w:hAnsi="Cambria" w:cs="Cambria"/>
                <w:color w:val="000000"/>
                <w:sz w:val="20"/>
                <w:szCs w:val="20"/>
              </w:rPr>
            </w:pPr>
            <w:r w:rsidRPr="00C46473">
              <w:rPr>
                <w:rFonts w:ascii="Cambria" w:hAnsi="Cambria" w:cs="Cambria"/>
                <w:color w:val="000000"/>
                <w:sz w:val="20"/>
                <w:szCs w:val="20"/>
              </w:rPr>
              <w:t xml:space="preserve">The Guatemalan State pledges to convene the Justice Promotion Committee </w:t>
            </w:r>
            <w:r w:rsidRPr="00C46473">
              <w:rPr>
                <w:rFonts w:ascii="Cambria" w:hAnsi="Cambria" w:cs="Cambria"/>
                <w:i/>
                <w:iCs/>
                <w:color w:val="000000"/>
                <w:sz w:val="20"/>
                <w:szCs w:val="20"/>
              </w:rPr>
              <w:t xml:space="preserve">[Comité de Impulso] </w:t>
            </w:r>
            <w:r w:rsidRPr="00C46473">
              <w:rPr>
                <w:rFonts w:ascii="Cambria" w:hAnsi="Cambria" w:cs="Cambria"/>
                <w:color w:val="000000"/>
                <w:sz w:val="20"/>
                <w:szCs w:val="20"/>
              </w:rPr>
              <w:t>every four months for the purpose of submitting a report on the progress made in the investigation. That report will be forwarded to the Inter-American Commission on Human Rights, to the legal representatives in the case, and to the victim’s relatives.</w:t>
            </w:r>
          </w:p>
        </w:tc>
        <w:tc>
          <w:tcPr>
            <w:tcW w:w="1987" w:type="dxa"/>
            <w:vAlign w:val="center"/>
          </w:tcPr>
          <w:p w14:paraId="2D189563" w14:textId="77777777" w:rsidR="004C3C70" w:rsidRPr="006B01CD" w:rsidRDefault="004C3C70" w:rsidP="00534A0C">
            <w:pPr>
              <w:jc w:val="center"/>
              <w:rPr>
                <w:rFonts w:ascii="Cambria" w:eastAsia="Calibri" w:hAnsi="Cambria" w:cs="Cambria"/>
                <w:b/>
                <w:bCs/>
                <w:color w:val="000000"/>
                <w:sz w:val="20"/>
                <w:szCs w:val="20"/>
              </w:rPr>
            </w:pPr>
            <w:r w:rsidRPr="00C46473">
              <w:rPr>
                <w:rFonts w:ascii="Cambria" w:hAnsi="Cambria" w:cs="Cambria"/>
                <w:b/>
                <w:bCs/>
                <w:color w:val="000000"/>
                <w:sz w:val="20"/>
                <w:szCs w:val="20"/>
              </w:rPr>
              <w:t>Total</w:t>
            </w:r>
            <w:r>
              <w:rPr>
                <w:rStyle w:val="FootnoteReference"/>
                <w:rFonts w:ascii="Cambria" w:hAnsi="Cambria" w:cs="Cambria"/>
                <w:b/>
                <w:bCs/>
                <w:color w:val="000000"/>
                <w:sz w:val="20"/>
                <w:szCs w:val="20"/>
              </w:rPr>
              <w:footnoteReference w:id="6"/>
            </w:r>
          </w:p>
          <w:p w14:paraId="2327B010" w14:textId="77777777" w:rsidR="004C3C70" w:rsidRPr="00C46473" w:rsidRDefault="004C3C70" w:rsidP="00534A0C">
            <w:pPr>
              <w:spacing w:before="120"/>
              <w:jc w:val="both"/>
              <w:rPr>
                <w:rFonts w:ascii="Cambria" w:hAnsi="Cambria" w:cs="Cambria"/>
                <w:color w:val="000000"/>
                <w:sz w:val="20"/>
                <w:szCs w:val="20"/>
              </w:rPr>
            </w:pPr>
          </w:p>
        </w:tc>
      </w:tr>
    </w:tbl>
    <w:p w14:paraId="570310D3" w14:textId="77777777" w:rsidR="00EE2B3B" w:rsidRPr="003F7365" w:rsidRDefault="00EE2B3B" w:rsidP="00EE2B3B">
      <w:pPr>
        <w:pStyle w:val="ListParagraph"/>
        <w:jc w:val="both"/>
        <w:rPr>
          <w:rFonts w:ascii="Cambria" w:hAnsi="Cambria" w:cs="Calibri Light"/>
          <w:b/>
          <w:color w:val="000000"/>
          <w:sz w:val="20"/>
          <w:szCs w:val="20"/>
        </w:rPr>
      </w:pPr>
    </w:p>
    <w:p w14:paraId="23CE78ED" w14:textId="77777777" w:rsidR="00EE2B3B" w:rsidRPr="003F7365" w:rsidRDefault="00EE2B3B" w:rsidP="00EE2B3B">
      <w:pPr>
        <w:contextualSpacing/>
        <w:jc w:val="both"/>
        <w:rPr>
          <w:rFonts w:ascii="Cambria" w:hAnsi="Cambria" w:cs="Calibri Light"/>
          <w:color w:val="000000"/>
          <w:sz w:val="20"/>
          <w:szCs w:val="20"/>
        </w:rPr>
      </w:pPr>
    </w:p>
    <w:p w14:paraId="4301E707" w14:textId="77777777" w:rsidR="00EE2B3B" w:rsidRPr="003F7365" w:rsidRDefault="00EE2B3B" w:rsidP="00EE2B3B">
      <w:pPr>
        <w:numPr>
          <w:ilvl w:val="0"/>
          <w:numId w:val="1"/>
        </w:numPr>
        <w:ind w:left="0" w:firstLine="720"/>
        <w:contextualSpacing/>
        <w:jc w:val="both"/>
        <w:rPr>
          <w:rFonts w:ascii="Cambria" w:hAnsi="Cambria" w:cs="Calibri Light"/>
          <w:color w:val="000000"/>
          <w:sz w:val="20"/>
          <w:szCs w:val="20"/>
        </w:rPr>
      </w:pPr>
      <w:r w:rsidRPr="003F7365">
        <w:rPr>
          <w:rFonts w:ascii="Cambria" w:hAnsi="Cambria"/>
          <w:b/>
          <w:color w:val="000000"/>
          <w:sz w:val="20"/>
          <w:szCs w:val="20"/>
        </w:rPr>
        <w:t>LEVEL OF COMPLIANCE OF THE CASE</w:t>
      </w:r>
    </w:p>
    <w:p w14:paraId="3B08C399"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5A448611" w14:textId="1C53CB62" w:rsidR="00EE2B3B" w:rsidRPr="003F7365" w:rsidRDefault="00EE2B3B" w:rsidP="00EE2B3B">
      <w:pPr>
        <w:pStyle w:val="ListParagraph"/>
        <w:numPr>
          <w:ilvl w:val="0"/>
          <w:numId w:val="2"/>
        </w:numPr>
        <w:ind w:left="0" w:firstLine="720"/>
        <w:jc w:val="both"/>
        <w:rPr>
          <w:rFonts w:ascii="Cambria" w:hAnsi="Cambria" w:cs="Calibri Light"/>
          <w:color w:val="000000"/>
          <w:sz w:val="20"/>
          <w:szCs w:val="20"/>
        </w:rPr>
      </w:pPr>
      <w:r w:rsidRPr="003F7365">
        <w:rPr>
          <w:rFonts w:ascii="Cambria" w:hAnsi="Cambria"/>
          <w:color w:val="000000"/>
          <w:sz w:val="20"/>
          <w:szCs w:val="20"/>
        </w:rPr>
        <w:t xml:space="preserve"> </w:t>
      </w:r>
      <w:r w:rsidRPr="00EE2B3B">
        <w:rPr>
          <w:rFonts w:ascii="Cambria" w:hAnsi="Cambria"/>
          <w:color w:val="000000"/>
          <w:sz w:val="20"/>
          <w:szCs w:val="20"/>
        </w:rPr>
        <w:t xml:space="preserve">The Commission declared full compliance with the case and the ceasing of the </w:t>
      </w:r>
      <w:r w:rsidR="005A5A31" w:rsidRPr="00EE2B3B">
        <w:rPr>
          <w:rFonts w:ascii="Cambria" w:hAnsi="Cambria"/>
          <w:color w:val="000000"/>
          <w:sz w:val="20"/>
          <w:szCs w:val="20"/>
        </w:rPr>
        <w:t>follow-up</w:t>
      </w:r>
      <w:r w:rsidRPr="00EE2B3B">
        <w:rPr>
          <w:rFonts w:ascii="Cambria" w:hAnsi="Cambria"/>
          <w:color w:val="000000"/>
          <w:sz w:val="20"/>
          <w:szCs w:val="20"/>
        </w:rPr>
        <w:t xml:space="preserve"> of the friendly settlement agreement in the 202</w:t>
      </w:r>
      <w:r>
        <w:rPr>
          <w:rFonts w:ascii="Cambria" w:hAnsi="Cambria"/>
          <w:color w:val="000000"/>
          <w:sz w:val="20"/>
          <w:szCs w:val="20"/>
        </w:rPr>
        <w:t>2</w:t>
      </w:r>
      <w:r w:rsidRPr="00EE2B3B">
        <w:rPr>
          <w:rFonts w:ascii="Cambria" w:hAnsi="Cambria"/>
          <w:color w:val="000000"/>
          <w:sz w:val="20"/>
          <w:szCs w:val="20"/>
        </w:rPr>
        <w:t xml:space="preserve"> Annual Report.</w:t>
      </w:r>
    </w:p>
    <w:p w14:paraId="286AE1D0" w14:textId="77777777" w:rsidR="00EE2B3B" w:rsidRPr="003F7365" w:rsidRDefault="00EE2B3B" w:rsidP="00EE2B3B">
      <w:pPr>
        <w:autoSpaceDE w:val="0"/>
        <w:autoSpaceDN w:val="0"/>
        <w:adjustRightInd w:val="0"/>
        <w:jc w:val="both"/>
        <w:rPr>
          <w:rFonts w:ascii="Cambria" w:hAnsi="Cambria"/>
          <w:color w:val="000000"/>
          <w:sz w:val="20"/>
          <w:szCs w:val="20"/>
        </w:rPr>
      </w:pPr>
    </w:p>
    <w:p w14:paraId="2765ADF3"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color w:val="000000"/>
          <w:sz w:val="20"/>
          <w:szCs w:val="20"/>
        </w:rPr>
        <w:t xml:space="preserve">INDIVIDUAL AND STRUCTURAL OUTCOMES OF THE CASE </w:t>
      </w:r>
    </w:p>
    <w:p w14:paraId="02CEFE66"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2B0F921A" w14:textId="77777777" w:rsidR="005B6CF0" w:rsidRPr="00C46473" w:rsidRDefault="005B6CF0" w:rsidP="005B6CF0">
      <w:pPr>
        <w:numPr>
          <w:ilvl w:val="0"/>
          <w:numId w:val="12"/>
        </w:numPr>
        <w:ind w:left="0" w:firstLine="720"/>
        <w:jc w:val="both"/>
        <w:rPr>
          <w:rFonts w:ascii="Cambria" w:hAnsi="Cambria" w:cs="Cambria"/>
          <w:b/>
          <w:bCs/>
          <w:color w:val="000000"/>
          <w:sz w:val="20"/>
          <w:szCs w:val="20"/>
        </w:rPr>
      </w:pPr>
      <w:r w:rsidRPr="00C46473">
        <w:rPr>
          <w:rFonts w:ascii="Cambria" w:hAnsi="Cambria" w:cs="Cambria"/>
          <w:b/>
          <w:bCs/>
          <w:color w:val="000000"/>
          <w:sz w:val="20"/>
          <w:szCs w:val="20"/>
        </w:rPr>
        <w:t>Individual outcomes of the case</w:t>
      </w:r>
    </w:p>
    <w:p w14:paraId="0F64C0E5" w14:textId="77777777" w:rsidR="005B6CF0" w:rsidRPr="00C46473" w:rsidRDefault="005B6CF0" w:rsidP="005B6CF0">
      <w:pPr>
        <w:ind w:firstLine="720"/>
        <w:jc w:val="both"/>
        <w:rPr>
          <w:rFonts w:ascii="Cambria" w:hAnsi="Cambria" w:cs="Cambria"/>
          <w:b/>
          <w:bCs/>
          <w:color w:val="000000"/>
          <w:sz w:val="20"/>
          <w:szCs w:val="20"/>
        </w:rPr>
      </w:pPr>
    </w:p>
    <w:p w14:paraId="2748D5AD" w14:textId="77777777" w:rsidR="005B6CF0" w:rsidRPr="00C46473" w:rsidRDefault="005B6CF0" w:rsidP="005B6CF0">
      <w:pPr>
        <w:pStyle w:val="Default"/>
        <w:numPr>
          <w:ilvl w:val="0"/>
          <w:numId w:val="10"/>
        </w:numPr>
        <w:ind w:left="1440" w:hanging="720"/>
        <w:jc w:val="both"/>
        <w:rPr>
          <w:rFonts w:ascii="Cambria" w:eastAsia="MS Mincho" w:hAnsi="Cambria" w:cs="Calibri"/>
          <w:sz w:val="20"/>
          <w:szCs w:val="20"/>
        </w:rPr>
      </w:pPr>
      <w:r w:rsidRPr="00C46473">
        <w:rPr>
          <w:rFonts w:ascii="Cambria" w:eastAsia="MS Mincho" w:hAnsi="Cambria" w:cs="Cambria"/>
          <w:sz w:val="20"/>
          <w:szCs w:val="20"/>
        </w:rPr>
        <w:t>The State recognized its responsibility and apologized to the family of Mario Alioto López Sánchez.</w:t>
      </w:r>
    </w:p>
    <w:p w14:paraId="303A2870" w14:textId="77777777" w:rsidR="005B6CF0" w:rsidRPr="00C46473" w:rsidRDefault="005B6CF0" w:rsidP="005B6CF0">
      <w:pPr>
        <w:pStyle w:val="Default"/>
        <w:numPr>
          <w:ilvl w:val="0"/>
          <w:numId w:val="10"/>
        </w:numPr>
        <w:ind w:left="1440" w:hanging="720"/>
        <w:jc w:val="both"/>
        <w:rPr>
          <w:rFonts w:ascii="Cambria" w:hAnsi="Cambria" w:cs="Cambria"/>
          <w:sz w:val="20"/>
          <w:szCs w:val="20"/>
        </w:rPr>
      </w:pPr>
      <w:r w:rsidRPr="00C46473">
        <w:rPr>
          <w:rFonts w:ascii="Cambria" w:eastAsia="MS Mincho" w:hAnsi="Cambria" w:cs="Cambria"/>
          <w:sz w:val="20"/>
          <w:szCs w:val="20"/>
        </w:rPr>
        <w:t>The Full amount agreed upon as financial reparation for each of the beneficiaries was paid.</w:t>
      </w:r>
    </w:p>
    <w:p w14:paraId="422E1B51" w14:textId="77777777" w:rsidR="005B6CF0" w:rsidRPr="00C46473" w:rsidRDefault="005B6CF0" w:rsidP="005B6CF0">
      <w:pPr>
        <w:ind w:left="1440"/>
        <w:jc w:val="both"/>
        <w:rPr>
          <w:rFonts w:ascii="Cambria" w:eastAsia="MS Mincho" w:hAnsi="Cambria" w:cs="Cambria"/>
          <w:sz w:val="20"/>
          <w:szCs w:val="20"/>
        </w:rPr>
      </w:pPr>
      <w:r w:rsidRPr="00C46473">
        <w:rPr>
          <w:rFonts w:ascii="Cambria" w:eastAsia="MS Mincho" w:hAnsi="Cambria" w:cs="Cambria"/>
          <w:sz w:val="20"/>
          <w:szCs w:val="20"/>
        </w:rPr>
        <w:t>A ceremony was held to unveil the plaque commemorating Mario Alioto López Sánchez.</w:t>
      </w:r>
    </w:p>
    <w:p w14:paraId="7DDAC8F7" w14:textId="77777777" w:rsidR="005B6CF0" w:rsidRPr="00C46473" w:rsidRDefault="005B6CF0" w:rsidP="005B6CF0">
      <w:pPr>
        <w:pStyle w:val="Default"/>
        <w:numPr>
          <w:ilvl w:val="0"/>
          <w:numId w:val="10"/>
        </w:numPr>
        <w:ind w:left="1440" w:hanging="720"/>
        <w:jc w:val="both"/>
        <w:rPr>
          <w:rFonts w:ascii="Cambria" w:eastAsia="MS Mincho" w:hAnsi="Cambria" w:cs="Cambria"/>
          <w:sz w:val="20"/>
          <w:szCs w:val="20"/>
        </w:rPr>
      </w:pPr>
      <w:r w:rsidRPr="00C46473">
        <w:rPr>
          <w:rFonts w:ascii="Cambria" w:eastAsia="MS Mincho" w:hAnsi="Cambria" w:cs="Cambria"/>
          <w:sz w:val="20"/>
          <w:szCs w:val="20"/>
        </w:rPr>
        <w:t>The State identified in the archives of the “Oliverio Castañeda de León” University Students’ Association, information concerning Mario Alioto López Sánchez consisting of: a) documents of 1994 that prove the exchange of letters between several public institutions and the leaders of the AEU; b) declarations made by the AEU on the murder of Student Mario, as well as by the different student associations that are part of the university; c) letters showing solidarity from international institutions, student associations in different countries, as well as letters from individuals requesting the government to investigate the murder and showing their support to the AEU.</w:t>
      </w:r>
    </w:p>
    <w:p w14:paraId="030EAA55" w14:textId="77777777" w:rsidR="005B6CF0" w:rsidRPr="005B6CF0" w:rsidRDefault="005B6CF0" w:rsidP="005B6CF0">
      <w:pPr>
        <w:pStyle w:val="Default"/>
        <w:numPr>
          <w:ilvl w:val="0"/>
          <w:numId w:val="10"/>
        </w:numPr>
        <w:ind w:left="1440" w:hanging="720"/>
        <w:jc w:val="both"/>
        <w:rPr>
          <w:rFonts w:ascii="Cambria" w:hAnsi="Cambria" w:cs="Cambria"/>
          <w:sz w:val="20"/>
          <w:szCs w:val="20"/>
        </w:rPr>
      </w:pPr>
      <w:r w:rsidRPr="00C46473">
        <w:rPr>
          <w:rFonts w:ascii="Cambria" w:eastAsia="MS Mincho" w:hAnsi="Cambria" w:cs="Cambria"/>
          <w:sz w:val="20"/>
          <w:szCs w:val="20"/>
        </w:rPr>
        <w:t>The State urged the Universidad de San Carlos to provide books and videos that show the struggle of Mario Alioto López Sánchez.</w:t>
      </w:r>
    </w:p>
    <w:p w14:paraId="13998905" w14:textId="7CC740D2" w:rsidR="00551343" w:rsidRPr="005B6CF0" w:rsidRDefault="005B6CF0" w:rsidP="005B6CF0">
      <w:pPr>
        <w:pStyle w:val="Default"/>
        <w:numPr>
          <w:ilvl w:val="0"/>
          <w:numId w:val="10"/>
        </w:numPr>
        <w:ind w:left="1440" w:hanging="720"/>
        <w:jc w:val="both"/>
        <w:rPr>
          <w:rFonts w:ascii="Cambria" w:hAnsi="Cambria" w:cs="Cambria"/>
          <w:sz w:val="20"/>
          <w:szCs w:val="20"/>
        </w:rPr>
      </w:pPr>
      <w:r w:rsidRPr="005B6CF0">
        <w:rPr>
          <w:rFonts w:ascii="Cambria" w:eastAsia="MS Mincho" w:hAnsi="Cambria" w:cs="Cambria"/>
          <w:sz w:val="20"/>
          <w:szCs w:val="20"/>
        </w:rPr>
        <w:t>The State promoted the investigation, trial and punishment of the persons involved in criminal proceedings as those allegedly responsible for the death of Mario Alioto López Sánchez and provided the IACHR with information on the steps taken</w:t>
      </w:r>
      <w:r w:rsidRPr="005B6CF0">
        <w:rPr>
          <w:rFonts w:ascii="Cambria" w:hAnsi="Cambria" w:cs="Cambria"/>
          <w:sz w:val="20"/>
          <w:szCs w:val="20"/>
        </w:rPr>
        <w:t>.</w:t>
      </w:r>
    </w:p>
    <w:sectPr w:rsidR="00551343" w:rsidRPr="005B6CF0" w:rsidSect="00EE2B3B">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A381" w14:textId="77777777" w:rsidR="00EE2B3B" w:rsidRDefault="00EE2B3B" w:rsidP="00EE2B3B">
      <w:r>
        <w:separator/>
      </w:r>
    </w:p>
  </w:endnote>
  <w:endnote w:type="continuationSeparator" w:id="0">
    <w:p w14:paraId="5DE23AC5" w14:textId="77777777" w:rsidR="00EE2B3B" w:rsidRDefault="00EE2B3B" w:rsidP="00EE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49D5" w14:textId="1B0D8F23" w:rsidR="00EE2B3B" w:rsidRDefault="00EE2B3B" w:rsidP="00EE2B3B">
    <w:pPr>
      <w:pStyle w:val="Footer"/>
      <w:jc w:val="center"/>
    </w:pPr>
    <w:r>
      <w:rPr>
        <w:noProof/>
      </w:rPr>
      <w:drawing>
        <wp:inline distT="0" distB="0" distL="0" distR="0" wp14:anchorId="716D0634" wp14:editId="040054FF">
          <wp:extent cx="523875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570E" w14:textId="77777777" w:rsidR="00EE2B3B" w:rsidRDefault="00054FFF" w:rsidP="00EE2B3B">
    <w:pPr>
      <w:pStyle w:val="Footer"/>
      <w:spacing w:line="360" w:lineRule="auto"/>
    </w:pPr>
    <w:r>
      <w:pict w14:anchorId="14B294CB">
        <v:rect id="_x0000_i1027" style="width:0;height:1.5pt" o:hralign="center" o:hrstd="t" o:hr="t" fillcolor="#a0a0a0" stroked="f"/>
      </w:pict>
    </w:r>
  </w:p>
  <w:p w14:paraId="33E89147" w14:textId="232012CD" w:rsidR="00EE2B3B" w:rsidRDefault="00EE2B3B" w:rsidP="00EE2B3B">
    <w:pPr>
      <w:pStyle w:val="Footer"/>
      <w:jc w:val="center"/>
    </w:pPr>
    <w:bookmarkStart w:id="2" w:name="_Hlk138256818"/>
    <w:bookmarkStart w:id="3" w:name="_Hlk138256819"/>
    <w:r>
      <w:rPr>
        <w:noProof/>
      </w:rPr>
      <w:drawing>
        <wp:inline distT="0" distB="0" distL="0" distR="0" wp14:anchorId="2202F3A2" wp14:editId="2F018423">
          <wp:extent cx="523875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2CDA" w14:textId="77777777" w:rsidR="00EE2B3B" w:rsidRDefault="00EE2B3B" w:rsidP="00EE2B3B">
      <w:r>
        <w:separator/>
      </w:r>
    </w:p>
  </w:footnote>
  <w:footnote w:type="continuationSeparator" w:id="0">
    <w:p w14:paraId="48D94B4E" w14:textId="77777777" w:rsidR="00EE2B3B" w:rsidRDefault="00EE2B3B" w:rsidP="00EE2B3B">
      <w:r>
        <w:continuationSeparator/>
      </w:r>
    </w:p>
  </w:footnote>
  <w:footnote w:id="1">
    <w:p w14:paraId="66BED265" w14:textId="77777777" w:rsidR="004C3C70" w:rsidRPr="006B01CD" w:rsidRDefault="004C3C70" w:rsidP="004C3C70">
      <w:pPr>
        <w:pStyle w:val="FootnoteText"/>
        <w:ind w:firstLine="720"/>
        <w:jc w:val="both"/>
        <w:rPr>
          <w:rFonts w:ascii="Cambria" w:hAnsi="Cambria"/>
          <w:sz w:val="16"/>
          <w:szCs w:val="16"/>
        </w:rPr>
      </w:pPr>
      <w:r w:rsidRPr="006B01CD">
        <w:rPr>
          <w:rFonts w:ascii="Cambria" w:hAnsi="Cambria" w:cs="Cambria"/>
          <w:sz w:val="16"/>
          <w:szCs w:val="16"/>
        </w:rPr>
        <w:t>IACHR, Report No. 1/12, Case 11.422, Friendly Settlement, Mario Alioto López Sánchez, Guatemala, January 26, 2012.</w:t>
      </w:r>
    </w:p>
  </w:footnote>
  <w:footnote w:id="2">
    <w:p w14:paraId="419A5704" w14:textId="77777777" w:rsidR="004C3C70" w:rsidRPr="006B01CD" w:rsidRDefault="004C3C70" w:rsidP="004C3C70">
      <w:pPr>
        <w:pStyle w:val="FootnoteText"/>
        <w:ind w:firstLine="720"/>
        <w:jc w:val="both"/>
        <w:rPr>
          <w:rFonts w:ascii="Cambria" w:hAnsi="Cambria"/>
          <w:sz w:val="16"/>
          <w:szCs w:val="16"/>
        </w:rPr>
      </w:pPr>
      <w:r w:rsidRPr="006B01CD">
        <w:rPr>
          <w:rStyle w:val="FootnoteReference"/>
          <w:rFonts w:ascii="Cambria" w:hAnsi="Cambria" w:cs="Cambria"/>
          <w:noProof/>
          <w:color w:val="000000"/>
          <w:sz w:val="16"/>
          <w:szCs w:val="16"/>
        </w:rPr>
        <w:footnoteRef/>
      </w:r>
      <w:r w:rsidRPr="006B01CD">
        <w:rPr>
          <w:rFonts w:ascii="Cambria" w:hAnsi="Cambria" w:cs="Cambria"/>
          <w:noProof/>
          <w:color w:val="000000"/>
          <w:sz w:val="16"/>
          <w:szCs w:val="16"/>
        </w:rPr>
        <w:t xml:space="preserve"> IACHR, Report No. 1/12, Case 11.422, Friendly Settlement, Mario Alioto López Sánchez, Guatemala, January 26, 2012.</w:t>
      </w:r>
    </w:p>
  </w:footnote>
  <w:footnote w:id="3">
    <w:p w14:paraId="590904A0" w14:textId="77777777" w:rsidR="004C3C70" w:rsidRPr="006B01CD" w:rsidRDefault="004C3C70" w:rsidP="004C3C70">
      <w:pPr>
        <w:pStyle w:val="FootnoteText"/>
        <w:ind w:firstLine="709"/>
        <w:jc w:val="both"/>
        <w:rPr>
          <w:rFonts w:ascii="Cambria" w:hAnsi="Cambria"/>
          <w:sz w:val="16"/>
          <w:szCs w:val="16"/>
        </w:rPr>
      </w:pPr>
      <w:r w:rsidRPr="006B01CD">
        <w:rPr>
          <w:rStyle w:val="FootnoteReference"/>
          <w:rFonts w:ascii="Cambria" w:hAnsi="Cambria" w:cs="Cambria"/>
          <w:sz w:val="16"/>
          <w:szCs w:val="16"/>
        </w:rPr>
        <w:footnoteRef/>
      </w:r>
      <w:r w:rsidRPr="006B01CD">
        <w:rPr>
          <w:rFonts w:ascii="Cambria" w:hAnsi="Cambria" w:cs="Cambria"/>
          <w:sz w:val="16"/>
          <w:szCs w:val="16"/>
        </w:rPr>
        <w:t xml:space="preserve"> IACHR, </w:t>
      </w:r>
      <w:r w:rsidRPr="006B01CD">
        <w:rPr>
          <w:rFonts w:ascii="Cambria" w:hAnsi="Cambria" w:cs="Cambria"/>
          <w:i/>
          <w:iCs/>
          <w:sz w:val="16"/>
          <w:szCs w:val="16"/>
        </w:rPr>
        <w:t>Annual Report 2021</w:t>
      </w:r>
      <w:r w:rsidRPr="006B01CD">
        <w:rPr>
          <w:rFonts w:ascii="Cambria" w:hAnsi="Cambria" w:cs="Cambria"/>
          <w:sz w:val="16"/>
          <w:szCs w:val="16"/>
        </w:rPr>
        <w:t xml:space="preserve">, Chapter II.4, “Status of Compliance with Reports on Friendly Settlement Agreements, Approved pursuant to Article 49 of the American Convention on Human Rights.” Available at: </w:t>
      </w:r>
      <w:hyperlink r:id="rId1" w:history="1">
        <w:r w:rsidRPr="006B01CD">
          <w:rPr>
            <w:rStyle w:val="Hyperlink"/>
            <w:rFonts w:ascii="Cambria" w:hAnsi="Cambria" w:cs="Cambria"/>
            <w:sz w:val="16"/>
            <w:szCs w:val="16"/>
          </w:rPr>
          <w:t>https://www.oas.org/en/iachr/docs/annual/2021/Chapters/IA2021cap2-en.pdf</w:t>
        </w:r>
      </w:hyperlink>
      <w:r w:rsidRPr="006B01CD">
        <w:rPr>
          <w:rFonts w:ascii="Cambria" w:hAnsi="Cambria" w:cs="Cambria"/>
          <w:sz w:val="16"/>
          <w:szCs w:val="16"/>
        </w:rPr>
        <w:t>.</w:t>
      </w:r>
      <w:r w:rsidRPr="006B01CD">
        <w:rPr>
          <w:rFonts w:ascii="Cambria" w:hAnsi="Cambria"/>
          <w:sz w:val="16"/>
          <w:szCs w:val="16"/>
        </w:rPr>
        <w:t xml:space="preserve"> </w:t>
      </w:r>
    </w:p>
  </w:footnote>
  <w:footnote w:id="4">
    <w:p w14:paraId="4A03559A" w14:textId="77777777" w:rsidR="004C3C70" w:rsidRPr="006B01CD" w:rsidRDefault="004C3C70" w:rsidP="004C3C70">
      <w:pPr>
        <w:pStyle w:val="FootnoteText"/>
        <w:ind w:firstLine="720"/>
        <w:jc w:val="both"/>
        <w:rPr>
          <w:rFonts w:ascii="Cambria" w:hAnsi="Cambria"/>
          <w:sz w:val="16"/>
          <w:szCs w:val="16"/>
        </w:rPr>
      </w:pPr>
      <w:r w:rsidRPr="006B01CD">
        <w:rPr>
          <w:rStyle w:val="FootnoteReference"/>
          <w:rFonts w:ascii="Cambria" w:hAnsi="Cambria" w:cs="Cambria"/>
          <w:noProof/>
          <w:color w:val="000000"/>
          <w:sz w:val="16"/>
          <w:szCs w:val="16"/>
        </w:rPr>
        <w:footnoteRef/>
      </w:r>
      <w:r w:rsidRPr="006B01CD">
        <w:rPr>
          <w:rFonts w:ascii="Cambria" w:hAnsi="Cambria" w:cs="Cambria"/>
          <w:noProof/>
          <w:color w:val="000000"/>
          <w:sz w:val="16"/>
          <w:szCs w:val="16"/>
        </w:rPr>
        <w:t xml:space="preserve"> The compensation amounts were kept confidential by the parties. </w:t>
      </w:r>
    </w:p>
  </w:footnote>
  <w:footnote w:id="5">
    <w:p w14:paraId="7CF7C8DD" w14:textId="77777777" w:rsidR="004C3C70" w:rsidRPr="006B01CD" w:rsidRDefault="004C3C70" w:rsidP="004C3C70">
      <w:pPr>
        <w:pStyle w:val="FootnoteText"/>
        <w:ind w:firstLine="720"/>
        <w:jc w:val="both"/>
        <w:rPr>
          <w:rFonts w:ascii="Cambria" w:hAnsi="Cambria"/>
          <w:sz w:val="16"/>
          <w:szCs w:val="16"/>
        </w:rPr>
      </w:pPr>
      <w:r w:rsidRPr="006B01CD">
        <w:rPr>
          <w:rFonts w:ascii="Cambria" w:hAnsi="Cambria" w:cs="Cambria"/>
          <w:sz w:val="16"/>
          <w:szCs w:val="16"/>
        </w:rPr>
        <w:t>IACHR, Report No. 1/12, Case 11.422, Friendly Settlement, Mario Alioto López Sánchez, Guatemala, January 26, 2012.</w:t>
      </w:r>
    </w:p>
  </w:footnote>
  <w:footnote w:id="6">
    <w:p w14:paraId="48E1B0E8" w14:textId="77777777" w:rsidR="004C3C70" w:rsidRPr="006B01CD" w:rsidRDefault="004C3C70" w:rsidP="004C3C70">
      <w:pPr>
        <w:ind w:firstLine="720"/>
        <w:jc w:val="both"/>
        <w:rPr>
          <w:rFonts w:ascii="Cambria" w:hAnsi="Cambria"/>
          <w:sz w:val="16"/>
          <w:szCs w:val="16"/>
        </w:rPr>
      </w:pPr>
      <w:r w:rsidRPr="006B01CD">
        <w:rPr>
          <w:rStyle w:val="FootnoteReference"/>
          <w:rFonts w:ascii="Cambria" w:hAnsi="Cambria"/>
          <w:sz w:val="16"/>
          <w:szCs w:val="16"/>
        </w:rPr>
        <w:footnoteRef/>
      </w:r>
      <w:r w:rsidRPr="006B01CD">
        <w:rPr>
          <w:rFonts w:ascii="Cambria" w:hAnsi="Cambria"/>
          <w:sz w:val="16"/>
          <w:szCs w:val="16"/>
        </w:rPr>
        <w:t xml:space="preserve"> </w:t>
      </w:r>
      <w:r w:rsidRPr="006B01CD">
        <w:rPr>
          <w:rFonts w:ascii="Cambria" w:hAnsi="Cambria"/>
          <w:color w:val="000000"/>
          <w:sz w:val="16"/>
          <w:szCs w:val="16"/>
        </w:rPr>
        <w:t xml:space="preserve">See IACHR, 2022 Annual Report, Chapter II, Section C. Advances and challenges on negotiation and implementation of friendly settlements, Available at: </w:t>
      </w:r>
      <w:hyperlink r:id="rId2" w:history="1">
        <w:r w:rsidRPr="006B01CD">
          <w:rPr>
            <w:rStyle w:val="Hyperlink"/>
            <w:rFonts w:ascii="Cambria" w:hAnsi="Cambria"/>
            <w:sz w:val="16"/>
            <w:szCs w:val="16"/>
          </w:rPr>
          <w:t>4-IA2022_Cap_2_EN.pdf (oas.org)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D2E5" w14:textId="61BDB6F8" w:rsidR="00EE2B3B" w:rsidRDefault="00EE2B3B" w:rsidP="00EE2B3B">
    <w:pPr>
      <w:pStyle w:val="Header"/>
      <w:jc w:val="center"/>
    </w:pPr>
    <w:r>
      <w:rPr>
        <w:noProof/>
      </w:rPr>
      <w:drawing>
        <wp:inline distT="0" distB="0" distL="0" distR="0" wp14:anchorId="05F89FF3" wp14:editId="35C856FB">
          <wp:extent cx="22764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14:paraId="5C22E6E7" w14:textId="19B082BD" w:rsidR="00EE2B3B" w:rsidRPr="00EE2B3B" w:rsidRDefault="00054FFF" w:rsidP="00EE2B3B">
    <w:pPr>
      <w:pStyle w:val="Header"/>
    </w:pPr>
    <w:r>
      <w:pict w14:anchorId="0432534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A139" w14:textId="1F58B056" w:rsidR="00EE2B3B" w:rsidRDefault="00EE2B3B" w:rsidP="00EE2B3B">
    <w:pPr>
      <w:pStyle w:val="Header"/>
    </w:pPr>
    <w:bookmarkStart w:id="0" w:name="_Hlk138256805"/>
    <w:bookmarkStart w:id="1" w:name="_Hlk138256806"/>
    <w:r>
      <w:rPr>
        <w:noProof/>
      </w:rPr>
      <w:drawing>
        <wp:anchor distT="0" distB="0" distL="114300" distR="114300" simplePos="0" relativeHeight="251659264" behindDoc="1" locked="0" layoutInCell="1" allowOverlap="1" wp14:anchorId="041316FD" wp14:editId="7A155487">
          <wp:simplePos x="0" y="0"/>
          <wp:positionH relativeFrom="column">
            <wp:posOffset>0</wp:posOffset>
          </wp:positionH>
          <wp:positionV relativeFrom="paragraph">
            <wp:posOffset>-28575</wp:posOffset>
          </wp:positionV>
          <wp:extent cx="2567940" cy="495300"/>
          <wp:effectExtent l="0" t="0" r="3810" b="0"/>
          <wp:wrapThrough wrapText="bothSides">
            <wp:wrapPolygon edited="0">
              <wp:start x="0" y="0"/>
              <wp:lineTo x="0" y="20769"/>
              <wp:lineTo x="21472" y="20769"/>
              <wp:lineTo x="2147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65916B" wp14:editId="2EBBB3D4">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069" y="0"/>
              <wp:lineTo x="0" y="4122"/>
              <wp:lineTo x="0" y="16489"/>
              <wp:lineTo x="1069" y="20611"/>
              <wp:lineTo x="4277" y="20611"/>
              <wp:lineTo x="21386" y="18137"/>
              <wp:lineTo x="21386" y="4122"/>
              <wp:lineTo x="4063" y="0"/>
              <wp:lineTo x="106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084D170" w14:textId="77777777" w:rsidR="00EE2B3B" w:rsidRDefault="00EE2B3B" w:rsidP="00EE2B3B">
    <w:pPr>
      <w:pStyle w:val="Header"/>
    </w:pPr>
  </w:p>
  <w:p w14:paraId="12638557" w14:textId="77777777" w:rsidR="00EE2B3B" w:rsidRDefault="00EE2B3B" w:rsidP="00EE2B3B">
    <w:pPr>
      <w:pStyle w:val="Header"/>
    </w:pPr>
  </w:p>
  <w:p w14:paraId="0EFF114E" w14:textId="77777777" w:rsidR="00EE2B3B" w:rsidRDefault="00054FFF" w:rsidP="00EE2B3B">
    <w:pPr>
      <w:pStyle w:val="Header"/>
    </w:pPr>
    <w:r>
      <w:pict w14:anchorId="3288A7D7">
        <v:rect id="_x0000_i1026" style="width:0;height:1.5pt" o:hralign="center" o:hrstd="t" o:hr="t" fillcolor="#a0a0a0" stroked="f"/>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FE1"/>
    <w:multiLevelType w:val="hybridMultilevel"/>
    <w:tmpl w:val="EEB433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8A470B"/>
    <w:multiLevelType w:val="hybridMultilevel"/>
    <w:tmpl w:val="2D8E04F4"/>
    <w:lvl w:ilvl="0" w:tplc="FFFFFFFF">
      <w:start w:val="1"/>
      <w:numFmt w:val="upperRoman"/>
      <w:lvlText w:val="%1."/>
      <w:lvlJc w:val="left"/>
      <w:pPr>
        <w:ind w:left="1080" w:hanging="720"/>
      </w:pPr>
      <w:rPr>
        <w:rFonts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4A52BA2"/>
    <w:multiLevelType w:val="hybridMultilevel"/>
    <w:tmpl w:val="C0BA25F8"/>
    <w:lvl w:ilvl="0" w:tplc="045695D8">
      <w:start w:val="1"/>
      <w:numFmt w:val="upperLetter"/>
      <w:lvlText w:val="%1."/>
      <w:lvlJc w:val="left"/>
      <w:pPr>
        <w:ind w:left="720" w:hanging="360"/>
      </w:pPr>
      <w:rPr>
        <w:rFonts w:hint="default"/>
        <w: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C0D445F"/>
    <w:multiLevelType w:val="hybridMultilevel"/>
    <w:tmpl w:val="FFFFFFFF"/>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617DD"/>
    <w:multiLevelType w:val="hybridMultilevel"/>
    <w:tmpl w:val="69F6654C"/>
    <w:lvl w:ilvl="0" w:tplc="4B8E1B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6C04F9"/>
    <w:multiLevelType w:val="hybridMultilevel"/>
    <w:tmpl w:val="98E053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E255ED6"/>
    <w:multiLevelType w:val="hybridMultilevel"/>
    <w:tmpl w:val="0E9E49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41E655F"/>
    <w:multiLevelType w:val="hybridMultilevel"/>
    <w:tmpl w:val="38EAC91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F83397B"/>
    <w:multiLevelType w:val="hybridMultilevel"/>
    <w:tmpl w:val="905A73D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8C26CC1"/>
    <w:multiLevelType w:val="hybridMultilevel"/>
    <w:tmpl w:val="1DDE1E8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36202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633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2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929156">
    <w:abstractNumId w:val="6"/>
  </w:num>
  <w:num w:numId="5" w16cid:durableId="56173509">
    <w:abstractNumId w:val="8"/>
  </w:num>
  <w:num w:numId="6" w16cid:durableId="56518530">
    <w:abstractNumId w:val="0"/>
  </w:num>
  <w:num w:numId="7" w16cid:durableId="463352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972006">
    <w:abstractNumId w:val="5"/>
  </w:num>
  <w:num w:numId="9" w16cid:durableId="1574849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116927">
    <w:abstractNumId w:val="3"/>
  </w:num>
  <w:num w:numId="11" w16cid:durableId="779616454">
    <w:abstractNumId w:val="4"/>
  </w:num>
  <w:num w:numId="12" w16cid:durableId="1123033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3B"/>
    <w:rsid w:val="00016B55"/>
    <w:rsid w:val="00044697"/>
    <w:rsid w:val="00054FFF"/>
    <w:rsid w:val="001C78F9"/>
    <w:rsid w:val="001D1BFB"/>
    <w:rsid w:val="00262752"/>
    <w:rsid w:val="00336986"/>
    <w:rsid w:val="004C3C70"/>
    <w:rsid w:val="004F6608"/>
    <w:rsid w:val="00551343"/>
    <w:rsid w:val="005710FB"/>
    <w:rsid w:val="005A5A31"/>
    <w:rsid w:val="005B6CF0"/>
    <w:rsid w:val="006E24C9"/>
    <w:rsid w:val="00710123"/>
    <w:rsid w:val="008646A9"/>
    <w:rsid w:val="008C5FE2"/>
    <w:rsid w:val="00A15312"/>
    <w:rsid w:val="00BB339B"/>
    <w:rsid w:val="00C1245F"/>
    <w:rsid w:val="00D04AF5"/>
    <w:rsid w:val="00D11C69"/>
    <w:rsid w:val="00DA1784"/>
    <w:rsid w:val="00DA7D6A"/>
    <w:rsid w:val="00DB4AA6"/>
    <w:rsid w:val="00EB6320"/>
    <w:rsid w:val="00EE2B3B"/>
    <w:rsid w:val="00EF0164"/>
    <w:rsid w:val="00F64E08"/>
    <w:rsid w:val="00F84B42"/>
    <w:rsid w:val="00FA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F7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EE2B3B"/>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E2B3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EE2B3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E2B3B"/>
    <w:rPr>
      <w:vertAlign w:val="superscript"/>
    </w:rPr>
  </w:style>
  <w:style w:type="character" w:styleId="Hyperlink">
    <w:name w:val="Hyperlink"/>
    <w:uiPriority w:val="99"/>
    <w:unhideWhenUsed/>
    <w:rsid w:val="00EE2B3B"/>
    <w:rPr>
      <w:color w:val="0000FF"/>
      <w:u w:val="single"/>
      <w:lang w:val="en-US" w:eastAsia="en-US"/>
    </w:rPr>
  </w:style>
  <w:style w:type="paragraph" w:styleId="NoSpacing">
    <w:name w:val="No Spacing"/>
    <w:uiPriority w:val="1"/>
    <w:qFormat/>
    <w:rsid w:val="00EE2B3B"/>
    <w:pPr>
      <w:spacing w:after="0" w:line="240" w:lineRule="auto"/>
    </w:pPr>
    <w:rPr>
      <w:rFonts w:ascii="Calibri" w:eastAsia="Calibri" w:hAnsi="Calibri" w:cs="Times New Roman"/>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EE2B3B"/>
    <w:rPr>
      <w:sz w:val="24"/>
      <w:szCs w:val="24"/>
    </w:rPr>
  </w:style>
  <w:style w:type="paragraph" w:customStyle="1" w:styleId="Appelnotedebasde">
    <w:name w:val="Appel note de bas de..."/>
    <w:basedOn w:val="Normal"/>
    <w:link w:val="FootnoteReference"/>
    <w:uiPriority w:val="99"/>
    <w:rsid w:val="00EE2B3B"/>
    <w:pPr>
      <w:spacing w:after="160" w:line="240" w:lineRule="exact"/>
    </w:pPr>
    <w:rPr>
      <w:sz w:val="22"/>
      <w:szCs w:val="22"/>
      <w:vertAlign w:val="superscript"/>
    </w:rPr>
  </w:style>
  <w:style w:type="paragraph" w:styleId="Header">
    <w:name w:val="header"/>
    <w:basedOn w:val="Normal"/>
    <w:link w:val="HeaderChar"/>
    <w:uiPriority w:val="99"/>
    <w:unhideWhenUsed/>
    <w:rsid w:val="00EE2B3B"/>
    <w:pPr>
      <w:tabs>
        <w:tab w:val="center" w:pos="4680"/>
        <w:tab w:val="right" w:pos="9360"/>
      </w:tabs>
    </w:pPr>
  </w:style>
  <w:style w:type="character" w:customStyle="1" w:styleId="HeaderChar">
    <w:name w:val="Header Char"/>
    <w:basedOn w:val="DefaultParagraphFont"/>
    <w:link w:val="Header"/>
    <w:uiPriority w:val="99"/>
    <w:rsid w:val="00EE2B3B"/>
    <w:rPr>
      <w:sz w:val="24"/>
      <w:szCs w:val="24"/>
    </w:rPr>
  </w:style>
  <w:style w:type="paragraph" w:styleId="Footer">
    <w:name w:val="footer"/>
    <w:basedOn w:val="Normal"/>
    <w:link w:val="FooterChar"/>
    <w:uiPriority w:val="99"/>
    <w:unhideWhenUsed/>
    <w:rsid w:val="00EE2B3B"/>
    <w:pPr>
      <w:tabs>
        <w:tab w:val="center" w:pos="4680"/>
        <w:tab w:val="right" w:pos="9360"/>
      </w:tabs>
    </w:pPr>
  </w:style>
  <w:style w:type="character" w:customStyle="1" w:styleId="FooterChar">
    <w:name w:val="Footer Char"/>
    <w:basedOn w:val="DefaultParagraphFont"/>
    <w:link w:val="Footer"/>
    <w:uiPriority w:val="99"/>
    <w:rsid w:val="00EE2B3B"/>
    <w:rPr>
      <w:sz w:val="24"/>
      <w:szCs w:val="24"/>
    </w:rPr>
  </w:style>
  <w:style w:type="character" w:styleId="FollowedHyperlink">
    <w:name w:val="FollowedHyperlink"/>
    <w:basedOn w:val="DefaultParagraphFont"/>
    <w:uiPriority w:val="99"/>
    <w:semiHidden/>
    <w:unhideWhenUsed/>
    <w:rsid w:val="00EE2B3B"/>
    <w:rPr>
      <w:color w:val="954F72" w:themeColor="followedHyperlink"/>
      <w:u w:val="single"/>
    </w:rPr>
  </w:style>
  <w:style w:type="character" w:styleId="UnresolvedMention">
    <w:name w:val="Unresolved Mention"/>
    <w:basedOn w:val="DefaultParagraphFont"/>
    <w:uiPriority w:val="99"/>
    <w:semiHidden/>
    <w:unhideWhenUsed/>
    <w:rsid w:val="00EE2B3B"/>
    <w:rPr>
      <w:color w:val="605E5C"/>
      <w:shd w:val="clear" w:color="auto" w:fill="E1DFDD"/>
    </w:rPr>
  </w:style>
  <w:style w:type="paragraph" w:styleId="Title">
    <w:name w:val="Title"/>
    <w:basedOn w:val="Normal"/>
    <w:next w:val="Normal"/>
    <w:link w:val="TitleChar"/>
    <w:uiPriority w:val="10"/>
    <w:qFormat/>
    <w:rsid w:val="001D1B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BFB"/>
    <w:rPr>
      <w:rFonts w:asciiTheme="majorHAnsi" w:eastAsiaTheme="majorEastAsia" w:hAnsiTheme="majorHAnsi" w:cstheme="majorBidi"/>
      <w:spacing w:val="-10"/>
      <w:kern w:val="28"/>
      <w:sz w:val="56"/>
      <w:szCs w:val="56"/>
    </w:rPr>
  </w:style>
  <w:style w:type="paragraph" w:customStyle="1" w:styleId="MediumGrid21">
    <w:name w:val="Medium Grid 21"/>
    <w:uiPriority w:val="99"/>
    <w:rsid w:val="00EF0164"/>
    <w:pPr>
      <w:spacing w:after="0" w:line="240" w:lineRule="auto"/>
    </w:pPr>
    <w:rPr>
      <w:rFonts w:ascii="Calibri" w:eastAsia="Calibri" w:hAnsi="Calibri" w:cs="Calibri"/>
      <w:lang w:val="pt-BR"/>
    </w:rPr>
  </w:style>
  <w:style w:type="paragraph" w:customStyle="1" w:styleId="Default">
    <w:name w:val="Default"/>
    <w:uiPriority w:val="99"/>
    <w:rsid w:val="004C3C70"/>
    <w:pPr>
      <w:autoSpaceDE w:val="0"/>
      <w:autoSpaceDN w:val="0"/>
      <w:adjustRightInd w:val="0"/>
      <w:spacing w:after="0" w:line="240" w:lineRule="auto"/>
    </w:pPr>
    <w:rPr>
      <w:rFonts w:ascii="Univers" w:eastAsia="Times New Roman" w:hAnsi="Univers" w:cs="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n/iachr/decisions/friendly.asp?Year=201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as.org/en/iachr/decisions/friendly.asp?Year=201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oas.org/en/iachr/docs/annual/2022/Chapters/4-IA2022_Cap_2_EN.pdf" TargetMode="External"/><Relationship Id="rId1" Type="http://schemas.openxmlformats.org/officeDocument/2006/relationships/hyperlink" Target="https://www.oas.org/es/cidh/docs/anual/2021/capitulos/IA2021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EF23-5EC8-47BB-AEC1-2CD4B91D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2023-06-28T14:56:00Z</dcterms:created>
  <dcterms:modified xsi:type="dcterms:W3CDTF">2023-06-28T14:56:00Z</dcterms:modified>
</cp:coreProperties>
</file>