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8E819" w14:textId="77777777" w:rsidR="00EE2B3B" w:rsidRDefault="00EE2B3B" w:rsidP="00EE2B3B">
      <w:pPr>
        <w:pStyle w:val="NoSpacing"/>
        <w:ind w:left="-270" w:right="-270"/>
        <w:jc w:val="center"/>
        <w:rPr>
          <w:rFonts w:ascii="Cambria" w:hAnsi="Cambria"/>
          <w:b/>
          <w:color w:val="000000"/>
          <w:sz w:val="24"/>
          <w:szCs w:val="24"/>
        </w:rPr>
      </w:pPr>
    </w:p>
    <w:p w14:paraId="036D26F6" w14:textId="77777777" w:rsidR="00EE2B3B" w:rsidRPr="00EE2B3B" w:rsidRDefault="00EE2B3B" w:rsidP="00EE2B3B">
      <w:pPr>
        <w:pStyle w:val="NoSpacing"/>
        <w:ind w:left="-270" w:right="-270"/>
        <w:jc w:val="center"/>
        <w:rPr>
          <w:rFonts w:ascii="Cambria" w:hAnsi="Cambria"/>
          <w:b/>
          <w:color w:val="000000"/>
          <w:sz w:val="24"/>
          <w:szCs w:val="24"/>
        </w:rPr>
      </w:pPr>
      <w:r w:rsidRPr="00EE2B3B">
        <w:rPr>
          <w:rFonts w:ascii="Cambria" w:hAnsi="Cambria"/>
          <w:b/>
          <w:color w:val="000000"/>
          <w:sz w:val="24"/>
          <w:szCs w:val="24"/>
        </w:rPr>
        <w:t>TECHNICAL INFORMATION SHEET</w:t>
      </w:r>
    </w:p>
    <w:p w14:paraId="569AC7E4" w14:textId="4DFA60A3" w:rsidR="001C4EA8" w:rsidRPr="00967D29" w:rsidRDefault="001C4EA8" w:rsidP="001C4EA8">
      <w:pPr>
        <w:jc w:val="center"/>
        <w:rPr>
          <w:rFonts w:ascii="Cambria" w:hAnsi="Cambria"/>
          <w:b/>
          <w:bCs/>
        </w:rPr>
      </w:pPr>
      <w:r w:rsidRPr="00967D29">
        <w:rPr>
          <w:rFonts w:ascii="Cambria" w:hAnsi="Cambria"/>
          <w:b/>
          <w:bCs/>
        </w:rPr>
        <w:t>CASE 12.961 H</w:t>
      </w:r>
      <w:r>
        <w:rPr>
          <w:rFonts w:ascii="Cambria" w:hAnsi="Cambria"/>
          <w:b/>
          <w:bCs/>
        </w:rPr>
        <w:t xml:space="preserve"> </w:t>
      </w:r>
      <w:r w:rsidRPr="00967D29">
        <w:rPr>
          <w:rFonts w:ascii="Cambria" w:hAnsi="Cambria"/>
          <w:b/>
          <w:bCs/>
        </w:rPr>
        <w:t>JUAN GONZALEZ AND OTHERS</w:t>
      </w:r>
    </w:p>
    <w:p w14:paraId="589F3041" w14:textId="1FDDAAB4" w:rsidR="00EE2B3B" w:rsidRPr="003F7365" w:rsidRDefault="00EE2B3B" w:rsidP="00EE2B3B">
      <w:pPr>
        <w:pStyle w:val="NoSpacing"/>
        <w:ind w:left="-270" w:right="-270"/>
        <w:jc w:val="center"/>
        <w:rPr>
          <w:rFonts w:ascii="Cambria" w:hAnsi="Cambria"/>
          <w:b/>
          <w:color w:val="000000"/>
          <w:sz w:val="24"/>
          <w:szCs w:val="24"/>
        </w:rPr>
      </w:pPr>
      <w:r w:rsidRPr="003F7365">
        <w:rPr>
          <w:rFonts w:ascii="Cambria" w:hAnsi="Cambria"/>
          <w:b/>
          <w:color w:val="000000"/>
          <w:sz w:val="24"/>
          <w:szCs w:val="24"/>
        </w:rPr>
        <w:t>REPORT ON FRIENDLY SETTLEMENT Nº</w:t>
      </w:r>
      <w:r w:rsidR="00F64E08">
        <w:rPr>
          <w:rFonts w:ascii="Cambria" w:hAnsi="Cambria"/>
          <w:b/>
          <w:color w:val="000000"/>
          <w:sz w:val="24"/>
          <w:szCs w:val="24"/>
        </w:rPr>
        <w:t xml:space="preserve"> </w:t>
      </w:r>
      <w:hyperlink r:id="rId8" w:history="1">
        <w:r w:rsidR="001C4EA8" w:rsidRPr="00541AD5">
          <w:rPr>
            <w:rStyle w:val="Hyperlink"/>
            <w:rFonts w:ascii="Cambria" w:eastAsiaTheme="minorHAnsi" w:hAnsi="Cambria" w:cstheme="minorBidi"/>
            <w:b/>
            <w:bCs/>
            <w:sz w:val="24"/>
            <w:szCs w:val="24"/>
          </w:rPr>
          <w:t>287/22</w:t>
        </w:r>
      </w:hyperlink>
    </w:p>
    <w:p w14:paraId="291D19F8" w14:textId="77777777" w:rsidR="00EE2B3B" w:rsidRDefault="00EE2B3B" w:rsidP="00EE2B3B">
      <w:pPr>
        <w:pStyle w:val="NoSpacing"/>
        <w:ind w:left="-270" w:right="-270"/>
        <w:jc w:val="center"/>
        <w:rPr>
          <w:rFonts w:ascii="Cambria" w:hAnsi="Cambria"/>
          <w:b/>
          <w:color w:val="000000"/>
          <w:sz w:val="24"/>
          <w:szCs w:val="24"/>
        </w:rPr>
      </w:pPr>
      <w:r w:rsidRPr="00EE2B3B">
        <w:rPr>
          <w:rFonts w:ascii="Cambria" w:hAnsi="Cambria"/>
          <w:b/>
          <w:color w:val="000000"/>
          <w:sz w:val="24"/>
          <w:szCs w:val="24"/>
        </w:rPr>
        <w:t>TOTAL COMPLIANCE</w:t>
      </w:r>
      <w:r w:rsidRPr="003F7365">
        <w:rPr>
          <w:rFonts w:ascii="Cambria" w:hAnsi="Cambria"/>
          <w:b/>
          <w:color w:val="000000"/>
          <w:sz w:val="24"/>
          <w:szCs w:val="24"/>
        </w:rPr>
        <w:t xml:space="preserve"> </w:t>
      </w:r>
    </w:p>
    <w:p w14:paraId="731B0D08" w14:textId="71BCA5F6" w:rsidR="00EE2B3B" w:rsidRPr="003F7365" w:rsidRDefault="00EE2B3B" w:rsidP="00EE2B3B">
      <w:pPr>
        <w:pStyle w:val="NoSpacing"/>
        <w:ind w:left="-270" w:right="-270"/>
        <w:jc w:val="center"/>
        <w:rPr>
          <w:rFonts w:ascii="Cambria" w:hAnsi="Cambria"/>
          <w:b/>
          <w:color w:val="000000"/>
          <w:sz w:val="24"/>
          <w:szCs w:val="24"/>
        </w:rPr>
      </w:pPr>
      <w:r w:rsidRPr="003F7365">
        <w:rPr>
          <w:rFonts w:ascii="Cambria" w:hAnsi="Cambria"/>
          <w:b/>
          <w:color w:val="000000"/>
          <w:sz w:val="24"/>
          <w:szCs w:val="24"/>
        </w:rPr>
        <w:t>(</w:t>
      </w:r>
      <w:r w:rsidR="000E11A3">
        <w:rPr>
          <w:rFonts w:ascii="Cambria" w:hAnsi="Cambria"/>
          <w:b/>
          <w:color w:val="000000"/>
          <w:sz w:val="24"/>
          <w:szCs w:val="24"/>
        </w:rPr>
        <w:t>HONDURAS</w:t>
      </w:r>
      <w:r w:rsidRPr="003F7365">
        <w:rPr>
          <w:rFonts w:ascii="Cambria" w:hAnsi="Cambria"/>
          <w:b/>
          <w:color w:val="000000"/>
          <w:sz w:val="24"/>
          <w:szCs w:val="24"/>
        </w:rPr>
        <w:t>)</w:t>
      </w:r>
    </w:p>
    <w:p w14:paraId="6FCFDEEB" w14:textId="77777777" w:rsidR="00EE2B3B" w:rsidRPr="003F7365" w:rsidRDefault="00EE2B3B" w:rsidP="00EE2B3B">
      <w:pPr>
        <w:pStyle w:val="NoSpacing"/>
        <w:ind w:left="-270" w:right="-270"/>
        <w:jc w:val="center"/>
        <w:rPr>
          <w:rFonts w:ascii="Cambria" w:hAnsi="Cambria"/>
          <w:b/>
          <w:color w:val="000000"/>
          <w:sz w:val="20"/>
          <w:szCs w:val="20"/>
        </w:rPr>
      </w:pPr>
    </w:p>
    <w:p w14:paraId="14A7D6AF" w14:textId="77777777" w:rsidR="00EE2B3B" w:rsidRPr="003F7365" w:rsidRDefault="00EE2B3B" w:rsidP="00EE2B3B">
      <w:pPr>
        <w:numPr>
          <w:ilvl w:val="0"/>
          <w:numId w:val="1"/>
        </w:numPr>
        <w:ind w:left="0" w:firstLine="720"/>
        <w:rPr>
          <w:rFonts w:ascii="Cambria" w:hAnsi="Cambria" w:cs="Calibri Light"/>
          <w:b/>
          <w:color w:val="000000"/>
          <w:sz w:val="20"/>
          <w:szCs w:val="20"/>
        </w:rPr>
      </w:pPr>
      <w:r w:rsidRPr="003F7365">
        <w:rPr>
          <w:rFonts w:ascii="Cambria" w:hAnsi="Cambria"/>
          <w:b/>
          <w:color w:val="000000"/>
          <w:sz w:val="20"/>
          <w:szCs w:val="20"/>
        </w:rPr>
        <w:t xml:space="preserve">SUMMARY OF THE CASE </w:t>
      </w:r>
    </w:p>
    <w:p w14:paraId="05E3AE0D" w14:textId="77777777" w:rsidR="00EE2B3B" w:rsidRPr="003F7365" w:rsidRDefault="00EE2B3B" w:rsidP="00EE2B3B">
      <w:pPr>
        <w:ind w:left="720"/>
        <w:rPr>
          <w:rFonts w:ascii="Cambria" w:hAnsi="Cambria" w:cs="Calibri Light"/>
          <w:b/>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350"/>
      </w:tblGrid>
      <w:tr w:rsidR="00EE2B3B" w:rsidRPr="003F7365" w14:paraId="0DA6B01E" w14:textId="77777777" w:rsidTr="00D53017">
        <w:trPr>
          <w:jc w:val="center"/>
        </w:trPr>
        <w:tc>
          <w:tcPr>
            <w:tcW w:w="9576" w:type="dxa"/>
            <w:tcBorders>
              <w:top w:val="single" w:sz="4" w:space="0" w:color="auto"/>
              <w:left w:val="single" w:sz="4" w:space="0" w:color="auto"/>
              <w:bottom w:val="single" w:sz="4" w:space="0" w:color="auto"/>
              <w:right w:val="single" w:sz="4" w:space="0" w:color="auto"/>
            </w:tcBorders>
            <w:shd w:val="clear" w:color="auto" w:fill="F2F2F2"/>
          </w:tcPr>
          <w:p w14:paraId="2D07F4B4" w14:textId="77777777" w:rsidR="008F7074" w:rsidRPr="00967D29" w:rsidRDefault="008F7074" w:rsidP="008F7074">
            <w:pPr>
              <w:jc w:val="both"/>
              <w:rPr>
                <w:rFonts w:ascii="Cambria" w:hAnsi="Cambria"/>
                <w:sz w:val="20"/>
                <w:szCs w:val="20"/>
                <w:lang w:val="es-419"/>
              </w:rPr>
            </w:pPr>
            <w:r w:rsidRPr="00967D29">
              <w:rPr>
                <w:rFonts w:ascii="Cambria" w:hAnsi="Cambria"/>
                <w:b/>
                <w:bCs/>
                <w:sz w:val="20"/>
                <w:szCs w:val="20"/>
                <w:lang w:val="es-AR"/>
              </w:rPr>
              <w:t>Victim(s):</w:t>
            </w:r>
            <w:r w:rsidRPr="00967D29">
              <w:rPr>
                <w:rFonts w:ascii="Cambria" w:hAnsi="Cambria"/>
                <w:sz w:val="20"/>
                <w:szCs w:val="20"/>
                <w:lang w:val="es-AR"/>
              </w:rPr>
              <w:t xml:space="preserve"> </w:t>
            </w:r>
            <w:r w:rsidRPr="00967D29">
              <w:rPr>
                <w:rFonts w:ascii="Cambria" w:hAnsi="Cambria"/>
                <w:sz w:val="20"/>
                <w:szCs w:val="20"/>
                <w:lang w:val="es-419"/>
              </w:rPr>
              <w:t>Juan Gonzalez y otros</w:t>
            </w:r>
          </w:p>
          <w:p w14:paraId="2543791B" w14:textId="77777777" w:rsidR="008F7074" w:rsidRPr="00967D29" w:rsidRDefault="008F7074" w:rsidP="008F7074">
            <w:pPr>
              <w:jc w:val="both"/>
              <w:rPr>
                <w:rFonts w:ascii="Cambria" w:hAnsi="Cambria"/>
                <w:sz w:val="20"/>
                <w:szCs w:val="20"/>
                <w:lang w:val="es-419"/>
              </w:rPr>
            </w:pPr>
            <w:r w:rsidRPr="00967D29">
              <w:rPr>
                <w:rFonts w:ascii="Cambria" w:hAnsi="Cambria"/>
                <w:b/>
                <w:bCs/>
                <w:sz w:val="20"/>
                <w:szCs w:val="20"/>
                <w:lang w:val="es-AR"/>
              </w:rPr>
              <w:t xml:space="preserve">Petitioner(s): </w:t>
            </w:r>
            <w:r w:rsidRPr="00967D29">
              <w:rPr>
                <w:rFonts w:ascii="Cambria" w:hAnsi="Cambria"/>
                <w:sz w:val="20"/>
                <w:szCs w:val="20"/>
                <w:lang w:val="es-CO"/>
              </w:rPr>
              <w:t>Comité para la Defensa de los Derechos Humanos en Honduras/Gladis Matamoros</w:t>
            </w:r>
          </w:p>
          <w:p w14:paraId="2889C0E0" w14:textId="77777777" w:rsidR="008F7074" w:rsidRPr="00967D29" w:rsidRDefault="008F7074" w:rsidP="008F7074">
            <w:pPr>
              <w:jc w:val="both"/>
              <w:rPr>
                <w:rFonts w:ascii="Cambria" w:hAnsi="Cambria"/>
                <w:sz w:val="20"/>
                <w:szCs w:val="20"/>
              </w:rPr>
            </w:pPr>
            <w:r w:rsidRPr="00967D29">
              <w:rPr>
                <w:rFonts w:ascii="Cambria" w:hAnsi="Cambria"/>
                <w:b/>
                <w:bCs/>
                <w:sz w:val="20"/>
                <w:szCs w:val="20"/>
              </w:rPr>
              <w:t>State:</w:t>
            </w:r>
            <w:r w:rsidRPr="00967D29">
              <w:rPr>
                <w:rFonts w:ascii="Cambria" w:hAnsi="Cambria"/>
                <w:sz w:val="20"/>
                <w:szCs w:val="20"/>
              </w:rPr>
              <w:t xml:space="preserve"> Honduras</w:t>
            </w:r>
          </w:p>
          <w:p w14:paraId="47B91077" w14:textId="77777777" w:rsidR="008F7074" w:rsidRPr="00967D29" w:rsidRDefault="008F7074" w:rsidP="008F7074">
            <w:pPr>
              <w:jc w:val="both"/>
              <w:rPr>
                <w:rFonts w:ascii="Cambria" w:hAnsi="Cambria"/>
                <w:sz w:val="20"/>
                <w:szCs w:val="20"/>
              </w:rPr>
            </w:pPr>
            <w:r w:rsidRPr="00967D29">
              <w:rPr>
                <w:rFonts w:ascii="Cambria" w:hAnsi="Cambria"/>
                <w:b/>
                <w:bCs/>
                <w:color w:val="000000"/>
                <w:sz w:val="20"/>
                <w:szCs w:val="20"/>
              </w:rPr>
              <w:t>Date of the start of negotiations:</w:t>
            </w:r>
            <w:r w:rsidRPr="00967D29">
              <w:rPr>
                <w:rFonts w:ascii="Cambria" w:hAnsi="Cambria"/>
                <w:sz w:val="20"/>
                <w:szCs w:val="20"/>
              </w:rPr>
              <w:t xml:space="preserve"> November 2014</w:t>
            </w:r>
          </w:p>
          <w:p w14:paraId="21B97CD3" w14:textId="77777777" w:rsidR="008F7074" w:rsidRPr="00967D29" w:rsidRDefault="008F7074" w:rsidP="008F7074">
            <w:pPr>
              <w:jc w:val="both"/>
              <w:rPr>
                <w:rFonts w:ascii="Cambria" w:hAnsi="Cambria"/>
                <w:sz w:val="20"/>
                <w:szCs w:val="20"/>
              </w:rPr>
            </w:pPr>
            <w:r w:rsidRPr="00967D29">
              <w:rPr>
                <w:rFonts w:ascii="Cambria" w:hAnsi="Cambria"/>
                <w:b/>
                <w:bCs/>
                <w:color w:val="000000"/>
                <w:sz w:val="20"/>
                <w:szCs w:val="20"/>
              </w:rPr>
              <w:t xml:space="preserve">Date of signature of the FSA: </w:t>
            </w:r>
            <w:r w:rsidRPr="00967D29">
              <w:rPr>
                <w:rFonts w:ascii="Cambria" w:hAnsi="Cambria"/>
                <w:color w:val="000000"/>
                <w:sz w:val="20"/>
                <w:szCs w:val="20"/>
              </w:rPr>
              <w:t>September 18,</w:t>
            </w:r>
            <w:r w:rsidRPr="00967D29">
              <w:rPr>
                <w:rFonts w:ascii="Cambria" w:hAnsi="Cambria"/>
                <w:sz w:val="20"/>
                <w:szCs w:val="20"/>
              </w:rPr>
              <w:t xml:space="preserve"> 2019</w:t>
            </w:r>
          </w:p>
          <w:p w14:paraId="63F66B17" w14:textId="77777777" w:rsidR="008F7074" w:rsidRPr="00967D29" w:rsidRDefault="008F7074" w:rsidP="008F7074">
            <w:pPr>
              <w:ind w:right="90"/>
              <w:jc w:val="both"/>
              <w:rPr>
                <w:rFonts w:ascii="Cambria" w:hAnsi="Cambria"/>
                <w:b/>
                <w:bCs/>
                <w:sz w:val="20"/>
                <w:szCs w:val="20"/>
              </w:rPr>
            </w:pPr>
            <w:r w:rsidRPr="00967D29">
              <w:rPr>
                <w:rFonts w:ascii="Cambria" w:hAnsi="Cambria"/>
                <w:b/>
                <w:bCs/>
                <w:sz w:val="20"/>
                <w:szCs w:val="20"/>
              </w:rPr>
              <w:t xml:space="preserve">Admissibility Report Nº: </w:t>
            </w:r>
            <w:r w:rsidRPr="00967D29">
              <w:rPr>
                <w:rFonts w:ascii="Cambria" w:hAnsi="Cambria"/>
                <w:sz w:val="20"/>
                <w:szCs w:val="20"/>
              </w:rPr>
              <w:t xml:space="preserve"> </w:t>
            </w:r>
            <w:hyperlink r:id="rId9" w:history="1">
              <w:r w:rsidRPr="00967D29">
                <w:rPr>
                  <w:rStyle w:val="Hyperlink"/>
                  <w:rFonts w:ascii="Cambria" w:hAnsi="Cambria"/>
                  <w:sz w:val="20"/>
                  <w:szCs w:val="20"/>
                </w:rPr>
                <w:t>57/14</w:t>
              </w:r>
            </w:hyperlink>
          </w:p>
          <w:p w14:paraId="7F773348" w14:textId="77777777" w:rsidR="008F7074" w:rsidRPr="00967D29" w:rsidRDefault="008F7074" w:rsidP="008F7074">
            <w:pPr>
              <w:jc w:val="both"/>
              <w:rPr>
                <w:rFonts w:ascii="Cambria" w:hAnsi="Cambria"/>
                <w:sz w:val="20"/>
                <w:szCs w:val="20"/>
              </w:rPr>
            </w:pPr>
            <w:r w:rsidRPr="00967D29">
              <w:rPr>
                <w:rFonts w:ascii="Cambria" w:hAnsi="Cambria"/>
                <w:b/>
                <w:bCs/>
                <w:sz w:val="20"/>
                <w:szCs w:val="20"/>
              </w:rPr>
              <w:t>Friendly Settlement Agreement Report Nº:</w:t>
            </w:r>
            <w:r w:rsidRPr="00967D29">
              <w:rPr>
                <w:rFonts w:ascii="Cambria" w:hAnsi="Cambria"/>
                <w:sz w:val="20"/>
                <w:szCs w:val="20"/>
              </w:rPr>
              <w:t xml:space="preserve"> </w:t>
            </w:r>
            <w:hyperlink r:id="rId10" w:history="1">
              <w:r w:rsidRPr="00967D29">
                <w:rPr>
                  <w:rStyle w:val="Hyperlink"/>
                  <w:rFonts w:ascii="Cambria" w:hAnsi="Cambria"/>
                  <w:sz w:val="20"/>
                  <w:szCs w:val="20"/>
                </w:rPr>
                <w:t>287/22</w:t>
              </w:r>
            </w:hyperlink>
            <w:r w:rsidRPr="00967D29">
              <w:rPr>
                <w:rFonts w:ascii="Cambria" w:hAnsi="Cambria"/>
                <w:b/>
                <w:bCs/>
                <w:sz w:val="20"/>
                <w:szCs w:val="20"/>
              </w:rPr>
              <w:t xml:space="preserve">, </w:t>
            </w:r>
            <w:r w:rsidRPr="00967D29">
              <w:rPr>
                <w:rFonts w:ascii="Cambria" w:hAnsi="Cambria"/>
                <w:sz w:val="20"/>
                <w:szCs w:val="20"/>
              </w:rPr>
              <w:t>published on November 8, 2022</w:t>
            </w:r>
          </w:p>
          <w:p w14:paraId="1AF760DF" w14:textId="77777777" w:rsidR="008F7074" w:rsidRPr="00967D29" w:rsidRDefault="008F7074" w:rsidP="008F7074">
            <w:pPr>
              <w:jc w:val="both"/>
              <w:rPr>
                <w:rFonts w:ascii="Cambria" w:hAnsi="Cambria"/>
                <w:sz w:val="20"/>
                <w:szCs w:val="20"/>
              </w:rPr>
            </w:pPr>
            <w:r w:rsidRPr="00967D29">
              <w:rPr>
                <w:rFonts w:ascii="Cambria" w:hAnsi="Cambria"/>
                <w:b/>
                <w:bCs/>
                <w:color w:val="000000"/>
                <w:sz w:val="20"/>
                <w:szCs w:val="20"/>
              </w:rPr>
              <w:t>Estimated duration of the negotiation phase:</w:t>
            </w:r>
            <w:r w:rsidRPr="00967D29">
              <w:rPr>
                <w:rFonts w:ascii="Cambria" w:hAnsi="Cambria"/>
                <w:sz w:val="20"/>
                <w:szCs w:val="20"/>
              </w:rPr>
              <w:t xml:space="preserve"> 5 years</w:t>
            </w:r>
          </w:p>
          <w:p w14:paraId="1F4C0D7A" w14:textId="77777777" w:rsidR="008F7074" w:rsidRPr="00967D29" w:rsidRDefault="008F7074" w:rsidP="008F7074">
            <w:pPr>
              <w:jc w:val="both"/>
              <w:rPr>
                <w:rFonts w:ascii="Cambria" w:hAnsi="Cambria"/>
                <w:sz w:val="20"/>
                <w:szCs w:val="20"/>
              </w:rPr>
            </w:pPr>
            <w:r w:rsidRPr="00967D29">
              <w:rPr>
                <w:rFonts w:ascii="Cambria" w:hAnsi="Cambria"/>
                <w:b/>
                <w:bCs/>
                <w:sz w:val="20"/>
                <w:szCs w:val="20"/>
              </w:rPr>
              <w:t>Related rapporteurship:</w:t>
            </w:r>
            <w:r w:rsidRPr="00967D29">
              <w:rPr>
                <w:rFonts w:ascii="Cambria" w:hAnsi="Cambria"/>
                <w:sz w:val="20"/>
                <w:szCs w:val="20"/>
              </w:rPr>
              <w:t xml:space="preserve"> N/A</w:t>
            </w:r>
          </w:p>
          <w:p w14:paraId="43ADB938" w14:textId="77777777" w:rsidR="008F7074" w:rsidRPr="00967D29" w:rsidRDefault="008F7074" w:rsidP="008F7074">
            <w:pPr>
              <w:jc w:val="both"/>
              <w:rPr>
                <w:rFonts w:ascii="Cambria" w:hAnsi="Cambria"/>
                <w:sz w:val="20"/>
                <w:szCs w:val="20"/>
              </w:rPr>
            </w:pPr>
            <w:r w:rsidRPr="00967D29">
              <w:rPr>
                <w:rFonts w:ascii="Cambria" w:hAnsi="Cambria"/>
                <w:b/>
                <w:bCs/>
                <w:sz w:val="20"/>
                <w:szCs w:val="20"/>
              </w:rPr>
              <w:t>Topics:</w:t>
            </w:r>
            <w:r w:rsidRPr="00967D29">
              <w:rPr>
                <w:rFonts w:ascii="Cambria" w:hAnsi="Cambria"/>
                <w:sz w:val="20"/>
                <w:szCs w:val="20"/>
              </w:rPr>
              <w:t xml:space="preserve"> Judicial Guarantees/Judicial Protection</w:t>
            </w:r>
          </w:p>
          <w:p w14:paraId="7AA76026" w14:textId="77777777" w:rsidR="008F7074" w:rsidRPr="00967D29" w:rsidRDefault="008F7074" w:rsidP="008F7074">
            <w:pPr>
              <w:jc w:val="both"/>
              <w:rPr>
                <w:rFonts w:ascii="Cambria" w:hAnsi="Cambria"/>
                <w:sz w:val="20"/>
                <w:szCs w:val="20"/>
              </w:rPr>
            </w:pPr>
          </w:p>
          <w:p w14:paraId="02208499" w14:textId="77777777" w:rsidR="008F7074" w:rsidRPr="00967D29" w:rsidRDefault="008F7074" w:rsidP="008F7074">
            <w:pPr>
              <w:jc w:val="both"/>
              <w:rPr>
                <w:rFonts w:ascii="Cambria" w:hAnsi="Cambria"/>
                <w:sz w:val="20"/>
                <w:szCs w:val="20"/>
              </w:rPr>
            </w:pPr>
            <w:r w:rsidRPr="00967D29">
              <w:rPr>
                <w:rFonts w:ascii="Cambria" w:hAnsi="Cambria"/>
                <w:b/>
                <w:bCs/>
                <w:sz w:val="20"/>
                <w:szCs w:val="20"/>
              </w:rPr>
              <w:t>Facts:</w:t>
            </w:r>
            <w:r w:rsidRPr="00967D29">
              <w:rPr>
                <w:rFonts w:ascii="Cambria" w:hAnsi="Cambria"/>
                <w:sz w:val="20"/>
                <w:szCs w:val="20"/>
              </w:rPr>
              <w:t xml:space="preserve"> The petitioners alleged that the presumed victims were unjustifiably dismissed based on Decree 58-2001. According to the petitioners, this decree authorized the Congress of the Republic to </w:t>
            </w:r>
            <w:r w:rsidRPr="00967D29">
              <w:rPr>
                <w:rFonts w:ascii="Cambria" w:hAnsi="Cambria"/>
                <w:i/>
                <w:iCs/>
                <w:sz w:val="20"/>
                <w:szCs w:val="20"/>
              </w:rPr>
              <w:t>“dismiss the police personnel without considerations of any kind”.</w:t>
            </w:r>
            <w:r w:rsidRPr="00967D29">
              <w:rPr>
                <w:rFonts w:ascii="Cambria" w:hAnsi="Cambria"/>
                <w:sz w:val="20"/>
                <w:szCs w:val="20"/>
              </w:rPr>
              <w:t xml:space="preserve"> In this regard, the petitioners stated that although the permanent purge of the National Police was necessary for its better functioning, the legal procedure established for it must have been followed. In this regard, they indicated that a regular administrative process, which would have all the guarantees of any criminal process, should have preceded the dismissal. On the other hand, the petitioners pointed out that by resolutions of March 13, 2003, the Supreme Court of Justice of Honduras declared the unconstitutionality and inapplicability of Decree 58-2001. In this regard, they stated that although Article 316 (2) of the Honduran Constitution stipulates that when declaring the unconstitutionality of the law, it will be of general effect and of immediate application, the Supreme Court established that its ruling had no retroactive effect and that therefore, the declaration of unconstitutionality in favor of the alleged victims would not be applied. According to the petitioners, since the aforementioned decree was declared unconstitutional, it should also have been applied to the benefit of all the persons affected by it.</w:t>
            </w:r>
          </w:p>
          <w:p w14:paraId="348B9F8C" w14:textId="77777777" w:rsidR="008F7074" w:rsidRPr="00967D29" w:rsidRDefault="008F7074" w:rsidP="008F7074">
            <w:pPr>
              <w:ind w:left="120"/>
              <w:jc w:val="both"/>
              <w:rPr>
                <w:rFonts w:ascii="Cambria" w:hAnsi="Cambria"/>
                <w:sz w:val="20"/>
                <w:szCs w:val="20"/>
              </w:rPr>
            </w:pPr>
          </w:p>
          <w:p w14:paraId="2ADA2413" w14:textId="1F08CD1D" w:rsidR="00EE2B3B" w:rsidRPr="003F7365" w:rsidRDefault="008F7074" w:rsidP="008F7074">
            <w:pPr>
              <w:pStyle w:val="NoSpacing"/>
              <w:tabs>
                <w:tab w:val="left" w:pos="9270"/>
              </w:tabs>
              <w:jc w:val="both"/>
              <w:rPr>
                <w:rFonts w:ascii="Cambria" w:hAnsi="Cambria"/>
                <w:color w:val="000000"/>
                <w:sz w:val="20"/>
                <w:szCs w:val="20"/>
              </w:rPr>
            </w:pPr>
            <w:r w:rsidRPr="00967D29">
              <w:rPr>
                <w:rFonts w:ascii="Cambria" w:eastAsia="Batang" w:hAnsi="Cambria"/>
                <w:b/>
                <w:color w:val="000000"/>
                <w:sz w:val="20"/>
                <w:szCs w:val="20"/>
              </w:rPr>
              <w:t>Rights declared admissible</w:t>
            </w:r>
            <w:r w:rsidRPr="00967D29">
              <w:rPr>
                <w:rFonts w:ascii="Cambria" w:hAnsi="Cambria"/>
                <w:sz w:val="20"/>
                <w:szCs w:val="20"/>
              </w:rPr>
              <w:t xml:space="preserve">: On July 14, 2014, </w:t>
            </w:r>
            <w:r w:rsidRPr="00967D29">
              <w:rPr>
                <w:rFonts w:ascii="Cambria" w:eastAsia="Batang" w:hAnsi="Cambria"/>
                <w:bCs/>
                <w:color w:val="000000"/>
                <w:sz w:val="20"/>
                <w:szCs w:val="20"/>
              </w:rPr>
              <w:t>the IACHR declared the petition admissible in relation to</w:t>
            </w:r>
            <w:r w:rsidRPr="00967D29">
              <w:rPr>
                <w:rFonts w:ascii="Cambria" w:hAnsi="Cambria"/>
                <w:sz w:val="20"/>
                <w:szCs w:val="20"/>
              </w:rPr>
              <w:t xml:space="preserve"> articles 8 (fair trial) and 25 (judicial protection) of the American Convention, in relation to its articles 1.1 (obligation to respect rights) and 2 (domestic legal effects).</w:t>
            </w:r>
          </w:p>
        </w:tc>
      </w:tr>
    </w:tbl>
    <w:p w14:paraId="4EBF1FC0" w14:textId="77777777" w:rsidR="00EE2B3B" w:rsidRPr="003F7365" w:rsidRDefault="00EE2B3B" w:rsidP="00EE2B3B">
      <w:pPr>
        <w:pStyle w:val="ListParagraph"/>
        <w:rPr>
          <w:rFonts w:ascii="Cambria" w:hAnsi="Cambria" w:cs="Calibri Light"/>
          <w:b/>
          <w:color w:val="000000"/>
          <w:sz w:val="20"/>
          <w:szCs w:val="20"/>
        </w:rPr>
      </w:pPr>
    </w:p>
    <w:p w14:paraId="1531F314" w14:textId="77777777" w:rsidR="00EE2B3B" w:rsidRPr="003F7365" w:rsidRDefault="00EE2B3B" w:rsidP="00F84B42">
      <w:pPr>
        <w:pStyle w:val="ListParagraph"/>
        <w:numPr>
          <w:ilvl w:val="0"/>
          <w:numId w:val="1"/>
        </w:numPr>
        <w:ind w:left="0" w:firstLine="720"/>
        <w:rPr>
          <w:rFonts w:ascii="Cambria" w:hAnsi="Cambria" w:cs="Calibri Light"/>
          <w:b/>
          <w:color w:val="000000"/>
          <w:sz w:val="20"/>
          <w:szCs w:val="20"/>
        </w:rPr>
      </w:pPr>
      <w:r w:rsidRPr="003F7365">
        <w:rPr>
          <w:rFonts w:ascii="Cambria" w:hAnsi="Cambria"/>
          <w:b/>
          <w:color w:val="000000"/>
          <w:sz w:val="20"/>
          <w:szCs w:val="20"/>
        </w:rPr>
        <w:t>PROCEDURAL ACTIVITY</w:t>
      </w:r>
    </w:p>
    <w:p w14:paraId="3846F014" w14:textId="77777777" w:rsidR="00EE2B3B" w:rsidRPr="003F7365" w:rsidRDefault="00EE2B3B" w:rsidP="00F84B42">
      <w:pPr>
        <w:pStyle w:val="ListParagraph"/>
        <w:ind w:left="0" w:firstLine="720"/>
        <w:rPr>
          <w:rFonts w:ascii="Cambria" w:hAnsi="Cambria" w:cs="Calibri Light"/>
          <w:b/>
          <w:color w:val="000000"/>
          <w:sz w:val="20"/>
          <w:szCs w:val="20"/>
        </w:rPr>
      </w:pPr>
    </w:p>
    <w:p w14:paraId="163579AD" w14:textId="47865328" w:rsidR="00EE2B3B" w:rsidRDefault="00EE2B3B" w:rsidP="00F84B42">
      <w:pPr>
        <w:numPr>
          <w:ilvl w:val="0"/>
          <w:numId w:val="2"/>
        </w:numPr>
        <w:ind w:left="0" w:firstLine="720"/>
        <w:jc w:val="both"/>
        <w:rPr>
          <w:rFonts w:ascii="Cambria" w:hAnsi="Cambria"/>
          <w:color w:val="000000"/>
          <w:sz w:val="20"/>
          <w:szCs w:val="20"/>
        </w:rPr>
      </w:pPr>
      <w:r>
        <w:rPr>
          <w:rFonts w:ascii="Cambria" w:hAnsi="Cambria"/>
          <w:color w:val="000000"/>
          <w:sz w:val="20"/>
          <w:szCs w:val="20"/>
        </w:rPr>
        <w:t xml:space="preserve">On </w:t>
      </w:r>
      <w:r w:rsidR="007B2C4D">
        <w:rPr>
          <w:rFonts w:ascii="Cambria" w:hAnsi="Cambria"/>
          <w:color w:val="000000"/>
          <w:sz w:val="20"/>
        </w:rPr>
        <w:t>September 18, 2019</w:t>
      </w:r>
      <w:r>
        <w:rPr>
          <w:rFonts w:ascii="Cambria" w:hAnsi="Cambria"/>
          <w:color w:val="000000"/>
          <w:sz w:val="20"/>
          <w:szCs w:val="20"/>
        </w:rPr>
        <w:t xml:space="preserve">, </w:t>
      </w:r>
      <w:r w:rsidRPr="00EE2B3B">
        <w:rPr>
          <w:rFonts w:ascii="Cambria" w:hAnsi="Cambria"/>
          <w:color w:val="000000"/>
          <w:sz w:val="20"/>
          <w:szCs w:val="20"/>
        </w:rPr>
        <w:t>the parties signed a friendly settlement agreement.</w:t>
      </w:r>
    </w:p>
    <w:p w14:paraId="7E9E5C89" w14:textId="77777777" w:rsidR="00EE2B3B" w:rsidRPr="00EE2B3B" w:rsidRDefault="00EE2B3B" w:rsidP="00F84B42">
      <w:pPr>
        <w:ind w:firstLine="720"/>
        <w:jc w:val="both"/>
        <w:rPr>
          <w:rFonts w:ascii="Cambria" w:hAnsi="Cambria"/>
          <w:color w:val="000000"/>
          <w:sz w:val="20"/>
          <w:szCs w:val="20"/>
        </w:rPr>
      </w:pPr>
    </w:p>
    <w:p w14:paraId="1474F062" w14:textId="005113B4" w:rsidR="00EE2B3B" w:rsidRPr="003F7365" w:rsidRDefault="00EE2B3B" w:rsidP="00F84B42">
      <w:pPr>
        <w:numPr>
          <w:ilvl w:val="0"/>
          <w:numId w:val="2"/>
        </w:numPr>
        <w:ind w:left="0" w:firstLine="720"/>
        <w:jc w:val="both"/>
        <w:rPr>
          <w:rFonts w:ascii="Cambria" w:hAnsi="Cambria" w:cs="Calibri Light"/>
          <w:color w:val="000000"/>
          <w:sz w:val="20"/>
          <w:szCs w:val="20"/>
        </w:rPr>
      </w:pPr>
      <w:r w:rsidRPr="00EE2B3B">
        <w:rPr>
          <w:rFonts w:ascii="Cambria" w:hAnsi="Cambria"/>
          <w:color w:val="000000"/>
          <w:sz w:val="20"/>
          <w:szCs w:val="20"/>
        </w:rPr>
        <w:t xml:space="preserve">On </w:t>
      </w:r>
      <w:r w:rsidR="00B542CE">
        <w:rPr>
          <w:rFonts w:ascii="Cambria" w:hAnsi="Cambria"/>
          <w:color w:val="000000"/>
          <w:sz w:val="20"/>
        </w:rPr>
        <w:t>November 8, 2022</w:t>
      </w:r>
      <w:r w:rsidRPr="00EE2B3B">
        <w:rPr>
          <w:rFonts w:ascii="Cambria" w:hAnsi="Cambria"/>
          <w:color w:val="000000"/>
          <w:sz w:val="20"/>
          <w:szCs w:val="20"/>
        </w:rPr>
        <w:t>, the Commission approved the agreement signed by the parties, by means of Report No.</w:t>
      </w:r>
      <w:r>
        <w:rPr>
          <w:rFonts w:ascii="Cambria" w:hAnsi="Cambria"/>
          <w:color w:val="000000"/>
          <w:sz w:val="20"/>
          <w:szCs w:val="20"/>
        </w:rPr>
        <w:t xml:space="preserve"> </w:t>
      </w:r>
      <w:r w:rsidR="008646A9">
        <w:rPr>
          <w:rFonts w:ascii="Cambria" w:hAnsi="Cambria"/>
          <w:color w:val="000000"/>
          <w:sz w:val="20"/>
          <w:szCs w:val="20"/>
        </w:rPr>
        <w:t>2</w:t>
      </w:r>
      <w:r w:rsidR="00B542CE">
        <w:rPr>
          <w:rFonts w:ascii="Cambria" w:hAnsi="Cambria"/>
          <w:color w:val="000000"/>
          <w:sz w:val="20"/>
          <w:szCs w:val="20"/>
        </w:rPr>
        <w:t>8</w:t>
      </w:r>
      <w:r w:rsidR="007B2C4D">
        <w:rPr>
          <w:rFonts w:ascii="Cambria" w:hAnsi="Cambria"/>
          <w:color w:val="000000"/>
          <w:sz w:val="20"/>
          <w:szCs w:val="20"/>
        </w:rPr>
        <w:t>7</w:t>
      </w:r>
      <w:r w:rsidR="008646A9">
        <w:rPr>
          <w:rFonts w:ascii="Cambria" w:hAnsi="Cambria"/>
          <w:color w:val="000000"/>
          <w:sz w:val="20"/>
          <w:szCs w:val="20"/>
        </w:rPr>
        <w:t>/2</w:t>
      </w:r>
      <w:r w:rsidR="00B542CE">
        <w:rPr>
          <w:rFonts w:ascii="Cambria" w:hAnsi="Cambria"/>
          <w:color w:val="000000"/>
          <w:sz w:val="20"/>
          <w:szCs w:val="20"/>
        </w:rPr>
        <w:t>2</w:t>
      </w:r>
      <w:r w:rsidRPr="003F7365">
        <w:rPr>
          <w:rFonts w:ascii="Cambria" w:hAnsi="Cambria" w:cs="Calibri Light"/>
          <w:color w:val="000000"/>
          <w:sz w:val="20"/>
          <w:szCs w:val="20"/>
        </w:rPr>
        <w:t>.</w:t>
      </w:r>
    </w:p>
    <w:p w14:paraId="516953C5" w14:textId="77777777" w:rsidR="00EE2B3B" w:rsidRDefault="00EE2B3B" w:rsidP="00EE2B3B">
      <w:pPr>
        <w:ind w:left="720"/>
        <w:rPr>
          <w:rFonts w:ascii="Cambria" w:hAnsi="Cambria" w:cs="Calibri Light"/>
          <w:color w:val="000000"/>
          <w:sz w:val="20"/>
          <w:szCs w:val="20"/>
        </w:rPr>
      </w:pPr>
    </w:p>
    <w:p w14:paraId="10E53D56" w14:textId="77777777" w:rsidR="00CB6DAC" w:rsidRDefault="00CB6DAC" w:rsidP="00EE2B3B">
      <w:pPr>
        <w:ind w:left="720"/>
        <w:rPr>
          <w:rFonts w:ascii="Cambria" w:hAnsi="Cambria" w:cs="Calibri Light"/>
          <w:color w:val="000000"/>
          <w:sz w:val="20"/>
          <w:szCs w:val="20"/>
        </w:rPr>
      </w:pPr>
    </w:p>
    <w:p w14:paraId="432E397E" w14:textId="77777777" w:rsidR="00CB6DAC" w:rsidRDefault="00CB6DAC" w:rsidP="00EE2B3B">
      <w:pPr>
        <w:ind w:left="720"/>
        <w:rPr>
          <w:rFonts w:ascii="Cambria" w:hAnsi="Cambria" w:cs="Calibri Light"/>
          <w:color w:val="000000"/>
          <w:sz w:val="20"/>
          <w:szCs w:val="20"/>
        </w:rPr>
      </w:pPr>
    </w:p>
    <w:p w14:paraId="11572E03" w14:textId="77777777" w:rsidR="00CB6DAC" w:rsidRDefault="00CB6DAC" w:rsidP="00EE2B3B">
      <w:pPr>
        <w:ind w:left="720"/>
        <w:rPr>
          <w:rFonts w:ascii="Cambria" w:hAnsi="Cambria" w:cs="Calibri Light"/>
          <w:color w:val="000000"/>
          <w:sz w:val="20"/>
          <w:szCs w:val="20"/>
        </w:rPr>
      </w:pPr>
    </w:p>
    <w:p w14:paraId="31383E5B" w14:textId="77777777" w:rsidR="00CB6DAC" w:rsidRPr="003F7365" w:rsidRDefault="00CB6DAC" w:rsidP="00EE2B3B">
      <w:pPr>
        <w:ind w:left="720"/>
        <w:rPr>
          <w:rFonts w:ascii="Cambria" w:hAnsi="Cambria" w:cs="Calibri Light"/>
          <w:color w:val="000000"/>
          <w:sz w:val="20"/>
          <w:szCs w:val="20"/>
        </w:rPr>
      </w:pPr>
    </w:p>
    <w:p w14:paraId="50BF87C1" w14:textId="77777777" w:rsidR="00EE2B3B" w:rsidRPr="003F7365" w:rsidRDefault="00EE2B3B" w:rsidP="00EE2B3B">
      <w:pPr>
        <w:pStyle w:val="ListParagraph"/>
        <w:numPr>
          <w:ilvl w:val="0"/>
          <w:numId w:val="1"/>
        </w:numPr>
        <w:ind w:left="0" w:firstLine="720"/>
        <w:jc w:val="both"/>
        <w:rPr>
          <w:rFonts w:ascii="Cambria" w:hAnsi="Cambria" w:cs="Calibri Light"/>
          <w:b/>
          <w:color w:val="000000"/>
          <w:sz w:val="20"/>
          <w:szCs w:val="20"/>
        </w:rPr>
      </w:pPr>
      <w:r w:rsidRPr="003F7365">
        <w:rPr>
          <w:rFonts w:ascii="Cambria" w:hAnsi="Cambria"/>
          <w:b/>
          <w:bCs/>
          <w:color w:val="000000"/>
          <w:sz w:val="20"/>
          <w:szCs w:val="20"/>
        </w:rPr>
        <w:lastRenderedPageBreak/>
        <w:t xml:space="preserve">ANALYSIS OF COMPLIANCE WITH THE CLAUSES OF THE FRIENDLY SETTLEMENT AGREEMENT </w:t>
      </w:r>
    </w:p>
    <w:p w14:paraId="5EC7D320" w14:textId="77777777" w:rsidR="00EE2B3B" w:rsidRPr="003F7365" w:rsidRDefault="00EE2B3B" w:rsidP="00EE2B3B">
      <w:pPr>
        <w:pStyle w:val="ListParagraph"/>
        <w:jc w:val="both"/>
        <w:rPr>
          <w:rFonts w:ascii="Cambria" w:hAnsi="Cambria" w:cs="Calibri Light"/>
          <w:b/>
          <w:color w:val="000000"/>
          <w:sz w:val="20"/>
          <w:szCs w:val="20"/>
        </w:rPr>
      </w:pPr>
    </w:p>
    <w:tbl>
      <w:tblPr>
        <w:tblW w:w="9639"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370"/>
        <w:gridCol w:w="1269"/>
      </w:tblGrid>
      <w:tr w:rsidR="006C362F" w:rsidRPr="00967D29" w14:paraId="756C31C9" w14:textId="77777777" w:rsidTr="006C362F">
        <w:tc>
          <w:tcPr>
            <w:tcW w:w="837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55866C1D" w14:textId="77777777" w:rsidR="006C362F" w:rsidRPr="00967D29" w:rsidRDefault="006C362F" w:rsidP="005C1F16">
            <w:pPr>
              <w:pStyle w:val="paragraph"/>
              <w:spacing w:before="0" w:beforeAutospacing="0" w:after="0" w:afterAutospacing="0"/>
              <w:jc w:val="center"/>
              <w:textAlignment w:val="baseline"/>
              <w:rPr>
                <w:rFonts w:ascii="Segoe UI" w:hAnsi="Segoe UI" w:cs="Segoe UI"/>
                <w:sz w:val="20"/>
                <w:szCs w:val="20"/>
              </w:rPr>
            </w:pPr>
            <w:r w:rsidRPr="00967D29">
              <w:rPr>
                <w:rFonts w:ascii="Cambria" w:hAnsi="Cambria"/>
                <w:b/>
                <w:bCs/>
                <w:sz w:val="20"/>
                <w:szCs w:val="20"/>
              </w:rPr>
              <w:t>Clauses of the agreement</w:t>
            </w:r>
          </w:p>
        </w:tc>
        <w:tc>
          <w:tcPr>
            <w:tcW w:w="1269"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20EE6A2E" w14:textId="7015A4F5" w:rsidR="006C362F" w:rsidRPr="00967D29" w:rsidRDefault="006C362F" w:rsidP="006C362F">
            <w:pPr>
              <w:pStyle w:val="paragraph"/>
              <w:spacing w:before="0" w:beforeAutospacing="0" w:after="0" w:afterAutospacing="0"/>
              <w:jc w:val="center"/>
              <w:textAlignment w:val="baseline"/>
              <w:rPr>
                <w:rFonts w:ascii="Segoe UI" w:hAnsi="Segoe UI" w:cs="Segoe UI"/>
                <w:sz w:val="20"/>
                <w:szCs w:val="20"/>
              </w:rPr>
            </w:pPr>
            <w:r w:rsidRPr="00967D29">
              <w:rPr>
                <w:rFonts w:ascii="Cambria" w:hAnsi="Cambria"/>
                <w:b/>
                <w:bCs/>
                <w:sz w:val="20"/>
                <w:szCs w:val="20"/>
              </w:rPr>
              <w:t>Status of compliance</w:t>
            </w:r>
          </w:p>
        </w:tc>
      </w:tr>
      <w:tr w:rsidR="006C362F" w:rsidRPr="00967D29" w14:paraId="017ED833" w14:textId="77777777" w:rsidTr="005C1F16">
        <w:trPr>
          <w:trHeight w:val="210"/>
        </w:trPr>
        <w:tc>
          <w:tcPr>
            <w:tcW w:w="9639" w:type="dxa"/>
            <w:gridSpan w:val="2"/>
            <w:tcBorders>
              <w:top w:val="single" w:sz="6" w:space="0" w:color="auto"/>
              <w:left w:val="single" w:sz="6" w:space="0" w:color="auto"/>
              <w:bottom w:val="single" w:sz="6" w:space="0" w:color="auto"/>
              <w:right w:val="single" w:sz="6" w:space="0" w:color="auto"/>
            </w:tcBorders>
            <w:shd w:val="clear" w:color="auto" w:fill="auto"/>
            <w:hideMark/>
          </w:tcPr>
          <w:p w14:paraId="52BEEC5F" w14:textId="77777777" w:rsidR="006C362F" w:rsidRPr="00967D29" w:rsidRDefault="006C362F" w:rsidP="005C1F16">
            <w:pPr>
              <w:pStyle w:val="paragraph"/>
              <w:spacing w:before="0" w:beforeAutospacing="0" w:after="0" w:afterAutospacing="0"/>
              <w:textAlignment w:val="baseline"/>
              <w:rPr>
                <w:rFonts w:ascii="Cambria" w:hAnsi="Cambria" w:cs="Segoe UI"/>
                <w:b/>
                <w:bCs/>
                <w:sz w:val="20"/>
                <w:szCs w:val="20"/>
              </w:rPr>
            </w:pPr>
            <w:r w:rsidRPr="00164D11">
              <w:rPr>
                <w:rFonts w:ascii="Cambria" w:eastAsiaTheme="minorHAnsi" w:hAnsi="Cambria" w:cstheme="minorBidi"/>
                <w:b/>
                <w:bCs/>
                <w:sz w:val="20"/>
                <w:szCs w:val="20"/>
              </w:rPr>
              <w:t>SIXTH: SATISFACTION OF THE PETITIONERS</w:t>
            </w:r>
          </w:p>
        </w:tc>
      </w:tr>
      <w:tr w:rsidR="006C362F" w:rsidRPr="00967D29" w14:paraId="75FA9176" w14:textId="77777777" w:rsidTr="006C362F">
        <w:trPr>
          <w:trHeight w:val="450"/>
        </w:trPr>
        <w:tc>
          <w:tcPr>
            <w:tcW w:w="8370" w:type="dxa"/>
            <w:tcBorders>
              <w:top w:val="single" w:sz="6" w:space="0" w:color="auto"/>
              <w:left w:val="single" w:sz="6" w:space="0" w:color="auto"/>
              <w:bottom w:val="single" w:sz="6" w:space="0" w:color="auto"/>
              <w:right w:val="single" w:sz="6" w:space="0" w:color="auto"/>
            </w:tcBorders>
            <w:shd w:val="clear" w:color="auto" w:fill="auto"/>
          </w:tcPr>
          <w:p w14:paraId="7A38CE47" w14:textId="77777777" w:rsidR="006C362F" w:rsidRPr="00967D29" w:rsidRDefault="006C362F" w:rsidP="005C1F16">
            <w:pPr>
              <w:pStyle w:val="paragraph"/>
              <w:spacing w:before="0" w:beforeAutospacing="0" w:after="0" w:afterAutospacing="0"/>
              <w:ind w:left="86" w:right="158"/>
              <w:jc w:val="both"/>
              <w:textAlignment w:val="baseline"/>
              <w:rPr>
                <w:rFonts w:ascii="Cambria" w:eastAsiaTheme="minorHAnsi" w:hAnsi="Cambria" w:cstheme="minorBidi"/>
                <w:sz w:val="20"/>
                <w:szCs w:val="20"/>
              </w:rPr>
            </w:pPr>
            <w:r w:rsidRPr="00967D29">
              <w:rPr>
                <w:rFonts w:ascii="Cambria" w:eastAsiaTheme="minorHAnsi" w:hAnsi="Cambria" w:cstheme="minorBidi"/>
                <w:sz w:val="20"/>
                <w:szCs w:val="20"/>
              </w:rPr>
              <w:t>The petitioning party considers that compliance with the economic commitments assumed by means of this friendly settlement agreement entails the full satisfaction of its claims in the Juan González et al. case (IACHR case No. 12.961) and its respective disaggregated cases.</w:t>
            </w:r>
          </w:p>
          <w:p w14:paraId="704E6B02" w14:textId="77777777" w:rsidR="006C362F" w:rsidRPr="00967D29" w:rsidRDefault="006C362F" w:rsidP="005C1F16">
            <w:pPr>
              <w:pStyle w:val="paragraph"/>
              <w:spacing w:before="0" w:beforeAutospacing="0" w:after="0" w:afterAutospacing="0"/>
              <w:ind w:left="86" w:right="158"/>
              <w:jc w:val="both"/>
              <w:textAlignment w:val="baseline"/>
              <w:rPr>
                <w:rFonts w:ascii="Cambria" w:eastAsiaTheme="minorHAnsi" w:hAnsi="Cambria" w:cstheme="minorBidi"/>
                <w:sz w:val="20"/>
                <w:szCs w:val="20"/>
              </w:rPr>
            </w:pPr>
            <w:r w:rsidRPr="00967D29">
              <w:rPr>
                <w:rFonts w:ascii="Cambria" w:eastAsiaTheme="minorHAnsi" w:hAnsi="Cambria" w:cstheme="minorBidi"/>
                <w:sz w:val="20"/>
                <w:szCs w:val="20"/>
              </w:rPr>
              <w:t>The State of Honduras and the petitioners through their legal representative, using as a reference the scale to which the dismissed personnel belonged at the time Decree 58-2001 was issued, recognize and accept as the amount to be paid in compensation the individual sums detailed below in favor of each of the petitioners:</w:t>
            </w:r>
          </w:p>
          <w:p w14:paraId="0B6C22CB" w14:textId="77777777" w:rsidR="006C362F" w:rsidRPr="00967D29" w:rsidRDefault="006C362F" w:rsidP="005C1F16">
            <w:pPr>
              <w:pStyle w:val="paragraph"/>
              <w:spacing w:before="0" w:beforeAutospacing="0" w:after="0" w:afterAutospacing="0"/>
              <w:ind w:left="86" w:right="158"/>
              <w:jc w:val="both"/>
              <w:textAlignment w:val="baseline"/>
              <w:rPr>
                <w:rFonts w:ascii="Cambria" w:eastAsiaTheme="minorHAnsi" w:hAnsi="Cambria" w:cstheme="minorBidi"/>
                <w:sz w:val="20"/>
                <w:szCs w:val="20"/>
              </w:rPr>
            </w:pPr>
            <w:r w:rsidRPr="00967D29">
              <w:rPr>
                <w:rFonts w:ascii="Cambria" w:eastAsiaTheme="minorHAnsi" w:hAnsi="Cambria" w:cstheme="minorBidi"/>
                <w:sz w:val="20"/>
                <w:szCs w:val="20"/>
              </w:rPr>
              <w:tab/>
              <w:t>Police officers and administrators: L. 320,000.00</w:t>
            </w:r>
          </w:p>
          <w:p w14:paraId="4E7F6AFC" w14:textId="77777777" w:rsidR="006C362F" w:rsidRPr="00967D29" w:rsidRDefault="006C362F" w:rsidP="005C1F16">
            <w:pPr>
              <w:pStyle w:val="paragraph"/>
              <w:spacing w:before="0" w:beforeAutospacing="0" w:after="0" w:afterAutospacing="0"/>
              <w:ind w:left="86" w:right="158"/>
              <w:jc w:val="both"/>
              <w:textAlignment w:val="baseline"/>
              <w:rPr>
                <w:rFonts w:ascii="Cambria" w:eastAsiaTheme="minorHAnsi" w:hAnsi="Cambria" w:cstheme="minorBidi"/>
                <w:sz w:val="20"/>
                <w:szCs w:val="20"/>
              </w:rPr>
            </w:pPr>
            <w:r w:rsidRPr="00967D29">
              <w:rPr>
                <w:rFonts w:ascii="Cambria" w:eastAsiaTheme="minorHAnsi" w:hAnsi="Cambria" w:cstheme="minorBidi"/>
                <w:sz w:val="20"/>
                <w:szCs w:val="20"/>
              </w:rPr>
              <w:tab/>
              <w:t>Classes: L. 400,000.00</w:t>
            </w:r>
          </w:p>
          <w:p w14:paraId="093829F4" w14:textId="77777777" w:rsidR="006C362F" w:rsidRPr="00967D29" w:rsidRDefault="006C362F" w:rsidP="005C1F16">
            <w:pPr>
              <w:pStyle w:val="paragraph"/>
              <w:spacing w:before="0" w:beforeAutospacing="0" w:after="0" w:afterAutospacing="0"/>
              <w:ind w:left="86" w:right="158"/>
              <w:jc w:val="both"/>
              <w:textAlignment w:val="baseline"/>
              <w:rPr>
                <w:rFonts w:ascii="Cambria" w:eastAsiaTheme="minorHAnsi" w:hAnsi="Cambria" w:cstheme="minorBidi"/>
                <w:sz w:val="20"/>
                <w:szCs w:val="20"/>
              </w:rPr>
            </w:pPr>
            <w:r w:rsidRPr="00967D29">
              <w:rPr>
                <w:rFonts w:ascii="Cambria" w:eastAsiaTheme="minorHAnsi" w:hAnsi="Cambria" w:cstheme="minorBidi"/>
                <w:sz w:val="20"/>
                <w:szCs w:val="20"/>
              </w:rPr>
              <w:tab/>
              <w:t>Officials: L. 700,000.00</w:t>
            </w:r>
          </w:p>
          <w:p w14:paraId="4AAE3867" w14:textId="77777777" w:rsidR="006C362F" w:rsidRPr="00967D29" w:rsidRDefault="006C362F" w:rsidP="005C1F16">
            <w:pPr>
              <w:pStyle w:val="paragraph"/>
              <w:spacing w:before="0" w:beforeAutospacing="0" w:after="0" w:afterAutospacing="0"/>
              <w:ind w:left="86" w:right="158"/>
              <w:jc w:val="both"/>
              <w:textAlignment w:val="baseline"/>
              <w:rPr>
                <w:rFonts w:ascii="Cambria" w:eastAsiaTheme="minorHAnsi" w:hAnsi="Cambria" w:cstheme="minorBidi"/>
                <w:sz w:val="20"/>
                <w:szCs w:val="20"/>
              </w:rPr>
            </w:pPr>
            <w:r w:rsidRPr="00967D29">
              <w:rPr>
                <w:rFonts w:ascii="Cambria" w:eastAsiaTheme="minorHAnsi" w:hAnsi="Cambria" w:cstheme="minorBidi"/>
                <w:sz w:val="20"/>
                <w:szCs w:val="20"/>
              </w:rPr>
              <w:t>The amount as stated will be paid in a single payment to each of the petitioners who have decided to adhere to this agreement.</w:t>
            </w:r>
          </w:p>
          <w:p w14:paraId="18B69B31" w14:textId="77777777" w:rsidR="006C362F" w:rsidRPr="00967D29" w:rsidRDefault="006C362F" w:rsidP="005C1F16">
            <w:pPr>
              <w:pStyle w:val="paragraph"/>
              <w:spacing w:before="0" w:beforeAutospacing="0" w:after="0" w:afterAutospacing="0"/>
              <w:ind w:left="86" w:right="158"/>
              <w:jc w:val="both"/>
              <w:textAlignment w:val="baseline"/>
              <w:rPr>
                <w:rFonts w:ascii="Cambria" w:hAnsi="Cambria"/>
                <w:b/>
                <w:bCs/>
                <w:sz w:val="20"/>
                <w:szCs w:val="20"/>
                <w:shd w:val="clear" w:color="auto" w:fill="FFFF00"/>
              </w:rPr>
            </w:pPr>
            <w:r w:rsidRPr="00967D29">
              <w:rPr>
                <w:rFonts w:ascii="Cambria" w:eastAsiaTheme="minorHAnsi" w:hAnsi="Cambria" w:cstheme="minorBidi"/>
                <w:sz w:val="20"/>
                <w:szCs w:val="20"/>
              </w:rPr>
              <w:t>The percentage for professional fees will be assumed by the petitioners based on the agreement they have made with their representative.</w:t>
            </w:r>
            <w:r w:rsidRPr="00967D29">
              <w:rPr>
                <w:rFonts w:ascii="Cambria" w:hAnsi="Cambria"/>
                <w:sz w:val="20"/>
                <w:szCs w:val="20"/>
                <w:shd w:val="clear" w:color="auto" w:fill="FFFF00"/>
              </w:rPr>
              <w:t xml:space="preserve"> </w:t>
            </w:r>
          </w:p>
        </w:tc>
        <w:tc>
          <w:tcPr>
            <w:tcW w:w="1269" w:type="dxa"/>
            <w:tcBorders>
              <w:top w:val="single" w:sz="6" w:space="0" w:color="auto"/>
              <w:left w:val="single" w:sz="6" w:space="0" w:color="auto"/>
              <w:bottom w:val="single" w:sz="6" w:space="0" w:color="auto"/>
              <w:right w:val="single" w:sz="6" w:space="0" w:color="auto"/>
            </w:tcBorders>
            <w:shd w:val="clear" w:color="auto" w:fill="auto"/>
            <w:vAlign w:val="center"/>
          </w:tcPr>
          <w:p w14:paraId="306C5D20" w14:textId="3CC931A9" w:rsidR="006C362F" w:rsidRPr="00967D29" w:rsidRDefault="006C362F" w:rsidP="005C1F16">
            <w:pPr>
              <w:pStyle w:val="paragraph"/>
              <w:spacing w:before="0" w:beforeAutospacing="0" w:after="0" w:afterAutospacing="0"/>
              <w:jc w:val="center"/>
              <w:textAlignment w:val="baseline"/>
              <w:rPr>
                <w:rStyle w:val="normaltextrun"/>
                <w:rFonts w:ascii="Cambria" w:hAnsi="Cambria" w:cs="Segoe UI"/>
                <w:b/>
                <w:bCs/>
                <w:color w:val="000000"/>
                <w:sz w:val="20"/>
                <w:szCs w:val="20"/>
                <w:shd w:val="clear" w:color="auto" w:fill="FFFF00"/>
                <w:lang w:val="es-CO"/>
              </w:rPr>
            </w:pPr>
            <w:r w:rsidRPr="00967D29">
              <w:rPr>
                <w:rStyle w:val="eop"/>
                <w:rFonts w:ascii="Cambria" w:hAnsi="Cambria" w:cs="Segoe UI"/>
                <w:b/>
                <w:bCs/>
                <w:color w:val="000000"/>
                <w:sz w:val="20"/>
                <w:szCs w:val="20"/>
              </w:rPr>
              <w:t>T</w:t>
            </w:r>
            <w:r w:rsidRPr="00967D29">
              <w:rPr>
                <w:rStyle w:val="eop"/>
                <w:rFonts w:ascii="Cambria" w:hAnsi="Cambria"/>
                <w:b/>
                <w:bCs/>
                <w:sz w:val="20"/>
                <w:szCs w:val="20"/>
              </w:rPr>
              <w:t>otal</w:t>
            </w:r>
            <w:r w:rsidRPr="00967D29">
              <w:rPr>
                <w:rStyle w:val="FootnoteReference"/>
                <w:rFonts w:ascii="Cambria" w:hAnsi="Cambria" w:cs="Segoe UI"/>
                <w:b/>
                <w:bCs/>
                <w:sz w:val="20"/>
                <w:szCs w:val="20"/>
                <w:lang w:val="es-419"/>
              </w:rPr>
              <w:footnoteReference w:id="1"/>
            </w:r>
          </w:p>
          <w:p w14:paraId="483D628D" w14:textId="77777777" w:rsidR="006C362F" w:rsidRPr="00967D29" w:rsidRDefault="006C362F" w:rsidP="005C1F16">
            <w:pPr>
              <w:pStyle w:val="paragraph"/>
              <w:spacing w:before="0" w:beforeAutospacing="0" w:after="0" w:afterAutospacing="0"/>
              <w:ind w:left="84" w:right="84"/>
              <w:jc w:val="both"/>
              <w:textAlignment w:val="baseline"/>
              <w:rPr>
                <w:rFonts w:ascii="Segoe UI" w:hAnsi="Segoe UI" w:cs="Segoe UI"/>
                <w:sz w:val="20"/>
                <w:szCs w:val="20"/>
                <w:lang w:val="es-419"/>
              </w:rPr>
            </w:pPr>
          </w:p>
        </w:tc>
      </w:tr>
      <w:tr w:rsidR="006C362F" w:rsidRPr="00967D29" w14:paraId="515C8BD5" w14:textId="77777777" w:rsidTr="005C1F16">
        <w:trPr>
          <w:trHeight w:val="294"/>
        </w:trPr>
        <w:tc>
          <w:tcPr>
            <w:tcW w:w="9639" w:type="dxa"/>
            <w:gridSpan w:val="2"/>
            <w:tcBorders>
              <w:top w:val="single" w:sz="6" w:space="0" w:color="auto"/>
              <w:left w:val="single" w:sz="6" w:space="0" w:color="auto"/>
              <w:bottom w:val="single" w:sz="6" w:space="0" w:color="auto"/>
              <w:right w:val="single" w:sz="6" w:space="0" w:color="auto"/>
            </w:tcBorders>
            <w:shd w:val="clear" w:color="auto" w:fill="auto"/>
          </w:tcPr>
          <w:p w14:paraId="28AB5EB2" w14:textId="77777777" w:rsidR="006C362F" w:rsidRPr="00967D29" w:rsidRDefault="006C362F" w:rsidP="005C1F16">
            <w:pPr>
              <w:pStyle w:val="paragraph"/>
              <w:spacing w:before="0" w:beforeAutospacing="0" w:after="0" w:afterAutospacing="0"/>
              <w:textAlignment w:val="baseline"/>
              <w:rPr>
                <w:rStyle w:val="eop"/>
                <w:rFonts w:ascii="Cambria" w:hAnsi="Cambria" w:cs="Segoe UI"/>
                <w:b/>
                <w:bCs/>
                <w:color w:val="000000"/>
                <w:sz w:val="20"/>
                <w:szCs w:val="20"/>
              </w:rPr>
            </w:pPr>
            <w:r w:rsidRPr="00967D29">
              <w:rPr>
                <w:rStyle w:val="eop"/>
                <w:rFonts w:ascii="Cambria" w:hAnsi="Cambria" w:cs="Segoe UI"/>
                <w:b/>
                <w:bCs/>
                <w:color w:val="000000"/>
                <w:sz w:val="20"/>
                <w:szCs w:val="20"/>
              </w:rPr>
              <w:t>SEVENTH: METHOD FOR PAYMENT OF ECONOMIC REPARATION</w:t>
            </w:r>
          </w:p>
        </w:tc>
      </w:tr>
      <w:tr w:rsidR="006C362F" w:rsidRPr="00967D29" w14:paraId="701BC9B6" w14:textId="77777777" w:rsidTr="006C362F">
        <w:trPr>
          <w:trHeight w:val="450"/>
        </w:trPr>
        <w:tc>
          <w:tcPr>
            <w:tcW w:w="8370" w:type="dxa"/>
            <w:tcBorders>
              <w:top w:val="single" w:sz="6" w:space="0" w:color="auto"/>
              <w:left w:val="single" w:sz="6" w:space="0" w:color="auto"/>
              <w:bottom w:val="single" w:sz="6" w:space="0" w:color="auto"/>
              <w:right w:val="single" w:sz="6" w:space="0" w:color="auto"/>
            </w:tcBorders>
            <w:shd w:val="clear" w:color="auto" w:fill="auto"/>
          </w:tcPr>
          <w:p w14:paraId="666D5AEB" w14:textId="77777777" w:rsidR="006C362F" w:rsidRPr="00967D29" w:rsidRDefault="006C362F" w:rsidP="005C1F16">
            <w:pPr>
              <w:pStyle w:val="paragraph"/>
              <w:spacing w:before="0" w:beforeAutospacing="0" w:after="0" w:afterAutospacing="0"/>
              <w:ind w:left="86" w:right="158"/>
              <w:jc w:val="both"/>
              <w:textAlignment w:val="baseline"/>
              <w:rPr>
                <w:rFonts w:ascii="Cambria" w:hAnsi="Cambria"/>
                <w:sz w:val="20"/>
                <w:szCs w:val="20"/>
                <w:shd w:val="clear" w:color="auto" w:fill="FFFF00"/>
              </w:rPr>
            </w:pPr>
            <w:r w:rsidRPr="00967D29">
              <w:rPr>
                <w:rFonts w:ascii="Cambria" w:eastAsiaTheme="minorHAnsi" w:hAnsi="Cambria" w:cstheme="minorBidi"/>
                <w:b/>
                <w:bCs/>
                <w:sz w:val="20"/>
                <w:szCs w:val="20"/>
              </w:rPr>
              <w:t>Seventh: Method for Payment of Economic Reparation:</w:t>
            </w:r>
            <w:r w:rsidRPr="00967D29">
              <w:rPr>
                <w:rFonts w:ascii="Cambria" w:eastAsiaTheme="minorHAnsi" w:hAnsi="Cambria" w:cstheme="minorBidi"/>
                <w:sz w:val="20"/>
                <w:szCs w:val="20"/>
              </w:rPr>
              <w:t xml:space="preserve"> In accordance with the request made by the petitioners that the amount offered be paid in a single payment, the State agrees to make the above-indicated amounts effective through the intermediary of the State Secretariat’s Security Office, in a single payment no later than October 15, 2019, fully covering the economic compensation agreed upon and thus payment thereof, and the State of Honduras is completely released from any restitution due to the alleged events and any subsequent claim. […]</w:t>
            </w:r>
          </w:p>
        </w:tc>
        <w:tc>
          <w:tcPr>
            <w:tcW w:w="1269" w:type="dxa"/>
            <w:tcBorders>
              <w:top w:val="single" w:sz="6" w:space="0" w:color="auto"/>
              <w:left w:val="single" w:sz="6" w:space="0" w:color="auto"/>
              <w:bottom w:val="single" w:sz="6" w:space="0" w:color="auto"/>
              <w:right w:val="single" w:sz="6" w:space="0" w:color="auto"/>
            </w:tcBorders>
            <w:shd w:val="clear" w:color="auto" w:fill="auto"/>
            <w:vAlign w:val="center"/>
          </w:tcPr>
          <w:p w14:paraId="0C45E2D5" w14:textId="0D82E927" w:rsidR="006C362F" w:rsidRPr="00967D29" w:rsidRDefault="006C362F" w:rsidP="005C1F16">
            <w:pPr>
              <w:pStyle w:val="paragraph"/>
              <w:spacing w:before="0" w:beforeAutospacing="0" w:after="0" w:afterAutospacing="0"/>
              <w:jc w:val="center"/>
              <w:textAlignment w:val="baseline"/>
              <w:rPr>
                <w:rFonts w:ascii="Segoe UI" w:hAnsi="Segoe UI" w:cs="Segoe UI"/>
                <w:sz w:val="20"/>
                <w:szCs w:val="20"/>
                <w:lang w:val="es-419"/>
              </w:rPr>
            </w:pPr>
            <w:r w:rsidRPr="00967D29">
              <w:rPr>
                <w:rStyle w:val="eop"/>
                <w:rFonts w:ascii="Cambria" w:hAnsi="Cambria"/>
                <w:b/>
                <w:bCs/>
                <w:sz w:val="20"/>
                <w:szCs w:val="20"/>
              </w:rPr>
              <w:t>Total</w:t>
            </w:r>
            <w:r w:rsidRPr="00967D29">
              <w:rPr>
                <w:rStyle w:val="FootnoteReference"/>
                <w:rFonts w:ascii="Cambria" w:hAnsi="Cambria" w:cs="Segoe UI"/>
                <w:b/>
                <w:bCs/>
                <w:sz w:val="20"/>
                <w:szCs w:val="20"/>
                <w:lang w:val="es-419"/>
              </w:rPr>
              <w:footnoteReference w:id="2"/>
            </w:r>
          </w:p>
        </w:tc>
      </w:tr>
    </w:tbl>
    <w:p w14:paraId="570310D3" w14:textId="77777777" w:rsidR="00EE2B3B" w:rsidRPr="003F7365" w:rsidRDefault="00EE2B3B" w:rsidP="00EE2B3B">
      <w:pPr>
        <w:pStyle w:val="ListParagraph"/>
        <w:jc w:val="both"/>
        <w:rPr>
          <w:rFonts w:ascii="Cambria" w:hAnsi="Cambria" w:cs="Calibri Light"/>
          <w:b/>
          <w:color w:val="000000"/>
          <w:sz w:val="20"/>
          <w:szCs w:val="20"/>
        </w:rPr>
      </w:pPr>
    </w:p>
    <w:p w14:paraId="065DC9D9" w14:textId="77777777" w:rsidR="00CB6DAC" w:rsidRPr="003F7365" w:rsidRDefault="00CB6DAC" w:rsidP="00EE2B3B">
      <w:pPr>
        <w:contextualSpacing/>
        <w:jc w:val="both"/>
        <w:rPr>
          <w:rFonts w:ascii="Cambria" w:hAnsi="Cambria" w:cs="Calibri Light"/>
          <w:color w:val="000000"/>
          <w:sz w:val="20"/>
          <w:szCs w:val="20"/>
        </w:rPr>
      </w:pPr>
    </w:p>
    <w:p w14:paraId="4301E707" w14:textId="77777777" w:rsidR="00EE2B3B" w:rsidRPr="003F7365" w:rsidRDefault="00EE2B3B" w:rsidP="00EE2B3B">
      <w:pPr>
        <w:numPr>
          <w:ilvl w:val="0"/>
          <w:numId w:val="1"/>
        </w:numPr>
        <w:ind w:left="0" w:firstLine="720"/>
        <w:contextualSpacing/>
        <w:jc w:val="both"/>
        <w:rPr>
          <w:rFonts w:ascii="Cambria" w:hAnsi="Cambria" w:cs="Calibri Light"/>
          <w:color w:val="000000"/>
          <w:sz w:val="20"/>
          <w:szCs w:val="20"/>
        </w:rPr>
      </w:pPr>
      <w:r w:rsidRPr="003F7365">
        <w:rPr>
          <w:rFonts w:ascii="Cambria" w:hAnsi="Cambria"/>
          <w:b/>
          <w:color w:val="000000"/>
          <w:sz w:val="20"/>
          <w:szCs w:val="20"/>
        </w:rPr>
        <w:t>LEVEL OF COMPLIANCE OF THE CASE</w:t>
      </w:r>
    </w:p>
    <w:p w14:paraId="3B08C399" w14:textId="77777777" w:rsidR="00EE2B3B" w:rsidRPr="003F7365" w:rsidRDefault="00EE2B3B" w:rsidP="00EE2B3B">
      <w:pPr>
        <w:pStyle w:val="ListParagraph"/>
        <w:ind w:left="0" w:firstLine="720"/>
        <w:jc w:val="both"/>
        <w:rPr>
          <w:rFonts w:ascii="Cambria" w:hAnsi="Cambria" w:cs="Calibri Light"/>
          <w:b/>
          <w:color w:val="000000"/>
          <w:sz w:val="20"/>
          <w:szCs w:val="20"/>
        </w:rPr>
      </w:pPr>
    </w:p>
    <w:p w14:paraId="5A448611" w14:textId="712AEC61" w:rsidR="00EE2B3B" w:rsidRPr="003F7365" w:rsidRDefault="00EE2B3B" w:rsidP="00EE2B3B">
      <w:pPr>
        <w:pStyle w:val="ListParagraph"/>
        <w:numPr>
          <w:ilvl w:val="0"/>
          <w:numId w:val="2"/>
        </w:numPr>
        <w:ind w:left="0" w:firstLine="720"/>
        <w:jc w:val="both"/>
        <w:rPr>
          <w:rFonts w:ascii="Cambria" w:hAnsi="Cambria" w:cs="Calibri Light"/>
          <w:color w:val="000000"/>
          <w:sz w:val="20"/>
          <w:szCs w:val="20"/>
        </w:rPr>
      </w:pPr>
      <w:r w:rsidRPr="003F7365">
        <w:rPr>
          <w:rFonts w:ascii="Cambria" w:hAnsi="Cambria"/>
          <w:color w:val="000000"/>
          <w:sz w:val="20"/>
          <w:szCs w:val="20"/>
        </w:rPr>
        <w:t xml:space="preserve"> </w:t>
      </w:r>
      <w:r w:rsidRPr="00EE2B3B">
        <w:rPr>
          <w:rFonts w:ascii="Cambria" w:hAnsi="Cambria"/>
          <w:color w:val="000000"/>
          <w:sz w:val="20"/>
          <w:szCs w:val="20"/>
        </w:rPr>
        <w:t xml:space="preserve">The Commission declared full compliance with the case and the ceasing of the </w:t>
      </w:r>
      <w:r w:rsidR="005A5A31" w:rsidRPr="00EE2B3B">
        <w:rPr>
          <w:rFonts w:ascii="Cambria" w:hAnsi="Cambria"/>
          <w:color w:val="000000"/>
          <w:sz w:val="20"/>
          <w:szCs w:val="20"/>
        </w:rPr>
        <w:t>follow-up</w:t>
      </w:r>
      <w:r w:rsidRPr="00EE2B3B">
        <w:rPr>
          <w:rFonts w:ascii="Cambria" w:hAnsi="Cambria"/>
          <w:color w:val="000000"/>
          <w:sz w:val="20"/>
          <w:szCs w:val="20"/>
        </w:rPr>
        <w:t xml:space="preserve"> of the friendly settlement agreement in the </w:t>
      </w:r>
      <w:r w:rsidR="002C0949">
        <w:rPr>
          <w:rFonts w:ascii="Cambria" w:hAnsi="Cambria"/>
          <w:color w:val="000000"/>
          <w:sz w:val="20"/>
          <w:szCs w:val="20"/>
        </w:rPr>
        <w:t>Homologation Report No. 28</w:t>
      </w:r>
      <w:r w:rsidR="006C362F">
        <w:rPr>
          <w:rFonts w:ascii="Cambria" w:hAnsi="Cambria"/>
          <w:color w:val="000000"/>
          <w:sz w:val="20"/>
          <w:szCs w:val="20"/>
        </w:rPr>
        <w:t>7</w:t>
      </w:r>
      <w:r w:rsidR="002C0949">
        <w:rPr>
          <w:rFonts w:ascii="Cambria" w:hAnsi="Cambria"/>
          <w:color w:val="000000"/>
          <w:sz w:val="20"/>
          <w:szCs w:val="20"/>
        </w:rPr>
        <w:t>/22</w:t>
      </w:r>
      <w:r w:rsidRPr="00EE2B3B">
        <w:rPr>
          <w:rFonts w:ascii="Cambria" w:hAnsi="Cambria"/>
          <w:color w:val="000000"/>
          <w:sz w:val="20"/>
          <w:szCs w:val="20"/>
        </w:rPr>
        <w:t>.</w:t>
      </w:r>
    </w:p>
    <w:p w14:paraId="286AE1D0" w14:textId="77777777" w:rsidR="00EE2B3B" w:rsidRPr="003F7365" w:rsidRDefault="00EE2B3B" w:rsidP="00EE2B3B">
      <w:pPr>
        <w:autoSpaceDE w:val="0"/>
        <w:autoSpaceDN w:val="0"/>
        <w:adjustRightInd w:val="0"/>
        <w:jc w:val="both"/>
        <w:rPr>
          <w:rFonts w:ascii="Cambria" w:hAnsi="Cambria"/>
          <w:color w:val="000000"/>
          <w:sz w:val="20"/>
          <w:szCs w:val="20"/>
        </w:rPr>
      </w:pPr>
    </w:p>
    <w:p w14:paraId="2765ADF3" w14:textId="77777777" w:rsidR="00EE2B3B" w:rsidRPr="003F7365" w:rsidRDefault="00EE2B3B" w:rsidP="00EE2B3B">
      <w:pPr>
        <w:pStyle w:val="ListParagraph"/>
        <w:numPr>
          <w:ilvl w:val="0"/>
          <w:numId w:val="1"/>
        </w:numPr>
        <w:ind w:left="0" w:firstLine="720"/>
        <w:jc w:val="both"/>
        <w:rPr>
          <w:rFonts w:ascii="Cambria" w:hAnsi="Cambria" w:cs="Calibri Light"/>
          <w:b/>
          <w:color w:val="000000"/>
          <w:sz w:val="20"/>
          <w:szCs w:val="20"/>
        </w:rPr>
      </w:pPr>
      <w:r w:rsidRPr="003F7365">
        <w:rPr>
          <w:rFonts w:ascii="Cambria" w:hAnsi="Cambria"/>
          <w:b/>
          <w:color w:val="000000"/>
          <w:sz w:val="20"/>
          <w:szCs w:val="20"/>
        </w:rPr>
        <w:t xml:space="preserve">INDIVIDUAL AND STRUCTURAL OUTCOMES OF THE CASE </w:t>
      </w:r>
    </w:p>
    <w:p w14:paraId="02CEFE66" w14:textId="77777777" w:rsidR="00EE2B3B" w:rsidRPr="003F7365" w:rsidRDefault="00EE2B3B" w:rsidP="00EE2B3B">
      <w:pPr>
        <w:pStyle w:val="ListParagraph"/>
        <w:ind w:left="0" w:firstLine="720"/>
        <w:jc w:val="both"/>
        <w:rPr>
          <w:rFonts w:ascii="Cambria" w:hAnsi="Cambria" w:cs="Calibri Light"/>
          <w:b/>
          <w:color w:val="000000"/>
          <w:sz w:val="20"/>
          <w:szCs w:val="20"/>
        </w:rPr>
      </w:pPr>
    </w:p>
    <w:p w14:paraId="10D6291D" w14:textId="77777777" w:rsidR="00016B55" w:rsidRPr="003507A6" w:rsidRDefault="00016B55" w:rsidP="00016B55">
      <w:pPr>
        <w:numPr>
          <w:ilvl w:val="0"/>
          <w:numId w:val="11"/>
        </w:numPr>
        <w:contextualSpacing/>
        <w:jc w:val="both"/>
        <w:rPr>
          <w:rFonts w:ascii="Cambria" w:eastAsia="Batang" w:hAnsi="Cambria" w:cs="Calibri Light"/>
          <w:b/>
          <w:color w:val="000000"/>
          <w:sz w:val="20"/>
          <w:szCs w:val="20"/>
        </w:rPr>
      </w:pPr>
      <w:r w:rsidRPr="003507A6">
        <w:rPr>
          <w:rFonts w:ascii="Cambria" w:hAnsi="Cambria"/>
          <w:b/>
          <w:color w:val="000000"/>
          <w:sz w:val="20"/>
        </w:rPr>
        <w:t>Individual outcomes of the case</w:t>
      </w:r>
    </w:p>
    <w:p w14:paraId="02F40180" w14:textId="77777777" w:rsidR="00016B55" w:rsidRPr="003507A6" w:rsidRDefault="00016B55" w:rsidP="00016B55">
      <w:pPr>
        <w:contextualSpacing/>
        <w:jc w:val="both"/>
        <w:rPr>
          <w:rFonts w:ascii="Cambria" w:eastAsia="Batang" w:hAnsi="Cambria" w:cs="Calibri Light"/>
          <w:b/>
          <w:color w:val="000000"/>
          <w:sz w:val="20"/>
          <w:szCs w:val="20"/>
        </w:rPr>
      </w:pPr>
    </w:p>
    <w:p w14:paraId="13998905" w14:textId="458B9D85" w:rsidR="00551343" w:rsidRPr="0005152A" w:rsidRDefault="0005152A" w:rsidP="0005152A">
      <w:pPr>
        <w:pStyle w:val="ListParagraph"/>
        <w:numPr>
          <w:ilvl w:val="0"/>
          <w:numId w:val="12"/>
        </w:numPr>
        <w:ind w:hanging="11"/>
        <w:jc w:val="both"/>
        <w:rPr>
          <w:rFonts w:ascii="Cambria" w:hAnsi="Cambria" w:cs="Calibri Light"/>
          <w:b/>
          <w:color w:val="000000"/>
          <w:sz w:val="20"/>
          <w:szCs w:val="20"/>
        </w:rPr>
      </w:pPr>
      <w:r w:rsidRPr="0005152A">
        <w:rPr>
          <w:rFonts w:ascii="Cambria" w:eastAsia="MS Mincho" w:hAnsi="Cambria"/>
          <w:color w:val="000000"/>
          <w:sz w:val="20"/>
          <w:szCs w:val="20"/>
        </w:rPr>
        <w:t xml:space="preserve">The State paid financial compensation to the 27 beneficiaries of the friendly settlement agreement </w:t>
      </w:r>
      <w:r w:rsidRPr="0005152A">
        <w:rPr>
          <w:rFonts w:ascii="Cambria" w:hAnsi="Cambria"/>
          <w:sz w:val="20"/>
          <w:szCs w:val="20"/>
        </w:rPr>
        <w:t>of a total amount of 11,686,666 L (eleven million, six hundred eighty-six thousand, six hundred sixty-six lempira) or approximately $474,869.21 (four hundred seventy-four thousand, eight hundred sixty-nine dollars and twenty-one cents)</w:t>
      </w:r>
      <w:r w:rsidRPr="00967D29">
        <w:rPr>
          <w:rStyle w:val="FootnoteReference"/>
          <w:rFonts w:ascii="Cambria" w:eastAsia="MS Mincho" w:hAnsi="Cambria"/>
          <w:color w:val="000000"/>
          <w:sz w:val="20"/>
          <w:szCs w:val="20"/>
        </w:rPr>
        <w:footnoteReference w:id="3"/>
      </w:r>
      <w:r w:rsidRPr="0005152A">
        <w:rPr>
          <w:rFonts w:ascii="Cambria" w:hAnsi="Cambria"/>
          <w:sz w:val="20"/>
          <w:szCs w:val="20"/>
        </w:rPr>
        <w:t xml:space="preserve">. </w:t>
      </w:r>
    </w:p>
    <w:sectPr w:rsidR="00551343" w:rsidRPr="0005152A" w:rsidSect="00EE2B3B">
      <w:headerReference w:type="default"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2A381" w14:textId="77777777" w:rsidR="00EE2B3B" w:rsidRDefault="00EE2B3B" w:rsidP="00EE2B3B">
      <w:r>
        <w:separator/>
      </w:r>
    </w:p>
  </w:endnote>
  <w:endnote w:type="continuationSeparator" w:id="0">
    <w:p w14:paraId="5DE23AC5" w14:textId="77777777" w:rsidR="00EE2B3B" w:rsidRDefault="00EE2B3B" w:rsidP="00EE2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149D5" w14:textId="1B0D8F23" w:rsidR="00EE2B3B" w:rsidRDefault="00EE2B3B" w:rsidP="00EE2B3B">
    <w:pPr>
      <w:pStyle w:val="Footer"/>
      <w:jc w:val="center"/>
    </w:pPr>
    <w:r>
      <w:rPr>
        <w:noProof/>
      </w:rPr>
      <w:drawing>
        <wp:inline distT="0" distB="0" distL="0" distR="0" wp14:anchorId="716D0634" wp14:editId="040054FF">
          <wp:extent cx="5238750" cy="3143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0" cy="31432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9570E" w14:textId="77777777" w:rsidR="00EE2B3B" w:rsidRDefault="00AA3670" w:rsidP="00EE2B3B">
    <w:pPr>
      <w:pStyle w:val="Footer"/>
      <w:spacing w:line="360" w:lineRule="auto"/>
    </w:pPr>
    <w:r>
      <w:pict w14:anchorId="14B294CB">
        <v:rect id="_x0000_i1027" style="width:0;height:1.5pt" o:hralign="center" o:hrstd="t" o:hr="t" fillcolor="#a0a0a0" stroked="f"/>
      </w:pict>
    </w:r>
  </w:p>
  <w:p w14:paraId="33E89147" w14:textId="232012CD" w:rsidR="00EE2B3B" w:rsidRDefault="00EE2B3B" w:rsidP="00EE2B3B">
    <w:pPr>
      <w:pStyle w:val="Footer"/>
      <w:jc w:val="center"/>
    </w:pPr>
    <w:bookmarkStart w:id="2" w:name="_Hlk138256818"/>
    <w:bookmarkStart w:id="3" w:name="_Hlk138256819"/>
    <w:r>
      <w:rPr>
        <w:noProof/>
      </w:rPr>
      <w:drawing>
        <wp:inline distT="0" distB="0" distL="0" distR="0" wp14:anchorId="2202F3A2" wp14:editId="2F018423">
          <wp:extent cx="5238750" cy="3143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0" cy="314325"/>
                  </a:xfrm>
                  <a:prstGeom prst="rect">
                    <a:avLst/>
                  </a:prstGeom>
                  <a:noFill/>
                  <a:ln>
                    <a:noFill/>
                  </a:ln>
                </pic:spPr>
              </pic:pic>
            </a:graphicData>
          </a:graphic>
        </wp:inline>
      </w:drawing>
    </w:r>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02CDA" w14:textId="77777777" w:rsidR="00EE2B3B" w:rsidRDefault="00EE2B3B" w:rsidP="00EE2B3B">
      <w:r>
        <w:separator/>
      </w:r>
    </w:p>
  </w:footnote>
  <w:footnote w:type="continuationSeparator" w:id="0">
    <w:p w14:paraId="48D94B4E" w14:textId="77777777" w:rsidR="00EE2B3B" w:rsidRDefault="00EE2B3B" w:rsidP="00EE2B3B">
      <w:r>
        <w:continuationSeparator/>
      </w:r>
    </w:p>
  </w:footnote>
  <w:footnote w:id="1">
    <w:p w14:paraId="75163E21" w14:textId="77777777" w:rsidR="006C362F" w:rsidRPr="00967D29" w:rsidRDefault="006C362F" w:rsidP="006C362F">
      <w:pPr>
        <w:pStyle w:val="FootnoteText"/>
        <w:ind w:firstLine="709"/>
        <w:jc w:val="both"/>
        <w:rPr>
          <w:rFonts w:ascii="Cambria" w:hAnsi="Cambria"/>
          <w:sz w:val="16"/>
          <w:szCs w:val="16"/>
        </w:rPr>
      </w:pPr>
      <w:r w:rsidRPr="00967D29">
        <w:rPr>
          <w:rStyle w:val="FootnoteReference"/>
          <w:rFonts w:ascii="Cambria" w:hAnsi="Cambria"/>
          <w:sz w:val="16"/>
          <w:szCs w:val="16"/>
        </w:rPr>
        <w:footnoteRef/>
      </w:r>
      <w:r w:rsidRPr="00967D29">
        <w:rPr>
          <w:rFonts w:ascii="Cambria" w:hAnsi="Cambria"/>
          <w:sz w:val="16"/>
          <w:szCs w:val="16"/>
        </w:rPr>
        <w:t xml:space="preserve"> IACHR, Report No. 287/22, Case 12.961 H. Friendly Settlement. Juan Gonzalez and Others. Honduras, November 8, 2022. Available at: </w:t>
      </w:r>
      <w:hyperlink r:id="rId1" w:history="1">
        <w:r w:rsidRPr="00967D29">
          <w:rPr>
            <w:rStyle w:val="Hyperlink"/>
            <w:rFonts w:ascii="Cambria" w:hAnsi="Cambria"/>
            <w:sz w:val="16"/>
            <w:szCs w:val="16"/>
          </w:rPr>
          <w:t>https://www.oas.org/en/iachr/decisions/2022/HNSA_12.961H_EN.PDF</w:t>
        </w:r>
      </w:hyperlink>
      <w:r w:rsidRPr="00967D29">
        <w:rPr>
          <w:rFonts w:ascii="Cambria" w:hAnsi="Cambria"/>
          <w:sz w:val="16"/>
          <w:szCs w:val="16"/>
        </w:rPr>
        <w:t xml:space="preserve"> </w:t>
      </w:r>
    </w:p>
  </w:footnote>
  <w:footnote w:id="2">
    <w:p w14:paraId="715A714B" w14:textId="77777777" w:rsidR="006C362F" w:rsidRPr="00967D29" w:rsidRDefault="006C362F" w:rsidP="006C362F">
      <w:pPr>
        <w:pStyle w:val="FootnoteText"/>
        <w:ind w:firstLine="709"/>
        <w:jc w:val="both"/>
        <w:rPr>
          <w:rFonts w:ascii="Cambria" w:hAnsi="Cambria"/>
          <w:sz w:val="16"/>
          <w:szCs w:val="16"/>
        </w:rPr>
      </w:pPr>
      <w:r w:rsidRPr="00967D29">
        <w:rPr>
          <w:rStyle w:val="FootnoteReference"/>
          <w:rFonts w:ascii="Cambria" w:hAnsi="Cambria"/>
          <w:sz w:val="16"/>
          <w:szCs w:val="16"/>
        </w:rPr>
        <w:footnoteRef/>
      </w:r>
      <w:r w:rsidRPr="00967D29">
        <w:rPr>
          <w:rFonts w:ascii="Cambria" w:hAnsi="Cambria"/>
          <w:sz w:val="16"/>
          <w:szCs w:val="16"/>
        </w:rPr>
        <w:t xml:space="preserve"> IACHR, Report No. 287/22, Case 12.961 H. Friendly Settlement. Juan Gonzalez and Others. Honduras, November 8, 2022. Available at: </w:t>
      </w:r>
      <w:hyperlink r:id="rId2" w:history="1">
        <w:r w:rsidRPr="00967D29">
          <w:rPr>
            <w:rStyle w:val="Hyperlink"/>
            <w:rFonts w:ascii="Cambria" w:hAnsi="Cambria"/>
            <w:sz w:val="16"/>
            <w:szCs w:val="16"/>
          </w:rPr>
          <w:t>https://www.oas.org/en/iachr/decisions/2022/HNSA_12.961H_EN.PDF</w:t>
        </w:r>
      </w:hyperlink>
    </w:p>
    <w:p w14:paraId="35B94D72" w14:textId="77777777" w:rsidR="006C362F" w:rsidRPr="00967D29" w:rsidRDefault="006C362F" w:rsidP="006C362F">
      <w:pPr>
        <w:pStyle w:val="FootnoteText"/>
      </w:pPr>
    </w:p>
  </w:footnote>
  <w:footnote w:id="3">
    <w:p w14:paraId="2D801405" w14:textId="77777777" w:rsidR="0005152A" w:rsidRPr="00C83519" w:rsidRDefault="0005152A" w:rsidP="0005152A">
      <w:pPr>
        <w:pStyle w:val="FootnoteText"/>
        <w:ind w:firstLine="709"/>
        <w:jc w:val="both"/>
        <w:rPr>
          <w:rFonts w:ascii="Cambria" w:hAnsi="Cambria"/>
          <w:sz w:val="16"/>
          <w:szCs w:val="16"/>
        </w:rPr>
      </w:pPr>
      <w:r w:rsidRPr="00967D29">
        <w:rPr>
          <w:rStyle w:val="FootnoteReference"/>
          <w:rFonts w:ascii="Cambria" w:hAnsi="Cambria"/>
          <w:sz w:val="16"/>
          <w:szCs w:val="16"/>
        </w:rPr>
        <w:footnoteRef/>
      </w:r>
      <w:r w:rsidRPr="00967D29">
        <w:rPr>
          <w:rFonts w:ascii="Cambria" w:hAnsi="Cambria"/>
          <w:sz w:val="16"/>
          <w:szCs w:val="16"/>
        </w:rPr>
        <w:t xml:space="preserve"> Conversions to American dollars are derived from the free Google converter search available on the market dated August 17,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CD2E5" w14:textId="61BDB6F8" w:rsidR="00EE2B3B" w:rsidRDefault="00EE2B3B" w:rsidP="00EE2B3B">
    <w:pPr>
      <w:pStyle w:val="Header"/>
      <w:jc w:val="center"/>
    </w:pPr>
    <w:r>
      <w:rPr>
        <w:noProof/>
      </w:rPr>
      <w:drawing>
        <wp:inline distT="0" distB="0" distL="0" distR="0" wp14:anchorId="05F89FF3" wp14:editId="35C856FB">
          <wp:extent cx="2276475" cy="1143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6475" cy="114300"/>
                  </a:xfrm>
                  <a:prstGeom prst="rect">
                    <a:avLst/>
                  </a:prstGeom>
                  <a:noFill/>
                  <a:ln>
                    <a:noFill/>
                  </a:ln>
                </pic:spPr>
              </pic:pic>
            </a:graphicData>
          </a:graphic>
        </wp:inline>
      </w:drawing>
    </w:r>
  </w:p>
  <w:p w14:paraId="5C22E6E7" w14:textId="19B082BD" w:rsidR="00EE2B3B" w:rsidRPr="00EE2B3B" w:rsidRDefault="00AA3670" w:rsidP="00EE2B3B">
    <w:pPr>
      <w:pStyle w:val="Header"/>
    </w:pPr>
    <w:r>
      <w:pict w14:anchorId="04325340">
        <v:rect id="_x0000_i1025" style="width:0;height:1.5pt" o:hralign="center" o:hrstd="t" o:hr="t" fillcolor="#a0a0a0"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BA139" w14:textId="1F58B056" w:rsidR="00EE2B3B" w:rsidRDefault="00EE2B3B" w:rsidP="00EE2B3B">
    <w:pPr>
      <w:pStyle w:val="Header"/>
    </w:pPr>
    <w:bookmarkStart w:id="0" w:name="_Hlk138256805"/>
    <w:bookmarkStart w:id="1" w:name="_Hlk138256806"/>
    <w:r>
      <w:rPr>
        <w:noProof/>
      </w:rPr>
      <w:drawing>
        <wp:anchor distT="0" distB="0" distL="114300" distR="114300" simplePos="0" relativeHeight="251659264" behindDoc="1" locked="0" layoutInCell="1" allowOverlap="1" wp14:anchorId="041316FD" wp14:editId="7A155487">
          <wp:simplePos x="0" y="0"/>
          <wp:positionH relativeFrom="column">
            <wp:posOffset>0</wp:posOffset>
          </wp:positionH>
          <wp:positionV relativeFrom="paragraph">
            <wp:posOffset>-28575</wp:posOffset>
          </wp:positionV>
          <wp:extent cx="2567940" cy="495300"/>
          <wp:effectExtent l="0" t="0" r="3810" b="0"/>
          <wp:wrapThrough wrapText="bothSides">
            <wp:wrapPolygon edited="0">
              <wp:start x="0" y="0"/>
              <wp:lineTo x="0" y="20769"/>
              <wp:lineTo x="21472" y="20769"/>
              <wp:lineTo x="21472"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794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6B65916B" wp14:editId="2EBBB3D4">
          <wp:simplePos x="0" y="0"/>
          <wp:positionH relativeFrom="column">
            <wp:posOffset>4019550</wp:posOffset>
          </wp:positionH>
          <wp:positionV relativeFrom="paragraph">
            <wp:posOffset>-34290</wp:posOffset>
          </wp:positionV>
          <wp:extent cx="1924050" cy="499110"/>
          <wp:effectExtent l="0" t="0" r="0" b="0"/>
          <wp:wrapThrough wrapText="bothSides">
            <wp:wrapPolygon edited="0">
              <wp:start x="1069" y="0"/>
              <wp:lineTo x="0" y="4122"/>
              <wp:lineTo x="0" y="16489"/>
              <wp:lineTo x="1069" y="20611"/>
              <wp:lineTo x="4277" y="20611"/>
              <wp:lineTo x="21386" y="18137"/>
              <wp:lineTo x="21386" y="4122"/>
              <wp:lineTo x="4063" y="0"/>
              <wp:lineTo x="1069"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24050" cy="49911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p w14:paraId="5084D170" w14:textId="77777777" w:rsidR="00EE2B3B" w:rsidRDefault="00EE2B3B" w:rsidP="00EE2B3B">
    <w:pPr>
      <w:pStyle w:val="Header"/>
    </w:pPr>
  </w:p>
  <w:p w14:paraId="12638557" w14:textId="77777777" w:rsidR="00EE2B3B" w:rsidRDefault="00EE2B3B" w:rsidP="00EE2B3B">
    <w:pPr>
      <w:pStyle w:val="Header"/>
    </w:pPr>
  </w:p>
  <w:p w14:paraId="0EFF114E" w14:textId="77777777" w:rsidR="00EE2B3B" w:rsidRDefault="00AA3670" w:rsidP="00EE2B3B">
    <w:pPr>
      <w:pStyle w:val="Header"/>
    </w:pPr>
    <w:r>
      <w:pict w14:anchorId="3288A7D7">
        <v:rect id="_x0000_i1026" style="width:0;height:1.5pt" o:hralign="center" o:hrstd="t" o:hr="t" fillcolor="#a0a0a0" stroked="f"/>
      </w:pict>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54FE1"/>
    <w:multiLevelType w:val="hybridMultilevel"/>
    <w:tmpl w:val="EEB433B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F8A470B"/>
    <w:multiLevelType w:val="hybridMultilevel"/>
    <w:tmpl w:val="2D8E04F4"/>
    <w:lvl w:ilvl="0" w:tplc="FFFFFFFF">
      <w:start w:val="1"/>
      <w:numFmt w:val="upperRoman"/>
      <w:lvlText w:val="%1."/>
      <w:lvlJc w:val="left"/>
      <w:pPr>
        <w:ind w:left="1080" w:hanging="720"/>
      </w:pPr>
      <w:rPr>
        <w:rFonts w:cs="Times New Roman"/>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1C0D445F"/>
    <w:multiLevelType w:val="hybridMultilevel"/>
    <w:tmpl w:val="FFFFFFFF"/>
    <w:lvl w:ilvl="0" w:tplc="F6584E70">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5617DD"/>
    <w:multiLevelType w:val="hybridMultilevel"/>
    <w:tmpl w:val="69F6654C"/>
    <w:lvl w:ilvl="0" w:tplc="4B8E1B22">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A6C04F9"/>
    <w:multiLevelType w:val="hybridMultilevel"/>
    <w:tmpl w:val="98E0532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3E255ED6"/>
    <w:multiLevelType w:val="hybridMultilevel"/>
    <w:tmpl w:val="0E9E492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 w15:restartNumberingAfterBreak="0">
    <w:nsid w:val="441E655F"/>
    <w:multiLevelType w:val="hybridMultilevel"/>
    <w:tmpl w:val="38EAC91E"/>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4B071BAA"/>
    <w:multiLevelType w:val="hybridMultilevel"/>
    <w:tmpl w:val="DAA8072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53E961B8"/>
    <w:multiLevelType w:val="hybridMultilevel"/>
    <w:tmpl w:val="6C02FA7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9" w15:restartNumberingAfterBreak="0">
    <w:nsid w:val="6F83397B"/>
    <w:multiLevelType w:val="hybridMultilevel"/>
    <w:tmpl w:val="905A73D4"/>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78C26CC1"/>
    <w:multiLevelType w:val="hybridMultilevel"/>
    <w:tmpl w:val="1DDE1E84"/>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7362023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966332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75240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52929156">
    <w:abstractNumId w:val="5"/>
  </w:num>
  <w:num w:numId="5" w16cid:durableId="56173509">
    <w:abstractNumId w:val="8"/>
  </w:num>
  <w:num w:numId="6" w16cid:durableId="56518530">
    <w:abstractNumId w:val="0"/>
  </w:num>
  <w:num w:numId="7" w16cid:durableId="46335227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71972006">
    <w:abstractNumId w:val="4"/>
  </w:num>
  <w:num w:numId="9" w16cid:durableId="15748493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27116927">
    <w:abstractNumId w:val="2"/>
  </w:num>
  <w:num w:numId="11" w16cid:durableId="779616454">
    <w:abstractNumId w:val="3"/>
  </w:num>
  <w:num w:numId="12" w16cid:durableId="11570694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B3B"/>
    <w:rsid w:val="00016B55"/>
    <w:rsid w:val="00044697"/>
    <w:rsid w:val="0005152A"/>
    <w:rsid w:val="00080C97"/>
    <w:rsid w:val="000E11A3"/>
    <w:rsid w:val="001C4EA8"/>
    <w:rsid w:val="001C78F9"/>
    <w:rsid w:val="001D1BFB"/>
    <w:rsid w:val="002C0949"/>
    <w:rsid w:val="00336986"/>
    <w:rsid w:val="004F6608"/>
    <w:rsid w:val="00541AD5"/>
    <w:rsid w:val="00551343"/>
    <w:rsid w:val="005710FB"/>
    <w:rsid w:val="005A5A31"/>
    <w:rsid w:val="006C362F"/>
    <w:rsid w:val="00783D7B"/>
    <w:rsid w:val="007B2C4D"/>
    <w:rsid w:val="007E2B50"/>
    <w:rsid w:val="008646A9"/>
    <w:rsid w:val="008F7074"/>
    <w:rsid w:val="009E469E"/>
    <w:rsid w:val="00A15312"/>
    <w:rsid w:val="00AA3670"/>
    <w:rsid w:val="00AE2441"/>
    <w:rsid w:val="00B542CE"/>
    <w:rsid w:val="00BB339B"/>
    <w:rsid w:val="00C50814"/>
    <w:rsid w:val="00CB6DAC"/>
    <w:rsid w:val="00D04AF5"/>
    <w:rsid w:val="00D11C69"/>
    <w:rsid w:val="00DA1784"/>
    <w:rsid w:val="00DA7D6A"/>
    <w:rsid w:val="00EB6320"/>
    <w:rsid w:val="00EE2B3B"/>
    <w:rsid w:val="00F64E08"/>
    <w:rsid w:val="00F84B42"/>
    <w:rsid w:val="00FA17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2F7A6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2B3B"/>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árrafo de lista1,List Paragraph1,Colorful List - Accent 11,List Paragraph11,Lista vistosa - Énfasis 11,Parragrap,Superíndice,Dot pt,No Spacing1,List Paragraph Char Char Char,Indicator Text,Numbered Para 1,4 Párrafo de lista,Figuras,DH1"/>
    <w:basedOn w:val="Normal"/>
    <w:link w:val="ListParagraphChar"/>
    <w:uiPriority w:val="34"/>
    <w:qFormat/>
    <w:rsid w:val="00EE2B3B"/>
    <w:pPr>
      <w:ind w:left="720"/>
      <w:contextualSpacing/>
    </w:pPr>
  </w:style>
  <w:style w:type="paragraph" w:styleId="FootnoteText">
    <w:name w:val="footnote text"/>
    <w:aliases w:val="Footnote Text Char Char Char Char Char,Footnote Text Char Char Char Char,Footnote reference,FA Fu,Footnote Text Char Char Char,fn,single space,Footnote Text Char Char Char Car,FA Fu Car,Footnote Text Cha,FA Fußnotentext,ft,C,footnote text"/>
    <w:basedOn w:val="Normal"/>
    <w:link w:val="FootnoteTextChar"/>
    <w:unhideWhenUsed/>
    <w:qFormat/>
    <w:rsid w:val="00EE2B3B"/>
    <w:rPr>
      <w:sz w:val="20"/>
      <w:szCs w:val="20"/>
    </w:rPr>
  </w:style>
  <w:style w:type="character" w:customStyle="1" w:styleId="FootnoteTextChar">
    <w:name w:val="Footnote Text Char"/>
    <w:aliases w:val="Footnote Text Char Char Char Char Char Char,Footnote Text Char Char Char Char Char1,Footnote reference Char,FA Fu Char,Footnote Text Char Char Char Char1,fn Char,single space Char,Footnote Text Char Char Char Car Char,FA Fu Car Char"/>
    <w:basedOn w:val="DefaultParagraphFont"/>
    <w:link w:val="FootnoteText"/>
    <w:rsid w:val="00EE2B3B"/>
    <w:rPr>
      <w:sz w:val="20"/>
      <w:szCs w:val="20"/>
    </w:rPr>
  </w:style>
  <w:style w:type="character" w:styleId="FootnoteReference">
    <w:name w:val="footnote reference"/>
    <w:aliases w:val="Footnotes refss,Texto de nota al pie,referencia nota al pie,BVI fnr,Appel note de bas de page,Footnote symbol,Footnote number,f,Ref. de nota al pie.,4_G,16 Point,Superscript 6 Point,Texto nota al pie,Ref. de nota al pi,Ref,f1,4,norma"/>
    <w:basedOn w:val="DefaultParagraphFont"/>
    <w:link w:val="Appelnotedebasde"/>
    <w:unhideWhenUsed/>
    <w:qFormat/>
    <w:rsid w:val="00EE2B3B"/>
    <w:rPr>
      <w:vertAlign w:val="superscript"/>
    </w:rPr>
  </w:style>
  <w:style w:type="character" w:styleId="Hyperlink">
    <w:name w:val="Hyperlink"/>
    <w:uiPriority w:val="99"/>
    <w:unhideWhenUsed/>
    <w:rsid w:val="00EE2B3B"/>
    <w:rPr>
      <w:color w:val="0000FF"/>
      <w:u w:val="single"/>
      <w:lang w:val="en-US" w:eastAsia="en-US"/>
    </w:rPr>
  </w:style>
  <w:style w:type="paragraph" w:styleId="NoSpacing">
    <w:name w:val="No Spacing"/>
    <w:uiPriority w:val="1"/>
    <w:qFormat/>
    <w:rsid w:val="00EE2B3B"/>
    <w:pPr>
      <w:spacing w:after="0" w:line="240" w:lineRule="auto"/>
    </w:pPr>
    <w:rPr>
      <w:rFonts w:ascii="Calibri" w:eastAsia="Calibri" w:hAnsi="Calibri" w:cs="Times New Roman"/>
    </w:rPr>
  </w:style>
  <w:style w:type="character" w:customStyle="1" w:styleId="ListParagraphChar">
    <w:name w:val="List Paragraph Char"/>
    <w:aliases w:val="Párrafo de lista1 Char,List Paragraph1 Char,Colorful List - Accent 11 Char,List Paragraph11 Char,Lista vistosa - Énfasis 11 Char,Parragrap Char,Superíndice Char,Dot pt Char,No Spacing1 Char,List Paragraph Char Char Char Char,DH1 Char"/>
    <w:link w:val="ListParagraph"/>
    <w:uiPriority w:val="34"/>
    <w:locked/>
    <w:rsid w:val="00EE2B3B"/>
    <w:rPr>
      <w:sz w:val="24"/>
      <w:szCs w:val="24"/>
    </w:rPr>
  </w:style>
  <w:style w:type="paragraph" w:customStyle="1" w:styleId="Appelnotedebasde">
    <w:name w:val="Appel note de bas de..."/>
    <w:basedOn w:val="Normal"/>
    <w:link w:val="FootnoteReference"/>
    <w:rsid w:val="00EE2B3B"/>
    <w:pPr>
      <w:spacing w:after="160" w:line="240" w:lineRule="exact"/>
    </w:pPr>
    <w:rPr>
      <w:sz w:val="22"/>
      <w:szCs w:val="22"/>
      <w:vertAlign w:val="superscript"/>
    </w:rPr>
  </w:style>
  <w:style w:type="paragraph" w:styleId="Header">
    <w:name w:val="header"/>
    <w:basedOn w:val="Normal"/>
    <w:link w:val="HeaderChar"/>
    <w:uiPriority w:val="99"/>
    <w:unhideWhenUsed/>
    <w:rsid w:val="00EE2B3B"/>
    <w:pPr>
      <w:tabs>
        <w:tab w:val="center" w:pos="4680"/>
        <w:tab w:val="right" w:pos="9360"/>
      </w:tabs>
    </w:pPr>
  </w:style>
  <w:style w:type="character" w:customStyle="1" w:styleId="HeaderChar">
    <w:name w:val="Header Char"/>
    <w:basedOn w:val="DefaultParagraphFont"/>
    <w:link w:val="Header"/>
    <w:uiPriority w:val="99"/>
    <w:rsid w:val="00EE2B3B"/>
    <w:rPr>
      <w:sz w:val="24"/>
      <w:szCs w:val="24"/>
    </w:rPr>
  </w:style>
  <w:style w:type="paragraph" w:styleId="Footer">
    <w:name w:val="footer"/>
    <w:basedOn w:val="Normal"/>
    <w:link w:val="FooterChar"/>
    <w:uiPriority w:val="99"/>
    <w:unhideWhenUsed/>
    <w:rsid w:val="00EE2B3B"/>
    <w:pPr>
      <w:tabs>
        <w:tab w:val="center" w:pos="4680"/>
        <w:tab w:val="right" w:pos="9360"/>
      </w:tabs>
    </w:pPr>
  </w:style>
  <w:style w:type="character" w:customStyle="1" w:styleId="FooterChar">
    <w:name w:val="Footer Char"/>
    <w:basedOn w:val="DefaultParagraphFont"/>
    <w:link w:val="Footer"/>
    <w:uiPriority w:val="99"/>
    <w:rsid w:val="00EE2B3B"/>
    <w:rPr>
      <w:sz w:val="24"/>
      <w:szCs w:val="24"/>
    </w:rPr>
  </w:style>
  <w:style w:type="character" w:styleId="FollowedHyperlink">
    <w:name w:val="FollowedHyperlink"/>
    <w:basedOn w:val="DefaultParagraphFont"/>
    <w:uiPriority w:val="99"/>
    <w:semiHidden/>
    <w:unhideWhenUsed/>
    <w:rsid w:val="00EE2B3B"/>
    <w:rPr>
      <w:color w:val="954F72" w:themeColor="followedHyperlink"/>
      <w:u w:val="single"/>
    </w:rPr>
  </w:style>
  <w:style w:type="character" w:styleId="UnresolvedMention">
    <w:name w:val="Unresolved Mention"/>
    <w:basedOn w:val="DefaultParagraphFont"/>
    <w:uiPriority w:val="99"/>
    <w:semiHidden/>
    <w:unhideWhenUsed/>
    <w:rsid w:val="00EE2B3B"/>
    <w:rPr>
      <w:color w:val="605E5C"/>
      <w:shd w:val="clear" w:color="auto" w:fill="E1DFDD"/>
    </w:rPr>
  </w:style>
  <w:style w:type="paragraph" w:styleId="Title">
    <w:name w:val="Title"/>
    <w:basedOn w:val="Normal"/>
    <w:next w:val="Normal"/>
    <w:link w:val="TitleChar"/>
    <w:uiPriority w:val="10"/>
    <w:qFormat/>
    <w:rsid w:val="001D1BF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1BFB"/>
    <w:rPr>
      <w:rFonts w:asciiTheme="majorHAnsi" w:eastAsiaTheme="majorEastAsia" w:hAnsiTheme="majorHAnsi" w:cstheme="majorBidi"/>
      <w:spacing w:val="-10"/>
      <w:kern w:val="28"/>
      <w:sz w:val="56"/>
      <w:szCs w:val="56"/>
    </w:rPr>
  </w:style>
  <w:style w:type="paragraph" w:customStyle="1" w:styleId="paragraph">
    <w:name w:val="paragraph"/>
    <w:basedOn w:val="Normal"/>
    <w:rsid w:val="00AE2441"/>
    <w:pPr>
      <w:spacing w:before="100" w:beforeAutospacing="1" w:after="100" w:afterAutospacing="1"/>
    </w:pPr>
    <w:rPr>
      <w:rFonts w:ascii="Times New Roman" w:eastAsia="Times New Roman" w:hAnsi="Times New Roman" w:cs="Times New Roman"/>
    </w:rPr>
  </w:style>
  <w:style w:type="character" w:customStyle="1" w:styleId="eop">
    <w:name w:val="eop"/>
    <w:basedOn w:val="DefaultParagraphFont"/>
    <w:rsid w:val="00AE2441"/>
  </w:style>
  <w:style w:type="character" w:customStyle="1" w:styleId="normaltextrun">
    <w:name w:val="normaltextrun"/>
    <w:basedOn w:val="DefaultParagraphFont"/>
    <w:rsid w:val="006C36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as.org/en/iachr/decisions/2022/HNSA_12.961H_EN.PDF"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oas.org/en/iachr/decisions/2022/HNSA_12.961H_EN.PDF" TargetMode="External"/><Relationship Id="rId4" Type="http://schemas.openxmlformats.org/officeDocument/2006/relationships/settings" Target="settings.xml"/><Relationship Id="rId9" Type="http://schemas.openxmlformats.org/officeDocument/2006/relationships/hyperlink" Target="https://www.oas.org/en/iachr/decisions/2014/HOAD775-03EN.pdf"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2" Type="http://schemas.openxmlformats.org/officeDocument/2006/relationships/hyperlink" Target="https://www.oas.org/en/iachr/decisions/2022/HNSA_12.961H_EN.PDF" TargetMode="External"/><Relationship Id="rId1" Type="http://schemas.openxmlformats.org/officeDocument/2006/relationships/hyperlink" Target="https://www.oas.org/en/iachr/decisions/2022/HNSA_12.961H_E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EF23-5EC8-47BB-AEC1-2CD4B91DE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768</Words>
  <Characters>4379</Characters>
  <Application>Microsoft Office Word</Application>
  <DocSecurity>0</DocSecurity>
  <Lines>36</Lines>
  <Paragraphs>10</Paragraphs>
  <ScaleCrop>false</ScaleCrop>
  <Company/>
  <LinksUpToDate>false</LinksUpToDate>
  <CharactersWithSpaces>5137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2023-06-28T14:56:00Z</dcterms:created>
  <dcterms:modified xsi:type="dcterms:W3CDTF">2023-06-28T14:56:00Z</dcterms:modified>
</cp:coreProperties>
</file>