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8E819" w14:textId="77777777" w:rsidR="00EE2B3B" w:rsidRDefault="00EE2B3B" w:rsidP="00EE2B3B">
      <w:pPr>
        <w:pStyle w:val="NoSpacing"/>
        <w:ind w:left="-270" w:right="-270"/>
        <w:jc w:val="center"/>
        <w:rPr>
          <w:rFonts w:ascii="Cambria" w:hAnsi="Cambria"/>
          <w:b/>
          <w:color w:val="000000"/>
          <w:sz w:val="24"/>
          <w:szCs w:val="24"/>
        </w:rPr>
      </w:pPr>
    </w:p>
    <w:p w14:paraId="036D26F6" w14:textId="77777777" w:rsidR="00EE2B3B" w:rsidRPr="00EE2B3B" w:rsidRDefault="00EE2B3B" w:rsidP="00EE2B3B">
      <w:pPr>
        <w:pStyle w:val="NoSpacing"/>
        <w:ind w:left="-270" w:right="-270"/>
        <w:jc w:val="center"/>
        <w:rPr>
          <w:rFonts w:ascii="Cambria" w:hAnsi="Cambria"/>
          <w:b/>
          <w:color w:val="000000"/>
          <w:sz w:val="24"/>
          <w:szCs w:val="24"/>
        </w:rPr>
      </w:pPr>
      <w:r w:rsidRPr="00EE2B3B">
        <w:rPr>
          <w:rFonts w:ascii="Cambria" w:hAnsi="Cambria"/>
          <w:b/>
          <w:color w:val="000000"/>
          <w:sz w:val="24"/>
          <w:szCs w:val="24"/>
        </w:rPr>
        <w:t>TECHNICAL INFORMATION SHEET</w:t>
      </w:r>
    </w:p>
    <w:p w14:paraId="4E6926AA" w14:textId="7CBC0164" w:rsidR="006D7F0E" w:rsidRDefault="006D7F0E" w:rsidP="006D7F0E">
      <w:pPr>
        <w:pStyle w:val="NoSpacing"/>
        <w:ind w:left="-270" w:right="-270"/>
        <w:jc w:val="center"/>
        <w:rPr>
          <w:rFonts w:ascii="Cambria" w:hAnsi="Cambria"/>
          <w:bCs/>
          <w:sz w:val="24"/>
          <w:lang w:val="es-CO"/>
        </w:rPr>
      </w:pPr>
      <w:r>
        <w:rPr>
          <w:rFonts w:ascii="Cambria" w:hAnsi="Cambria"/>
          <w:b/>
          <w:bCs/>
          <w:sz w:val="24"/>
          <w:lang w:val="es-CO"/>
        </w:rPr>
        <w:t>CASE 11.822 REYES PENAGOS MARTÍNEZ ET AL.</w:t>
      </w:r>
    </w:p>
    <w:p w14:paraId="589F3041" w14:textId="61155B8C" w:rsidR="00EE2B3B" w:rsidRPr="003F7365" w:rsidRDefault="00EE2B3B" w:rsidP="00EE2B3B">
      <w:pPr>
        <w:pStyle w:val="NoSpacing"/>
        <w:ind w:left="-270" w:right="-270"/>
        <w:jc w:val="center"/>
        <w:rPr>
          <w:rFonts w:ascii="Cambria" w:hAnsi="Cambria"/>
          <w:b/>
          <w:color w:val="000000"/>
          <w:sz w:val="24"/>
          <w:szCs w:val="24"/>
        </w:rPr>
      </w:pPr>
      <w:r w:rsidRPr="003F7365">
        <w:rPr>
          <w:rFonts w:ascii="Cambria" w:hAnsi="Cambria"/>
          <w:b/>
          <w:color w:val="000000"/>
          <w:sz w:val="24"/>
          <w:szCs w:val="24"/>
        </w:rPr>
        <w:t>REPORT ON FRIENDLY SETTLEMENT Nº</w:t>
      </w:r>
      <w:r w:rsidR="00F64E08">
        <w:rPr>
          <w:rFonts w:ascii="Cambria" w:hAnsi="Cambria"/>
          <w:b/>
          <w:color w:val="000000"/>
          <w:sz w:val="24"/>
          <w:szCs w:val="24"/>
        </w:rPr>
        <w:t xml:space="preserve"> </w:t>
      </w:r>
      <w:hyperlink r:id="rId8" w:history="1">
        <w:r w:rsidR="00517A59" w:rsidRPr="00517A59">
          <w:rPr>
            <w:rStyle w:val="Hyperlink"/>
            <w:rFonts w:ascii="Cambria" w:hAnsi="Cambria"/>
            <w:b/>
            <w:bCs/>
            <w:sz w:val="24"/>
          </w:rPr>
          <w:t>24/09</w:t>
        </w:r>
      </w:hyperlink>
    </w:p>
    <w:p w14:paraId="291D19F8" w14:textId="77777777" w:rsidR="00EE2B3B" w:rsidRDefault="00EE2B3B" w:rsidP="00EE2B3B">
      <w:pPr>
        <w:pStyle w:val="NoSpacing"/>
        <w:ind w:left="-270" w:right="-270"/>
        <w:jc w:val="center"/>
        <w:rPr>
          <w:rFonts w:ascii="Cambria" w:hAnsi="Cambria"/>
          <w:b/>
          <w:color w:val="000000"/>
          <w:sz w:val="24"/>
          <w:szCs w:val="24"/>
        </w:rPr>
      </w:pPr>
      <w:r w:rsidRPr="00EE2B3B">
        <w:rPr>
          <w:rFonts w:ascii="Cambria" w:hAnsi="Cambria"/>
          <w:b/>
          <w:color w:val="000000"/>
          <w:sz w:val="24"/>
          <w:szCs w:val="24"/>
        </w:rPr>
        <w:t>TOTAL COMPLIANCE</w:t>
      </w:r>
      <w:r w:rsidRPr="003F7365">
        <w:rPr>
          <w:rFonts w:ascii="Cambria" w:hAnsi="Cambria"/>
          <w:b/>
          <w:color w:val="000000"/>
          <w:sz w:val="24"/>
          <w:szCs w:val="24"/>
        </w:rPr>
        <w:t xml:space="preserve"> </w:t>
      </w:r>
    </w:p>
    <w:p w14:paraId="731B0D08" w14:textId="5846D91B" w:rsidR="00EE2B3B" w:rsidRPr="003F7365" w:rsidRDefault="00EE2B3B" w:rsidP="00EE2B3B">
      <w:pPr>
        <w:pStyle w:val="NoSpacing"/>
        <w:ind w:left="-270" w:right="-270"/>
        <w:jc w:val="center"/>
        <w:rPr>
          <w:rFonts w:ascii="Cambria" w:hAnsi="Cambria"/>
          <w:b/>
          <w:color w:val="000000"/>
          <w:sz w:val="24"/>
          <w:szCs w:val="24"/>
        </w:rPr>
      </w:pPr>
      <w:r w:rsidRPr="003F7365">
        <w:rPr>
          <w:rFonts w:ascii="Cambria" w:hAnsi="Cambria"/>
          <w:b/>
          <w:color w:val="000000"/>
          <w:sz w:val="24"/>
          <w:szCs w:val="24"/>
        </w:rPr>
        <w:t>(</w:t>
      </w:r>
      <w:r w:rsidR="00517A59">
        <w:rPr>
          <w:rFonts w:ascii="Cambria" w:hAnsi="Cambria"/>
          <w:b/>
          <w:color w:val="000000"/>
          <w:sz w:val="24"/>
          <w:szCs w:val="24"/>
        </w:rPr>
        <w:t>MEXICO</w:t>
      </w:r>
      <w:r w:rsidRPr="003F7365">
        <w:rPr>
          <w:rFonts w:ascii="Cambria" w:hAnsi="Cambria"/>
          <w:b/>
          <w:color w:val="000000"/>
          <w:sz w:val="24"/>
          <w:szCs w:val="24"/>
        </w:rPr>
        <w:t>)</w:t>
      </w:r>
    </w:p>
    <w:p w14:paraId="6FCFDEEB" w14:textId="77777777" w:rsidR="00EE2B3B" w:rsidRPr="003F7365" w:rsidRDefault="00EE2B3B" w:rsidP="00EE2B3B">
      <w:pPr>
        <w:pStyle w:val="NoSpacing"/>
        <w:ind w:left="-270" w:right="-270"/>
        <w:jc w:val="center"/>
        <w:rPr>
          <w:rFonts w:ascii="Cambria" w:hAnsi="Cambria"/>
          <w:b/>
          <w:color w:val="000000"/>
          <w:sz w:val="20"/>
          <w:szCs w:val="20"/>
        </w:rPr>
      </w:pPr>
    </w:p>
    <w:p w14:paraId="14A7D6AF" w14:textId="77777777" w:rsidR="00EE2B3B" w:rsidRPr="003F7365" w:rsidRDefault="00EE2B3B" w:rsidP="00EE2B3B">
      <w:pPr>
        <w:numPr>
          <w:ilvl w:val="0"/>
          <w:numId w:val="1"/>
        </w:numPr>
        <w:ind w:left="0" w:firstLine="720"/>
        <w:rPr>
          <w:rFonts w:ascii="Cambria" w:hAnsi="Cambria" w:cs="Calibri Light"/>
          <w:b/>
          <w:color w:val="000000"/>
          <w:sz w:val="20"/>
          <w:szCs w:val="20"/>
        </w:rPr>
      </w:pPr>
      <w:r w:rsidRPr="003F7365">
        <w:rPr>
          <w:rFonts w:ascii="Cambria" w:hAnsi="Cambria"/>
          <w:b/>
          <w:color w:val="000000"/>
          <w:sz w:val="20"/>
          <w:szCs w:val="20"/>
        </w:rPr>
        <w:t xml:space="preserve">SUMMARY OF THE CASE </w:t>
      </w:r>
    </w:p>
    <w:p w14:paraId="05E3AE0D" w14:textId="77777777" w:rsidR="00EE2B3B" w:rsidRPr="003F7365" w:rsidRDefault="00EE2B3B" w:rsidP="00EE2B3B">
      <w:pPr>
        <w:ind w:left="720"/>
        <w:rPr>
          <w:rFonts w:ascii="Cambria" w:hAnsi="Cambria" w:cs="Calibri Light"/>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EE2B3B" w:rsidRPr="003F7365" w14:paraId="0DA6B01E" w14:textId="77777777" w:rsidTr="00D53017">
        <w:trPr>
          <w:jc w:val="center"/>
        </w:trPr>
        <w:tc>
          <w:tcPr>
            <w:tcW w:w="9576" w:type="dxa"/>
            <w:tcBorders>
              <w:top w:val="single" w:sz="4" w:space="0" w:color="auto"/>
              <w:left w:val="single" w:sz="4" w:space="0" w:color="auto"/>
              <w:bottom w:val="single" w:sz="4" w:space="0" w:color="auto"/>
              <w:right w:val="single" w:sz="4" w:space="0" w:color="auto"/>
            </w:tcBorders>
            <w:shd w:val="clear" w:color="auto" w:fill="F2F2F2"/>
          </w:tcPr>
          <w:p w14:paraId="1289A43E" w14:textId="77777777" w:rsidR="005803A5" w:rsidRDefault="005803A5" w:rsidP="005803A5">
            <w:pPr>
              <w:pStyle w:val="NoSpacing"/>
              <w:jc w:val="both"/>
              <w:rPr>
                <w:rFonts w:ascii="Cambria" w:hAnsi="Cambria"/>
                <w:sz w:val="20"/>
                <w:szCs w:val="20"/>
              </w:rPr>
            </w:pPr>
            <w:r>
              <w:rPr>
                <w:rFonts w:ascii="Cambria" w:hAnsi="Cambria"/>
                <w:b/>
                <w:sz w:val="20"/>
                <w:szCs w:val="20"/>
              </w:rPr>
              <w:t>Victim(s):</w:t>
            </w:r>
            <w:r>
              <w:rPr>
                <w:rFonts w:ascii="Cambria" w:hAnsi="Cambria"/>
                <w:sz w:val="20"/>
                <w:szCs w:val="20"/>
              </w:rPr>
              <w:t xml:space="preserve"> Reyes Penagos et al.</w:t>
            </w:r>
          </w:p>
          <w:p w14:paraId="456E9632" w14:textId="77777777" w:rsidR="005803A5" w:rsidRDefault="005803A5" w:rsidP="005803A5">
            <w:pPr>
              <w:jc w:val="both"/>
              <w:rPr>
                <w:rFonts w:ascii="Cambria" w:hAnsi="Cambria"/>
                <w:bCs/>
                <w:sz w:val="20"/>
                <w:szCs w:val="20"/>
                <w:lang w:val="es-CO"/>
              </w:rPr>
            </w:pPr>
            <w:r>
              <w:rPr>
                <w:rFonts w:ascii="Cambria" w:hAnsi="Cambria"/>
                <w:b/>
                <w:sz w:val="20"/>
                <w:szCs w:val="20"/>
                <w:lang w:val="es-CO"/>
              </w:rPr>
              <w:t>Petitioner(s):</w:t>
            </w:r>
            <w:r>
              <w:rPr>
                <w:rFonts w:ascii="Cambria" w:hAnsi="Cambria"/>
                <w:sz w:val="20"/>
                <w:szCs w:val="20"/>
                <w:lang w:val="es-CO"/>
              </w:rPr>
              <w:t xml:space="preserve"> </w:t>
            </w:r>
            <w:r>
              <w:rPr>
                <w:rFonts w:ascii="Cambria" w:hAnsi="Cambria"/>
                <w:bCs/>
                <w:sz w:val="20"/>
                <w:szCs w:val="20"/>
                <w:lang w:val="es-CO"/>
              </w:rPr>
              <w:t>Comisión Mexicana de Defensa y Promoción de los Derechos Humanos (CMDPDH)</w:t>
            </w:r>
          </w:p>
          <w:p w14:paraId="3E84D46E" w14:textId="77777777" w:rsidR="005803A5" w:rsidRDefault="005803A5" w:rsidP="005803A5">
            <w:pPr>
              <w:pStyle w:val="NoSpacing"/>
              <w:jc w:val="both"/>
              <w:rPr>
                <w:rFonts w:ascii="Cambria" w:hAnsi="Cambria"/>
                <w:sz w:val="20"/>
                <w:szCs w:val="20"/>
              </w:rPr>
            </w:pPr>
            <w:r>
              <w:rPr>
                <w:rFonts w:ascii="Cambria" w:hAnsi="Cambria"/>
                <w:b/>
                <w:sz w:val="20"/>
                <w:szCs w:val="20"/>
              </w:rPr>
              <w:t>State:</w:t>
            </w:r>
            <w:r>
              <w:rPr>
                <w:rFonts w:ascii="Cambria" w:hAnsi="Cambria"/>
                <w:sz w:val="20"/>
                <w:szCs w:val="20"/>
              </w:rPr>
              <w:t xml:space="preserve"> Mexico</w:t>
            </w:r>
          </w:p>
          <w:p w14:paraId="08D658C1" w14:textId="77777777" w:rsidR="005803A5" w:rsidRDefault="005803A5" w:rsidP="005803A5">
            <w:pPr>
              <w:pStyle w:val="NoSpacing"/>
              <w:jc w:val="both"/>
              <w:rPr>
                <w:rFonts w:ascii="Cambria" w:hAnsi="Cambria"/>
                <w:b/>
                <w:bCs/>
                <w:sz w:val="20"/>
                <w:szCs w:val="20"/>
              </w:rPr>
            </w:pPr>
            <w:r>
              <w:rPr>
                <w:rFonts w:ascii="Cambria" w:hAnsi="Cambria"/>
                <w:b/>
                <w:bCs/>
                <w:sz w:val="20"/>
                <w:szCs w:val="20"/>
              </w:rPr>
              <w:t>Beginning of the negotiation date</w:t>
            </w:r>
            <w:r>
              <w:rPr>
                <w:rFonts w:ascii="Cambria" w:hAnsi="Cambria"/>
                <w:bCs/>
                <w:sz w:val="20"/>
                <w:szCs w:val="20"/>
              </w:rPr>
              <w:t xml:space="preserve">: </w:t>
            </w:r>
            <w:r>
              <w:rPr>
                <w:rFonts w:ascii="Cambria" w:hAnsi="Cambria"/>
                <w:sz w:val="20"/>
                <w:szCs w:val="20"/>
              </w:rPr>
              <w:t>March 1, 1999</w:t>
            </w:r>
          </w:p>
          <w:p w14:paraId="2217A0F5" w14:textId="77777777" w:rsidR="005803A5" w:rsidRDefault="005803A5" w:rsidP="005803A5">
            <w:pPr>
              <w:pStyle w:val="NoSpacing"/>
              <w:jc w:val="both"/>
              <w:rPr>
                <w:rFonts w:ascii="Cambria" w:hAnsi="Cambria"/>
                <w:sz w:val="20"/>
                <w:szCs w:val="20"/>
              </w:rPr>
            </w:pPr>
            <w:r>
              <w:rPr>
                <w:rFonts w:ascii="Cambria" w:hAnsi="Cambria"/>
                <w:b/>
                <w:bCs/>
                <w:sz w:val="20"/>
                <w:szCs w:val="20"/>
              </w:rPr>
              <w:t>FSA signature date:</w:t>
            </w:r>
            <w:r>
              <w:rPr>
                <w:rFonts w:ascii="Cambria" w:hAnsi="Cambria"/>
                <w:sz w:val="20"/>
                <w:szCs w:val="20"/>
              </w:rPr>
              <w:t xml:space="preserve"> November 3, 2006</w:t>
            </w:r>
          </w:p>
          <w:p w14:paraId="7F869D5C" w14:textId="77777777" w:rsidR="005803A5" w:rsidRDefault="005803A5" w:rsidP="005803A5">
            <w:pPr>
              <w:pStyle w:val="NoSpacing"/>
              <w:jc w:val="both"/>
              <w:rPr>
                <w:rFonts w:ascii="Cambria" w:hAnsi="Cambria"/>
                <w:sz w:val="20"/>
                <w:szCs w:val="20"/>
              </w:rPr>
            </w:pPr>
            <w:r>
              <w:rPr>
                <w:rFonts w:ascii="Cambria" w:hAnsi="Cambria"/>
                <w:b/>
                <w:sz w:val="20"/>
                <w:szCs w:val="20"/>
              </w:rPr>
              <w:t>Report on Friendly Settlement Agreement No.:</w:t>
            </w:r>
            <w:r>
              <w:rPr>
                <w:rFonts w:ascii="Cambria" w:hAnsi="Cambria"/>
                <w:sz w:val="20"/>
                <w:szCs w:val="20"/>
              </w:rPr>
              <w:t xml:space="preserve"> </w:t>
            </w:r>
            <w:hyperlink r:id="rId9" w:history="1">
              <w:r>
                <w:rPr>
                  <w:rStyle w:val="Hyperlink"/>
                  <w:rFonts w:ascii="Cambria" w:hAnsi="Cambria"/>
                  <w:b/>
                  <w:bCs/>
                  <w:sz w:val="20"/>
                  <w:szCs w:val="20"/>
                </w:rPr>
                <w:t>24/09</w:t>
              </w:r>
            </w:hyperlink>
            <w:r>
              <w:rPr>
                <w:rFonts w:ascii="Cambria" w:hAnsi="Cambria"/>
                <w:sz w:val="20"/>
                <w:szCs w:val="20"/>
              </w:rPr>
              <w:t>, published on March 20, 2009</w:t>
            </w:r>
          </w:p>
          <w:p w14:paraId="6A4FC1C3" w14:textId="77777777" w:rsidR="005803A5" w:rsidRDefault="005803A5" w:rsidP="005803A5">
            <w:pPr>
              <w:pStyle w:val="NoSpacing"/>
              <w:jc w:val="both"/>
              <w:rPr>
                <w:rFonts w:ascii="Cambria" w:hAnsi="Cambria"/>
                <w:b/>
                <w:bCs/>
                <w:sz w:val="20"/>
                <w:szCs w:val="20"/>
              </w:rPr>
            </w:pPr>
            <w:r>
              <w:rPr>
                <w:rFonts w:ascii="Cambria" w:hAnsi="Cambria"/>
                <w:b/>
                <w:bCs/>
                <w:sz w:val="20"/>
                <w:szCs w:val="20"/>
              </w:rPr>
              <w:t>Estimated length of the negotiation phase:</w:t>
            </w:r>
            <w:r>
              <w:rPr>
                <w:rFonts w:ascii="Cambria" w:hAnsi="Cambria"/>
                <w:bCs/>
                <w:sz w:val="20"/>
                <w:szCs w:val="20"/>
              </w:rPr>
              <w:t xml:space="preserve"> 10 years</w:t>
            </w:r>
          </w:p>
          <w:p w14:paraId="10C9530C" w14:textId="77777777" w:rsidR="005803A5" w:rsidRDefault="005803A5" w:rsidP="005803A5">
            <w:pPr>
              <w:pStyle w:val="NoSpacing"/>
              <w:jc w:val="both"/>
              <w:rPr>
                <w:rFonts w:ascii="Cambria" w:hAnsi="Cambria"/>
                <w:sz w:val="20"/>
                <w:szCs w:val="20"/>
              </w:rPr>
            </w:pPr>
            <w:r>
              <w:rPr>
                <w:rFonts w:ascii="Cambria" w:hAnsi="Cambria"/>
                <w:b/>
                <w:sz w:val="20"/>
                <w:szCs w:val="20"/>
              </w:rPr>
              <w:t>Associated rapporteurship:</w:t>
            </w:r>
            <w:r>
              <w:rPr>
                <w:rFonts w:ascii="Cambria" w:hAnsi="Cambria"/>
                <w:sz w:val="20"/>
                <w:szCs w:val="20"/>
              </w:rPr>
              <w:t xml:space="preserve"> Persons Deprived of Liberty</w:t>
            </w:r>
          </w:p>
          <w:p w14:paraId="1683BAD8" w14:textId="77777777" w:rsidR="005803A5" w:rsidRDefault="005803A5" w:rsidP="005803A5">
            <w:pPr>
              <w:pStyle w:val="NoSpacing"/>
              <w:jc w:val="both"/>
              <w:rPr>
                <w:rFonts w:ascii="Cambria" w:hAnsi="Cambria"/>
                <w:sz w:val="20"/>
                <w:szCs w:val="20"/>
              </w:rPr>
            </w:pPr>
            <w:r>
              <w:rPr>
                <w:rFonts w:ascii="Cambria" w:hAnsi="Cambria"/>
                <w:b/>
                <w:sz w:val="20"/>
                <w:szCs w:val="20"/>
              </w:rPr>
              <w:t>Topics:</w:t>
            </w:r>
            <w:r>
              <w:rPr>
                <w:rFonts w:ascii="Cambria" w:hAnsi="Cambria"/>
                <w:sz w:val="20"/>
                <w:szCs w:val="20"/>
              </w:rPr>
              <w:t xml:space="preserve"> Persons deprived of liberty/Detention centers/Conditions of detention/Police stations/Care and custody/Investigation/Corrections system/Police violence/Torture/Criminal due process/ Protest</w:t>
            </w:r>
          </w:p>
          <w:p w14:paraId="56A3AEE2" w14:textId="77777777" w:rsidR="005803A5" w:rsidRDefault="005803A5" w:rsidP="005803A5">
            <w:pPr>
              <w:pStyle w:val="NoSpacing"/>
              <w:jc w:val="both"/>
              <w:rPr>
                <w:rFonts w:ascii="Cambria" w:hAnsi="Cambria"/>
                <w:sz w:val="20"/>
                <w:szCs w:val="20"/>
              </w:rPr>
            </w:pPr>
          </w:p>
          <w:p w14:paraId="6078F9B4" w14:textId="77777777" w:rsidR="005803A5" w:rsidRDefault="005803A5" w:rsidP="005803A5">
            <w:pPr>
              <w:pStyle w:val="NoSpacing"/>
              <w:jc w:val="both"/>
              <w:rPr>
                <w:rFonts w:ascii="Cambria" w:hAnsi="Cambria"/>
                <w:sz w:val="20"/>
                <w:szCs w:val="20"/>
              </w:rPr>
            </w:pPr>
            <w:r>
              <w:rPr>
                <w:rFonts w:ascii="Cambria" w:hAnsi="Cambria"/>
                <w:b/>
                <w:sz w:val="20"/>
                <w:szCs w:val="20"/>
              </w:rPr>
              <w:t>Facts:</w:t>
            </w:r>
            <w:r>
              <w:rPr>
                <w:rFonts w:ascii="Cambria" w:hAnsi="Cambria"/>
                <w:sz w:val="20"/>
                <w:szCs w:val="20"/>
              </w:rPr>
              <w:t xml:space="preserve"> The petitioners alleged that on December 16, 1995, more than 600 members of the Public Security forces, state-level Judicial Police, and Army, using 25 vehicles and three helicopters, evicted a sit-in of women at the bridge that provides access to the ejido of Nueva Palestina, using tear gas. During the operation, the inhabitants of the ejido who were at the sit-in were violently evicted, several homes were searched, and 17 persons were unlawfully detained, among them Reyes Penagos Martínez, Enrique Flores González, and Julieta Flores Castillo. After they were detained they were placed in an automobile of the Office of the Attorney General of Chiapas, and questioned about the </w:t>
            </w:r>
            <w:r>
              <w:rPr>
                <w:rFonts w:ascii="Cambria" w:hAnsi="Cambria"/>
                <w:i/>
                <w:sz w:val="20"/>
                <w:szCs w:val="20"/>
              </w:rPr>
              <w:t xml:space="preserve">Unión Campesina Popular Francisco Villa </w:t>
            </w:r>
            <w:r>
              <w:rPr>
                <w:rFonts w:ascii="Cambria" w:hAnsi="Cambria"/>
                <w:sz w:val="20"/>
                <w:szCs w:val="20"/>
              </w:rPr>
              <w:t>[farmers union]. The petitioners indicated that when the family members of Mr. Reyes Penagos Martínez went to the Office of the Attorney General of Chiapas, the authorities denied he had been detained. They noted that on December 17, 1995, the alleged victims were transferred at approximately 4:00 a.m. to the city of Tuxtla Gutiérrez, Chiapas, where they were placed in another vehicle and taken to an unknown place. The petitioners alleged that Reyes Penagos Martínez, Julieta Flores, and Enrique Flores were tortured during their detention: they had gases introduced into their nasal cavities, crushed glass placed on their feet, they were beaten, and during the days that they were deprived of liberty clandestinely they did not receive water or food. Unknown substances were injected into Mr. Reyes Penagos Martínez and pressure was applied to his testicles. On the morning of December 18, 1995, Reyes Penagos Martínez and Enrique Flores were tortured, beaten, and forced to do 2,000 sit-ups. They state that Ms. Julieta Flores was also the victim of rape during the time that she was detained and that she had electric shocks applied to her nipples and legs; carbonated water with chili pepper was poured into her nose, which, together with the torturous treatment described above, caused her to lose consciousness. The petitioners said that on December 18, 1995, during the early morning hours, Reyes Penagos Martínez was taken to an unknown location; his dead body was found that same day near Jaltenango. Enrique and Julieta Flores were taken to the Cerro Hueco prison, where they remained for approximately two months.</w:t>
            </w:r>
          </w:p>
          <w:p w14:paraId="1C1053EC" w14:textId="77777777" w:rsidR="005803A5" w:rsidRDefault="005803A5" w:rsidP="005803A5">
            <w:pPr>
              <w:pStyle w:val="NoSpacing"/>
              <w:jc w:val="both"/>
              <w:rPr>
                <w:rFonts w:ascii="Cambria" w:hAnsi="Cambria"/>
                <w:sz w:val="20"/>
                <w:szCs w:val="20"/>
              </w:rPr>
            </w:pPr>
          </w:p>
          <w:p w14:paraId="2ADA2413" w14:textId="4D92416E" w:rsidR="00EE2B3B" w:rsidRPr="003F7365" w:rsidRDefault="005803A5" w:rsidP="005803A5">
            <w:pPr>
              <w:pStyle w:val="NoSpacing"/>
              <w:tabs>
                <w:tab w:val="left" w:pos="9270"/>
              </w:tabs>
              <w:jc w:val="both"/>
              <w:rPr>
                <w:rFonts w:ascii="Cambria" w:hAnsi="Cambria"/>
                <w:color w:val="000000"/>
                <w:sz w:val="20"/>
                <w:szCs w:val="20"/>
              </w:rPr>
            </w:pPr>
            <w:r>
              <w:rPr>
                <w:rFonts w:ascii="Cambria" w:hAnsi="Cambria"/>
                <w:b/>
                <w:sz w:val="20"/>
                <w:szCs w:val="20"/>
              </w:rPr>
              <w:t>Rights allegedly violated:</w:t>
            </w:r>
            <w:r>
              <w:rPr>
                <w:rFonts w:ascii="Cambria" w:hAnsi="Cambria"/>
                <w:sz w:val="20"/>
                <w:szCs w:val="20"/>
              </w:rPr>
              <w:t xml:space="preserve"> In the petition it is alleged that the State was responsible for the violation of rights enshrined in Article 4 (right to life), Article 5 (right to humane treatment), Article 7 (right to personal liberty), Article 25 (right to judicial protection), and Article 1(1) (obligation to respect rights) of the American Convention, since on December 16, 1995, Reyes Penagos Martínez, Enrique Flores González, and Julieta Flores Castillo, who belonged to the </w:t>
            </w:r>
            <w:r>
              <w:rPr>
                <w:rFonts w:ascii="Cambria" w:hAnsi="Cambria"/>
                <w:i/>
                <w:sz w:val="20"/>
                <w:szCs w:val="20"/>
              </w:rPr>
              <w:t>Unión Campesina Popular Francisco Villa</w:t>
            </w:r>
            <w:r>
              <w:rPr>
                <w:rFonts w:ascii="Cambria" w:hAnsi="Cambria"/>
                <w:sz w:val="20"/>
                <w:szCs w:val="20"/>
              </w:rPr>
              <w:t xml:space="preserve">, would have been unlawfully detained by public employees of the state of Chiapas, interrogated, and tortured; and that on December 18, 1995, Mr. Reyes Penagos Martínez was allegedly extrajudicially executed by public employees. </w:t>
            </w:r>
          </w:p>
        </w:tc>
      </w:tr>
    </w:tbl>
    <w:p w14:paraId="4EBF1FC0" w14:textId="77777777" w:rsidR="00EE2B3B" w:rsidRPr="003F7365" w:rsidRDefault="00EE2B3B" w:rsidP="00EE2B3B">
      <w:pPr>
        <w:pStyle w:val="ListParagraph"/>
        <w:rPr>
          <w:rFonts w:ascii="Cambria" w:hAnsi="Cambria" w:cs="Calibri Light"/>
          <w:b/>
          <w:color w:val="000000"/>
          <w:sz w:val="20"/>
          <w:szCs w:val="20"/>
        </w:rPr>
      </w:pPr>
    </w:p>
    <w:p w14:paraId="1531F314" w14:textId="77777777" w:rsidR="00EE2B3B" w:rsidRPr="003F7365" w:rsidRDefault="00EE2B3B" w:rsidP="00F84B42">
      <w:pPr>
        <w:pStyle w:val="ListParagraph"/>
        <w:numPr>
          <w:ilvl w:val="0"/>
          <w:numId w:val="1"/>
        </w:numPr>
        <w:ind w:left="0" w:firstLine="720"/>
        <w:rPr>
          <w:rFonts w:ascii="Cambria" w:hAnsi="Cambria" w:cs="Calibri Light"/>
          <w:b/>
          <w:color w:val="000000"/>
          <w:sz w:val="20"/>
          <w:szCs w:val="20"/>
        </w:rPr>
      </w:pPr>
      <w:r w:rsidRPr="003F7365">
        <w:rPr>
          <w:rFonts w:ascii="Cambria" w:hAnsi="Cambria"/>
          <w:b/>
          <w:color w:val="000000"/>
          <w:sz w:val="20"/>
          <w:szCs w:val="20"/>
        </w:rPr>
        <w:t>PROCEDURAL ACTIVITY</w:t>
      </w:r>
    </w:p>
    <w:p w14:paraId="3846F014" w14:textId="77777777" w:rsidR="00EE2B3B" w:rsidRPr="003F7365" w:rsidRDefault="00EE2B3B" w:rsidP="00F84B42">
      <w:pPr>
        <w:pStyle w:val="ListParagraph"/>
        <w:ind w:left="0" w:firstLine="720"/>
        <w:rPr>
          <w:rFonts w:ascii="Cambria" w:hAnsi="Cambria" w:cs="Calibri Light"/>
          <w:b/>
          <w:color w:val="000000"/>
          <w:sz w:val="20"/>
          <w:szCs w:val="20"/>
        </w:rPr>
      </w:pPr>
    </w:p>
    <w:p w14:paraId="163579AD" w14:textId="73A3FF88" w:rsidR="00EE2B3B" w:rsidRDefault="00EE2B3B" w:rsidP="00F84B42">
      <w:pPr>
        <w:numPr>
          <w:ilvl w:val="0"/>
          <w:numId w:val="2"/>
        </w:numPr>
        <w:ind w:left="0" w:firstLine="720"/>
        <w:jc w:val="both"/>
        <w:rPr>
          <w:rFonts w:ascii="Cambria" w:hAnsi="Cambria"/>
          <w:color w:val="000000"/>
          <w:sz w:val="20"/>
          <w:szCs w:val="20"/>
        </w:rPr>
      </w:pPr>
      <w:r>
        <w:rPr>
          <w:rFonts w:ascii="Cambria" w:hAnsi="Cambria"/>
          <w:color w:val="000000"/>
          <w:sz w:val="20"/>
          <w:szCs w:val="20"/>
        </w:rPr>
        <w:t xml:space="preserve">On </w:t>
      </w:r>
      <w:r w:rsidR="008646A9" w:rsidRPr="003507A6">
        <w:rPr>
          <w:rFonts w:ascii="Cambria" w:hAnsi="Cambria"/>
          <w:color w:val="000000"/>
          <w:sz w:val="20"/>
        </w:rPr>
        <w:t xml:space="preserve">November </w:t>
      </w:r>
      <w:r w:rsidR="005803A5">
        <w:rPr>
          <w:rFonts w:ascii="Cambria" w:hAnsi="Cambria"/>
          <w:color w:val="000000"/>
          <w:sz w:val="20"/>
        </w:rPr>
        <w:t>6</w:t>
      </w:r>
      <w:r w:rsidR="008646A9" w:rsidRPr="003507A6">
        <w:rPr>
          <w:rFonts w:ascii="Cambria" w:hAnsi="Cambria"/>
          <w:color w:val="000000"/>
          <w:sz w:val="20"/>
        </w:rPr>
        <w:t>, 20</w:t>
      </w:r>
      <w:r w:rsidR="005803A5">
        <w:rPr>
          <w:rFonts w:ascii="Cambria" w:hAnsi="Cambria"/>
          <w:color w:val="000000"/>
          <w:sz w:val="20"/>
        </w:rPr>
        <w:t>06</w:t>
      </w:r>
      <w:r>
        <w:rPr>
          <w:rFonts w:ascii="Cambria" w:hAnsi="Cambria"/>
          <w:color w:val="000000"/>
          <w:sz w:val="20"/>
          <w:szCs w:val="20"/>
        </w:rPr>
        <w:t xml:space="preserve">, </w:t>
      </w:r>
      <w:r w:rsidRPr="00EE2B3B">
        <w:rPr>
          <w:rFonts w:ascii="Cambria" w:hAnsi="Cambria"/>
          <w:color w:val="000000"/>
          <w:sz w:val="20"/>
          <w:szCs w:val="20"/>
        </w:rPr>
        <w:t>the parties signed a friendly settlement agreement.</w:t>
      </w:r>
    </w:p>
    <w:p w14:paraId="7E9E5C89" w14:textId="77777777" w:rsidR="00EE2B3B" w:rsidRPr="00EE2B3B" w:rsidRDefault="00EE2B3B" w:rsidP="00F84B42">
      <w:pPr>
        <w:ind w:firstLine="720"/>
        <w:jc w:val="both"/>
        <w:rPr>
          <w:rFonts w:ascii="Cambria" w:hAnsi="Cambria"/>
          <w:color w:val="000000"/>
          <w:sz w:val="20"/>
          <w:szCs w:val="20"/>
        </w:rPr>
      </w:pPr>
    </w:p>
    <w:p w14:paraId="1474F062" w14:textId="38F195D5" w:rsidR="00EE2B3B" w:rsidRPr="003F7365" w:rsidRDefault="00EE2B3B" w:rsidP="00F84B42">
      <w:pPr>
        <w:numPr>
          <w:ilvl w:val="0"/>
          <w:numId w:val="2"/>
        </w:numPr>
        <w:ind w:left="0" w:firstLine="720"/>
        <w:jc w:val="both"/>
        <w:rPr>
          <w:rFonts w:ascii="Cambria" w:hAnsi="Cambria" w:cs="Calibri Light"/>
          <w:color w:val="000000"/>
          <w:sz w:val="20"/>
          <w:szCs w:val="20"/>
        </w:rPr>
      </w:pPr>
      <w:r w:rsidRPr="00EE2B3B">
        <w:rPr>
          <w:rFonts w:ascii="Cambria" w:hAnsi="Cambria"/>
          <w:color w:val="000000"/>
          <w:sz w:val="20"/>
          <w:szCs w:val="20"/>
        </w:rPr>
        <w:t xml:space="preserve">On </w:t>
      </w:r>
      <w:r w:rsidR="005803A5">
        <w:rPr>
          <w:rFonts w:ascii="Cambria" w:hAnsi="Cambria"/>
          <w:color w:val="000000"/>
          <w:sz w:val="20"/>
        </w:rPr>
        <w:t>March 20, 2009</w:t>
      </w:r>
      <w:r w:rsidRPr="00EE2B3B">
        <w:rPr>
          <w:rFonts w:ascii="Cambria" w:hAnsi="Cambria"/>
          <w:color w:val="000000"/>
          <w:sz w:val="20"/>
          <w:szCs w:val="20"/>
        </w:rPr>
        <w:t>, the Commission approved the agreement signed by the parties, by means of Report No.</w:t>
      </w:r>
      <w:r>
        <w:rPr>
          <w:rFonts w:ascii="Cambria" w:hAnsi="Cambria"/>
          <w:color w:val="000000"/>
          <w:sz w:val="20"/>
          <w:szCs w:val="20"/>
        </w:rPr>
        <w:t xml:space="preserve"> </w:t>
      </w:r>
      <w:r w:rsidR="008646A9">
        <w:rPr>
          <w:rFonts w:ascii="Cambria" w:hAnsi="Cambria"/>
          <w:color w:val="000000"/>
          <w:sz w:val="20"/>
          <w:szCs w:val="20"/>
        </w:rPr>
        <w:t>2</w:t>
      </w:r>
      <w:r w:rsidR="005803A5">
        <w:rPr>
          <w:rFonts w:ascii="Cambria" w:hAnsi="Cambria"/>
          <w:color w:val="000000"/>
          <w:sz w:val="20"/>
          <w:szCs w:val="20"/>
        </w:rPr>
        <w:t>4/09</w:t>
      </w:r>
      <w:r w:rsidRPr="003F7365">
        <w:rPr>
          <w:rFonts w:ascii="Cambria" w:hAnsi="Cambria" w:cs="Calibri Light"/>
          <w:color w:val="000000"/>
          <w:sz w:val="20"/>
          <w:szCs w:val="20"/>
        </w:rPr>
        <w:t>.</w:t>
      </w:r>
    </w:p>
    <w:p w14:paraId="516953C5" w14:textId="77777777" w:rsidR="00EE2B3B" w:rsidRPr="003F7365" w:rsidRDefault="00EE2B3B" w:rsidP="00EE2B3B">
      <w:pPr>
        <w:ind w:left="720"/>
        <w:rPr>
          <w:rFonts w:ascii="Cambria" w:hAnsi="Cambria" w:cs="Calibri Light"/>
          <w:color w:val="000000"/>
          <w:sz w:val="20"/>
          <w:szCs w:val="20"/>
        </w:rPr>
      </w:pPr>
    </w:p>
    <w:p w14:paraId="50BF87C1" w14:textId="77777777" w:rsidR="00EE2B3B" w:rsidRPr="003F7365" w:rsidRDefault="00EE2B3B" w:rsidP="00EE2B3B">
      <w:pPr>
        <w:pStyle w:val="ListParagraph"/>
        <w:numPr>
          <w:ilvl w:val="0"/>
          <w:numId w:val="1"/>
        </w:numPr>
        <w:ind w:left="0" w:firstLine="720"/>
        <w:jc w:val="both"/>
        <w:rPr>
          <w:rFonts w:ascii="Cambria" w:hAnsi="Cambria" w:cs="Calibri Light"/>
          <w:b/>
          <w:color w:val="000000"/>
          <w:sz w:val="20"/>
          <w:szCs w:val="20"/>
        </w:rPr>
      </w:pPr>
      <w:r w:rsidRPr="003F7365">
        <w:rPr>
          <w:rFonts w:ascii="Cambria" w:hAnsi="Cambria"/>
          <w:b/>
          <w:bCs/>
          <w:color w:val="000000"/>
          <w:sz w:val="20"/>
          <w:szCs w:val="20"/>
        </w:rPr>
        <w:t xml:space="preserve">ANALYSIS OF COMPLIANCE WITH THE CLAUSES OF THE FRIENDLY SETTLEMENT AGREEMENT </w:t>
      </w:r>
    </w:p>
    <w:p w14:paraId="5EC7D320" w14:textId="77777777" w:rsidR="00EE2B3B" w:rsidRPr="003F7365" w:rsidRDefault="00EE2B3B" w:rsidP="00EE2B3B">
      <w:pPr>
        <w:pStyle w:val="ListParagraph"/>
        <w:jc w:val="both"/>
        <w:rPr>
          <w:rFonts w:ascii="Cambria" w:hAnsi="Cambria" w:cs="Calibri Light"/>
          <w:b/>
          <w:color w:val="000000"/>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7"/>
        <w:gridCol w:w="1553"/>
      </w:tblGrid>
      <w:tr w:rsidR="003E5175" w:rsidRPr="0084018B" w14:paraId="67F971F5" w14:textId="77777777" w:rsidTr="003E5175">
        <w:trPr>
          <w:jc w:val="center"/>
        </w:trPr>
        <w:tc>
          <w:tcPr>
            <w:tcW w:w="7807" w:type="dxa"/>
            <w:shd w:val="clear" w:color="auto" w:fill="D9D9D9"/>
            <w:vAlign w:val="center"/>
            <w:hideMark/>
          </w:tcPr>
          <w:p w14:paraId="62076E87" w14:textId="77777777" w:rsidR="003E5175" w:rsidRPr="0084018B" w:rsidRDefault="003E5175" w:rsidP="00534A0C">
            <w:pPr>
              <w:jc w:val="center"/>
              <w:rPr>
                <w:rFonts w:ascii="Cambria" w:hAnsi="Cambria"/>
                <w:sz w:val="20"/>
                <w:szCs w:val="20"/>
              </w:rPr>
            </w:pPr>
            <w:r w:rsidRPr="0084018B">
              <w:rPr>
                <w:rFonts w:ascii="Cambria" w:hAnsi="Cambria"/>
                <w:b/>
                <w:sz w:val="20"/>
                <w:szCs w:val="20"/>
              </w:rPr>
              <w:t>Agreement clause</w:t>
            </w:r>
          </w:p>
        </w:tc>
        <w:tc>
          <w:tcPr>
            <w:tcW w:w="1553" w:type="dxa"/>
            <w:shd w:val="clear" w:color="auto" w:fill="D9D9D9"/>
            <w:vAlign w:val="center"/>
            <w:hideMark/>
          </w:tcPr>
          <w:p w14:paraId="52281D50" w14:textId="77777777" w:rsidR="003E5175" w:rsidRPr="0084018B" w:rsidRDefault="003E5175" w:rsidP="00534A0C">
            <w:pPr>
              <w:jc w:val="center"/>
              <w:rPr>
                <w:rFonts w:ascii="Cambria" w:hAnsi="Cambria"/>
                <w:b/>
                <w:sz w:val="20"/>
                <w:szCs w:val="20"/>
              </w:rPr>
            </w:pPr>
            <w:r w:rsidRPr="0084018B">
              <w:rPr>
                <w:rFonts w:ascii="Cambria" w:hAnsi="Cambria"/>
                <w:b/>
                <w:sz w:val="20"/>
                <w:szCs w:val="20"/>
              </w:rPr>
              <w:t>State of compliance</w:t>
            </w:r>
          </w:p>
        </w:tc>
      </w:tr>
      <w:tr w:rsidR="003E5175" w:rsidRPr="0084018B" w14:paraId="2B3513FB" w14:textId="77777777" w:rsidTr="003E5175">
        <w:trPr>
          <w:jc w:val="center"/>
        </w:trPr>
        <w:tc>
          <w:tcPr>
            <w:tcW w:w="7807" w:type="dxa"/>
            <w:vAlign w:val="center"/>
          </w:tcPr>
          <w:p w14:paraId="6795B36C" w14:textId="77777777" w:rsidR="003E5175" w:rsidRPr="0084018B" w:rsidRDefault="003E5175" w:rsidP="00534A0C">
            <w:pPr>
              <w:ind w:right="69"/>
              <w:jc w:val="both"/>
              <w:rPr>
                <w:rFonts w:ascii="Cambria" w:hAnsi="Cambria"/>
                <w:sz w:val="20"/>
                <w:szCs w:val="20"/>
              </w:rPr>
            </w:pPr>
            <w:r w:rsidRPr="0084018B">
              <w:rPr>
                <w:rFonts w:ascii="Cambria" w:hAnsi="Cambria"/>
                <w:b/>
                <w:bCs/>
                <w:kern w:val="36"/>
                <w:sz w:val="20"/>
                <w:szCs w:val="20"/>
              </w:rPr>
              <w:t xml:space="preserve">FIRST. </w:t>
            </w:r>
            <w:r w:rsidRPr="0084018B">
              <w:rPr>
                <w:rFonts w:ascii="Cambria" w:hAnsi="Cambria"/>
                <w:bCs/>
                <w:kern w:val="36"/>
                <w:sz w:val="20"/>
                <w:szCs w:val="20"/>
              </w:rPr>
              <w:t>The following persons shall be beneficiaries of this reparation of the harm, insofar as they are “injured party” either as victim or as victim’s family members: [...]</w:t>
            </w:r>
          </w:p>
        </w:tc>
        <w:tc>
          <w:tcPr>
            <w:tcW w:w="1553" w:type="dxa"/>
            <w:vAlign w:val="center"/>
            <w:hideMark/>
          </w:tcPr>
          <w:p w14:paraId="751113E4" w14:textId="77777777" w:rsidR="003E5175" w:rsidRPr="0084018B" w:rsidRDefault="003E5175" w:rsidP="00534A0C">
            <w:pPr>
              <w:jc w:val="center"/>
              <w:rPr>
                <w:rFonts w:ascii="Cambria" w:hAnsi="Cambria"/>
                <w:sz w:val="20"/>
                <w:szCs w:val="20"/>
              </w:rPr>
            </w:pPr>
            <w:r w:rsidRPr="0084018B">
              <w:rPr>
                <w:rFonts w:ascii="Cambria" w:hAnsi="Cambria"/>
                <w:b/>
                <w:sz w:val="20"/>
                <w:szCs w:val="20"/>
              </w:rPr>
              <w:t>Declarative clause</w:t>
            </w:r>
            <w:r w:rsidRPr="0084018B">
              <w:rPr>
                <w:rFonts w:ascii="Cambria" w:hAnsi="Cambria"/>
                <w:sz w:val="20"/>
                <w:szCs w:val="20"/>
              </w:rPr>
              <w:t xml:space="preserve"> </w:t>
            </w:r>
          </w:p>
        </w:tc>
      </w:tr>
      <w:tr w:rsidR="003E5175" w:rsidRPr="0084018B" w14:paraId="3FF13E2F" w14:textId="77777777" w:rsidTr="003E5175">
        <w:trPr>
          <w:trHeight w:val="692"/>
          <w:jc w:val="center"/>
        </w:trPr>
        <w:tc>
          <w:tcPr>
            <w:tcW w:w="9360" w:type="dxa"/>
            <w:gridSpan w:val="2"/>
            <w:vAlign w:val="center"/>
          </w:tcPr>
          <w:p w14:paraId="2E4C4B4B" w14:textId="77777777" w:rsidR="003E5175" w:rsidRPr="0084018B" w:rsidRDefault="003E5175" w:rsidP="00534A0C">
            <w:pPr>
              <w:jc w:val="both"/>
              <w:rPr>
                <w:rFonts w:ascii="Cambria" w:hAnsi="Cambria"/>
                <w:sz w:val="20"/>
                <w:szCs w:val="20"/>
                <w:u w:val="single"/>
              </w:rPr>
            </w:pPr>
            <w:r w:rsidRPr="0084018B">
              <w:rPr>
                <w:rFonts w:ascii="Cambria" w:hAnsi="Cambria"/>
                <w:b/>
                <w:bCs/>
                <w:sz w:val="20"/>
                <w:szCs w:val="20"/>
              </w:rPr>
              <w:t>THIRD.</w:t>
            </w:r>
            <w:r w:rsidRPr="0084018B">
              <w:rPr>
                <w:rFonts w:ascii="Cambria" w:hAnsi="Cambria"/>
                <w:bCs/>
                <w:sz w:val="20"/>
                <w:szCs w:val="20"/>
              </w:rPr>
              <w:t xml:space="preserve">  The reparation under this agreement should be paid for the material and non-material injury caused, and should also include other measures of reparation (measures of satisfaction and guarantees of non-repetition).</w:t>
            </w:r>
          </w:p>
        </w:tc>
      </w:tr>
      <w:tr w:rsidR="003E5175" w:rsidRPr="0084018B" w14:paraId="1FCA1918" w14:textId="77777777" w:rsidTr="00933DD1">
        <w:trPr>
          <w:trHeight w:val="3383"/>
          <w:jc w:val="center"/>
        </w:trPr>
        <w:tc>
          <w:tcPr>
            <w:tcW w:w="7807" w:type="dxa"/>
            <w:vAlign w:val="center"/>
            <w:hideMark/>
          </w:tcPr>
          <w:p w14:paraId="24EB64EC" w14:textId="77777777" w:rsidR="003E5175" w:rsidRPr="0084018B" w:rsidRDefault="003E5175" w:rsidP="003E5175">
            <w:pPr>
              <w:pStyle w:val="ListParagraph"/>
              <w:numPr>
                <w:ilvl w:val="0"/>
                <w:numId w:val="12"/>
              </w:numPr>
              <w:ind w:right="72"/>
              <w:jc w:val="both"/>
              <w:rPr>
                <w:rFonts w:ascii="Cambria" w:hAnsi="Cambria"/>
                <w:bCs/>
                <w:kern w:val="36"/>
                <w:sz w:val="20"/>
                <w:szCs w:val="20"/>
              </w:rPr>
            </w:pPr>
            <w:bookmarkStart w:id="0" w:name="_ftnref6"/>
            <w:bookmarkEnd w:id="0"/>
            <w:r w:rsidRPr="0084018B">
              <w:rPr>
                <w:rFonts w:ascii="Cambria" w:hAnsi="Cambria"/>
                <w:b/>
                <w:bCs/>
                <w:kern w:val="36"/>
                <w:sz w:val="20"/>
                <w:szCs w:val="20"/>
              </w:rPr>
              <w:t>Public Recognition of the International Responsibility of the Mexican State.</w:t>
            </w:r>
          </w:p>
          <w:p w14:paraId="758B6F06" w14:textId="77777777" w:rsidR="003E5175" w:rsidRPr="0084018B" w:rsidRDefault="003E5175" w:rsidP="00534A0C">
            <w:pPr>
              <w:ind w:right="72"/>
              <w:jc w:val="both"/>
              <w:rPr>
                <w:rFonts w:ascii="Cambria" w:hAnsi="Cambria"/>
                <w:bCs/>
                <w:kern w:val="36"/>
                <w:sz w:val="20"/>
                <w:szCs w:val="20"/>
              </w:rPr>
            </w:pPr>
            <w:r w:rsidRPr="0084018B">
              <w:rPr>
                <w:rFonts w:ascii="Cambria" w:hAnsi="Cambria"/>
                <w:bCs/>
                <w:kern w:val="36"/>
                <w:sz w:val="20"/>
                <w:szCs w:val="20"/>
              </w:rPr>
              <w:t>The State undertakes to make a public pronouncement in which it recognizes ITS RESPONSIBILITY IN the facts described in the first section, considering that the death of Reyes Penagos Martínez and the detention and torture of Julieta Flores Castillo and Enrique Flores González, committed by various public servants of the state of Chiapas, are imputable to it.</w:t>
            </w:r>
          </w:p>
          <w:p w14:paraId="012F295A" w14:textId="77777777" w:rsidR="003E5175" w:rsidRPr="0084018B" w:rsidRDefault="003E5175" w:rsidP="00534A0C">
            <w:pPr>
              <w:ind w:right="72"/>
              <w:jc w:val="both"/>
              <w:rPr>
                <w:rFonts w:ascii="Cambria" w:hAnsi="Cambria"/>
                <w:bCs/>
                <w:kern w:val="36"/>
                <w:sz w:val="20"/>
                <w:szCs w:val="20"/>
              </w:rPr>
            </w:pPr>
            <w:r w:rsidRPr="0084018B">
              <w:rPr>
                <w:rFonts w:ascii="Cambria" w:hAnsi="Cambria"/>
                <w:bCs/>
                <w:kern w:val="36"/>
                <w:sz w:val="20"/>
                <w:szCs w:val="20"/>
              </w:rPr>
              <w:t> </w:t>
            </w:r>
          </w:p>
          <w:p w14:paraId="09521207" w14:textId="77777777" w:rsidR="003E5175" w:rsidRPr="0084018B" w:rsidRDefault="003E5175" w:rsidP="00534A0C">
            <w:pPr>
              <w:ind w:right="72"/>
              <w:jc w:val="both"/>
              <w:rPr>
                <w:rFonts w:ascii="Cambria" w:hAnsi="Cambria"/>
                <w:bCs/>
                <w:kern w:val="36"/>
                <w:sz w:val="20"/>
                <w:szCs w:val="20"/>
              </w:rPr>
            </w:pPr>
            <w:r w:rsidRPr="0084018B">
              <w:rPr>
                <w:rFonts w:ascii="Cambria" w:hAnsi="Cambria"/>
                <w:bCs/>
                <w:kern w:val="36"/>
                <w:sz w:val="20"/>
                <w:szCs w:val="20"/>
              </w:rPr>
              <w:t xml:space="preserve">The State also undertakes to apologize publicly to the victims and their family members for the facts reported to the IACHR, which were the result of a violation of human rights. This pronouncement may be made at the moment the payment is made to make reparation for the material and non-material injury agreed upon in the preceding paragraphs. </w:t>
            </w:r>
          </w:p>
          <w:p w14:paraId="2C8A5017" w14:textId="77777777" w:rsidR="003E5175" w:rsidRPr="0084018B" w:rsidRDefault="003E5175" w:rsidP="00534A0C">
            <w:pPr>
              <w:ind w:right="72"/>
              <w:jc w:val="both"/>
              <w:rPr>
                <w:rFonts w:ascii="Cambria" w:hAnsi="Cambria"/>
                <w:bCs/>
                <w:kern w:val="36"/>
                <w:sz w:val="20"/>
                <w:szCs w:val="20"/>
              </w:rPr>
            </w:pPr>
            <w:r w:rsidRPr="0084018B">
              <w:rPr>
                <w:rFonts w:ascii="Cambria" w:hAnsi="Cambria"/>
                <w:bCs/>
                <w:kern w:val="36"/>
                <w:sz w:val="20"/>
                <w:szCs w:val="20"/>
              </w:rPr>
              <w:t>Likewise, the State undertakes to publish the public pronouncement in two local newspapers.</w:t>
            </w:r>
          </w:p>
        </w:tc>
        <w:tc>
          <w:tcPr>
            <w:tcW w:w="1553" w:type="dxa"/>
            <w:vAlign w:val="center"/>
            <w:hideMark/>
          </w:tcPr>
          <w:p w14:paraId="512F5483" w14:textId="77777777" w:rsidR="003E5175" w:rsidRPr="0084018B" w:rsidRDefault="003E5175" w:rsidP="00534A0C">
            <w:pPr>
              <w:jc w:val="center"/>
              <w:rPr>
                <w:rFonts w:ascii="Cambria" w:hAnsi="Cambria"/>
                <w:sz w:val="20"/>
                <w:szCs w:val="20"/>
              </w:rPr>
            </w:pPr>
            <w:r w:rsidRPr="0084018B">
              <w:rPr>
                <w:rFonts w:ascii="Cambria" w:hAnsi="Cambria"/>
                <w:b/>
                <w:sz w:val="20"/>
                <w:szCs w:val="20"/>
              </w:rPr>
              <w:t>Total</w:t>
            </w:r>
            <w:r w:rsidRPr="0084018B">
              <w:rPr>
                <w:rFonts w:ascii="Cambria" w:hAnsi="Cambria"/>
                <w:sz w:val="20"/>
                <w:szCs w:val="20"/>
                <w:vertAlign w:val="superscript"/>
              </w:rPr>
              <w:footnoteReference w:id="1"/>
            </w:r>
          </w:p>
        </w:tc>
      </w:tr>
      <w:tr w:rsidR="003E5175" w:rsidRPr="0084018B" w14:paraId="6B4D1548" w14:textId="77777777" w:rsidTr="003E5175">
        <w:trPr>
          <w:trHeight w:val="530"/>
          <w:jc w:val="center"/>
        </w:trPr>
        <w:tc>
          <w:tcPr>
            <w:tcW w:w="7807" w:type="dxa"/>
          </w:tcPr>
          <w:p w14:paraId="2731744E" w14:textId="77777777" w:rsidR="003E5175" w:rsidRPr="0084018B" w:rsidRDefault="003E5175" w:rsidP="00534A0C">
            <w:pPr>
              <w:ind w:right="72"/>
              <w:jc w:val="both"/>
              <w:rPr>
                <w:rFonts w:ascii="Cambria" w:hAnsi="Cambria"/>
                <w:bCs/>
                <w:kern w:val="36"/>
                <w:sz w:val="20"/>
                <w:szCs w:val="20"/>
              </w:rPr>
            </w:pPr>
            <w:r w:rsidRPr="0084018B">
              <w:rPr>
                <w:rFonts w:ascii="Cambria" w:hAnsi="Cambria"/>
                <w:b/>
                <w:bCs/>
                <w:kern w:val="36"/>
                <w:sz w:val="20"/>
                <w:szCs w:val="20"/>
              </w:rPr>
              <w:t>b)     Investigation and punishment of the persons responsible</w:t>
            </w:r>
          </w:p>
          <w:p w14:paraId="2F478BDC" w14:textId="77777777" w:rsidR="003E5175" w:rsidRPr="0084018B" w:rsidRDefault="003E5175" w:rsidP="00534A0C">
            <w:pPr>
              <w:ind w:right="72"/>
              <w:jc w:val="both"/>
              <w:rPr>
                <w:rFonts w:ascii="Cambria" w:hAnsi="Cambria"/>
                <w:b/>
                <w:bCs/>
                <w:kern w:val="36"/>
                <w:sz w:val="20"/>
                <w:szCs w:val="20"/>
              </w:rPr>
            </w:pPr>
            <w:r w:rsidRPr="0084018B">
              <w:rPr>
                <w:rFonts w:ascii="Cambria" w:hAnsi="Cambria"/>
                <w:bCs/>
                <w:kern w:val="36"/>
                <w:sz w:val="20"/>
                <w:szCs w:val="20"/>
              </w:rPr>
              <w:t xml:space="preserve"> In addition, the State undertakes to continue the investigations until attaining the sanction of the persons responsible for those crimes, through a serious and impartial investigation according to the international human rights standards, for the purpose of avoiding their re-victimization due to lack of access to justice.</w:t>
            </w:r>
          </w:p>
        </w:tc>
        <w:tc>
          <w:tcPr>
            <w:tcW w:w="1553" w:type="dxa"/>
            <w:vAlign w:val="center"/>
          </w:tcPr>
          <w:p w14:paraId="66CD4140" w14:textId="77777777" w:rsidR="003E5175" w:rsidRPr="004664DA" w:rsidRDefault="003E5175" w:rsidP="00534A0C">
            <w:pPr>
              <w:jc w:val="center"/>
              <w:rPr>
                <w:rFonts w:ascii="Cambria" w:eastAsia="MS Mincho" w:hAnsi="Cambria"/>
                <w:color w:val="000000"/>
                <w:sz w:val="20"/>
                <w:szCs w:val="20"/>
                <w:lang w:eastAsia="es-ES_tradnl"/>
              </w:rPr>
            </w:pPr>
            <w:r w:rsidRPr="0084018B">
              <w:rPr>
                <w:rFonts w:ascii="Cambria" w:hAnsi="Cambria"/>
                <w:b/>
                <w:sz w:val="20"/>
                <w:szCs w:val="20"/>
              </w:rPr>
              <w:t>Total</w:t>
            </w:r>
            <w:r>
              <w:rPr>
                <w:rStyle w:val="FootnoteReference"/>
                <w:rFonts w:ascii="Cambria" w:hAnsi="Cambria"/>
                <w:b/>
                <w:sz w:val="20"/>
                <w:szCs w:val="20"/>
              </w:rPr>
              <w:footnoteReference w:id="2"/>
            </w:r>
          </w:p>
        </w:tc>
      </w:tr>
      <w:tr w:rsidR="003E5175" w:rsidRPr="0084018B" w14:paraId="0F494D42" w14:textId="77777777" w:rsidTr="003E5175">
        <w:trPr>
          <w:jc w:val="center"/>
        </w:trPr>
        <w:tc>
          <w:tcPr>
            <w:tcW w:w="7807" w:type="dxa"/>
            <w:vAlign w:val="center"/>
            <w:hideMark/>
          </w:tcPr>
          <w:p w14:paraId="07364D9E" w14:textId="77777777" w:rsidR="003E5175" w:rsidRPr="0084018B" w:rsidRDefault="003E5175" w:rsidP="00534A0C">
            <w:pPr>
              <w:ind w:right="-21"/>
              <w:jc w:val="both"/>
              <w:rPr>
                <w:rFonts w:ascii="Cambria" w:hAnsi="Cambria"/>
                <w:sz w:val="20"/>
                <w:szCs w:val="20"/>
              </w:rPr>
            </w:pPr>
            <w:r w:rsidRPr="0084018B">
              <w:rPr>
                <w:rFonts w:ascii="Cambria" w:hAnsi="Cambria"/>
                <w:b/>
                <w:sz w:val="20"/>
                <w:szCs w:val="20"/>
              </w:rPr>
              <w:t>FOURTH.</w:t>
            </w:r>
            <w:r w:rsidRPr="0084018B">
              <w:rPr>
                <w:rFonts w:ascii="Cambria" w:hAnsi="Cambria"/>
                <w:sz w:val="20"/>
                <w:szCs w:val="20"/>
              </w:rPr>
              <w:t xml:space="preserve"> In this regard, it should be understood that the friendly settlement process will continue until such time as the investigations and proceedings that derive from the prosecution of the persons responsible for the facts that motivated the petition have fully concluded.</w:t>
            </w:r>
          </w:p>
        </w:tc>
        <w:tc>
          <w:tcPr>
            <w:tcW w:w="1553" w:type="dxa"/>
            <w:vAlign w:val="center"/>
          </w:tcPr>
          <w:p w14:paraId="494C4D96" w14:textId="77777777" w:rsidR="003E5175" w:rsidRPr="0084018B" w:rsidRDefault="003E5175" w:rsidP="00534A0C">
            <w:pPr>
              <w:autoSpaceDE w:val="0"/>
              <w:autoSpaceDN w:val="0"/>
              <w:adjustRightInd w:val="0"/>
              <w:jc w:val="center"/>
              <w:rPr>
                <w:rFonts w:ascii="Cambria" w:hAnsi="Cambria"/>
                <w:sz w:val="20"/>
                <w:szCs w:val="20"/>
              </w:rPr>
            </w:pPr>
            <w:r w:rsidRPr="0084018B">
              <w:rPr>
                <w:rFonts w:ascii="Cambria" w:hAnsi="Cambria"/>
                <w:b/>
                <w:sz w:val="20"/>
                <w:szCs w:val="20"/>
              </w:rPr>
              <w:t>Declarative Clause</w:t>
            </w:r>
          </w:p>
        </w:tc>
      </w:tr>
      <w:tr w:rsidR="003E5175" w:rsidRPr="0084018B" w14:paraId="0DA5C9B0" w14:textId="77777777" w:rsidTr="003E5175">
        <w:trPr>
          <w:jc w:val="center"/>
        </w:trPr>
        <w:tc>
          <w:tcPr>
            <w:tcW w:w="7807" w:type="dxa"/>
            <w:vAlign w:val="center"/>
          </w:tcPr>
          <w:p w14:paraId="0A25A7AF" w14:textId="77777777" w:rsidR="003E5175" w:rsidRPr="0084018B" w:rsidRDefault="003E5175" w:rsidP="00534A0C">
            <w:pPr>
              <w:ind w:right="-21"/>
              <w:jc w:val="both"/>
              <w:rPr>
                <w:rFonts w:ascii="Cambria" w:hAnsi="Cambria"/>
                <w:bCs/>
                <w:iCs/>
                <w:sz w:val="20"/>
                <w:szCs w:val="20"/>
              </w:rPr>
            </w:pPr>
            <w:r w:rsidRPr="0084018B">
              <w:rPr>
                <w:rFonts w:ascii="Cambria" w:hAnsi="Cambria"/>
                <w:b/>
                <w:bCs/>
                <w:sz w:val="20"/>
                <w:szCs w:val="20"/>
              </w:rPr>
              <w:t xml:space="preserve">SIXTH. </w:t>
            </w:r>
            <w:r w:rsidRPr="0084018B">
              <w:rPr>
                <w:rFonts w:ascii="Cambria" w:hAnsi="Cambria"/>
                <w:bCs/>
                <w:sz w:val="20"/>
                <w:szCs w:val="20"/>
              </w:rPr>
              <w:t xml:space="preserve">Material injury. In general, to establish the actions or amounts of reparation, one takes as a reference the impact on the life, integrity, liberty, public image, and life project. </w:t>
            </w:r>
            <w:r w:rsidRPr="0084018B">
              <w:rPr>
                <w:rFonts w:ascii="Cambria" w:hAnsi="Cambria"/>
                <w:bCs/>
                <w:iCs/>
                <w:sz w:val="20"/>
                <w:szCs w:val="20"/>
              </w:rPr>
              <w:t>The amounts assigned below are those agreed upon by the parties, and shall be distributed as per the following categories:</w:t>
            </w:r>
          </w:p>
          <w:p w14:paraId="619E9BB8" w14:textId="77777777" w:rsidR="003E5175" w:rsidRPr="0084018B" w:rsidRDefault="003E5175" w:rsidP="00534A0C">
            <w:pPr>
              <w:ind w:right="-21"/>
              <w:jc w:val="both"/>
              <w:rPr>
                <w:rFonts w:ascii="Cambria" w:hAnsi="Cambria"/>
                <w:bCs/>
                <w:iCs/>
                <w:sz w:val="20"/>
                <w:szCs w:val="20"/>
              </w:rPr>
            </w:pPr>
          </w:p>
          <w:tbl>
            <w:tblPr>
              <w:tblpPr w:leftFromText="180" w:rightFromText="180" w:vertAnchor="text" w:horzAnchor="margin" w:tblpX="-30" w:tblpY="-187"/>
              <w:tblOverlap w:val="never"/>
              <w:tblW w:w="46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70"/>
              <w:gridCol w:w="1350"/>
              <w:gridCol w:w="2190"/>
            </w:tblGrid>
            <w:tr w:rsidR="003E5175" w:rsidRPr="0084018B" w14:paraId="26E4E565" w14:textId="77777777" w:rsidTr="00534A0C">
              <w:trPr>
                <w:trHeight w:val="234"/>
              </w:trPr>
              <w:tc>
                <w:tcPr>
                  <w:tcW w:w="1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C8D60F" w14:textId="77777777" w:rsidR="003E5175" w:rsidRPr="0084018B" w:rsidRDefault="003E5175" w:rsidP="00534A0C">
                  <w:pPr>
                    <w:jc w:val="center"/>
                    <w:rPr>
                      <w:rFonts w:ascii="Cambria" w:hAnsi="Cambria"/>
                      <w:sz w:val="18"/>
                      <w:szCs w:val="18"/>
                    </w:rPr>
                  </w:pPr>
                  <w:r w:rsidRPr="0084018B">
                    <w:rPr>
                      <w:rFonts w:ascii="Cambria" w:hAnsi="Cambria"/>
                      <w:b/>
                      <w:bCs/>
                      <w:sz w:val="18"/>
                      <w:szCs w:val="18"/>
                    </w:rPr>
                    <w:lastRenderedPageBreak/>
                    <w:t>Beneficiary</w:t>
                  </w:r>
                </w:p>
              </w:tc>
              <w:tc>
                <w:tcPr>
                  <w:tcW w:w="1350"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5FC8CCB9" w14:textId="77777777" w:rsidR="003E5175" w:rsidRPr="0084018B" w:rsidRDefault="003E5175" w:rsidP="00534A0C">
                  <w:pPr>
                    <w:jc w:val="center"/>
                    <w:rPr>
                      <w:rFonts w:ascii="Cambria" w:hAnsi="Cambria"/>
                      <w:sz w:val="18"/>
                      <w:szCs w:val="18"/>
                    </w:rPr>
                  </w:pPr>
                  <w:r w:rsidRPr="0084018B">
                    <w:rPr>
                      <w:rFonts w:ascii="Cambria" w:hAnsi="Cambria"/>
                      <w:b/>
                      <w:bCs/>
                      <w:sz w:val="18"/>
                      <w:szCs w:val="18"/>
                    </w:rPr>
                    <w:t>For</w:t>
                  </w:r>
                </w:p>
              </w:tc>
              <w:tc>
                <w:tcPr>
                  <w:tcW w:w="2190"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3562B5CA" w14:textId="77777777" w:rsidR="003E5175" w:rsidRPr="0084018B" w:rsidRDefault="003E5175" w:rsidP="00534A0C">
                  <w:pPr>
                    <w:jc w:val="center"/>
                    <w:rPr>
                      <w:rFonts w:ascii="Cambria" w:hAnsi="Cambria"/>
                      <w:sz w:val="18"/>
                      <w:szCs w:val="18"/>
                    </w:rPr>
                  </w:pPr>
                  <w:r w:rsidRPr="0084018B">
                    <w:rPr>
                      <w:rFonts w:ascii="Cambria" w:hAnsi="Cambria"/>
                      <w:b/>
                      <w:bCs/>
                      <w:sz w:val="18"/>
                      <w:szCs w:val="18"/>
                    </w:rPr>
                    <w:t>Amount</w:t>
                  </w:r>
                </w:p>
              </w:tc>
            </w:tr>
            <w:tr w:rsidR="003E5175" w:rsidRPr="0084018B" w14:paraId="3C6058C5" w14:textId="77777777" w:rsidTr="00534A0C">
              <w:trPr>
                <w:trHeight w:val="234"/>
              </w:trPr>
              <w:tc>
                <w:tcPr>
                  <w:tcW w:w="1070" w:type="dxa"/>
                  <w:vMerge w:val="restart"/>
                  <w:tcBorders>
                    <w:left w:val="single" w:sz="8" w:space="0" w:color="auto"/>
                    <w:bottom w:val="single" w:sz="8" w:space="0" w:color="auto"/>
                    <w:right w:val="single" w:sz="8" w:space="0" w:color="auto"/>
                  </w:tcBorders>
                  <w:tcMar>
                    <w:top w:w="0" w:type="dxa"/>
                    <w:left w:w="108" w:type="dxa"/>
                    <w:bottom w:w="0" w:type="dxa"/>
                    <w:right w:w="108" w:type="dxa"/>
                  </w:tcMar>
                  <w:hideMark/>
                </w:tcPr>
                <w:p w14:paraId="36411375" w14:textId="77777777" w:rsidR="003E5175" w:rsidRPr="0084018B" w:rsidRDefault="003E5175" w:rsidP="00534A0C">
                  <w:pPr>
                    <w:ind w:left="72"/>
                    <w:jc w:val="both"/>
                    <w:rPr>
                      <w:rFonts w:ascii="Cambria" w:hAnsi="Cambria"/>
                      <w:sz w:val="18"/>
                      <w:szCs w:val="18"/>
                    </w:rPr>
                  </w:pPr>
                  <w:r w:rsidRPr="0084018B">
                    <w:rPr>
                      <w:rFonts w:ascii="Cambria" w:hAnsi="Cambria"/>
                      <w:sz w:val="18"/>
                      <w:szCs w:val="18"/>
                    </w:rPr>
                    <w:t>1. Penagos Roblero family*</w:t>
                  </w:r>
                </w:p>
              </w:tc>
              <w:tc>
                <w:tcPr>
                  <w:tcW w:w="1350" w:type="dxa"/>
                  <w:tcBorders>
                    <w:bottom w:val="single" w:sz="8" w:space="0" w:color="auto"/>
                    <w:right w:val="single" w:sz="8" w:space="0" w:color="auto"/>
                  </w:tcBorders>
                  <w:tcMar>
                    <w:top w:w="0" w:type="dxa"/>
                    <w:left w:w="108" w:type="dxa"/>
                    <w:bottom w:w="0" w:type="dxa"/>
                    <w:right w:w="108" w:type="dxa"/>
                  </w:tcMar>
                  <w:hideMark/>
                </w:tcPr>
                <w:p w14:paraId="79943915" w14:textId="77777777" w:rsidR="003E5175" w:rsidRPr="0084018B" w:rsidRDefault="003E5175" w:rsidP="00534A0C">
                  <w:pPr>
                    <w:ind w:left="84"/>
                    <w:jc w:val="both"/>
                    <w:rPr>
                      <w:rFonts w:ascii="Cambria" w:hAnsi="Cambria"/>
                      <w:sz w:val="18"/>
                      <w:szCs w:val="18"/>
                    </w:rPr>
                  </w:pPr>
                  <w:r w:rsidRPr="0084018B">
                    <w:rPr>
                      <w:rFonts w:ascii="Cambria" w:hAnsi="Cambria"/>
                      <w:sz w:val="18"/>
                      <w:szCs w:val="18"/>
                    </w:rPr>
                    <w:t xml:space="preserve">Consequential damages </w:t>
                  </w:r>
                </w:p>
              </w:tc>
              <w:tc>
                <w:tcPr>
                  <w:tcW w:w="2190" w:type="dxa"/>
                  <w:tcBorders>
                    <w:bottom w:val="single" w:sz="8" w:space="0" w:color="auto"/>
                    <w:right w:val="single" w:sz="8" w:space="0" w:color="auto"/>
                  </w:tcBorders>
                  <w:tcMar>
                    <w:top w:w="0" w:type="dxa"/>
                    <w:left w:w="108" w:type="dxa"/>
                    <w:bottom w:w="0" w:type="dxa"/>
                    <w:right w:w="108" w:type="dxa"/>
                  </w:tcMar>
                  <w:hideMark/>
                </w:tcPr>
                <w:p w14:paraId="465EC2B4" w14:textId="77777777" w:rsidR="003E5175" w:rsidRPr="0084018B" w:rsidRDefault="003E5175" w:rsidP="00534A0C">
                  <w:pPr>
                    <w:ind w:right="72"/>
                    <w:jc w:val="both"/>
                    <w:rPr>
                      <w:rFonts w:ascii="Cambria" w:hAnsi="Cambria"/>
                      <w:sz w:val="18"/>
                      <w:szCs w:val="18"/>
                    </w:rPr>
                  </w:pPr>
                  <w:r w:rsidRPr="0084018B">
                    <w:rPr>
                      <w:rFonts w:ascii="Cambria" w:hAnsi="Cambria"/>
                      <w:sz w:val="18"/>
                      <w:szCs w:val="18"/>
                    </w:rPr>
                    <w:t>$ 52,548.00 MN</w:t>
                  </w:r>
                </w:p>
              </w:tc>
            </w:tr>
            <w:tr w:rsidR="003E5175" w:rsidRPr="0084018B" w14:paraId="73A7A7D7" w14:textId="77777777" w:rsidTr="00534A0C">
              <w:trPr>
                <w:trHeight w:val="234"/>
              </w:trPr>
              <w:tc>
                <w:tcPr>
                  <w:tcW w:w="1070" w:type="dxa"/>
                  <w:vMerge/>
                  <w:tcBorders>
                    <w:left w:val="single" w:sz="8" w:space="0" w:color="auto"/>
                    <w:bottom w:val="single" w:sz="8" w:space="0" w:color="auto"/>
                    <w:right w:val="single" w:sz="8" w:space="0" w:color="auto"/>
                  </w:tcBorders>
                  <w:vAlign w:val="center"/>
                  <w:hideMark/>
                </w:tcPr>
                <w:p w14:paraId="573A4E30" w14:textId="77777777" w:rsidR="003E5175" w:rsidRPr="0084018B" w:rsidRDefault="003E5175" w:rsidP="00534A0C">
                  <w:pPr>
                    <w:rPr>
                      <w:rFonts w:ascii="Cambria" w:hAnsi="Cambria"/>
                      <w:sz w:val="18"/>
                      <w:szCs w:val="18"/>
                    </w:rPr>
                  </w:pPr>
                </w:p>
              </w:tc>
              <w:tc>
                <w:tcPr>
                  <w:tcW w:w="1350" w:type="dxa"/>
                  <w:tcBorders>
                    <w:bottom w:val="single" w:sz="8" w:space="0" w:color="auto"/>
                    <w:right w:val="single" w:sz="8" w:space="0" w:color="auto"/>
                  </w:tcBorders>
                  <w:tcMar>
                    <w:top w:w="0" w:type="dxa"/>
                    <w:left w:w="108" w:type="dxa"/>
                    <w:bottom w:w="0" w:type="dxa"/>
                    <w:right w:w="108" w:type="dxa"/>
                  </w:tcMar>
                  <w:hideMark/>
                </w:tcPr>
                <w:p w14:paraId="72D6725B" w14:textId="77777777" w:rsidR="003E5175" w:rsidRPr="0084018B" w:rsidRDefault="003E5175" w:rsidP="00534A0C">
                  <w:pPr>
                    <w:ind w:left="84"/>
                    <w:jc w:val="both"/>
                    <w:rPr>
                      <w:rFonts w:ascii="Cambria" w:hAnsi="Cambria"/>
                      <w:sz w:val="18"/>
                      <w:szCs w:val="18"/>
                    </w:rPr>
                  </w:pPr>
                  <w:r w:rsidRPr="0084018B">
                    <w:rPr>
                      <w:rFonts w:ascii="Cambria" w:hAnsi="Cambria"/>
                      <w:sz w:val="18"/>
                      <w:szCs w:val="18"/>
                    </w:rPr>
                    <w:t>Loss of earnings</w:t>
                  </w:r>
                </w:p>
              </w:tc>
              <w:tc>
                <w:tcPr>
                  <w:tcW w:w="2190" w:type="dxa"/>
                  <w:tcBorders>
                    <w:bottom w:val="single" w:sz="8" w:space="0" w:color="auto"/>
                    <w:right w:val="single" w:sz="8" w:space="0" w:color="auto"/>
                  </w:tcBorders>
                  <w:tcMar>
                    <w:top w:w="0" w:type="dxa"/>
                    <w:left w:w="108" w:type="dxa"/>
                    <w:bottom w:w="0" w:type="dxa"/>
                    <w:right w:w="108" w:type="dxa"/>
                  </w:tcMar>
                  <w:hideMark/>
                </w:tcPr>
                <w:p w14:paraId="27EE14FB" w14:textId="77777777" w:rsidR="003E5175" w:rsidRPr="0084018B" w:rsidRDefault="003E5175" w:rsidP="00534A0C">
                  <w:pPr>
                    <w:jc w:val="both"/>
                    <w:rPr>
                      <w:rFonts w:ascii="Cambria" w:hAnsi="Cambria"/>
                      <w:sz w:val="18"/>
                      <w:szCs w:val="18"/>
                    </w:rPr>
                  </w:pPr>
                  <w:r w:rsidRPr="0084018B">
                    <w:rPr>
                      <w:rFonts w:ascii="Cambria" w:hAnsi="Cambria"/>
                      <w:sz w:val="18"/>
                      <w:szCs w:val="18"/>
                    </w:rPr>
                    <w:t>$ 105,354.00 MN</w:t>
                  </w:r>
                </w:p>
              </w:tc>
            </w:tr>
            <w:tr w:rsidR="003E5175" w:rsidRPr="0084018B" w14:paraId="37F8F4EB" w14:textId="77777777" w:rsidTr="00534A0C">
              <w:trPr>
                <w:trHeight w:val="234"/>
              </w:trPr>
              <w:tc>
                <w:tcPr>
                  <w:tcW w:w="1070" w:type="dxa"/>
                  <w:vMerge/>
                  <w:tcBorders>
                    <w:left w:val="single" w:sz="8" w:space="0" w:color="auto"/>
                    <w:bottom w:val="single" w:sz="8" w:space="0" w:color="auto"/>
                    <w:right w:val="single" w:sz="8" w:space="0" w:color="auto"/>
                  </w:tcBorders>
                  <w:vAlign w:val="center"/>
                  <w:hideMark/>
                </w:tcPr>
                <w:p w14:paraId="01DEC7F7" w14:textId="77777777" w:rsidR="003E5175" w:rsidRPr="0084018B" w:rsidRDefault="003E5175" w:rsidP="00534A0C">
                  <w:pPr>
                    <w:rPr>
                      <w:rFonts w:ascii="Cambria" w:hAnsi="Cambria"/>
                      <w:sz w:val="18"/>
                      <w:szCs w:val="18"/>
                    </w:rPr>
                  </w:pPr>
                </w:p>
              </w:tc>
              <w:tc>
                <w:tcPr>
                  <w:tcW w:w="1350" w:type="dxa"/>
                  <w:tcBorders>
                    <w:bottom w:val="single" w:sz="8" w:space="0" w:color="auto"/>
                    <w:right w:val="single" w:sz="8" w:space="0" w:color="auto"/>
                  </w:tcBorders>
                  <w:tcMar>
                    <w:top w:w="0" w:type="dxa"/>
                    <w:left w:w="108" w:type="dxa"/>
                    <w:bottom w:w="0" w:type="dxa"/>
                    <w:right w:w="108" w:type="dxa"/>
                  </w:tcMar>
                  <w:hideMark/>
                </w:tcPr>
                <w:p w14:paraId="5AA9EEB9" w14:textId="77777777" w:rsidR="003E5175" w:rsidRPr="0084018B" w:rsidRDefault="003E5175" w:rsidP="00534A0C">
                  <w:pPr>
                    <w:ind w:left="84"/>
                    <w:jc w:val="both"/>
                    <w:rPr>
                      <w:rFonts w:ascii="Cambria" w:hAnsi="Cambria"/>
                      <w:sz w:val="18"/>
                      <w:szCs w:val="18"/>
                    </w:rPr>
                  </w:pPr>
                  <w:r w:rsidRPr="0084018B">
                    <w:rPr>
                      <w:rFonts w:ascii="Cambria" w:hAnsi="Cambria"/>
                      <w:bCs/>
                      <w:sz w:val="18"/>
                      <w:szCs w:val="18"/>
                    </w:rPr>
                    <w:t>SUBTOTAL</w:t>
                  </w:r>
                </w:p>
              </w:tc>
              <w:tc>
                <w:tcPr>
                  <w:tcW w:w="2190" w:type="dxa"/>
                  <w:tcBorders>
                    <w:bottom w:val="single" w:sz="8" w:space="0" w:color="auto"/>
                    <w:right w:val="single" w:sz="8" w:space="0" w:color="auto"/>
                  </w:tcBorders>
                  <w:tcMar>
                    <w:top w:w="0" w:type="dxa"/>
                    <w:left w:w="108" w:type="dxa"/>
                    <w:bottom w:w="0" w:type="dxa"/>
                    <w:right w:w="108" w:type="dxa"/>
                  </w:tcMar>
                  <w:hideMark/>
                </w:tcPr>
                <w:p w14:paraId="44381E8E" w14:textId="77777777" w:rsidR="003E5175" w:rsidRPr="0084018B" w:rsidRDefault="003E5175" w:rsidP="00534A0C">
                  <w:pPr>
                    <w:jc w:val="both"/>
                    <w:rPr>
                      <w:rFonts w:ascii="Cambria" w:hAnsi="Cambria"/>
                      <w:sz w:val="18"/>
                      <w:szCs w:val="18"/>
                    </w:rPr>
                  </w:pPr>
                  <w:r w:rsidRPr="0084018B">
                    <w:rPr>
                      <w:rFonts w:ascii="Cambria" w:hAnsi="Cambria"/>
                      <w:bCs/>
                      <w:sz w:val="18"/>
                      <w:szCs w:val="18"/>
                    </w:rPr>
                    <w:t>$ 157,902.00 MN</w:t>
                  </w:r>
                </w:p>
              </w:tc>
            </w:tr>
            <w:tr w:rsidR="003E5175" w:rsidRPr="0084018B" w14:paraId="7B906D8A" w14:textId="77777777" w:rsidTr="00534A0C">
              <w:trPr>
                <w:trHeight w:val="234"/>
              </w:trPr>
              <w:tc>
                <w:tcPr>
                  <w:tcW w:w="1070" w:type="dxa"/>
                  <w:vMerge w:val="restart"/>
                  <w:tcBorders>
                    <w:left w:val="single" w:sz="8" w:space="0" w:color="auto"/>
                    <w:bottom w:val="single" w:sz="8" w:space="0" w:color="auto"/>
                    <w:right w:val="single" w:sz="8" w:space="0" w:color="auto"/>
                  </w:tcBorders>
                  <w:tcMar>
                    <w:top w:w="0" w:type="dxa"/>
                    <w:left w:w="108" w:type="dxa"/>
                    <w:bottom w:w="0" w:type="dxa"/>
                    <w:right w:w="108" w:type="dxa"/>
                  </w:tcMar>
                  <w:hideMark/>
                </w:tcPr>
                <w:p w14:paraId="64D8B236" w14:textId="77777777" w:rsidR="003E5175" w:rsidRPr="0084018B" w:rsidRDefault="003E5175" w:rsidP="00534A0C">
                  <w:pPr>
                    <w:ind w:left="72"/>
                    <w:jc w:val="both"/>
                    <w:rPr>
                      <w:rFonts w:ascii="Cambria" w:hAnsi="Cambria"/>
                      <w:sz w:val="18"/>
                      <w:szCs w:val="18"/>
                    </w:rPr>
                  </w:pPr>
                  <w:r w:rsidRPr="0084018B">
                    <w:rPr>
                      <w:rFonts w:ascii="Cambria" w:hAnsi="Cambria"/>
                      <w:sz w:val="18"/>
                      <w:szCs w:val="18"/>
                    </w:rPr>
                    <w:t>2. Julieta Flores Castillo</w:t>
                  </w:r>
                </w:p>
              </w:tc>
              <w:tc>
                <w:tcPr>
                  <w:tcW w:w="1350" w:type="dxa"/>
                  <w:tcBorders>
                    <w:bottom w:val="single" w:sz="8" w:space="0" w:color="auto"/>
                    <w:right w:val="single" w:sz="8" w:space="0" w:color="auto"/>
                  </w:tcBorders>
                  <w:tcMar>
                    <w:top w:w="0" w:type="dxa"/>
                    <w:left w:w="108" w:type="dxa"/>
                    <w:bottom w:w="0" w:type="dxa"/>
                    <w:right w:w="108" w:type="dxa"/>
                  </w:tcMar>
                  <w:hideMark/>
                </w:tcPr>
                <w:p w14:paraId="6839AF76" w14:textId="77777777" w:rsidR="003E5175" w:rsidRPr="0084018B" w:rsidRDefault="003E5175" w:rsidP="00534A0C">
                  <w:pPr>
                    <w:ind w:left="84"/>
                    <w:jc w:val="both"/>
                    <w:rPr>
                      <w:rFonts w:ascii="Cambria" w:hAnsi="Cambria"/>
                      <w:sz w:val="18"/>
                      <w:szCs w:val="18"/>
                    </w:rPr>
                  </w:pPr>
                  <w:r w:rsidRPr="0084018B">
                    <w:rPr>
                      <w:rFonts w:ascii="Cambria" w:hAnsi="Cambria"/>
                      <w:sz w:val="18"/>
                      <w:szCs w:val="18"/>
                    </w:rPr>
                    <w:t xml:space="preserve">Consequential damages </w:t>
                  </w:r>
                </w:p>
              </w:tc>
              <w:tc>
                <w:tcPr>
                  <w:tcW w:w="2190" w:type="dxa"/>
                  <w:tcBorders>
                    <w:bottom w:val="single" w:sz="8" w:space="0" w:color="auto"/>
                    <w:right w:val="single" w:sz="8" w:space="0" w:color="auto"/>
                  </w:tcBorders>
                  <w:tcMar>
                    <w:top w:w="0" w:type="dxa"/>
                    <w:left w:w="108" w:type="dxa"/>
                    <w:bottom w:w="0" w:type="dxa"/>
                    <w:right w:w="108" w:type="dxa"/>
                  </w:tcMar>
                  <w:hideMark/>
                </w:tcPr>
                <w:p w14:paraId="080D26A6" w14:textId="77777777" w:rsidR="003E5175" w:rsidRPr="0084018B" w:rsidRDefault="003E5175" w:rsidP="00534A0C">
                  <w:pPr>
                    <w:jc w:val="both"/>
                    <w:rPr>
                      <w:rFonts w:ascii="Cambria" w:hAnsi="Cambria"/>
                      <w:sz w:val="18"/>
                      <w:szCs w:val="18"/>
                    </w:rPr>
                  </w:pPr>
                  <w:r w:rsidRPr="0084018B">
                    <w:rPr>
                      <w:rFonts w:ascii="Cambria" w:hAnsi="Cambria"/>
                      <w:sz w:val="18"/>
                      <w:szCs w:val="18"/>
                    </w:rPr>
                    <w:t>$ 52,548.00 MN</w:t>
                  </w:r>
                </w:p>
              </w:tc>
            </w:tr>
            <w:tr w:rsidR="003E5175" w:rsidRPr="0084018B" w14:paraId="7478F9BF" w14:textId="77777777" w:rsidTr="00534A0C">
              <w:trPr>
                <w:trHeight w:val="234"/>
              </w:trPr>
              <w:tc>
                <w:tcPr>
                  <w:tcW w:w="1070" w:type="dxa"/>
                  <w:vMerge/>
                  <w:tcBorders>
                    <w:left w:val="single" w:sz="8" w:space="0" w:color="auto"/>
                    <w:bottom w:val="single" w:sz="8" w:space="0" w:color="auto"/>
                    <w:right w:val="single" w:sz="8" w:space="0" w:color="auto"/>
                  </w:tcBorders>
                  <w:vAlign w:val="center"/>
                  <w:hideMark/>
                </w:tcPr>
                <w:p w14:paraId="6EC75305" w14:textId="77777777" w:rsidR="003E5175" w:rsidRPr="0084018B" w:rsidRDefault="003E5175" w:rsidP="00534A0C">
                  <w:pPr>
                    <w:rPr>
                      <w:rFonts w:ascii="Cambria" w:hAnsi="Cambria"/>
                      <w:sz w:val="18"/>
                      <w:szCs w:val="18"/>
                    </w:rPr>
                  </w:pPr>
                </w:p>
              </w:tc>
              <w:tc>
                <w:tcPr>
                  <w:tcW w:w="1350" w:type="dxa"/>
                  <w:tcBorders>
                    <w:bottom w:val="single" w:sz="8" w:space="0" w:color="auto"/>
                    <w:right w:val="single" w:sz="8" w:space="0" w:color="auto"/>
                  </w:tcBorders>
                  <w:tcMar>
                    <w:top w:w="0" w:type="dxa"/>
                    <w:left w:w="108" w:type="dxa"/>
                    <w:bottom w:w="0" w:type="dxa"/>
                    <w:right w:w="108" w:type="dxa"/>
                  </w:tcMar>
                  <w:hideMark/>
                </w:tcPr>
                <w:p w14:paraId="6FC8EBD0" w14:textId="77777777" w:rsidR="003E5175" w:rsidRPr="0084018B" w:rsidRDefault="003E5175" w:rsidP="00534A0C">
                  <w:pPr>
                    <w:ind w:left="84"/>
                    <w:jc w:val="both"/>
                    <w:rPr>
                      <w:rFonts w:ascii="Cambria" w:hAnsi="Cambria"/>
                      <w:sz w:val="18"/>
                      <w:szCs w:val="18"/>
                    </w:rPr>
                  </w:pPr>
                  <w:r w:rsidRPr="0084018B">
                    <w:rPr>
                      <w:rFonts w:ascii="Cambria" w:hAnsi="Cambria"/>
                      <w:sz w:val="18"/>
                      <w:szCs w:val="18"/>
                    </w:rPr>
                    <w:t>Loss of earnings</w:t>
                  </w:r>
                </w:p>
              </w:tc>
              <w:tc>
                <w:tcPr>
                  <w:tcW w:w="2190" w:type="dxa"/>
                  <w:tcBorders>
                    <w:bottom w:val="single" w:sz="8" w:space="0" w:color="auto"/>
                    <w:right w:val="single" w:sz="8" w:space="0" w:color="auto"/>
                  </w:tcBorders>
                  <w:tcMar>
                    <w:top w:w="0" w:type="dxa"/>
                    <w:left w:w="108" w:type="dxa"/>
                    <w:bottom w:w="0" w:type="dxa"/>
                    <w:right w:w="108" w:type="dxa"/>
                  </w:tcMar>
                  <w:hideMark/>
                </w:tcPr>
                <w:p w14:paraId="0A0B744A" w14:textId="77777777" w:rsidR="003E5175" w:rsidRPr="0084018B" w:rsidRDefault="003E5175" w:rsidP="00534A0C">
                  <w:pPr>
                    <w:ind w:right="72"/>
                    <w:jc w:val="both"/>
                    <w:rPr>
                      <w:rFonts w:ascii="Cambria" w:hAnsi="Cambria"/>
                      <w:sz w:val="18"/>
                      <w:szCs w:val="18"/>
                    </w:rPr>
                  </w:pPr>
                  <w:r w:rsidRPr="0084018B">
                    <w:rPr>
                      <w:rFonts w:ascii="Cambria" w:hAnsi="Cambria"/>
                      <w:sz w:val="18"/>
                      <w:szCs w:val="18"/>
                    </w:rPr>
                    <w:t xml:space="preserve">$ 12,640.00 MN </w:t>
                  </w:r>
                </w:p>
              </w:tc>
            </w:tr>
            <w:tr w:rsidR="003E5175" w:rsidRPr="0084018B" w14:paraId="44829FAD" w14:textId="77777777" w:rsidTr="00534A0C">
              <w:trPr>
                <w:trHeight w:val="234"/>
              </w:trPr>
              <w:tc>
                <w:tcPr>
                  <w:tcW w:w="1070" w:type="dxa"/>
                  <w:vMerge/>
                  <w:tcBorders>
                    <w:left w:val="single" w:sz="8" w:space="0" w:color="auto"/>
                    <w:bottom w:val="single" w:sz="8" w:space="0" w:color="auto"/>
                    <w:right w:val="single" w:sz="8" w:space="0" w:color="auto"/>
                  </w:tcBorders>
                  <w:vAlign w:val="center"/>
                  <w:hideMark/>
                </w:tcPr>
                <w:p w14:paraId="6011FD6F" w14:textId="77777777" w:rsidR="003E5175" w:rsidRPr="0084018B" w:rsidRDefault="003E5175" w:rsidP="00534A0C">
                  <w:pPr>
                    <w:rPr>
                      <w:rFonts w:ascii="Cambria" w:hAnsi="Cambria"/>
                      <w:sz w:val="18"/>
                      <w:szCs w:val="18"/>
                    </w:rPr>
                  </w:pPr>
                </w:p>
              </w:tc>
              <w:tc>
                <w:tcPr>
                  <w:tcW w:w="1350" w:type="dxa"/>
                  <w:tcBorders>
                    <w:bottom w:val="single" w:sz="8" w:space="0" w:color="auto"/>
                    <w:right w:val="single" w:sz="8" w:space="0" w:color="auto"/>
                  </w:tcBorders>
                  <w:tcMar>
                    <w:top w:w="0" w:type="dxa"/>
                    <w:left w:w="108" w:type="dxa"/>
                    <w:bottom w:w="0" w:type="dxa"/>
                    <w:right w:w="108" w:type="dxa"/>
                  </w:tcMar>
                  <w:hideMark/>
                </w:tcPr>
                <w:p w14:paraId="2D347EA4" w14:textId="77777777" w:rsidR="003E5175" w:rsidRPr="0084018B" w:rsidRDefault="003E5175" w:rsidP="00534A0C">
                  <w:pPr>
                    <w:ind w:left="84"/>
                    <w:jc w:val="both"/>
                    <w:rPr>
                      <w:rFonts w:ascii="Cambria" w:hAnsi="Cambria"/>
                      <w:sz w:val="18"/>
                      <w:szCs w:val="18"/>
                    </w:rPr>
                  </w:pPr>
                  <w:r w:rsidRPr="0084018B">
                    <w:rPr>
                      <w:rFonts w:ascii="Cambria" w:hAnsi="Cambria"/>
                      <w:bCs/>
                      <w:sz w:val="18"/>
                      <w:szCs w:val="18"/>
                    </w:rPr>
                    <w:t>SUBTOTAL</w:t>
                  </w:r>
                </w:p>
              </w:tc>
              <w:tc>
                <w:tcPr>
                  <w:tcW w:w="2190" w:type="dxa"/>
                  <w:tcBorders>
                    <w:bottom w:val="single" w:sz="8" w:space="0" w:color="auto"/>
                    <w:right w:val="single" w:sz="8" w:space="0" w:color="auto"/>
                  </w:tcBorders>
                  <w:tcMar>
                    <w:top w:w="0" w:type="dxa"/>
                    <w:left w:w="108" w:type="dxa"/>
                    <w:bottom w:w="0" w:type="dxa"/>
                    <w:right w:w="108" w:type="dxa"/>
                  </w:tcMar>
                  <w:hideMark/>
                </w:tcPr>
                <w:p w14:paraId="51EB21F5" w14:textId="77777777" w:rsidR="003E5175" w:rsidRPr="0084018B" w:rsidRDefault="003E5175" w:rsidP="00534A0C">
                  <w:pPr>
                    <w:ind w:right="72"/>
                    <w:jc w:val="both"/>
                    <w:rPr>
                      <w:rFonts w:ascii="Cambria" w:hAnsi="Cambria"/>
                      <w:sz w:val="18"/>
                      <w:szCs w:val="18"/>
                    </w:rPr>
                  </w:pPr>
                  <w:r w:rsidRPr="0084018B">
                    <w:rPr>
                      <w:rFonts w:ascii="Cambria" w:hAnsi="Cambria"/>
                      <w:bCs/>
                      <w:sz w:val="18"/>
                      <w:szCs w:val="18"/>
                    </w:rPr>
                    <w:t>$ 65,187.00 MN</w:t>
                  </w:r>
                </w:p>
              </w:tc>
            </w:tr>
            <w:tr w:rsidR="003E5175" w:rsidRPr="0084018B" w14:paraId="26843DDD" w14:textId="77777777" w:rsidTr="00534A0C">
              <w:trPr>
                <w:trHeight w:val="234"/>
              </w:trPr>
              <w:tc>
                <w:tcPr>
                  <w:tcW w:w="1070" w:type="dxa"/>
                  <w:vMerge w:val="restart"/>
                  <w:tcBorders>
                    <w:left w:val="single" w:sz="8" w:space="0" w:color="auto"/>
                    <w:bottom w:val="single" w:sz="8" w:space="0" w:color="auto"/>
                    <w:right w:val="single" w:sz="8" w:space="0" w:color="auto"/>
                  </w:tcBorders>
                  <w:tcMar>
                    <w:top w:w="0" w:type="dxa"/>
                    <w:left w:w="108" w:type="dxa"/>
                    <w:bottom w:w="0" w:type="dxa"/>
                    <w:right w:w="108" w:type="dxa"/>
                  </w:tcMar>
                  <w:hideMark/>
                </w:tcPr>
                <w:p w14:paraId="62348A5C" w14:textId="77777777" w:rsidR="003E5175" w:rsidRPr="0084018B" w:rsidRDefault="003E5175" w:rsidP="00534A0C">
                  <w:pPr>
                    <w:ind w:left="72"/>
                    <w:jc w:val="both"/>
                    <w:rPr>
                      <w:rFonts w:ascii="Cambria" w:hAnsi="Cambria"/>
                      <w:sz w:val="18"/>
                      <w:szCs w:val="18"/>
                    </w:rPr>
                  </w:pPr>
                  <w:r w:rsidRPr="0084018B">
                    <w:rPr>
                      <w:rFonts w:ascii="Cambria" w:hAnsi="Cambria"/>
                      <w:sz w:val="18"/>
                      <w:szCs w:val="18"/>
                    </w:rPr>
                    <w:t>3. Enrique Flores González</w:t>
                  </w:r>
                </w:p>
              </w:tc>
              <w:tc>
                <w:tcPr>
                  <w:tcW w:w="1350" w:type="dxa"/>
                  <w:tcBorders>
                    <w:bottom w:val="single" w:sz="8" w:space="0" w:color="auto"/>
                    <w:right w:val="single" w:sz="8" w:space="0" w:color="auto"/>
                  </w:tcBorders>
                  <w:tcMar>
                    <w:top w:w="0" w:type="dxa"/>
                    <w:left w:w="108" w:type="dxa"/>
                    <w:bottom w:w="0" w:type="dxa"/>
                    <w:right w:w="108" w:type="dxa"/>
                  </w:tcMar>
                  <w:hideMark/>
                </w:tcPr>
                <w:p w14:paraId="14ACD573" w14:textId="77777777" w:rsidR="003E5175" w:rsidRPr="0084018B" w:rsidRDefault="003E5175" w:rsidP="00534A0C">
                  <w:pPr>
                    <w:ind w:left="84"/>
                    <w:jc w:val="both"/>
                    <w:rPr>
                      <w:rFonts w:ascii="Cambria" w:hAnsi="Cambria"/>
                      <w:sz w:val="18"/>
                      <w:szCs w:val="18"/>
                    </w:rPr>
                  </w:pPr>
                  <w:r w:rsidRPr="0084018B">
                    <w:rPr>
                      <w:rFonts w:ascii="Cambria" w:hAnsi="Cambria"/>
                      <w:sz w:val="18"/>
                      <w:szCs w:val="18"/>
                    </w:rPr>
                    <w:t xml:space="preserve">Consequential damages </w:t>
                  </w:r>
                </w:p>
              </w:tc>
              <w:tc>
                <w:tcPr>
                  <w:tcW w:w="2190" w:type="dxa"/>
                  <w:tcBorders>
                    <w:bottom w:val="single" w:sz="8" w:space="0" w:color="auto"/>
                    <w:right w:val="single" w:sz="8" w:space="0" w:color="auto"/>
                  </w:tcBorders>
                  <w:tcMar>
                    <w:top w:w="0" w:type="dxa"/>
                    <w:left w:w="108" w:type="dxa"/>
                    <w:bottom w:w="0" w:type="dxa"/>
                    <w:right w:w="108" w:type="dxa"/>
                  </w:tcMar>
                  <w:hideMark/>
                </w:tcPr>
                <w:p w14:paraId="45855114" w14:textId="77777777" w:rsidR="003E5175" w:rsidRPr="0084018B" w:rsidRDefault="003E5175" w:rsidP="00534A0C">
                  <w:pPr>
                    <w:ind w:right="72"/>
                    <w:jc w:val="both"/>
                    <w:rPr>
                      <w:rFonts w:ascii="Cambria" w:hAnsi="Cambria"/>
                      <w:sz w:val="18"/>
                      <w:szCs w:val="18"/>
                    </w:rPr>
                  </w:pPr>
                  <w:r w:rsidRPr="0084018B">
                    <w:rPr>
                      <w:rFonts w:ascii="Cambria" w:hAnsi="Cambria"/>
                      <w:sz w:val="18"/>
                      <w:szCs w:val="18"/>
                    </w:rPr>
                    <w:t>$ 52,548.00 MN</w:t>
                  </w:r>
                </w:p>
              </w:tc>
            </w:tr>
            <w:tr w:rsidR="003E5175" w:rsidRPr="0084018B" w14:paraId="4A49DD27" w14:textId="77777777" w:rsidTr="00534A0C">
              <w:trPr>
                <w:trHeight w:val="234"/>
              </w:trPr>
              <w:tc>
                <w:tcPr>
                  <w:tcW w:w="1070" w:type="dxa"/>
                  <w:vMerge/>
                  <w:tcBorders>
                    <w:left w:val="single" w:sz="8" w:space="0" w:color="auto"/>
                    <w:bottom w:val="single" w:sz="8" w:space="0" w:color="auto"/>
                    <w:right w:val="single" w:sz="8" w:space="0" w:color="auto"/>
                  </w:tcBorders>
                  <w:vAlign w:val="center"/>
                  <w:hideMark/>
                </w:tcPr>
                <w:p w14:paraId="3A4619B5" w14:textId="77777777" w:rsidR="003E5175" w:rsidRPr="0084018B" w:rsidRDefault="003E5175" w:rsidP="00534A0C">
                  <w:pPr>
                    <w:rPr>
                      <w:rFonts w:ascii="Cambria" w:hAnsi="Cambria"/>
                      <w:sz w:val="18"/>
                      <w:szCs w:val="18"/>
                    </w:rPr>
                  </w:pPr>
                </w:p>
              </w:tc>
              <w:tc>
                <w:tcPr>
                  <w:tcW w:w="1350" w:type="dxa"/>
                  <w:tcBorders>
                    <w:bottom w:val="single" w:sz="8" w:space="0" w:color="auto"/>
                    <w:right w:val="single" w:sz="8" w:space="0" w:color="auto"/>
                  </w:tcBorders>
                  <w:tcMar>
                    <w:top w:w="0" w:type="dxa"/>
                    <w:left w:w="108" w:type="dxa"/>
                    <w:bottom w:w="0" w:type="dxa"/>
                    <w:right w:w="108" w:type="dxa"/>
                  </w:tcMar>
                  <w:hideMark/>
                </w:tcPr>
                <w:p w14:paraId="2E55071A" w14:textId="77777777" w:rsidR="003E5175" w:rsidRPr="0084018B" w:rsidRDefault="003E5175" w:rsidP="00534A0C">
                  <w:pPr>
                    <w:ind w:left="84"/>
                    <w:jc w:val="both"/>
                    <w:rPr>
                      <w:rFonts w:ascii="Cambria" w:hAnsi="Cambria"/>
                      <w:sz w:val="18"/>
                      <w:szCs w:val="18"/>
                    </w:rPr>
                  </w:pPr>
                  <w:r w:rsidRPr="0084018B">
                    <w:rPr>
                      <w:rFonts w:ascii="Cambria" w:hAnsi="Cambria"/>
                      <w:sz w:val="18"/>
                      <w:szCs w:val="18"/>
                    </w:rPr>
                    <w:t>Loss of earnings</w:t>
                  </w:r>
                </w:p>
              </w:tc>
              <w:tc>
                <w:tcPr>
                  <w:tcW w:w="2190" w:type="dxa"/>
                  <w:tcBorders>
                    <w:bottom w:val="single" w:sz="8" w:space="0" w:color="auto"/>
                    <w:right w:val="single" w:sz="8" w:space="0" w:color="auto"/>
                  </w:tcBorders>
                  <w:tcMar>
                    <w:top w:w="0" w:type="dxa"/>
                    <w:left w:w="108" w:type="dxa"/>
                    <w:bottom w:w="0" w:type="dxa"/>
                    <w:right w:w="108" w:type="dxa"/>
                  </w:tcMar>
                  <w:hideMark/>
                </w:tcPr>
                <w:p w14:paraId="0EFE3BD4" w14:textId="77777777" w:rsidR="003E5175" w:rsidRPr="0084018B" w:rsidRDefault="003E5175" w:rsidP="00534A0C">
                  <w:pPr>
                    <w:jc w:val="both"/>
                    <w:rPr>
                      <w:rFonts w:ascii="Cambria" w:hAnsi="Cambria"/>
                      <w:sz w:val="18"/>
                      <w:szCs w:val="18"/>
                    </w:rPr>
                  </w:pPr>
                  <w:r w:rsidRPr="0084018B">
                    <w:rPr>
                      <w:rFonts w:ascii="Cambria" w:hAnsi="Cambria"/>
                      <w:sz w:val="18"/>
                      <w:szCs w:val="18"/>
                    </w:rPr>
                    <w:t xml:space="preserve">$ 12,640.00 MN </w:t>
                  </w:r>
                </w:p>
              </w:tc>
            </w:tr>
            <w:tr w:rsidR="003E5175" w:rsidRPr="0084018B" w14:paraId="6ED9E5CA" w14:textId="77777777" w:rsidTr="00534A0C">
              <w:trPr>
                <w:trHeight w:val="234"/>
              </w:trPr>
              <w:tc>
                <w:tcPr>
                  <w:tcW w:w="1070" w:type="dxa"/>
                  <w:vMerge/>
                  <w:tcBorders>
                    <w:left w:val="single" w:sz="8" w:space="0" w:color="auto"/>
                    <w:bottom w:val="single" w:sz="8" w:space="0" w:color="auto"/>
                    <w:right w:val="single" w:sz="8" w:space="0" w:color="auto"/>
                  </w:tcBorders>
                  <w:vAlign w:val="center"/>
                  <w:hideMark/>
                </w:tcPr>
                <w:p w14:paraId="0EB5F04C" w14:textId="77777777" w:rsidR="003E5175" w:rsidRPr="0084018B" w:rsidRDefault="003E5175" w:rsidP="00534A0C">
                  <w:pPr>
                    <w:rPr>
                      <w:rFonts w:ascii="Cambria" w:hAnsi="Cambria"/>
                      <w:sz w:val="18"/>
                      <w:szCs w:val="18"/>
                    </w:rPr>
                  </w:pPr>
                </w:p>
              </w:tc>
              <w:tc>
                <w:tcPr>
                  <w:tcW w:w="1350" w:type="dxa"/>
                  <w:tcBorders>
                    <w:bottom w:val="single" w:sz="8" w:space="0" w:color="auto"/>
                    <w:right w:val="single" w:sz="8" w:space="0" w:color="auto"/>
                  </w:tcBorders>
                  <w:tcMar>
                    <w:top w:w="0" w:type="dxa"/>
                    <w:left w:w="108" w:type="dxa"/>
                    <w:bottom w:w="0" w:type="dxa"/>
                    <w:right w:w="108" w:type="dxa"/>
                  </w:tcMar>
                  <w:hideMark/>
                </w:tcPr>
                <w:p w14:paraId="74D03FE4" w14:textId="77777777" w:rsidR="003E5175" w:rsidRPr="0084018B" w:rsidRDefault="003E5175" w:rsidP="00534A0C">
                  <w:pPr>
                    <w:ind w:left="84"/>
                    <w:jc w:val="both"/>
                    <w:rPr>
                      <w:rFonts w:ascii="Cambria" w:hAnsi="Cambria"/>
                      <w:sz w:val="18"/>
                      <w:szCs w:val="18"/>
                    </w:rPr>
                  </w:pPr>
                  <w:r w:rsidRPr="0084018B">
                    <w:rPr>
                      <w:rFonts w:ascii="Cambria" w:hAnsi="Cambria"/>
                      <w:bCs/>
                      <w:sz w:val="18"/>
                      <w:szCs w:val="18"/>
                    </w:rPr>
                    <w:t>SUBTOTAL</w:t>
                  </w:r>
                </w:p>
              </w:tc>
              <w:tc>
                <w:tcPr>
                  <w:tcW w:w="2190" w:type="dxa"/>
                  <w:tcBorders>
                    <w:bottom w:val="single" w:sz="8" w:space="0" w:color="auto"/>
                    <w:right w:val="single" w:sz="8" w:space="0" w:color="auto"/>
                  </w:tcBorders>
                  <w:tcMar>
                    <w:top w:w="0" w:type="dxa"/>
                    <w:left w:w="108" w:type="dxa"/>
                    <w:bottom w:w="0" w:type="dxa"/>
                    <w:right w:w="108" w:type="dxa"/>
                  </w:tcMar>
                  <w:hideMark/>
                </w:tcPr>
                <w:p w14:paraId="742FF514" w14:textId="77777777" w:rsidR="003E5175" w:rsidRPr="0084018B" w:rsidRDefault="003E5175" w:rsidP="00534A0C">
                  <w:pPr>
                    <w:ind w:left="-27" w:right="72"/>
                    <w:jc w:val="both"/>
                    <w:rPr>
                      <w:rFonts w:ascii="Cambria" w:hAnsi="Cambria"/>
                      <w:sz w:val="18"/>
                      <w:szCs w:val="18"/>
                    </w:rPr>
                  </w:pPr>
                  <w:r w:rsidRPr="0084018B">
                    <w:rPr>
                      <w:rFonts w:ascii="Cambria" w:hAnsi="Cambria"/>
                      <w:bCs/>
                      <w:sz w:val="18"/>
                      <w:szCs w:val="18"/>
                    </w:rPr>
                    <w:t> $ 65,187.00 MN</w:t>
                  </w:r>
                </w:p>
              </w:tc>
            </w:tr>
            <w:tr w:rsidR="003E5175" w:rsidRPr="0084018B" w14:paraId="1B663366" w14:textId="77777777" w:rsidTr="00534A0C">
              <w:trPr>
                <w:trHeight w:val="234"/>
              </w:trPr>
              <w:tc>
                <w:tcPr>
                  <w:tcW w:w="107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8517B62" w14:textId="77777777" w:rsidR="003E5175" w:rsidRPr="0084018B" w:rsidRDefault="003E5175" w:rsidP="00534A0C">
                  <w:pPr>
                    <w:ind w:left="720" w:right="720"/>
                    <w:jc w:val="both"/>
                    <w:rPr>
                      <w:rFonts w:ascii="Cambria" w:hAnsi="Cambria"/>
                      <w:sz w:val="18"/>
                      <w:szCs w:val="18"/>
                    </w:rPr>
                  </w:pPr>
                  <w:r w:rsidRPr="0084018B">
                    <w:rPr>
                      <w:rFonts w:ascii="Cambria" w:hAnsi="Cambria"/>
                      <w:sz w:val="18"/>
                      <w:szCs w:val="18"/>
                    </w:rPr>
                    <w:t> </w:t>
                  </w:r>
                </w:p>
              </w:tc>
              <w:tc>
                <w:tcPr>
                  <w:tcW w:w="1350" w:type="dxa"/>
                  <w:tcBorders>
                    <w:bottom w:val="single" w:sz="8" w:space="0" w:color="auto"/>
                    <w:right w:val="single" w:sz="8" w:space="0" w:color="auto"/>
                  </w:tcBorders>
                  <w:tcMar>
                    <w:top w:w="0" w:type="dxa"/>
                    <w:left w:w="108" w:type="dxa"/>
                    <w:bottom w:w="0" w:type="dxa"/>
                    <w:right w:w="108" w:type="dxa"/>
                  </w:tcMar>
                  <w:hideMark/>
                </w:tcPr>
                <w:p w14:paraId="28F721F7" w14:textId="77777777" w:rsidR="003E5175" w:rsidRPr="0084018B" w:rsidRDefault="003E5175" w:rsidP="00534A0C">
                  <w:pPr>
                    <w:ind w:left="84"/>
                    <w:jc w:val="right"/>
                    <w:rPr>
                      <w:rFonts w:ascii="Cambria" w:hAnsi="Cambria"/>
                      <w:sz w:val="18"/>
                      <w:szCs w:val="18"/>
                    </w:rPr>
                  </w:pPr>
                  <w:r w:rsidRPr="0084018B">
                    <w:rPr>
                      <w:rFonts w:ascii="Cambria" w:hAnsi="Cambria"/>
                      <w:bCs/>
                      <w:sz w:val="18"/>
                      <w:szCs w:val="18"/>
                    </w:rPr>
                    <w:t>TOTAL 1</w:t>
                  </w:r>
                </w:p>
              </w:tc>
              <w:tc>
                <w:tcPr>
                  <w:tcW w:w="2190" w:type="dxa"/>
                  <w:tcBorders>
                    <w:bottom w:val="single" w:sz="8" w:space="0" w:color="auto"/>
                    <w:right w:val="single" w:sz="8" w:space="0" w:color="auto"/>
                  </w:tcBorders>
                  <w:tcMar>
                    <w:top w:w="0" w:type="dxa"/>
                    <w:left w:w="108" w:type="dxa"/>
                    <w:bottom w:w="0" w:type="dxa"/>
                    <w:right w:w="108" w:type="dxa"/>
                  </w:tcMar>
                  <w:hideMark/>
                </w:tcPr>
                <w:p w14:paraId="2BDEBF86" w14:textId="77777777" w:rsidR="003E5175" w:rsidRPr="0084018B" w:rsidRDefault="003E5175" w:rsidP="00534A0C">
                  <w:pPr>
                    <w:jc w:val="both"/>
                    <w:rPr>
                      <w:rFonts w:ascii="Cambria" w:hAnsi="Cambria"/>
                      <w:sz w:val="18"/>
                      <w:szCs w:val="18"/>
                    </w:rPr>
                  </w:pPr>
                  <w:r w:rsidRPr="0084018B">
                    <w:rPr>
                      <w:rFonts w:ascii="Cambria" w:hAnsi="Cambria"/>
                      <w:bCs/>
                      <w:sz w:val="18"/>
                      <w:szCs w:val="18"/>
                    </w:rPr>
                    <w:t>$ 288,278.00 MN</w:t>
                  </w:r>
                </w:p>
              </w:tc>
            </w:tr>
          </w:tbl>
          <w:p w14:paraId="3ACEA0FA" w14:textId="77777777" w:rsidR="003E5175" w:rsidRPr="0084018B" w:rsidRDefault="003E5175" w:rsidP="00534A0C">
            <w:pPr>
              <w:ind w:right="-21"/>
              <w:jc w:val="both"/>
              <w:rPr>
                <w:rFonts w:ascii="Cambria" w:hAnsi="Cambria"/>
                <w:b/>
                <w:sz w:val="20"/>
                <w:szCs w:val="20"/>
              </w:rPr>
            </w:pPr>
          </w:p>
        </w:tc>
        <w:tc>
          <w:tcPr>
            <w:tcW w:w="1553" w:type="dxa"/>
            <w:vAlign w:val="center"/>
          </w:tcPr>
          <w:p w14:paraId="24027741" w14:textId="77777777" w:rsidR="003E5175" w:rsidRPr="0084018B" w:rsidRDefault="003E5175" w:rsidP="00534A0C">
            <w:pPr>
              <w:autoSpaceDE w:val="0"/>
              <w:autoSpaceDN w:val="0"/>
              <w:adjustRightInd w:val="0"/>
              <w:jc w:val="center"/>
              <w:rPr>
                <w:rFonts w:ascii="Cambria" w:hAnsi="Cambria"/>
                <w:sz w:val="20"/>
                <w:szCs w:val="20"/>
              </w:rPr>
            </w:pPr>
            <w:r w:rsidRPr="0084018B">
              <w:rPr>
                <w:rFonts w:ascii="Cambria" w:hAnsi="Cambria"/>
                <w:b/>
                <w:sz w:val="20"/>
                <w:szCs w:val="20"/>
              </w:rPr>
              <w:lastRenderedPageBreak/>
              <w:t>Total</w:t>
            </w:r>
            <w:r w:rsidRPr="0084018B">
              <w:rPr>
                <w:rFonts w:ascii="Cambria" w:hAnsi="Cambria"/>
                <w:sz w:val="20"/>
                <w:szCs w:val="20"/>
                <w:vertAlign w:val="superscript"/>
              </w:rPr>
              <w:footnoteReference w:id="3"/>
            </w:r>
          </w:p>
        </w:tc>
      </w:tr>
      <w:tr w:rsidR="003E5175" w:rsidRPr="0084018B" w14:paraId="6EC8211C" w14:textId="77777777" w:rsidTr="003E5175">
        <w:trPr>
          <w:jc w:val="center"/>
        </w:trPr>
        <w:tc>
          <w:tcPr>
            <w:tcW w:w="7807" w:type="dxa"/>
            <w:vAlign w:val="center"/>
            <w:hideMark/>
          </w:tcPr>
          <w:p w14:paraId="2C372CF2" w14:textId="77777777" w:rsidR="003E5175" w:rsidRPr="0084018B" w:rsidRDefault="003E5175" w:rsidP="00534A0C">
            <w:pPr>
              <w:ind w:hanging="18"/>
              <w:jc w:val="both"/>
              <w:rPr>
                <w:rFonts w:ascii="Cambria" w:hAnsi="Cambria"/>
                <w:bCs/>
                <w:sz w:val="18"/>
                <w:szCs w:val="20"/>
              </w:rPr>
            </w:pPr>
            <w:r w:rsidRPr="0084018B">
              <w:rPr>
                <w:rFonts w:ascii="Cambria" w:hAnsi="Cambria"/>
                <w:b/>
                <w:bCs/>
                <w:sz w:val="18"/>
                <w:szCs w:val="20"/>
              </w:rPr>
              <w:t xml:space="preserve">SEVENTH. </w:t>
            </w:r>
            <w:r w:rsidRPr="0084018B">
              <w:rPr>
                <w:rFonts w:ascii="Cambria" w:hAnsi="Cambria"/>
                <w:bCs/>
                <w:sz w:val="18"/>
                <w:szCs w:val="20"/>
              </w:rPr>
              <w:t>Non-material injury. Following we refer to the first form of making reparation for this type of injury. The sums agreed upon are as follows:</w:t>
            </w:r>
          </w:p>
          <w:p w14:paraId="5BC408BE" w14:textId="77777777" w:rsidR="003E5175" w:rsidRPr="0084018B" w:rsidRDefault="003E5175" w:rsidP="00534A0C">
            <w:pPr>
              <w:ind w:left="720" w:right="720"/>
              <w:jc w:val="both"/>
              <w:rPr>
                <w:rFonts w:ascii="Cambria" w:hAnsi="Cambria"/>
                <w:sz w:val="18"/>
                <w:szCs w:val="20"/>
              </w:rPr>
            </w:pPr>
            <w:r w:rsidRPr="0084018B">
              <w:rPr>
                <w:rFonts w:ascii="Cambria" w:hAnsi="Cambria"/>
                <w:sz w:val="18"/>
                <w:szCs w:val="20"/>
              </w:rPr>
              <w:t> </w:t>
            </w:r>
          </w:p>
          <w:tbl>
            <w:tblPr>
              <w:tblW w:w="456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14"/>
              <w:gridCol w:w="1728"/>
              <w:gridCol w:w="1627"/>
            </w:tblGrid>
            <w:tr w:rsidR="003E5175" w:rsidRPr="0084018B" w14:paraId="41CB0381" w14:textId="77777777" w:rsidTr="00534A0C">
              <w:trPr>
                <w:trHeight w:val="181"/>
              </w:trPr>
              <w:tc>
                <w:tcPr>
                  <w:tcW w:w="12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905025" w14:textId="77777777" w:rsidR="003E5175" w:rsidRPr="0084018B" w:rsidRDefault="003E5175" w:rsidP="00534A0C">
                  <w:pPr>
                    <w:rPr>
                      <w:rFonts w:ascii="Cambria" w:hAnsi="Cambria"/>
                      <w:sz w:val="18"/>
                      <w:szCs w:val="20"/>
                    </w:rPr>
                  </w:pPr>
                  <w:r w:rsidRPr="0084018B">
                    <w:rPr>
                      <w:rFonts w:ascii="Cambria" w:hAnsi="Cambria"/>
                      <w:b/>
                      <w:bCs/>
                      <w:sz w:val="18"/>
                      <w:szCs w:val="20"/>
                    </w:rPr>
                    <w:t>Beneficiary</w:t>
                  </w:r>
                </w:p>
              </w:tc>
              <w:tc>
                <w:tcPr>
                  <w:tcW w:w="1728"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5D5F5D3A" w14:textId="77777777" w:rsidR="003E5175" w:rsidRPr="0084018B" w:rsidRDefault="003E5175" w:rsidP="00534A0C">
                  <w:pPr>
                    <w:ind w:right="720"/>
                    <w:rPr>
                      <w:rFonts w:ascii="Cambria" w:hAnsi="Cambria"/>
                      <w:sz w:val="18"/>
                      <w:szCs w:val="20"/>
                    </w:rPr>
                  </w:pPr>
                  <w:r w:rsidRPr="0084018B">
                    <w:rPr>
                      <w:rFonts w:ascii="Cambria" w:hAnsi="Cambria"/>
                      <w:b/>
                      <w:bCs/>
                      <w:sz w:val="18"/>
                      <w:szCs w:val="20"/>
                    </w:rPr>
                    <w:t>For</w:t>
                  </w:r>
                </w:p>
              </w:tc>
              <w:tc>
                <w:tcPr>
                  <w:tcW w:w="1627"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2E886658" w14:textId="77777777" w:rsidR="003E5175" w:rsidRPr="0084018B" w:rsidRDefault="003E5175" w:rsidP="00534A0C">
                  <w:pPr>
                    <w:rPr>
                      <w:rFonts w:ascii="Cambria" w:hAnsi="Cambria"/>
                      <w:sz w:val="18"/>
                      <w:szCs w:val="20"/>
                    </w:rPr>
                  </w:pPr>
                  <w:r w:rsidRPr="0084018B">
                    <w:rPr>
                      <w:rFonts w:ascii="Cambria" w:hAnsi="Cambria"/>
                      <w:b/>
                      <w:bCs/>
                      <w:sz w:val="18"/>
                      <w:szCs w:val="20"/>
                    </w:rPr>
                    <w:t>Amount</w:t>
                  </w:r>
                </w:p>
              </w:tc>
            </w:tr>
            <w:tr w:rsidR="003E5175" w:rsidRPr="0084018B" w14:paraId="52D30AB2" w14:textId="77777777" w:rsidTr="00534A0C">
              <w:trPr>
                <w:trHeight w:val="181"/>
              </w:trPr>
              <w:tc>
                <w:tcPr>
                  <w:tcW w:w="1214"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45234EC" w14:textId="77777777" w:rsidR="003E5175" w:rsidRPr="0084018B" w:rsidRDefault="003E5175" w:rsidP="00534A0C">
                  <w:pPr>
                    <w:ind w:left="44" w:right="-108"/>
                    <w:rPr>
                      <w:rFonts w:ascii="Cambria" w:hAnsi="Cambria"/>
                      <w:sz w:val="18"/>
                      <w:szCs w:val="20"/>
                    </w:rPr>
                  </w:pPr>
                  <w:r w:rsidRPr="0084018B">
                    <w:rPr>
                      <w:rFonts w:ascii="Cambria" w:hAnsi="Cambria"/>
                      <w:sz w:val="18"/>
                      <w:szCs w:val="20"/>
                    </w:rPr>
                    <w:t>1. Penagos Roblero family*</w:t>
                  </w:r>
                </w:p>
              </w:tc>
              <w:tc>
                <w:tcPr>
                  <w:tcW w:w="1728" w:type="dxa"/>
                  <w:tcBorders>
                    <w:bottom w:val="single" w:sz="8" w:space="0" w:color="auto"/>
                    <w:right w:val="single" w:sz="8" w:space="0" w:color="auto"/>
                  </w:tcBorders>
                  <w:tcMar>
                    <w:top w:w="0" w:type="dxa"/>
                    <w:left w:w="108" w:type="dxa"/>
                    <w:bottom w:w="0" w:type="dxa"/>
                    <w:right w:w="108" w:type="dxa"/>
                  </w:tcMar>
                  <w:hideMark/>
                </w:tcPr>
                <w:p w14:paraId="00C4F909" w14:textId="77777777" w:rsidR="003E5175" w:rsidRPr="0084018B" w:rsidRDefault="003E5175" w:rsidP="00534A0C">
                  <w:pPr>
                    <w:ind w:right="72"/>
                    <w:rPr>
                      <w:rFonts w:ascii="Cambria" w:hAnsi="Cambria"/>
                      <w:sz w:val="18"/>
                      <w:szCs w:val="20"/>
                    </w:rPr>
                  </w:pPr>
                  <w:r w:rsidRPr="0084018B">
                    <w:rPr>
                      <w:rFonts w:ascii="Cambria" w:hAnsi="Cambria"/>
                      <w:sz w:val="18"/>
                      <w:szCs w:val="20"/>
                    </w:rPr>
                    <w:t>Non-material injury</w:t>
                  </w:r>
                </w:p>
              </w:tc>
              <w:tc>
                <w:tcPr>
                  <w:tcW w:w="1627" w:type="dxa"/>
                  <w:tcBorders>
                    <w:bottom w:val="single" w:sz="8" w:space="0" w:color="auto"/>
                    <w:right w:val="single" w:sz="8" w:space="0" w:color="auto"/>
                  </w:tcBorders>
                  <w:tcMar>
                    <w:top w:w="0" w:type="dxa"/>
                    <w:left w:w="108" w:type="dxa"/>
                    <w:bottom w:w="0" w:type="dxa"/>
                    <w:right w:w="108" w:type="dxa"/>
                  </w:tcMar>
                  <w:hideMark/>
                </w:tcPr>
                <w:p w14:paraId="1F9283B2" w14:textId="77777777" w:rsidR="003E5175" w:rsidRPr="0084018B" w:rsidRDefault="003E5175" w:rsidP="00534A0C">
                  <w:pPr>
                    <w:rPr>
                      <w:rFonts w:ascii="Cambria" w:hAnsi="Cambria"/>
                      <w:sz w:val="18"/>
                      <w:szCs w:val="20"/>
                    </w:rPr>
                  </w:pPr>
                  <w:r w:rsidRPr="0084018B">
                    <w:rPr>
                      <w:rFonts w:ascii="Cambria" w:hAnsi="Cambria"/>
                      <w:sz w:val="18"/>
                      <w:szCs w:val="20"/>
                    </w:rPr>
                    <w:t>$ 342,098.00 MN</w:t>
                  </w:r>
                </w:p>
              </w:tc>
            </w:tr>
            <w:tr w:rsidR="003E5175" w:rsidRPr="0084018B" w14:paraId="29E06E78" w14:textId="77777777" w:rsidTr="00534A0C">
              <w:trPr>
                <w:trHeight w:val="181"/>
              </w:trPr>
              <w:tc>
                <w:tcPr>
                  <w:tcW w:w="1214"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54E3B80" w14:textId="77777777" w:rsidR="003E5175" w:rsidRPr="0084018B" w:rsidRDefault="003E5175" w:rsidP="00534A0C">
                  <w:pPr>
                    <w:ind w:left="44" w:right="-108"/>
                    <w:rPr>
                      <w:rFonts w:ascii="Cambria" w:hAnsi="Cambria"/>
                      <w:sz w:val="18"/>
                      <w:szCs w:val="20"/>
                    </w:rPr>
                  </w:pPr>
                  <w:r w:rsidRPr="0084018B">
                    <w:rPr>
                      <w:rFonts w:ascii="Cambria" w:hAnsi="Cambria"/>
                      <w:sz w:val="18"/>
                      <w:szCs w:val="20"/>
                    </w:rPr>
                    <w:t>2. Julieta Flores Castillo</w:t>
                  </w:r>
                </w:p>
              </w:tc>
              <w:tc>
                <w:tcPr>
                  <w:tcW w:w="1728" w:type="dxa"/>
                  <w:tcBorders>
                    <w:bottom w:val="single" w:sz="8" w:space="0" w:color="auto"/>
                    <w:right w:val="single" w:sz="8" w:space="0" w:color="auto"/>
                  </w:tcBorders>
                  <w:tcMar>
                    <w:top w:w="0" w:type="dxa"/>
                    <w:left w:w="108" w:type="dxa"/>
                    <w:bottom w:w="0" w:type="dxa"/>
                    <w:right w:w="108" w:type="dxa"/>
                  </w:tcMar>
                  <w:hideMark/>
                </w:tcPr>
                <w:p w14:paraId="254D5DCA" w14:textId="77777777" w:rsidR="003E5175" w:rsidRPr="0084018B" w:rsidRDefault="003E5175" w:rsidP="00534A0C">
                  <w:pPr>
                    <w:ind w:right="72"/>
                    <w:rPr>
                      <w:rFonts w:ascii="Cambria" w:hAnsi="Cambria"/>
                      <w:sz w:val="18"/>
                      <w:szCs w:val="20"/>
                    </w:rPr>
                  </w:pPr>
                  <w:r w:rsidRPr="0084018B">
                    <w:rPr>
                      <w:rFonts w:ascii="Cambria" w:hAnsi="Cambria"/>
                      <w:sz w:val="18"/>
                      <w:szCs w:val="20"/>
                    </w:rPr>
                    <w:t>Non-material injury</w:t>
                  </w:r>
                </w:p>
              </w:tc>
              <w:tc>
                <w:tcPr>
                  <w:tcW w:w="1627" w:type="dxa"/>
                  <w:tcBorders>
                    <w:bottom w:val="single" w:sz="8" w:space="0" w:color="auto"/>
                    <w:right w:val="single" w:sz="8" w:space="0" w:color="auto"/>
                  </w:tcBorders>
                  <w:tcMar>
                    <w:top w:w="0" w:type="dxa"/>
                    <w:left w:w="108" w:type="dxa"/>
                    <w:bottom w:w="0" w:type="dxa"/>
                    <w:right w:w="108" w:type="dxa"/>
                  </w:tcMar>
                  <w:hideMark/>
                </w:tcPr>
                <w:p w14:paraId="2413E261" w14:textId="77777777" w:rsidR="003E5175" w:rsidRPr="0084018B" w:rsidRDefault="003E5175" w:rsidP="00534A0C">
                  <w:pPr>
                    <w:rPr>
                      <w:rFonts w:ascii="Cambria" w:hAnsi="Cambria"/>
                      <w:sz w:val="18"/>
                      <w:szCs w:val="20"/>
                    </w:rPr>
                  </w:pPr>
                  <w:r w:rsidRPr="0084018B">
                    <w:rPr>
                      <w:rFonts w:ascii="Cambria" w:hAnsi="Cambria"/>
                      <w:sz w:val="18"/>
                      <w:szCs w:val="20"/>
                    </w:rPr>
                    <w:t>$ 228,951.00 MN</w:t>
                  </w:r>
                </w:p>
              </w:tc>
            </w:tr>
            <w:tr w:rsidR="003E5175" w:rsidRPr="0084018B" w14:paraId="22E96B13" w14:textId="77777777" w:rsidTr="00534A0C">
              <w:trPr>
                <w:trHeight w:val="181"/>
              </w:trPr>
              <w:tc>
                <w:tcPr>
                  <w:tcW w:w="1214"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1FAB328" w14:textId="77777777" w:rsidR="003E5175" w:rsidRPr="0084018B" w:rsidRDefault="003E5175" w:rsidP="00534A0C">
                  <w:pPr>
                    <w:ind w:left="44" w:right="-108"/>
                    <w:rPr>
                      <w:rFonts w:ascii="Cambria" w:hAnsi="Cambria"/>
                      <w:sz w:val="18"/>
                      <w:szCs w:val="20"/>
                    </w:rPr>
                  </w:pPr>
                  <w:r w:rsidRPr="0084018B">
                    <w:rPr>
                      <w:rFonts w:ascii="Cambria" w:hAnsi="Cambria"/>
                      <w:sz w:val="18"/>
                      <w:szCs w:val="20"/>
                    </w:rPr>
                    <w:t>3. Enrique Flores González</w:t>
                  </w:r>
                </w:p>
              </w:tc>
              <w:tc>
                <w:tcPr>
                  <w:tcW w:w="1728" w:type="dxa"/>
                  <w:tcBorders>
                    <w:bottom w:val="single" w:sz="8" w:space="0" w:color="auto"/>
                    <w:right w:val="single" w:sz="8" w:space="0" w:color="auto"/>
                  </w:tcBorders>
                  <w:tcMar>
                    <w:top w:w="0" w:type="dxa"/>
                    <w:left w:w="108" w:type="dxa"/>
                    <w:bottom w:w="0" w:type="dxa"/>
                    <w:right w:w="108" w:type="dxa"/>
                  </w:tcMar>
                  <w:hideMark/>
                </w:tcPr>
                <w:p w14:paraId="29B7DCE6" w14:textId="77777777" w:rsidR="003E5175" w:rsidRPr="0084018B" w:rsidRDefault="003E5175" w:rsidP="00534A0C">
                  <w:pPr>
                    <w:ind w:right="72"/>
                    <w:rPr>
                      <w:rFonts w:ascii="Cambria" w:hAnsi="Cambria"/>
                      <w:sz w:val="18"/>
                      <w:szCs w:val="20"/>
                    </w:rPr>
                  </w:pPr>
                  <w:r w:rsidRPr="0084018B">
                    <w:rPr>
                      <w:rFonts w:ascii="Cambria" w:hAnsi="Cambria"/>
                      <w:sz w:val="18"/>
                      <w:szCs w:val="20"/>
                    </w:rPr>
                    <w:t>Non-material injury</w:t>
                  </w:r>
                </w:p>
              </w:tc>
              <w:tc>
                <w:tcPr>
                  <w:tcW w:w="1627" w:type="dxa"/>
                  <w:tcBorders>
                    <w:bottom w:val="single" w:sz="8" w:space="0" w:color="auto"/>
                    <w:right w:val="single" w:sz="8" w:space="0" w:color="auto"/>
                  </w:tcBorders>
                  <w:tcMar>
                    <w:top w:w="0" w:type="dxa"/>
                    <w:left w:w="108" w:type="dxa"/>
                    <w:bottom w:w="0" w:type="dxa"/>
                    <w:right w:w="108" w:type="dxa"/>
                  </w:tcMar>
                  <w:hideMark/>
                </w:tcPr>
                <w:p w14:paraId="0DA23574" w14:textId="77777777" w:rsidR="003E5175" w:rsidRPr="0084018B" w:rsidRDefault="003E5175" w:rsidP="00534A0C">
                  <w:pPr>
                    <w:rPr>
                      <w:rFonts w:ascii="Cambria" w:hAnsi="Cambria"/>
                      <w:sz w:val="18"/>
                      <w:szCs w:val="20"/>
                    </w:rPr>
                  </w:pPr>
                  <w:r w:rsidRPr="0084018B">
                    <w:rPr>
                      <w:rFonts w:ascii="Cambria" w:hAnsi="Cambria"/>
                      <w:sz w:val="18"/>
                      <w:szCs w:val="20"/>
                    </w:rPr>
                    <w:t>$ 228,951.00 MN</w:t>
                  </w:r>
                </w:p>
              </w:tc>
            </w:tr>
            <w:tr w:rsidR="003E5175" w:rsidRPr="0084018B" w14:paraId="06F9032C" w14:textId="77777777" w:rsidTr="00534A0C">
              <w:trPr>
                <w:trHeight w:val="181"/>
              </w:trPr>
              <w:tc>
                <w:tcPr>
                  <w:tcW w:w="1214"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FBD79C3" w14:textId="77777777" w:rsidR="003E5175" w:rsidRPr="0084018B" w:rsidRDefault="003E5175" w:rsidP="00534A0C">
                  <w:pPr>
                    <w:ind w:left="720" w:right="720"/>
                    <w:rPr>
                      <w:rFonts w:ascii="Cambria" w:hAnsi="Cambria"/>
                      <w:sz w:val="18"/>
                      <w:szCs w:val="20"/>
                    </w:rPr>
                  </w:pPr>
                  <w:r w:rsidRPr="0084018B">
                    <w:rPr>
                      <w:rFonts w:ascii="Cambria" w:hAnsi="Cambria"/>
                      <w:sz w:val="18"/>
                      <w:szCs w:val="20"/>
                    </w:rPr>
                    <w:t> </w:t>
                  </w:r>
                </w:p>
              </w:tc>
              <w:tc>
                <w:tcPr>
                  <w:tcW w:w="1728" w:type="dxa"/>
                  <w:tcBorders>
                    <w:bottom w:val="single" w:sz="8" w:space="0" w:color="auto"/>
                    <w:right w:val="single" w:sz="8" w:space="0" w:color="auto"/>
                  </w:tcBorders>
                  <w:tcMar>
                    <w:top w:w="0" w:type="dxa"/>
                    <w:left w:w="108" w:type="dxa"/>
                    <w:bottom w:w="0" w:type="dxa"/>
                    <w:right w:w="108" w:type="dxa"/>
                  </w:tcMar>
                  <w:hideMark/>
                </w:tcPr>
                <w:p w14:paraId="52F52114" w14:textId="77777777" w:rsidR="003E5175" w:rsidRPr="0084018B" w:rsidRDefault="003E5175" w:rsidP="00534A0C">
                  <w:pPr>
                    <w:ind w:right="720"/>
                    <w:rPr>
                      <w:rFonts w:ascii="Cambria" w:hAnsi="Cambria"/>
                      <w:sz w:val="18"/>
                      <w:szCs w:val="20"/>
                    </w:rPr>
                  </w:pPr>
                  <w:r w:rsidRPr="0084018B">
                    <w:rPr>
                      <w:rFonts w:ascii="Cambria" w:hAnsi="Cambria"/>
                      <w:b/>
                      <w:bCs/>
                      <w:sz w:val="18"/>
                      <w:szCs w:val="20"/>
                    </w:rPr>
                    <w:t>TOTAL 2</w:t>
                  </w:r>
                </w:p>
              </w:tc>
              <w:tc>
                <w:tcPr>
                  <w:tcW w:w="1627" w:type="dxa"/>
                  <w:tcBorders>
                    <w:bottom w:val="single" w:sz="8" w:space="0" w:color="auto"/>
                    <w:right w:val="single" w:sz="8" w:space="0" w:color="auto"/>
                  </w:tcBorders>
                  <w:tcMar>
                    <w:top w:w="0" w:type="dxa"/>
                    <w:left w:w="108" w:type="dxa"/>
                    <w:bottom w:w="0" w:type="dxa"/>
                    <w:right w:w="108" w:type="dxa"/>
                  </w:tcMar>
                  <w:hideMark/>
                </w:tcPr>
                <w:p w14:paraId="2102E432" w14:textId="77777777" w:rsidR="003E5175" w:rsidRPr="0084018B" w:rsidRDefault="003E5175" w:rsidP="00534A0C">
                  <w:pPr>
                    <w:rPr>
                      <w:rFonts w:ascii="Cambria" w:hAnsi="Cambria"/>
                      <w:sz w:val="18"/>
                      <w:szCs w:val="20"/>
                    </w:rPr>
                  </w:pPr>
                  <w:r w:rsidRPr="0084018B">
                    <w:rPr>
                      <w:rFonts w:ascii="Cambria" w:hAnsi="Cambria"/>
                      <w:b/>
                      <w:bCs/>
                      <w:sz w:val="18"/>
                      <w:szCs w:val="20"/>
                    </w:rPr>
                    <w:t>$ 800,000.00 MN</w:t>
                  </w:r>
                </w:p>
              </w:tc>
            </w:tr>
          </w:tbl>
          <w:p w14:paraId="19FB5A85" w14:textId="77777777" w:rsidR="003E5175" w:rsidRPr="0084018B" w:rsidRDefault="003E5175" w:rsidP="00534A0C">
            <w:pPr>
              <w:ind w:left="720" w:right="720"/>
              <w:jc w:val="both"/>
              <w:rPr>
                <w:rFonts w:ascii="Cambria" w:hAnsi="Cambria"/>
                <w:sz w:val="18"/>
                <w:szCs w:val="20"/>
              </w:rPr>
            </w:pPr>
            <w:r w:rsidRPr="0084018B">
              <w:rPr>
                <w:rFonts w:ascii="Cambria" w:hAnsi="Cambria"/>
                <w:sz w:val="18"/>
                <w:szCs w:val="20"/>
              </w:rPr>
              <w:t> </w:t>
            </w:r>
          </w:p>
        </w:tc>
        <w:tc>
          <w:tcPr>
            <w:tcW w:w="1553" w:type="dxa"/>
            <w:vAlign w:val="center"/>
            <w:hideMark/>
          </w:tcPr>
          <w:p w14:paraId="5ACC683F" w14:textId="77777777" w:rsidR="003E5175" w:rsidRPr="0084018B" w:rsidRDefault="003E5175" w:rsidP="00534A0C">
            <w:pPr>
              <w:autoSpaceDE w:val="0"/>
              <w:autoSpaceDN w:val="0"/>
              <w:adjustRightInd w:val="0"/>
              <w:jc w:val="center"/>
              <w:rPr>
                <w:rFonts w:ascii="Cambria" w:eastAsia="MS Mincho" w:hAnsi="Cambria"/>
                <w:sz w:val="18"/>
                <w:szCs w:val="20"/>
              </w:rPr>
            </w:pPr>
            <w:r w:rsidRPr="0084018B">
              <w:rPr>
                <w:rFonts w:ascii="Cambria" w:hAnsi="Cambria"/>
                <w:b/>
                <w:sz w:val="20"/>
                <w:szCs w:val="20"/>
              </w:rPr>
              <w:t>Total</w:t>
            </w:r>
            <w:r w:rsidRPr="0084018B">
              <w:rPr>
                <w:rFonts w:ascii="Cambria" w:hAnsi="Cambria"/>
                <w:sz w:val="18"/>
                <w:szCs w:val="20"/>
                <w:vertAlign w:val="superscript"/>
              </w:rPr>
              <w:footnoteReference w:id="4"/>
            </w:r>
          </w:p>
        </w:tc>
      </w:tr>
      <w:tr w:rsidR="003E5175" w:rsidRPr="0084018B" w14:paraId="3177A519" w14:textId="77777777" w:rsidTr="003E5175">
        <w:trPr>
          <w:jc w:val="center"/>
        </w:trPr>
        <w:tc>
          <w:tcPr>
            <w:tcW w:w="7807" w:type="dxa"/>
            <w:vAlign w:val="center"/>
          </w:tcPr>
          <w:p w14:paraId="0EAB226A" w14:textId="77777777" w:rsidR="003E5175" w:rsidRPr="0084018B" w:rsidRDefault="003E5175" w:rsidP="00534A0C">
            <w:pPr>
              <w:ind w:hanging="18"/>
              <w:jc w:val="both"/>
              <w:rPr>
                <w:rFonts w:ascii="Cambria" w:hAnsi="Cambria"/>
                <w:b/>
                <w:sz w:val="20"/>
                <w:szCs w:val="20"/>
              </w:rPr>
            </w:pPr>
            <w:r w:rsidRPr="0084018B">
              <w:rPr>
                <w:rFonts w:ascii="Cambria" w:hAnsi="Cambria"/>
                <w:b/>
                <w:bCs/>
                <w:sz w:val="20"/>
                <w:szCs w:val="20"/>
              </w:rPr>
              <w:t>NINTH. </w:t>
            </w:r>
            <w:r w:rsidRPr="0084018B">
              <w:rPr>
                <w:rFonts w:ascii="Cambria" w:hAnsi="Cambria"/>
                <w:bCs/>
                <w:sz w:val="20"/>
                <w:szCs w:val="20"/>
              </w:rPr>
              <w:t>Considering the changes in the living conditions of the victims and their family members, the Office of the Attorney General of Chiapas undertakes to take whatever efforts necessary, before the competent authorities, so that scholarships be granted to the three youngest children of Mr. Reyes Penagos. While the Office of the Attorney General cannot guarantee that the result of those efforts will be positive, it nonetheless expresses its commitment to diligently pursue such requests, and to seek a favorable outcome for the children of Mr. Reyes Penagos.</w:t>
            </w:r>
          </w:p>
        </w:tc>
        <w:tc>
          <w:tcPr>
            <w:tcW w:w="1553" w:type="dxa"/>
            <w:vAlign w:val="center"/>
          </w:tcPr>
          <w:p w14:paraId="5653FE12" w14:textId="77777777" w:rsidR="003E5175" w:rsidRPr="0084018B" w:rsidRDefault="003E5175" w:rsidP="00534A0C">
            <w:pPr>
              <w:jc w:val="center"/>
              <w:rPr>
                <w:rFonts w:ascii="Cambria" w:hAnsi="Cambria"/>
                <w:b/>
                <w:sz w:val="20"/>
                <w:szCs w:val="20"/>
              </w:rPr>
            </w:pPr>
          </w:p>
          <w:p w14:paraId="6F46CFE7" w14:textId="77777777" w:rsidR="003E5175" w:rsidRPr="0084018B" w:rsidRDefault="003E5175" w:rsidP="00534A0C">
            <w:pPr>
              <w:jc w:val="center"/>
              <w:rPr>
                <w:rFonts w:ascii="Cambria" w:hAnsi="Cambria"/>
                <w:b/>
                <w:sz w:val="20"/>
                <w:szCs w:val="20"/>
              </w:rPr>
            </w:pPr>
          </w:p>
          <w:p w14:paraId="0AA2C92E" w14:textId="77777777" w:rsidR="003E5175" w:rsidRPr="0084018B" w:rsidRDefault="003E5175" w:rsidP="00534A0C">
            <w:pPr>
              <w:jc w:val="center"/>
              <w:rPr>
                <w:rFonts w:ascii="Cambria" w:hAnsi="Cambria"/>
                <w:b/>
                <w:sz w:val="20"/>
                <w:szCs w:val="20"/>
              </w:rPr>
            </w:pPr>
          </w:p>
          <w:p w14:paraId="220CB1B8" w14:textId="77777777" w:rsidR="003E5175" w:rsidRPr="0084018B" w:rsidRDefault="003E5175" w:rsidP="00534A0C">
            <w:pPr>
              <w:jc w:val="center"/>
              <w:rPr>
                <w:rFonts w:ascii="Cambria" w:hAnsi="Cambria"/>
                <w:b/>
                <w:sz w:val="20"/>
                <w:szCs w:val="20"/>
              </w:rPr>
            </w:pPr>
            <w:r w:rsidRPr="0084018B">
              <w:rPr>
                <w:rFonts w:ascii="Cambria" w:hAnsi="Cambria"/>
                <w:b/>
                <w:sz w:val="20"/>
                <w:szCs w:val="20"/>
              </w:rPr>
              <w:t>Total</w:t>
            </w:r>
            <w:r w:rsidRPr="0084018B">
              <w:rPr>
                <w:rStyle w:val="FootnoteReference"/>
                <w:rFonts w:ascii="Cambria" w:hAnsi="Cambria"/>
                <w:b/>
                <w:sz w:val="20"/>
                <w:szCs w:val="20"/>
              </w:rPr>
              <w:footnoteReference w:id="5"/>
            </w:r>
          </w:p>
          <w:p w14:paraId="5C0AA8AC" w14:textId="77777777" w:rsidR="003E5175" w:rsidRPr="0084018B" w:rsidRDefault="003E5175" w:rsidP="00534A0C">
            <w:pPr>
              <w:autoSpaceDE w:val="0"/>
              <w:autoSpaceDN w:val="0"/>
              <w:adjustRightInd w:val="0"/>
              <w:jc w:val="both"/>
              <w:rPr>
                <w:rFonts w:ascii="Cambria" w:hAnsi="Cambria"/>
                <w:sz w:val="20"/>
                <w:szCs w:val="20"/>
              </w:rPr>
            </w:pPr>
          </w:p>
          <w:p w14:paraId="1FF5BD9B" w14:textId="77777777" w:rsidR="003E5175" w:rsidRPr="0084018B" w:rsidRDefault="003E5175" w:rsidP="00534A0C">
            <w:pPr>
              <w:jc w:val="both"/>
              <w:rPr>
                <w:rFonts w:ascii="Cambria" w:hAnsi="Cambria"/>
                <w:sz w:val="20"/>
                <w:szCs w:val="20"/>
              </w:rPr>
            </w:pPr>
          </w:p>
        </w:tc>
      </w:tr>
      <w:tr w:rsidR="003E5175" w:rsidRPr="0084018B" w14:paraId="2841F747" w14:textId="77777777" w:rsidTr="003E5175">
        <w:trPr>
          <w:jc w:val="center"/>
        </w:trPr>
        <w:tc>
          <w:tcPr>
            <w:tcW w:w="7807" w:type="dxa"/>
            <w:vAlign w:val="center"/>
          </w:tcPr>
          <w:p w14:paraId="560575FD" w14:textId="77777777" w:rsidR="003E5175" w:rsidRPr="0084018B" w:rsidRDefault="003E5175" w:rsidP="00534A0C">
            <w:pPr>
              <w:ind w:hanging="18"/>
              <w:jc w:val="both"/>
              <w:rPr>
                <w:rFonts w:ascii="Cambria" w:hAnsi="Cambria"/>
                <w:b/>
                <w:sz w:val="20"/>
                <w:szCs w:val="20"/>
              </w:rPr>
            </w:pPr>
            <w:r w:rsidRPr="0084018B">
              <w:rPr>
                <w:rFonts w:ascii="Cambria" w:hAnsi="Cambria"/>
                <w:b/>
                <w:bCs/>
                <w:sz w:val="20"/>
                <w:szCs w:val="20"/>
              </w:rPr>
              <w:t>TENTH.</w:t>
            </w:r>
            <w:r w:rsidRPr="0084018B">
              <w:rPr>
                <w:rFonts w:ascii="Cambria" w:hAnsi="Cambria"/>
                <w:bCs/>
                <w:sz w:val="20"/>
                <w:szCs w:val="20"/>
              </w:rPr>
              <w:t xml:space="preserve"> Along the same lines, the State undertakes to make efforts for the beneficiaries to obtain medical insurance.</w:t>
            </w:r>
          </w:p>
        </w:tc>
        <w:tc>
          <w:tcPr>
            <w:tcW w:w="1553" w:type="dxa"/>
            <w:vAlign w:val="center"/>
          </w:tcPr>
          <w:p w14:paraId="2A8C56CF" w14:textId="77777777" w:rsidR="003E5175" w:rsidRPr="0084018B" w:rsidRDefault="003E5175" w:rsidP="00534A0C">
            <w:pPr>
              <w:jc w:val="center"/>
              <w:rPr>
                <w:rFonts w:ascii="Cambria" w:hAnsi="Cambria"/>
                <w:b/>
                <w:sz w:val="20"/>
                <w:szCs w:val="20"/>
              </w:rPr>
            </w:pPr>
            <w:r w:rsidRPr="0084018B">
              <w:rPr>
                <w:rFonts w:ascii="Cambria" w:hAnsi="Cambria"/>
                <w:b/>
                <w:sz w:val="20"/>
                <w:szCs w:val="20"/>
              </w:rPr>
              <w:t>Total</w:t>
            </w:r>
            <w:r w:rsidRPr="0084018B">
              <w:rPr>
                <w:rFonts w:ascii="Cambria" w:hAnsi="Cambria"/>
                <w:sz w:val="20"/>
                <w:szCs w:val="20"/>
                <w:vertAlign w:val="superscript"/>
              </w:rPr>
              <w:footnoteReference w:id="6"/>
            </w:r>
          </w:p>
          <w:p w14:paraId="64EB0C41" w14:textId="77777777" w:rsidR="003E5175" w:rsidRPr="0084018B" w:rsidRDefault="003E5175" w:rsidP="00534A0C">
            <w:pPr>
              <w:autoSpaceDE w:val="0"/>
              <w:autoSpaceDN w:val="0"/>
              <w:adjustRightInd w:val="0"/>
              <w:jc w:val="both"/>
              <w:rPr>
                <w:rFonts w:ascii="Cambria" w:hAnsi="Cambria"/>
                <w:sz w:val="20"/>
                <w:szCs w:val="20"/>
              </w:rPr>
            </w:pPr>
            <w:r w:rsidRPr="0084018B">
              <w:rPr>
                <w:rFonts w:ascii="Cambria" w:hAnsi="Cambria"/>
                <w:bCs/>
                <w:sz w:val="20"/>
                <w:szCs w:val="20"/>
              </w:rPr>
              <w:t xml:space="preserve"> </w:t>
            </w:r>
          </w:p>
        </w:tc>
      </w:tr>
    </w:tbl>
    <w:p w14:paraId="570310D3" w14:textId="77777777" w:rsidR="00EE2B3B" w:rsidRPr="003F7365" w:rsidRDefault="00EE2B3B" w:rsidP="00EE2B3B">
      <w:pPr>
        <w:pStyle w:val="ListParagraph"/>
        <w:jc w:val="both"/>
        <w:rPr>
          <w:rFonts w:ascii="Cambria" w:hAnsi="Cambria" w:cs="Calibri Light"/>
          <w:b/>
          <w:color w:val="000000"/>
          <w:sz w:val="20"/>
          <w:szCs w:val="20"/>
        </w:rPr>
      </w:pPr>
    </w:p>
    <w:p w14:paraId="23CE78ED" w14:textId="77777777" w:rsidR="00EE2B3B" w:rsidRPr="003F7365" w:rsidRDefault="00EE2B3B" w:rsidP="00EE2B3B">
      <w:pPr>
        <w:contextualSpacing/>
        <w:jc w:val="both"/>
        <w:rPr>
          <w:rFonts w:ascii="Cambria" w:hAnsi="Cambria" w:cs="Calibri Light"/>
          <w:color w:val="000000"/>
          <w:sz w:val="20"/>
          <w:szCs w:val="20"/>
        </w:rPr>
      </w:pPr>
    </w:p>
    <w:p w14:paraId="4301E707" w14:textId="77777777" w:rsidR="00EE2B3B" w:rsidRPr="003F7365" w:rsidRDefault="00EE2B3B" w:rsidP="00EE2B3B">
      <w:pPr>
        <w:numPr>
          <w:ilvl w:val="0"/>
          <w:numId w:val="1"/>
        </w:numPr>
        <w:ind w:left="0" w:firstLine="720"/>
        <w:contextualSpacing/>
        <w:jc w:val="both"/>
        <w:rPr>
          <w:rFonts w:ascii="Cambria" w:hAnsi="Cambria" w:cs="Calibri Light"/>
          <w:color w:val="000000"/>
          <w:sz w:val="20"/>
          <w:szCs w:val="20"/>
        </w:rPr>
      </w:pPr>
      <w:r w:rsidRPr="003F7365">
        <w:rPr>
          <w:rFonts w:ascii="Cambria" w:hAnsi="Cambria"/>
          <w:b/>
          <w:color w:val="000000"/>
          <w:sz w:val="20"/>
          <w:szCs w:val="20"/>
        </w:rPr>
        <w:t>LEVEL OF COMPLIANCE OF THE CASE</w:t>
      </w:r>
    </w:p>
    <w:p w14:paraId="3B08C399" w14:textId="77777777" w:rsidR="00EE2B3B" w:rsidRPr="003F7365" w:rsidRDefault="00EE2B3B" w:rsidP="00EE2B3B">
      <w:pPr>
        <w:pStyle w:val="ListParagraph"/>
        <w:ind w:left="0" w:firstLine="720"/>
        <w:jc w:val="both"/>
        <w:rPr>
          <w:rFonts w:ascii="Cambria" w:hAnsi="Cambria" w:cs="Calibri Light"/>
          <w:b/>
          <w:color w:val="000000"/>
          <w:sz w:val="20"/>
          <w:szCs w:val="20"/>
        </w:rPr>
      </w:pPr>
    </w:p>
    <w:p w14:paraId="5A448611" w14:textId="1C53CB62" w:rsidR="00EE2B3B" w:rsidRPr="003F7365" w:rsidRDefault="00EE2B3B" w:rsidP="00EE2B3B">
      <w:pPr>
        <w:pStyle w:val="ListParagraph"/>
        <w:numPr>
          <w:ilvl w:val="0"/>
          <w:numId w:val="2"/>
        </w:numPr>
        <w:ind w:left="0" w:firstLine="720"/>
        <w:jc w:val="both"/>
        <w:rPr>
          <w:rFonts w:ascii="Cambria" w:hAnsi="Cambria" w:cs="Calibri Light"/>
          <w:color w:val="000000"/>
          <w:sz w:val="20"/>
          <w:szCs w:val="20"/>
        </w:rPr>
      </w:pPr>
      <w:r w:rsidRPr="003F7365">
        <w:rPr>
          <w:rFonts w:ascii="Cambria" w:hAnsi="Cambria"/>
          <w:color w:val="000000"/>
          <w:sz w:val="20"/>
          <w:szCs w:val="20"/>
        </w:rPr>
        <w:t xml:space="preserve"> </w:t>
      </w:r>
      <w:r w:rsidRPr="00EE2B3B">
        <w:rPr>
          <w:rFonts w:ascii="Cambria" w:hAnsi="Cambria"/>
          <w:color w:val="000000"/>
          <w:sz w:val="20"/>
          <w:szCs w:val="20"/>
        </w:rPr>
        <w:t xml:space="preserve">The Commission declared full compliance with the case and the ceasing of the </w:t>
      </w:r>
      <w:r w:rsidR="005A5A31" w:rsidRPr="00EE2B3B">
        <w:rPr>
          <w:rFonts w:ascii="Cambria" w:hAnsi="Cambria"/>
          <w:color w:val="000000"/>
          <w:sz w:val="20"/>
          <w:szCs w:val="20"/>
        </w:rPr>
        <w:t>follow-up</w:t>
      </w:r>
      <w:r w:rsidRPr="00EE2B3B">
        <w:rPr>
          <w:rFonts w:ascii="Cambria" w:hAnsi="Cambria"/>
          <w:color w:val="000000"/>
          <w:sz w:val="20"/>
          <w:szCs w:val="20"/>
        </w:rPr>
        <w:t xml:space="preserve"> of the friendly settlement agreement in the 202</w:t>
      </w:r>
      <w:r>
        <w:rPr>
          <w:rFonts w:ascii="Cambria" w:hAnsi="Cambria"/>
          <w:color w:val="000000"/>
          <w:sz w:val="20"/>
          <w:szCs w:val="20"/>
        </w:rPr>
        <w:t>2</w:t>
      </w:r>
      <w:r w:rsidRPr="00EE2B3B">
        <w:rPr>
          <w:rFonts w:ascii="Cambria" w:hAnsi="Cambria"/>
          <w:color w:val="000000"/>
          <w:sz w:val="20"/>
          <w:szCs w:val="20"/>
        </w:rPr>
        <w:t xml:space="preserve"> Annual Report.</w:t>
      </w:r>
    </w:p>
    <w:p w14:paraId="286AE1D0" w14:textId="77777777" w:rsidR="00EE2B3B" w:rsidRPr="003F7365" w:rsidRDefault="00EE2B3B" w:rsidP="00EE2B3B">
      <w:pPr>
        <w:autoSpaceDE w:val="0"/>
        <w:autoSpaceDN w:val="0"/>
        <w:adjustRightInd w:val="0"/>
        <w:jc w:val="both"/>
        <w:rPr>
          <w:rFonts w:ascii="Cambria" w:hAnsi="Cambria"/>
          <w:color w:val="000000"/>
          <w:sz w:val="20"/>
          <w:szCs w:val="20"/>
        </w:rPr>
      </w:pPr>
    </w:p>
    <w:p w14:paraId="2765ADF3" w14:textId="77777777" w:rsidR="00EE2B3B" w:rsidRPr="003F7365" w:rsidRDefault="00EE2B3B" w:rsidP="00EE2B3B">
      <w:pPr>
        <w:pStyle w:val="ListParagraph"/>
        <w:numPr>
          <w:ilvl w:val="0"/>
          <w:numId w:val="1"/>
        </w:numPr>
        <w:ind w:left="0" w:firstLine="720"/>
        <w:jc w:val="both"/>
        <w:rPr>
          <w:rFonts w:ascii="Cambria" w:hAnsi="Cambria" w:cs="Calibri Light"/>
          <w:b/>
          <w:color w:val="000000"/>
          <w:sz w:val="20"/>
          <w:szCs w:val="20"/>
        </w:rPr>
      </w:pPr>
      <w:r w:rsidRPr="003F7365">
        <w:rPr>
          <w:rFonts w:ascii="Cambria" w:hAnsi="Cambria"/>
          <w:b/>
          <w:color w:val="000000"/>
          <w:sz w:val="20"/>
          <w:szCs w:val="20"/>
        </w:rPr>
        <w:t xml:space="preserve">INDIVIDUAL AND STRUCTURAL OUTCOMES OF THE CASE </w:t>
      </w:r>
    </w:p>
    <w:p w14:paraId="02CEFE66" w14:textId="77777777" w:rsidR="00EE2B3B" w:rsidRPr="003F7365" w:rsidRDefault="00EE2B3B" w:rsidP="00EE2B3B">
      <w:pPr>
        <w:pStyle w:val="ListParagraph"/>
        <w:ind w:left="0" w:firstLine="720"/>
        <w:jc w:val="both"/>
        <w:rPr>
          <w:rFonts w:ascii="Cambria" w:hAnsi="Cambria" w:cs="Calibri Light"/>
          <w:b/>
          <w:color w:val="000000"/>
          <w:sz w:val="20"/>
          <w:szCs w:val="20"/>
        </w:rPr>
      </w:pPr>
    </w:p>
    <w:p w14:paraId="6A61B065" w14:textId="77777777" w:rsidR="00600F95" w:rsidRPr="0084018B" w:rsidRDefault="00600F95" w:rsidP="00600F95">
      <w:pPr>
        <w:numPr>
          <w:ilvl w:val="0"/>
          <w:numId w:val="13"/>
        </w:numPr>
        <w:ind w:firstLine="0"/>
        <w:contextualSpacing/>
        <w:jc w:val="both"/>
        <w:rPr>
          <w:rFonts w:ascii="Cambria" w:hAnsi="Cambria" w:cs="Calibri Light"/>
          <w:b/>
          <w:sz w:val="20"/>
          <w:szCs w:val="20"/>
        </w:rPr>
      </w:pPr>
      <w:r w:rsidRPr="0084018B">
        <w:rPr>
          <w:rFonts w:ascii="Cambria" w:hAnsi="Cambria" w:cs="Calibri Light"/>
          <w:b/>
          <w:sz w:val="20"/>
          <w:szCs w:val="20"/>
        </w:rPr>
        <w:lastRenderedPageBreak/>
        <w:t>Individual outcomes of the case</w:t>
      </w:r>
    </w:p>
    <w:p w14:paraId="40B914D8" w14:textId="77777777" w:rsidR="00600F95" w:rsidRPr="0084018B" w:rsidRDefault="00600F95" w:rsidP="00600F95">
      <w:pPr>
        <w:ind w:left="720"/>
        <w:contextualSpacing/>
        <w:jc w:val="both"/>
        <w:rPr>
          <w:rFonts w:ascii="Cambria" w:hAnsi="Cambria" w:cs="Calibri Light"/>
          <w:b/>
          <w:sz w:val="20"/>
          <w:szCs w:val="20"/>
        </w:rPr>
      </w:pPr>
    </w:p>
    <w:p w14:paraId="17616981" w14:textId="77777777" w:rsidR="00600F95" w:rsidRPr="0084018B" w:rsidRDefault="00600F95" w:rsidP="00600F95">
      <w:pPr>
        <w:numPr>
          <w:ilvl w:val="0"/>
          <w:numId w:val="10"/>
        </w:numPr>
        <w:ind w:left="1440" w:hanging="720"/>
        <w:contextualSpacing/>
        <w:jc w:val="both"/>
        <w:rPr>
          <w:rFonts w:ascii="Cambria" w:hAnsi="Cambria" w:cs="Calibri Light"/>
          <w:b/>
          <w:sz w:val="20"/>
          <w:szCs w:val="20"/>
        </w:rPr>
      </w:pPr>
      <w:r w:rsidRPr="0084018B">
        <w:rPr>
          <w:rFonts w:ascii="Cambria" w:hAnsi="Cambria"/>
          <w:sz w:val="20"/>
          <w:szCs w:val="20"/>
        </w:rPr>
        <w:t>The payments corresponding to the amounts awarded in economic compensation to the victims and their families were made;</w:t>
      </w:r>
    </w:p>
    <w:p w14:paraId="0F1934D6" w14:textId="77777777" w:rsidR="00600F95" w:rsidRPr="0084018B" w:rsidRDefault="00600F95" w:rsidP="00600F95">
      <w:pPr>
        <w:numPr>
          <w:ilvl w:val="0"/>
          <w:numId w:val="10"/>
        </w:numPr>
        <w:ind w:left="1440" w:hanging="720"/>
        <w:contextualSpacing/>
        <w:jc w:val="both"/>
        <w:rPr>
          <w:rFonts w:ascii="Cambria" w:hAnsi="Cambria" w:cs="Calibri Light"/>
          <w:b/>
          <w:sz w:val="20"/>
          <w:szCs w:val="20"/>
        </w:rPr>
      </w:pPr>
      <w:r w:rsidRPr="0084018B">
        <w:rPr>
          <w:rFonts w:ascii="Cambria" w:eastAsia="MS Mincho" w:hAnsi="Cambria"/>
          <w:sz w:val="20"/>
          <w:szCs w:val="20"/>
          <w:lang w:eastAsia="ja-JP"/>
        </w:rPr>
        <w:t>The act of acknowledgment of responsibility was held;</w:t>
      </w:r>
    </w:p>
    <w:p w14:paraId="550CA758" w14:textId="77777777" w:rsidR="00600F95" w:rsidRPr="0084018B" w:rsidRDefault="00600F95" w:rsidP="00600F95">
      <w:pPr>
        <w:numPr>
          <w:ilvl w:val="0"/>
          <w:numId w:val="10"/>
        </w:numPr>
        <w:ind w:left="1440" w:hanging="720"/>
        <w:jc w:val="both"/>
        <w:rPr>
          <w:rFonts w:ascii="Cambria" w:eastAsia="MS Mincho" w:hAnsi="Cambria"/>
          <w:sz w:val="20"/>
          <w:szCs w:val="20"/>
          <w:lang w:eastAsia="ja-JP"/>
        </w:rPr>
      </w:pPr>
      <w:r w:rsidRPr="0084018B">
        <w:rPr>
          <w:rFonts w:ascii="Cambria" w:eastAsia="MS Mincho" w:hAnsi="Cambria"/>
          <w:sz w:val="20"/>
          <w:szCs w:val="20"/>
          <w:lang w:eastAsia="ja-JP"/>
        </w:rPr>
        <w:t>Health care coverage was provided to the agreement beneficiaries;</w:t>
      </w:r>
    </w:p>
    <w:p w14:paraId="617CBE3F" w14:textId="77777777" w:rsidR="00600F95" w:rsidRPr="0084018B" w:rsidRDefault="00600F95" w:rsidP="00600F95">
      <w:pPr>
        <w:numPr>
          <w:ilvl w:val="0"/>
          <w:numId w:val="10"/>
        </w:numPr>
        <w:tabs>
          <w:tab w:val="left" w:pos="90"/>
        </w:tabs>
        <w:ind w:left="1440" w:hanging="720"/>
        <w:jc w:val="both"/>
        <w:rPr>
          <w:rFonts w:ascii="Cambria" w:eastAsia="MS Mincho" w:hAnsi="Cambria"/>
          <w:sz w:val="20"/>
          <w:szCs w:val="20"/>
          <w:lang w:eastAsia="ja-JP"/>
        </w:rPr>
      </w:pPr>
      <w:r w:rsidRPr="0084018B">
        <w:rPr>
          <w:rFonts w:ascii="Cambria" w:eastAsia="MS Mincho" w:hAnsi="Cambria"/>
          <w:sz w:val="20"/>
          <w:szCs w:val="20"/>
          <w:lang w:eastAsia="ja-JP"/>
        </w:rPr>
        <w:t>Scholarships were given to the victims’ three children.</w:t>
      </w:r>
    </w:p>
    <w:p w14:paraId="099B6A94" w14:textId="77777777" w:rsidR="00600F95" w:rsidRPr="0084018B" w:rsidRDefault="00600F95" w:rsidP="00600F95">
      <w:pPr>
        <w:numPr>
          <w:ilvl w:val="0"/>
          <w:numId w:val="10"/>
        </w:numPr>
        <w:tabs>
          <w:tab w:val="left" w:pos="90"/>
        </w:tabs>
        <w:ind w:left="1440" w:right="-270" w:hanging="720"/>
        <w:jc w:val="both"/>
        <w:rPr>
          <w:rFonts w:ascii="Cambria" w:eastAsia="MS Mincho" w:hAnsi="Cambria"/>
          <w:color w:val="000000"/>
          <w:sz w:val="20"/>
          <w:szCs w:val="20"/>
          <w:lang w:eastAsia="ja-JP"/>
        </w:rPr>
      </w:pPr>
      <w:r w:rsidRPr="0084018B">
        <w:rPr>
          <w:rFonts w:ascii="Cambria" w:eastAsia="MS Mincho" w:hAnsi="Cambria"/>
          <w:color w:val="000000"/>
          <w:sz w:val="20"/>
          <w:szCs w:val="20"/>
          <w:lang w:eastAsia="ja-JP"/>
        </w:rPr>
        <w:t>The State has handed down two convictions of two individuals for the events and has enforced the warrant for the arrest of one of the two persons convicted.</w:t>
      </w:r>
    </w:p>
    <w:p w14:paraId="13998905" w14:textId="3EA31129" w:rsidR="00551343" w:rsidRPr="005710FB" w:rsidRDefault="00551343" w:rsidP="00600F95">
      <w:pPr>
        <w:ind w:left="1440"/>
        <w:contextualSpacing/>
        <w:jc w:val="both"/>
        <w:rPr>
          <w:rFonts w:ascii="Cambria" w:hAnsi="Cambria" w:cs="Calibri Light"/>
          <w:color w:val="000000"/>
          <w:sz w:val="20"/>
          <w:szCs w:val="20"/>
        </w:rPr>
      </w:pPr>
    </w:p>
    <w:sectPr w:rsidR="00551343" w:rsidRPr="005710FB" w:rsidSect="00EE2B3B">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2A381" w14:textId="77777777" w:rsidR="00EE2B3B" w:rsidRDefault="00EE2B3B" w:rsidP="00EE2B3B">
      <w:r>
        <w:separator/>
      </w:r>
    </w:p>
  </w:endnote>
  <w:endnote w:type="continuationSeparator" w:id="0">
    <w:p w14:paraId="5DE23AC5" w14:textId="77777777" w:rsidR="00EE2B3B" w:rsidRDefault="00EE2B3B" w:rsidP="00EE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49D5" w14:textId="1B0D8F23" w:rsidR="00EE2B3B" w:rsidRDefault="00EE2B3B" w:rsidP="00EE2B3B">
    <w:pPr>
      <w:pStyle w:val="Footer"/>
      <w:jc w:val="center"/>
    </w:pPr>
    <w:r>
      <w:rPr>
        <w:noProof/>
      </w:rPr>
      <w:drawing>
        <wp:inline distT="0" distB="0" distL="0" distR="0" wp14:anchorId="716D0634" wp14:editId="040054FF">
          <wp:extent cx="5238750" cy="314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3143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570E" w14:textId="77777777" w:rsidR="00EE2B3B" w:rsidRDefault="005D23FA" w:rsidP="00EE2B3B">
    <w:pPr>
      <w:pStyle w:val="Footer"/>
      <w:spacing w:line="360" w:lineRule="auto"/>
    </w:pPr>
    <w:r>
      <w:pict w14:anchorId="14B294CB">
        <v:rect id="_x0000_i1027" style="width:0;height:1.5pt" o:hralign="center" o:hrstd="t" o:hr="t" fillcolor="#a0a0a0" stroked="f"/>
      </w:pict>
    </w:r>
  </w:p>
  <w:p w14:paraId="33E89147" w14:textId="232012CD" w:rsidR="00EE2B3B" w:rsidRDefault="00EE2B3B" w:rsidP="00EE2B3B">
    <w:pPr>
      <w:pStyle w:val="Footer"/>
      <w:jc w:val="center"/>
    </w:pPr>
    <w:bookmarkStart w:id="3" w:name="_Hlk138256818"/>
    <w:bookmarkStart w:id="4" w:name="_Hlk138256819"/>
    <w:r>
      <w:rPr>
        <w:noProof/>
      </w:rPr>
      <w:drawing>
        <wp:inline distT="0" distB="0" distL="0" distR="0" wp14:anchorId="2202F3A2" wp14:editId="2F018423">
          <wp:extent cx="5238750" cy="314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314325"/>
                  </a:xfrm>
                  <a:prstGeom prst="rect">
                    <a:avLst/>
                  </a:prstGeom>
                  <a:noFill/>
                  <a:ln>
                    <a:noFill/>
                  </a:ln>
                </pic:spPr>
              </pic:pic>
            </a:graphicData>
          </a:graphic>
        </wp:inline>
      </w:drawing>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02CDA" w14:textId="77777777" w:rsidR="00EE2B3B" w:rsidRDefault="00EE2B3B" w:rsidP="00EE2B3B">
      <w:r>
        <w:separator/>
      </w:r>
    </w:p>
  </w:footnote>
  <w:footnote w:type="continuationSeparator" w:id="0">
    <w:p w14:paraId="48D94B4E" w14:textId="77777777" w:rsidR="00EE2B3B" w:rsidRDefault="00EE2B3B" w:rsidP="00EE2B3B">
      <w:r>
        <w:continuationSeparator/>
      </w:r>
    </w:p>
  </w:footnote>
  <w:footnote w:id="1">
    <w:p w14:paraId="05B81439" w14:textId="77777777" w:rsidR="003E5175" w:rsidRPr="004664DA" w:rsidRDefault="003E5175" w:rsidP="003E5175">
      <w:pPr>
        <w:pStyle w:val="FootnoteText"/>
        <w:tabs>
          <w:tab w:val="left" w:pos="900"/>
        </w:tabs>
        <w:ind w:firstLine="720"/>
        <w:jc w:val="both"/>
        <w:rPr>
          <w:rFonts w:ascii="Cambria" w:hAnsi="Cambria"/>
          <w:color w:val="000000"/>
          <w:sz w:val="16"/>
          <w:szCs w:val="16"/>
        </w:rPr>
      </w:pPr>
      <w:r w:rsidRPr="004664DA">
        <w:rPr>
          <w:rFonts w:ascii="Cambria" w:hAnsi="Cambria"/>
          <w:color w:val="000000"/>
          <w:sz w:val="16"/>
          <w:szCs w:val="16"/>
          <w:vertAlign w:val="superscript"/>
        </w:rPr>
        <w:footnoteRef/>
      </w:r>
      <w:r w:rsidRPr="004664DA">
        <w:rPr>
          <w:rFonts w:ascii="Cambria" w:hAnsi="Cambria"/>
          <w:color w:val="000000"/>
          <w:sz w:val="16"/>
          <w:szCs w:val="16"/>
        </w:rPr>
        <w:t xml:space="preserve"> IACHR, Report No. 24/09, Case 11.822, Friendly Settlement, Reyes Penagos Martínez et al., Mexico, March 20, 2009.</w:t>
      </w:r>
    </w:p>
  </w:footnote>
  <w:footnote w:id="2">
    <w:p w14:paraId="01EC6F61" w14:textId="77777777" w:rsidR="003E5175" w:rsidRPr="004664DA" w:rsidRDefault="003E5175" w:rsidP="003E5175">
      <w:pPr>
        <w:ind w:firstLine="720"/>
        <w:jc w:val="both"/>
        <w:rPr>
          <w:rFonts w:ascii="Cambria" w:hAnsi="Cambria"/>
          <w:sz w:val="16"/>
          <w:szCs w:val="16"/>
        </w:rPr>
      </w:pPr>
      <w:r w:rsidRPr="004664DA">
        <w:rPr>
          <w:rStyle w:val="FootnoteReference"/>
          <w:rFonts w:ascii="Cambria" w:hAnsi="Cambria"/>
          <w:sz w:val="16"/>
          <w:szCs w:val="16"/>
        </w:rPr>
        <w:footnoteRef/>
      </w:r>
      <w:r w:rsidRPr="004664DA">
        <w:rPr>
          <w:rFonts w:ascii="Cambria" w:hAnsi="Cambria"/>
          <w:sz w:val="16"/>
          <w:szCs w:val="16"/>
        </w:rPr>
        <w:t xml:space="preserve"> </w:t>
      </w:r>
      <w:r w:rsidRPr="004664DA">
        <w:rPr>
          <w:rFonts w:ascii="Cambria" w:hAnsi="Cambria"/>
          <w:color w:val="000000"/>
          <w:sz w:val="16"/>
          <w:szCs w:val="16"/>
        </w:rPr>
        <w:t xml:space="preserve">See IACHR, 2022 Annual Report, Chapter II, Section C. Advances and challenges on negotiation and implementation of friendly settlements, Available at: </w:t>
      </w:r>
      <w:hyperlink r:id="rId1" w:history="1">
        <w:r w:rsidRPr="004664DA">
          <w:rPr>
            <w:rStyle w:val="Hyperlink"/>
            <w:rFonts w:ascii="Cambria" w:hAnsi="Cambria"/>
            <w:sz w:val="16"/>
            <w:szCs w:val="16"/>
          </w:rPr>
          <w:t>4-IA2022_Cap_2_EN.pdf (oas.org)</w:t>
        </w:r>
      </w:hyperlink>
    </w:p>
  </w:footnote>
  <w:footnote w:id="3">
    <w:p w14:paraId="66799734" w14:textId="77777777" w:rsidR="003E5175" w:rsidRPr="004664DA" w:rsidRDefault="003E5175" w:rsidP="003E5175">
      <w:pPr>
        <w:pStyle w:val="FootnoteText"/>
        <w:tabs>
          <w:tab w:val="left" w:pos="900"/>
        </w:tabs>
        <w:ind w:firstLine="720"/>
        <w:jc w:val="both"/>
        <w:rPr>
          <w:rFonts w:ascii="Cambria" w:hAnsi="Cambria"/>
          <w:color w:val="000000"/>
          <w:sz w:val="16"/>
          <w:szCs w:val="16"/>
        </w:rPr>
      </w:pPr>
      <w:r w:rsidRPr="004664DA">
        <w:rPr>
          <w:rFonts w:ascii="Cambria" w:hAnsi="Cambria"/>
          <w:color w:val="000000"/>
          <w:sz w:val="16"/>
          <w:szCs w:val="16"/>
          <w:vertAlign w:val="superscript"/>
        </w:rPr>
        <w:footnoteRef/>
      </w:r>
      <w:r w:rsidRPr="004664DA">
        <w:rPr>
          <w:rFonts w:ascii="Cambria" w:hAnsi="Cambria"/>
          <w:color w:val="000000"/>
          <w:sz w:val="16"/>
          <w:szCs w:val="16"/>
        </w:rPr>
        <w:t xml:space="preserve"> IACHR, Report No. 24/09, Case 11.822, Friendly Settlement, Reyes Penagos Martínez et al., Mexico, March 20, 2009.</w:t>
      </w:r>
    </w:p>
  </w:footnote>
  <w:footnote w:id="4">
    <w:p w14:paraId="61AAA438" w14:textId="77777777" w:rsidR="003E5175" w:rsidRPr="004664DA" w:rsidRDefault="003E5175" w:rsidP="003E5175">
      <w:pPr>
        <w:pStyle w:val="FootnoteText"/>
        <w:tabs>
          <w:tab w:val="left" w:pos="900"/>
        </w:tabs>
        <w:ind w:firstLine="720"/>
        <w:jc w:val="both"/>
        <w:rPr>
          <w:rFonts w:ascii="Cambria" w:hAnsi="Cambria"/>
          <w:color w:val="000000"/>
          <w:sz w:val="16"/>
          <w:szCs w:val="16"/>
        </w:rPr>
      </w:pPr>
      <w:r w:rsidRPr="004664DA">
        <w:rPr>
          <w:rFonts w:ascii="Cambria" w:hAnsi="Cambria"/>
          <w:color w:val="000000"/>
          <w:sz w:val="16"/>
          <w:szCs w:val="16"/>
          <w:vertAlign w:val="superscript"/>
        </w:rPr>
        <w:footnoteRef/>
      </w:r>
      <w:r w:rsidRPr="004664DA">
        <w:rPr>
          <w:rFonts w:ascii="Cambria" w:hAnsi="Cambria"/>
          <w:color w:val="000000"/>
          <w:sz w:val="16"/>
          <w:szCs w:val="16"/>
        </w:rPr>
        <w:t xml:space="preserve"> IACHR, Report No. 24/09, Case 11.822, Friendly Settlement, Reyes Penagos Martínez et al., Mexico, March 20, 2009.</w:t>
      </w:r>
    </w:p>
  </w:footnote>
  <w:footnote w:id="5">
    <w:p w14:paraId="6A6AF2A0" w14:textId="77777777" w:rsidR="003E5175" w:rsidRPr="004664DA" w:rsidRDefault="003E5175" w:rsidP="003E5175">
      <w:pPr>
        <w:pStyle w:val="FootnoteText"/>
        <w:tabs>
          <w:tab w:val="left" w:pos="720"/>
          <w:tab w:val="left" w:pos="900"/>
          <w:tab w:val="left" w:pos="2520"/>
        </w:tabs>
        <w:ind w:firstLine="720"/>
        <w:jc w:val="both"/>
        <w:rPr>
          <w:rFonts w:ascii="Cambria" w:hAnsi="Cambria"/>
          <w:sz w:val="16"/>
          <w:szCs w:val="16"/>
        </w:rPr>
      </w:pPr>
      <w:r w:rsidRPr="004664DA">
        <w:rPr>
          <w:rStyle w:val="FootnoteReference"/>
          <w:rFonts w:ascii="Cambria" w:hAnsi="Cambria"/>
          <w:sz w:val="16"/>
          <w:szCs w:val="16"/>
        </w:rPr>
        <w:footnoteRef/>
      </w:r>
      <w:r w:rsidRPr="004664DA">
        <w:rPr>
          <w:rFonts w:ascii="Cambria" w:hAnsi="Cambria"/>
          <w:color w:val="000000"/>
          <w:sz w:val="16"/>
          <w:szCs w:val="16"/>
        </w:rPr>
        <w:t xml:space="preserve">See IACHR, Annual Report 2019, Chapter II, Section G. Friendly Settlements. Available at: </w:t>
      </w:r>
      <w:hyperlink r:id="rId2" w:history="1">
        <w:r w:rsidRPr="004664DA">
          <w:rPr>
            <w:rStyle w:val="Hyperlink"/>
            <w:rFonts w:ascii="Cambria" w:hAnsi="Cambria"/>
            <w:sz w:val="16"/>
            <w:szCs w:val="16"/>
          </w:rPr>
          <w:t>http://www.oas.org/es/cidh/docs/anual/2019/docs/IA2019cap2-es.pdf</w:t>
        </w:r>
      </w:hyperlink>
    </w:p>
  </w:footnote>
  <w:footnote w:id="6">
    <w:p w14:paraId="23EACEC0" w14:textId="77777777" w:rsidR="003E5175" w:rsidRPr="004664DA" w:rsidRDefault="003E5175" w:rsidP="003E5175">
      <w:pPr>
        <w:pStyle w:val="FootnoteText"/>
        <w:tabs>
          <w:tab w:val="left" w:pos="900"/>
        </w:tabs>
        <w:ind w:firstLine="720"/>
        <w:jc w:val="both"/>
        <w:rPr>
          <w:rFonts w:ascii="Cambria" w:hAnsi="Cambria"/>
          <w:color w:val="000000"/>
          <w:sz w:val="16"/>
          <w:szCs w:val="16"/>
        </w:rPr>
      </w:pPr>
      <w:r w:rsidRPr="004664DA">
        <w:rPr>
          <w:rFonts w:ascii="Cambria" w:hAnsi="Cambria"/>
          <w:color w:val="000000"/>
          <w:sz w:val="16"/>
          <w:szCs w:val="16"/>
          <w:vertAlign w:val="superscript"/>
        </w:rPr>
        <w:footnoteRef/>
      </w:r>
      <w:r w:rsidRPr="004664DA">
        <w:rPr>
          <w:rFonts w:ascii="Cambria" w:hAnsi="Cambria"/>
          <w:color w:val="000000"/>
          <w:sz w:val="16"/>
          <w:szCs w:val="16"/>
        </w:rPr>
        <w:t xml:space="preserve"> IACHR, Report No. 24/09, Case 11.822, Friendly Settlement, Reyes Penagos Martínez et al., Mexico, March 20,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D2E5" w14:textId="61BDB6F8" w:rsidR="00EE2B3B" w:rsidRDefault="00EE2B3B" w:rsidP="00EE2B3B">
    <w:pPr>
      <w:pStyle w:val="Header"/>
      <w:jc w:val="center"/>
    </w:pPr>
    <w:r>
      <w:rPr>
        <w:noProof/>
      </w:rPr>
      <w:drawing>
        <wp:inline distT="0" distB="0" distL="0" distR="0" wp14:anchorId="05F89FF3" wp14:editId="35C856FB">
          <wp:extent cx="2276475" cy="114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14300"/>
                  </a:xfrm>
                  <a:prstGeom prst="rect">
                    <a:avLst/>
                  </a:prstGeom>
                  <a:noFill/>
                  <a:ln>
                    <a:noFill/>
                  </a:ln>
                </pic:spPr>
              </pic:pic>
            </a:graphicData>
          </a:graphic>
        </wp:inline>
      </w:drawing>
    </w:r>
  </w:p>
  <w:p w14:paraId="5C22E6E7" w14:textId="19B082BD" w:rsidR="00EE2B3B" w:rsidRPr="00EE2B3B" w:rsidRDefault="005D23FA" w:rsidP="00EE2B3B">
    <w:pPr>
      <w:pStyle w:val="Header"/>
    </w:pPr>
    <w:r>
      <w:pict w14:anchorId="04325340">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A139" w14:textId="1F58B056" w:rsidR="00EE2B3B" w:rsidRDefault="00EE2B3B" w:rsidP="00EE2B3B">
    <w:pPr>
      <w:pStyle w:val="Header"/>
    </w:pPr>
    <w:bookmarkStart w:id="1" w:name="_Hlk138256805"/>
    <w:bookmarkStart w:id="2" w:name="_Hlk138256806"/>
    <w:r>
      <w:rPr>
        <w:noProof/>
      </w:rPr>
      <w:drawing>
        <wp:anchor distT="0" distB="0" distL="114300" distR="114300" simplePos="0" relativeHeight="251659264" behindDoc="1" locked="0" layoutInCell="1" allowOverlap="1" wp14:anchorId="041316FD" wp14:editId="7A155487">
          <wp:simplePos x="0" y="0"/>
          <wp:positionH relativeFrom="column">
            <wp:posOffset>0</wp:posOffset>
          </wp:positionH>
          <wp:positionV relativeFrom="paragraph">
            <wp:posOffset>-28575</wp:posOffset>
          </wp:positionV>
          <wp:extent cx="2567940" cy="495300"/>
          <wp:effectExtent l="0" t="0" r="3810" b="0"/>
          <wp:wrapThrough wrapText="bothSides">
            <wp:wrapPolygon edited="0">
              <wp:start x="0" y="0"/>
              <wp:lineTo x="0" y="20769"/>
              <wp:lineTo x="21472" y="20769"/>
              <wp:lineTo x="2147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B65916B" wp14:editId="2EBBB3D4">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069" y="0"/>
              <wp:lineTo x="0" y="4122"/>
              <wp:lineTo x="0" y="16489"/>
              <wp:lineTo x="1069" y="20611"/>
              <wp:lineTo x="4277" y="20611"/>
              <wp:lineTo x="21386" y="18137"/>
              <wp:lineTo x="21386" y="4122"/>
              <wp:lineTo x="4063" y="0"/>
              <wp:lineTo x="1069"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5084D170" w14:textId="77777777" w:rsidR="00EE2B3B" w:rsidRDefault="00EE2B3B" w:rsidP="00EE2B3B">
    <w:pPr>
      <w:pStyle w:val="Header"/>
    </w:pPr>
  </w:p>
  <w:p w14:paraId="12638557" w14:textId="77777777" w:rsidR="00EE2B3B" w:rsidRDefault="00EE2B3B" w:rsidP="00EE2B3B">
    <w:pPr>
      <w:pStyle w:val="Header"/>
    </w:pPr>
  </w:p>
  <w:p w14:paraId="0EFF114E" w14:textId="77777777" w:rsidR="00EE2B3B" w:rsidRDefault="005D23FA" w:rsidP="00EE2B3B">
    <w:pPr>
      <w:pStyle w:val="Header"/>
    </w:pPr>
    <w:r>
      <w:pict w14:anchorId="3288A7D7">
        <v:rect id="_x0000_i1026" style="width:0;height:1.5pt" o:hralign="center" o:hrstd="t" o:hr="t" fillcolor="#a0a0a0" stroked="f"/>
      </w:pic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FE1"/>
    <w:multiLevelType w:val="hybridMultilevel"/>
    <w:tmpl w:val="EEB433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F8A470B"/>
    <w:multiLevelType w:val="hybridMultilevel"/>
    <w:tmpl w:val="2D8E04F4"/>
    <w:lvl w:ilvl="0" w:tplc="FFFFFFFF">
      <w:start w:val="1"/>
      <w:numFmt w:val="upperRoman"/>
      <w:lvlText w:val="%1."/>
      <w:lvlJc w:val="left"/>
      <w:pPr>
        <w:ind w:left="1080" w:hanging="720"/>
      </w:pPr>
      <w:rPr>
        <w:rFonts w:cs="Times New Roman"/>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C0D445F"/>
    <w:multiLevelType w:val="hybridMultilevel"/>
    <w:tmpl w:val="FFFFFFFF"/>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617DD"/>
    <w:multiLevelType w:val="hybridMultilevel"/>
    <w:tmpl w:val="69F6654C"/>
    <w:lvl w:ilvl="0" w:tplc="4B8E1B2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6C04F9"/>
    <w:multiLevelType w:val="hybridMultilevel"/>
    <w:tmpl w:val="98E0532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E255ED6"/>
    <w:multiLevelType w:val="hybridMultilevel"/>
    <w:tmpl w:val="0E9E492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400F35CF"/>
    <w:multiLevelType w:val="hybridMultilevel"/>
    <w:tmpl w:val="4B7C545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41E655F"/>
    <w:multiLevelType w:val="hybridMultilevel"/>
    <w:tmpl w:val="38EAC91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364705A"/>
    <w:multiLevelType w:val="hybridMultilevel"/>
    <w:tmpl w:val="BFDE47E8"/>
    <w:lvl w:ilvl="0" w:tplc="C8D89FF4">
      <w:start w:val="3"/>
      <w:numFmt w:val="decimal"/>
      <w:lvlText w:val="%1)"/>
      <w:lvlJc w:val="left"/>
      <w:pPr>
        <w:ind w:left="816" w:hanging="456"/>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E961B8"/>
    <w:multiLevelType w:val="hybridMultilevel"/>
    <w:tmpl w:val="6C02FA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6F83397B"/>
    <w:multiLevelType w:val="hybridMultilevel"/>
    <w:tmpl w:val="905A73D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78C26CC1"/>
    <w:multiLevelType w:val="hybridMultilevel"/>
    <w:tmpl w:val="1DDE1E8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362023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6633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524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2929156">
    <w:abstractNumId w:val="5"/>
  </w:num>
  <w:num w:numId="5" w16cid:durableId="56173509">
    <w:abstractNumId w:val="9"/>
  </w:num>
  <w:num w:numId="6" w16cid:durableId="56518530">
    <w:abstractNumId w:val="0"/>
  </w:num>
  <w:num w:numId="7" w16cid:durableId="463352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1972006">
    <w:abstractNumId w:val="4"/>
  </w:num>
  <w:num w:numId="9" w16cid:durableId="15748493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7116927">
    <w:abstractNumId w:val="2"/>
  </w:num>
  <w:num w:numId="11" w16cid:durableId="779616454">
    <w:abstractNumId w:val="3"/>
  </w:num>
  <w:num w:numId="12" w16cid:durableId="616760737">
    <w:abstractNumId w:val="8"/>
  </w:num>
  <w:num w:numId="13" w16cid:durableId="14168533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3B"/>
    <w:rsid w:val="00016B55"/>
    <w:rsid w:val="00044697"/>
    <w:rsid w:val="001C78F9"/>
    <w:rsid w:val="001D1BFB"/>
    <w:rsid w:val="00336986"/>
    <w:rsid w:val="003E5175"/>
    <w:rsid w:val="004F6608"/>
    <w:rsid w:val="00517A59"/>
    <w:rsid w:val="00551343"/>
    <w:rsid w:val="005710FB"/>
    <w:rsid w:val="005803A5"/>
    <w:rsid w:val="005A5A31"/>
    <w:rsid w:val="005D23FA"/>
    <w:rsid w:val="00600F95"/>
    <w:rsid w:val="006D7F0E"/>
    <w:rsid w:val="008646A9"/>
    <w:rsid w:val="00933DD1"/>
    <w:rsid w:val="00A15312"/>
    <w:rsid w:val="00BB339B"/>
    <w:rsid w:val="00D04AF5"/>
    <w:rsid w:val="00D11C69"/>
    <w:rsid w:val="00DA1784"/>
    <w:rsid w:val="00DA7D6A"/>
    <w:rsid w:val="00EB6320"/>
    <w:rsid w:val="00ED6650"/>
    <w:rsid w:val="00EE2B3B"/>
    <w:rsid w:val="00F64E08"/>
    <w:rsid w:val="00F84B42"/>
    <w:rsid w:val="00FA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F7A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B3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árrafo de lista1,List Paragraph1,Colorful List - Accent 11,List Paragraph11,Lista vistosa - Énfasis 11,Parragrap,Superíndice,Dot pt,No Spacing1,List Paragraph Char Char Char,Indicator Text,Numbered Para 1,4 Párrafo de lista,Figuras,DH1"/>
    <w:basedOn w:val="Normal"/>
    <w:link w:val="ListParagraphChar"/>
    <w:uiPriority w:val="34"/>
    <w:qFormat/>
    <w:rsid w:val="00EE2B3B"/>
    <w:pPr>
      <w:ind w:left="720"/>
      <w:contextualSpacing/>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EE2B3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EE2B3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iPriority w:val="99"/>
    <w:unhideWhenUsed/>
    <w:qFormat/>
    <w:rsid w:val="00EE2B3B"/>
    <w:rPr>
      <w:vertAlign w:val="superscript"/>
    </w:rPr>
  </w:style>
  <w:style w:type="character" w:styleId="Hyperlink">
    <w:name w:val="Hyperlink"/>
    <w:uiPriority w:val="99"/>
    <w:unhideWhenUsed/>
    <w:rsid w:val="00EE2B3B"/>
    <w:rPr>
      <w:color w:val="0000FF"/>
      <w:u w:val="single"/>
      <w:lang w:val="en-US" w:eastAsia="en-US"/>
    </w:rPr>
  </w:style>
  <w:style w:type="paragraph" w:styleId="NoSpacing">
    <w:name w:val="No Spacing"/>
    <w:uiPriority w:val="1"/>
    <w:qFormat/>
    <w:rsid w:val="00EE2B3B"/>
    <w:pPr>
      <w:spacing w:after="0" w:line="240" w:lineRule="auto"/>
    </w:pPr>
    <w:rPr>
      <w:rFonts w:ascii="Calibri" w:eastAsia="Calibri" w:hAnsi="Calibri" w:cs="Times New Roman"/>
    </w:rPr>
  </w:style>
  <w:style w:type="character" w:customStyle="1" w:styleId="ListParagraphChar">
    <w:name w:val="List Paragraph Char"/>
    <w:aliases w:val="Párrafo de lista1 Char,List Paragraph1 Char,Colorful List - Accent 11 Char,List Paragraph11 Char,Lista vistosa - Énfasis 11 Char,Parragrap Char,Superíndice Char,Dot pt Char,No Spacing1 Char,List Paragraph Char Char Char Char,DH1 Char"/>
    <w:link w:val="ListParagraph"/>
    <w:uiPriority w:val="34"/>
    <w:locked/>
    <w:rsid w:val="00EE2B3B"/>
    <w:rPr>
      <w:sz w:val="24"/>
      <w:szCs w:val="24"/>
    </w:rPr>
  </w:style>
  <w:style w:type="paragraph" w:customStyle="1" w:styleId="Appelnotedebasde">
    <w:name w:val="Appel note de bas de..."/>
    <w:basedOn w:val="Normal"/>
    <w:link w:val="FootnoteReference"/>
    <w:uiPriority w:val="99"/>
    <w:rsid w:val="00EE2B3B"/>
    <w:pPr>
      <w:spacing w:after="160" w:line="240" w:lineRule="exact"/>
    </w:pPr>
    <w:rPr>
      <w:sz w:val="22"/>
      <w:szCs w:val="22"/>
      <w:vertAlign w:val="superscript"/>
    </w:rPr>
  </w:style>
  <w:style w:type="paragraph" w:styleId="Header">
    <w:name w:val="header"/>
    <w:basedOn w:val="Normal"/>
    <w:link w:val="HeaderChar"/>
    <w:uiPriority w:val="99"/>
    <w:unhideWhenUsed/>
    <w:rsid w:val="00EE2B3B"/>
    <w:pPr>
      <w:tabs>
        <w:tab w:val="center" w:pos="4680"/>
        <w:tab w:val="right" w:pos="9360"/>
      </w:tabs>
    </w:pPr>
  </w:style>
  <w:style w:type="character" w:customStyle="1" w:styleId="HeaderChar">
    <w:name w:val="Header Char"/>
    <w:basedOn w:val="DefaultParagraphFont"/>
    <w:link w:val="Header"/>
    <w:uiPriority w:val="99"/>
    <w:rsid w:val="00EE2B3B"/>
    <w:rPr>
      <w:sz w:val="24"/>
      <w:szCs w:val="24"/>
    </w:rPr>
  </w:style>
  <w:style w:type="paragraph" w:styleId="Footer">
    <w:name w:val="footer"/>
    <w:basedOn w:val="Normal"/>
    <w:link w:val="FooterChar"/>
    <w:uiPriority w:val="99"/>
    <w:unhideWhenUsed/>
    <w:rsid w:val="00EE2B3B"/>
    <w:pPr>
      <w:tabs>
        <w:tab w:val="center" w:pos="4680"/>
        <w:tab w:val="right" w:pos="9360"/>
      </w:tabs>
    </w:pPr>
  </w:style>
  <w:style w:type="character" w:customStyle="1" w:styleId="FooterChar">
    <w:name w:val="Footer Char"/>
    <w:basedOn w:val="DefaultParagraphFont"/>
    <w:link w:val="Footer"/>
    <w:uiPriority w:val="99"/>
    <w:rsid w:val="00EE2B3B"/>
    <w:rPr>
      <w:sz w:val="24"/>
      <w:szCs w:val="24"/>
    </w:rPr>
  </w:style>
  <w:style w:type="character" w:styleId="FollowedHyperlink">
    <w:name w:val="FollowedHyperlink"/>
    <w:basedOn w:val="DefaultParagraphFont"/>
    <w:uiPriority w:val="99"/>
    <w:semiHidden/>
    <w:unhideWhenUsed/>
    <w:rsid w:val="00EE2B3B"/>
    <w:rPr>
      <w:color w:val="954F72" w:themeColor="followedHyperlink"/>
      <w:u w:val="single"/>
    </w:rPr>
  </w:style>
  <w:style w:type="character" w:styleId="UnresolvedMention">
    <w:name w:val="Unresolved Mention"/>
    <w:basedOn w:val="DefaultParagraphFont"/>
    <w:uiPriority w:val="99"/>
    <w:semiHidden/>
    <w:unhideWhenUsed/>
    <w:rsid w:val="00EE2B3B"/>
    <w:rPr>
      <w:color w:val="605E5C"/>
      <w:shd w:val="clear" w:color="auto" w:fill="E1DFDD"/>
    </w:rPr>
  </w:style>
  <w:style w:type="paragraph" w:styleId="Title">
    <w:name w:val="Title"/>
    <w:basedOn w:val="Normal"/>
    <w:next w:val="Normal"/>
    <w:link w:val="TitleChar"/>
    <w:uiPriority w:val="10"/>
    <w:qFormat/>
    <w:rsid w:val="001D1BF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BF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7444">
      <w:bodyDiv w:val="1"/>
      <w:marLeft w:val="0"/>
      <w:marRight w:val="0"/>
      <w:marTop w:val="0"/>
      <w:marBottom w:val="0"/>
      <w:divBdr>
        <w:top w:val="none" w:sz="0" w:space="0" w:color="auto"/>
        <w:left w:val="none" w:sz="0" w:space="0" w:color="auto"/>
        <w:bottom w:val="none" w:sz="0" w:space="0" w:color="auto"/>
        <w:right w:val="none" w:sz="0" w:space="0" w:color="auto"/>
      </w:divBdr>
    </w:div>
    <w:div w:id="176345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dh.org/annualrep/2009eng/Mexico11822eng.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dh.org/annualrep/2009eng/Mexico11822eng.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oas.org/es/cidh/docs/anual/2019/docs/IA2019cap2-es.pdf" TargetMode="External"/><Relationship Id="rId1" Type="http://schemas.openxmlformats.org/officeDocument/2006/relationships/hyperlink" Target="https://www.oas.org/en/iachr/docs/annual/2022/Chapters/4-IA2022_Cap_2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EF23-5EC8-47BB-AEC1-2CD4B91D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1333</Words>
  <Characters>7603</Characters>
  <Application>Microsoft Office Word</Application>
  <DocSecurity>0</DocSecurity>
  <Lines>63</Lines>
  <Paragraphs>17</Paragraphs>
  <ScaleCrop>false</ScaleCrop>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2023-06-28T14:57:00Z</dcterms:created>
  <dcterms:modified xsi:type="dcterms:W3CDTF">2023-06-28T14:57:00Z</dcterms:modified>
</cp:coreProperties>
</file>